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D3C5" w14:textId="77777777" w:rsidR="00BF1C91" w:rsidRDefault="00BF1C91" w:rsidP="00BF1C91">
      <w:pPr>
        <w:tabs>
          <w:tab w:val="right" w:pos="6328"/>
        </w:tabs>
        <w:spacing w:line="480" w:lineRule="auto"/>
        <w:ind w:left="2407" w:right="1985"/>
        <w:rPr>
          <w:rtl/>
        </w:rPr>
      </w:pPr>
      <w:bookmarkStart w:id="0" w:name="_Hlk124684707"/>
      <w:r w:rsidRPr="00E21AE7">
        <w:rPr>
          <w:noProof/>
        </w:rPr>
        <w:drawing>
          <wp:inline distT="0" distB="0" distL="0" distR="0" wp14:anchorId="622FE609" wp14:editId="6298CD52">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E21AE7">
        <w:rPr>
          <w:noProof/>
        </w:rPr>
        <w:drawing>
          <wp:inline distT="0" distB="0" distL="0" distR="0" wp14:anchorId="1B09ABC4" wp14:editId="5D0F4409">
            <wp:extent cx="581025" cy="790575"/>
            <wp:effectExtent l="0" t="0" r="9525" b="9525"/>
            <wp:docPr id="1" name="Picture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61755FE4" w14:textId="4B867261" w:rsidR="00286EB8" w:rsidRPr="00FD2DDA" w:rsidRDefault="00286EB8" w:rsidP="00BF1C91">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6EECA230" w14:textId="77777777" w:rsidR="00286EB8" w:rsidRDefault="00286EB8" w:rsidP="00286EB8">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07170F04" w14:textId="77777777" w:rsidR="00286EB8" w:rsidRPr="00BB5867" w:rsidRDefault="00286EB8" w:rsidP="00286EB8">
      <w:pPr>
        <w:spacing w:line="240" w:lineRule="auto"/>
        <w:jc w:val="center"/>
        <w:rPr>
          <w:rFonts w:cs="David"/>
          <w:sz w:val="28"/>
          <w:szCs w:val="28"/>
          <w:rtl/>
        </w:rPr>
      </w:pPr>
      <w:r w:rsidRPr="00ED4EF3">
        <w:rPr>
          <w:rFonts w:cs="David" w:hint="cs"/>
          <w:b/>
          <w:bCs/>
          <w:sz w:val="28"/>
          <w:szCs w:val="28"/>
          <w:rtl/>
        </w:rPr>
        <w:t>אל"ם מאיה גולדשמידט</w:t>
      </w:r>
      <w:r>
        <w:rPr>
          <w:rFonts w:cs="David" w:hint="cs"/>
          <w:sz w:val="28"/>
          <w:szCs w:val="28"/>
          <w:rtl/>
        </w:rPr>
        <w:t xml:space="preserve">    -   שופטת</w:t>
      </w:r>
    </w:p>
    <w:p w14:paraId="1AA7BE6F" w14:textId="77777777" w:rsidR="00286EB8" w:rsidRDefault="00286EB8" w:rsidP="00286EB8">
      <w:pPr>
        <w:rPr>
          <w:rFonts w:ascii="David" w:hAnsi="David" w:cs="David"/>
          <w:sz w:val="28"/>
          <w:szCs w:val="28"/>
          <w:rtl/>
        </w:rPr>
      </w:pPr>
      <w:r w:rsidRPr="00FD2DDA">
        <w:rPr>
          <w:rFonts w:ascii="David" w:hAnsi="David" w:cs="David" w:hint="cs"/>
          <w:sz w:val="28"/>
          <w:szCs w:val="28"/>
          <w:rtl/>
        </w:rPr>
        <w:t>בעניין:</w:t>
      </w:r>
    </w:p>
    <w:p w14:paraId="304161B8" w14:textId="77777777" w:rsidR="00286EB8" w:rsidRPr="00FD2DDA" w:rsidRDefault="00286EB8" w:rsidP="00286EB8">
      <w:pPr>
        <w:rPr>
          <w:rFonts w:ascii="David" w:hAnsi="David" w:cs="David"/>
          <w:sz w:val="28"/>
          <w:szCs w:val="28"/>
          <w:rtl/>
        </w:rPr>
      </w:pPr>
    </w:p>
    <w:p w14:paraId="574EAEED" w14:textId="27573AC6" w:rsidR="00286EB8" w:rsidRDefault="00155D9C" w:rsidP="00286EB8">
      <w:pPr>
        <w:pStyle w:val="a3"/>
        <w:jc w:val="center"/>
        <w:rPr>
          <w:rFonts w:cs="David"/>
          <w:sz w:val="28"/>
          <w:szCs w:val="28"/>
          <w:rtl/>
        </w:rPr>
      </w:pPr>
      <w:r>
        <w:rPr>
          <w:rFonts w:cs="David" w:hint="cs"/>
          <w:b/>
          <w:bCs/>
          <w:sz w:val="28"/>
          <w:szCs w:val="28"/>
          <w:rtl/>
        </w:rPr>
        <w:t>התובע הצבא הראשי</w:t>
      </w:r>
      <w:r w:rsidR="00286EB8">
        <w:rPr>
          <w:rFonts w:cs="David" w:hint="cs"/>
          <w:b/>
          <w:bCs/>
          <w:sz w:val="28"/>
          <w:szCs w:val="28"/>
          <w:rtl/>
        </w:rPr>
        <w:t xml:space="preserve"> </w:t>
      </w:r>
      <w:r w:rsidR="00BF1C91">
        <w:rPr>
          <w:rFonts w:cs="David" w:hint="cs"/>
          <w:b/>
          <w:bCs/>
          <w:sz w:val="28"/>
          <w:szCs w:val="28"/>
          <w:rtl/>
        </w:rPr>
        <w:t>-</w:t>
      </w:r>
      <w:r w:rsidR="00286EB8" w:rsidRPr="00FD2DDA">
        <w:rPr>
          <w:rFonts w:ascii="David" w:hAnsi="David" w:cs="David" w:hint="cs"/>
          <w:sz w:val="28"/>
          <w:szCs w:val="28"/>
          <w:rtl/>
        </w:rPr>
        <w:t xml:space="preserve"> המ</w:t>
      </w:r>
      <w:r w:rsidR="00286EB8">
        <w:rPr>
          <w:rFonts w:ascii="David" w:hAnsi="David" w:cs="David" w:hint="cs"/>
          <w:sz w:val="28"/>
          <w:szCs w:val="28"/>
          <w:rtl/>
        </w:rPr>
        <w:t>בקש</w:t>
      </w:r>
      <w:r w:rsidR="00286EB8" w:rsidRPr="00FD2DDA">
        <w:rPr>
          <w:rFonts w:ascii="David" w:hAnsi="David" w:cs="David" w:hint="cs"/>
          <w:sz w:val="28"/>
          <w:szCs w:val="28"/>
          <w:rtl/>
        </w:rPr>
        <w:t xml:space="preserve"> (ע"י ב"כ, </w:t>
      </w:r>
      <w:r>
        <w:rPr>
          <w:rFonts w:ascii="David" w:hAnsi="David" w:cs="David" w:hint="cs"/>
          <w:sz w:val="28"/>
          <w:szCs w:val="28"/>
          <w:rtl/>
        </w:rPr>
        <w:t xml:space="preserve">רס"ן </w:t>
      </w:r>
      <w:proofErr w:type="spellStart"/>
      <w:r>
        <w:rPr>
          <w:rFonts w:ascii="David" w:hAnsi="David" w:cs="David" w:hint="cs"/>
          <w:sz w:val="28"/>
          <w:szCs w:val="28"/>
          <w:rtl/>
        </w:rPr>
        <w:t>אליסף</w:t>
      </w:r>
      <w:proofErr w:type="spellEnd"/>
      <w:r>
        <w:rPr>
          <w:rFonts w:ascii="David" w:hAnsi="David" w:cs="David" w:hint="cs"/>
          <w:sz w:val="28"/>
          <w:szCs w:val="28"/>
          <w:rtl/>
        </w:rPr>
        <w:t xml:space="preserve"> מלמד; סרן שני שחר</w:t>
      </w:r>
      <w:r w:rsidR="00286EB8">
        <w:rPr>
          <w:rFonts w:ascii="David" w:hAnsi="David" w:cs="David" w:hint="cs"/>
          <w:sz w:val="28"/>
          <w:szCs w:val="28"/>
          <w:rtl/>
        </w:rPr>
        <w:t>)</w:t>
      </w:r>
    </w:p>
    <w:p w14:paraId="0099A733" w14:textId="77777777" w:rsidR="00125592" w:rsidRDefault="00125592" w:rsidP="00286EB8">
      <w:pPr>
        <w:pStyle w:val="a3"/>
        <w:jc w:val="center"/>
        <w:rPr>
          <w:rFonts w:cs="David"/>
          <w:sz w:val="28"/>
          <w:szCs w:val="28"/>
          <w:rtl/>
        </w:rPr>
      </w:pPr>
    </w:p>
    <w:p w14:paraId="21AFEEA0" w14:textId="77777777" w:rsidR="00286EB8" w:rsidRPr="00286EB8" w:rsidRDefault="00286EB8" w:rsidP="00286EB8">
      <w:pPr>
        <w:pStyle w:val="a3"/>
        <w:jc w:val="center"/>
        <w:rPr>
          <w:rFonts w:cs="David"/>
          <w:sz w:val="28"/>
          <w:szCs w:val="28"/>
        </w:rPr>
      </w:pPr>
    </w:p>
    <w:p w14:paraId="75623236" w14:textId="77777777" w:rsidR="00286EB8" w:rsidRDefault="00286EB8" w:rsidP="00286EB8">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532D2EE6" w14:textId="0010EC5E" w:rsidR="00286EB8" w:rsidRPr="00FD2DDA" w:rsidRDefault="00155D9C" w:rsidP="00286EB8">
      <w:pPr>
        <w:spacing w:after="120"/>
        <w:jc w:val="center"/>
        <w:rPr>
          <w:rFonts w:ascii="David" w:hAnsi="David" w:cs="David"/>
          <w:sz w:val="28"/>
          <w:szCs w:val="28"/>
          <w:rtl/>
        </w:rPr>
      </w:pPr>
      <w:r>
        <w:rPr>
          <w:rFonts w:ascii="Times New Roman" w:eastAsia="Times New Roman" w:hAnsi="Times New Roman" w:cs="David" w:hint="cs"/>
          <w:b/>
          <w:bCs/>
          <w:sz w:val="32"/>
          <w:szCs w:val="28"/>
          <w:rtl/>
        </w:rPr>
        <w:t>מ/</w:t>
      </w:r>
      <w:r w:rsidR="00D523CC">
        <w:rPr>
          <w:rFonts w:ascii="Times New Roman" w:eastAsia="Times New Roman" w:hAnsi="Times New Roman" w:cs="David" w:hint="cs"/>
          <w:b/>
          <w:bCs/>
          <w:sz w:val="32"/>
          <w:szCs w:val="28"/>
          <w:rtl/>
        </w:rPr>
        <w:t>*******</w:t>
      </w:r>
      <w:r>
        <w:rPr>
          <w:rFonts w:ascii="Times New Roman" w:eastAsia="Times New Roman" w:hAnsi="Times New Roman" w:cs="David" w:hint="cs"/>
          <w:b/>
          <w:bCs/>
          <w:sz w:val="32"/>
          <w:szCs w:val="28"/>
          <w:rtl/>
        </w:rPr>
        <w:t xml:space="preserve"> סרן ע</w:t>
      </w:r>
      <w:r w:rsidR="00F45CE4">
        <w:rPr>
          <w:rFonts w:ascii="Times New Roman" w:eastAsia="Times New Roman" w:hAnsi="Times New Roman" w:cs="David" w:hint="cs"/>
          <w:b/>
          <w:bCs/>
          <w:sz w:val="32"/>
          <w:szCs w:val="28"/>
          <w:rtl/>
        </w:rPr>
        <w:t>'</w:t>
      </w:r>
      <w:r>
        <w:rPr>
          <w:rFonts w:ascii="Times New Roman" w:eastAsia="Times New Roman" w:hAnsi="Times New Roman" w:cs="David" w:hint="cs"/>
          <w:b/>
          <w:bCs/>
          <w:sz w:val="32"/>
          <w:szCs w:val="28"/>
          <w:rtl/>
        </w:rPr>
        <w:t xml:space="preserve"> י</w:t>
      </w:r>
      <w:r w:rsidR="00F45CE4">
        <w:rPr>
          <w:rFonts w:ascii="Times New Roman" w:eastAsia="Times New Roman" w:hAnsi="Times New Roman" w:cs="David" w:hint="cs"/>
          <w:b/>
          <w:bCs/>
          <w:sz w:val="32"/>
          <w:szCs w:val="28"/>
          <w:rtl/>
        </w:rPr>
        <w:t>'</w:t>
      </w:r>
      <w:r w:rsidR="00286EB8">
        <w:rPr>
          <w:rFonts w:ascii="Times New Roman" w:eastAsia="Times New Roman" w:hAnsi="Times New Roman" w:cs="David" w:hint="cs"/>
          <w:b/>
          <w:bCs/>
          <w:sz w:val="32"/>
          <w:szCs w:val="28"/>
          <w:rtl/>
        </w:rPr>
        <w:t xml:space="preserve"> </w:t>
      </w:r>
      <w:r w:rsidR="00286EB8" w:rsidRPr="00FD2DDA">
        <w:rPr>
          <w:rFonts w:ascii="David" w:hAnsi="David" w:cs="David" w:hint="cs"/>
          <w:b/>
          <w:bCs/>
          <w:sz w:val="28"/>
          <w:szCs w:val="28"/>
          <w:rtl/>
        </w:rPr>
        <w:t xml:space="preserve"> </w:t>
      </w:r>
      <w:r w:rsidR="00BF1C91">
        <w:rPr>
          <w:rFonts w:ascii="David" w:hAnsi="David" w:cs="David" w:hint="cs"/>
          <w:b/>
          <w:bCs/>
          <w:sz w:val="28"/>
          <w:szCs w:val="28"/>
          <w:rtl/>
        </w:rPr>
        <w:t>-</w:t>
      </w:r>
      <w:r w:rsidR="00286EB8" w:rsidRPr="00FD2DDA">
        <w:rPr>
          <w:rFonts w:ascii="David" w:hAnsi="David" w:cs="David" w:hint="cs"/>
          <w:b/>
          <w:bCs/>
          <w:sz w:val="28"/>
          <w:szCs w:val="28"/>
          <w:rtl/>
        </w:rPr>
        <w:t xml:space="preserve"> </w:t>
      </w:r>
      <w:r w:rsidR="00286EB8" w:rsidRPr="00FD2DDA">
        <w:rPr>
          <w:rFonts w:ascii="David" w:hAnsi="David" w:cs="David" w:hint="cs"/>
          <w:sz w:val="28"/>
          <w:szCs w:val="28"/>
          <w:rtl/>
        </w:rPr>
        <w:t xml:space="preserve"> המשיב (ע"י ב"כ</w:t>
      </w:r>
      <w:r w:rsidR="00286EB8">
        <w:rPr>
          <w:rFonts w:ascii="David" w:hAnsi="David" w:cs="David" w:hint="cs"/>
          <w:sz w:val="28"/>
          <w:szCs w:val="28"/>
          <w:rtl/>
        </w:rPr>
        <w:t xml:space="preserve"> ,</w:t>
      </w:r>
      <w:r>
        <w:rPr>
          <w:rFonts w:ascii="David" w:hAnsi="David" w:cs="David" w:hint="cs"/>
          <w:sz w:val="28"/>
          <w:szCs w:val="28"/>
          <w:rtl/>
        </w:rPr>
        <w:t xml:space="preserve"> עו"ד שי רודה</w:t>
      </w:r>
      <w:r w:rsidR="00286EB8" w:rsidRPr="00FD2DDA">
        <w:rPr>
          <w:rFonts w:ascii="David" w:hAnsi="David" w:cs="David" w:hint="cs"/>
          <w:sz w:val="28"/>
          <w:szCs w:val="28"/>
          <w:rtl/>
        </w:rPr>
        <w:t>)</w:t>
      </w:r>
    </w:p>
    <w:p w14:paraId="076D17BB" w14:textId="77777777" w:rsidR="00286EB8" w:rsidRPr="00FD2DDA" w:rsidRDefault="00286EB8" w:rsidP="00286EB8">
      <w:pPr>
        <w:spacing w:after="360" w:line="360" w:lineRule="auto"/>
        <w:rPr>
          <w:rFonts w:ascii="David" w:hAnsi="David" w:cs="David"/>
          <w:b/>
          <w:bCs/>
          <w:sz w:val="28"/>
          <w:szCs w:val="28"/>
          <w:u w:val="single"/>
          <w:rtl/>
        </w:rPr>
      </w:pPr>
    </w:p>
    <w:p w14:paraId="7F34232B" w14:textId="77777777" w:rsidR="00286EB8" w:rsidRDefault="00286EB8" w:rsidP="00286EB8">
      <w:pPr>
        <w:spacing w:after="360" w:line="360" w:lineRule="auto"/>
        <w:jc w:val="both"/>
        <w:rPr>
          <w:rFonts w:ascii="David" w:hAnsi="David" w:cs="David"/>
          <w:sz w:val="28"/>
          <w:szCs w:val="28"/>
          <w:rtl/>
        </w:rPr>
      </w:pPr>
      <w:r>
        <w:rPr>
          <w:rFonts w:ascii="David" w:hAnsi="David" w:cs="David" w:hint="cs"/>
          <w:sz w:val="28"/>
          <w:szCs w:val="28"/>
          <w:rtl/>
        </w:rPr>
        <w:t>בקשה לעיכוב ביצוע גזר דין. הבקשה</w:t>
      </w:r>
      <w:r w:rsidR="0053315C">
        <w:rPr>
          <w:rFonts w:ascii="David" w:hAnsi="David" w:cs="David" w:hint="cs"/>
          <w:sz w:val="28"/>
          <w:szCs w:val="28"/>
          <w:rtl/>
        </w:rPr>
        <w:t xml:space="preserve"> </w:t>
      </w:r>
      <w:r w:rsidR="00155D9C">
        <w:rPr>
          <w:rFonts w:ascii="David" w:hAnsi="David" w:cs="David" w:hint="cs"/>
          <w:sz w:val="28"/>
          <w:szCs w:val="28"/>
          <w:rtl/>
        </w:rPr>
        <w:t>התקבלה</w:t>
      </w:r>
      <w:r w:rsidR="0053315C">
        <w:rPr>
          <w:rFonts w:ascii="David" w:hAnsi="David" w:cs="David" w:hint="cs"/>
          <w:sz w:val="28"/>
          <w:szCs w:val="28"/>
          <w:rtl/>
        </w:rPr>
        <w:t xml:space="preserve">. </w:t>
      </w:r>
    </w:p>
    <w:bookmarkEnd w:id="0"/>
    <w:p w14:paraId="0E361858" w14:textId="77777777" w:rsidR="00286EB8" w:rsidRDefault="00286EB8" w:rsidP="007126E3">
      <w:pPr>
        <w:tabs>
          <w:tab w:val="left" w:pos="232"/>
        </w:tabs>
        <w:spacing w:after="0" w:line="360" w:lineRule="auto"/>
        <w:ind w:left="-52"/>
        <w:jc w:val="center"/>
        <w:rPr>
          <w:rFonts w:ascii="David" w:hAnsi="David" w:cs="David"/>
          <w:b/>
          <w:bCs/>
          <w:sz w:val="28"/>
          <w:szCs w:val="28"/>
          <w:u w:val="single"/>
          <w:rtl/>
        </w:rPr>
      </w:pPr>
    </w:p>
    <w:p w14:paraId="4C5094DA" w14:textId="77777777" w:rsidR="007B7648" w:rsidRDefault="007B7648" w:rsidP="007126E3">
      <w:pPr>
        <w:tabs>
          <w:tab w:val="left" w:pos="232"/>
        </w:tabs>
        <w:spacing w:after="0" w:line="360" w:lineRule="auto"/>
        <w:ind w:left="-52"/>
        <w:jc w:val="center"/>
        <w:rPr>
          <w:rFonts w:ascii="David" w:hAnsi="David" w:cs="David"/>
          <w:b/>
          <w:bCs/>
          <w:sz w:val="28"/>
          <w:szCs w:val="28"/>
          <w:u w:val="single"/>
          <w:rtl/>
        </w:rPr>
      </w:pPr>
      <w:r w:rsidRPr="00247C7A">
        <w:rPr>
          <w:rFonts w:ascii="David" w:hAnsi="David" w:cs="David" w:hint="cs"/>
          <w:b/>
          <w:bCs/>
          <w:sz w:val="28"/>
          <w:szCs w:val="28"/>
          <w:u w:val="single"/>
          <w:rtl/>
        </w:rPr>
        <w:t>ה ח ל ט ה</w:t>
      </w:r>
    </w:p>
    <w:p w14:paraId="4A6B4177" w14:textId="77777777" w:rsidR="004B6DC8" w:rsidRDefault="004B6DC8" w:rsidP="007126E3">
      <w:pPr>
        <w:tabs>
          <w:tab w:val="left" w:pos="232"/>
        </w:tabs>
        <w:spacing w:after="0" w:line="360" w:lineRule="auto"/>
        <w:ind w:left="-52"/>
        <w:rPr>
          <w:rFonts w:ascii="David" w:hAnsi="David" w:cs="David"/>
          <w:b/>
          <w:bCs/>
          <w:sz w:val="28"/>
          <w:szCs w:val="28"/>
          <w:u w:val="single"/>
          <w:rtl/>
        </w:rPr>
      </w:pPr>
    </w:p>
    <w:p w14:paraId="0FBB5D02" w14:textId="02D231E3" w:rsidR="00380F2C" w:rsidRDefault="00E656FF" w:rsidP="009150AF">
      <w:pPr>
        <w:numPr>
          <w:ilvl w:val="0"/>
          <w:numId w:val="1"/>
        </w:numPr>
        <w:tabs>
          <w:tab w:val="left" w:pos="282"/>
        </w:tabs>
        <w:spacing w:after="0" w:line="360" w:lineRule="auto"/>
        <w:ind w:left="-1" w:firstLine="0"/>
        <w:jc w:val="both"/>
        <w:rPr>
          <w:rFonts w:cs="David"/>
          <w:sz w:val="28"/>
          <w:szCs w:val="28"/>
        </w:rPr>
      </w:pPr>
      <w:r w:rsidRPr="00E656FF">
        <w:rPr>
          <w:rFonts w:cs="David" w:hint="cs"/>
          <w:sz w:val="28"/>
          <w:szCs w:val="28"/>
          <w:rtl/>
        </w:rPr>
        <w:t xml:space="preserve">המשיב, סרן </w:t>
      </w:r>
      <w:r w:rsidR="00F45CE4">
        <w:rPr>
          <w:rFonts w:cs="David" w:hint="cs"/>
          <w:sz w:val="28"/>
          <w:szCs w:val="28"/>
          <w:rtl/>
        </w:rPr>
        <w:t>ע'</w:t>
      </w:r>
      <w:r w:rsidRPr="00E656FF">
        <w:rPr>
          <w:rFonts w:cs="David" w:hint="cs"/>
          <w:sz w:val="28"/>
          <w:szCs w:val="28"/>
          <w:rtl/>
        </w:rPr>
        <w:t xml:space="preserve"> </w:t>
      </w:r>
      <w:r w:rsidR="00F45CE4">
        <w:rPr>
          <w:rFonts w:cs="David" w:hint="cs"/>
          <w:sz w:val="28"/>
          <w:szCs w:val="28"/>
          <w:rtl/>
        </w:rPr>
        <w:t>י'</w:t>
      </w:r>
      <w:r w:rsidRPr="00E656FF">
        <w:rPr>
          <w:rFonts w:cs="David" w:hint="cs"/>
          <w:sz w:val="28"/>
          <w:szCs w:val="28"/>
          <w:rtl/>
        </w:rPr>
        <w:t xml:space="preserve">, הורשע על פי הודאתו בכתב אישום מתוקן בשתי עבירות של הטרדה מינית, לפי סעיפים 3(א)(6)(ג) ו-5(א) לחוק למניעת הטרדה מינית, </w:t>
      </w:r>
      <w:proofErr w:type="spellStart"/>
      <w:r w:rsidRPr="00E656FF">
        <w:rPr>
          <w:rFonts w:cs="David" w:hint="cs"/>
          <w:sz w:val="28"/>
          <w:szCs w:val="28"/>
          <w:rtl/>
        </w:rPr>
        <w:t>התשנ"ח</w:t>
      </w:r>
      <w:proofErr w:type="spellEnd"/>
      <w:r w:rsidRPr="00E656FF">
        <w:rPr>
          <w:rFonts w:cs="David" w:hint="cs"/>
          <w:sz w:val="28"/>
          <w:szCs w:val="28"/>
          <w:rtl/>
        </w:rPr>
        <w:t xml:space="preserve"> </w:t>
      </w:r>
      <w:r w:rsidR="003B5C24">
        <w:rPr>
          <w:rFonts w:cs="David" w:hint="cs"/>
          <w:sz w:val="28"/>
          <w:szCs w:val="28"/>
          <w:rtl/>
        </w:rPr>
        <w:t>-</w:t>
      </w:r>
      <w:r w:rsidRPr="00E656FF">
        <w:rPr>
          <w:rFonts w:cs="David" w:hint="cs"/>
          <w:sz w:val="28"/>
          <w:szCs w:val="28"/>
          <w:rtl/>
        </w:rPr>
        <w:t xml:space="preserve"> 1998 והתנהגות שאינה הולמת לפי סעיף 130 לחוק השיפוט הצבאי, תשט"ו </w:t>
      </w:r>
      <w:r w:rsidR="003B5C24">
        <w:rPr>
          <w:rFonts w:cs="David" w:hint="cs"/>
          <w:sz w:val="28"/>
          <w:szCs w:val="28"/>
          <w:rtl/>
        </w:rPr>
        <w:t>-</w:t>
      </w:r>
      <w:r w:rsidRPr="00E656FF">
        <w:rPr>
          <w:rFonts w:cs="David" w:hint="cs"/>
          <w:sz w:val="28"/>
          <w:szCs w:val="28"/>
          <w:rtl/>
        </w:rPr>
        <w:t xml:space="preserve"> 1955. </w:t>
      </w:r>
      <w:r>
        <w:rPr>
          <w:rFonts w:cs="David" w:hint="cs"/>
          <w:sz w:val="28"/>
          <w:szCs w:val="28"/>
          <w:rtl/>
        </w:rPr>
        <w:t>כמפו</w:t>
      </w:r>
      <w:r w:rsidR="00380F2C">
        <w:rPr>
          <w:rFonts w:cs="David" w:hint="cs"/>
          <w:sz w:val="28"/>
          <w:szCs w:val="28"/>
          <w:rtl/>
        </w:rPr>
        <w:t xml:space="preserve">רט בגזר הדין שניתן בעניינו, </w:t>
      </w:r>
      <w:r w:rsidR="003B5C24">
        <w:rPr>
          <w:rFonts w:cs="David" w:hint="cs"/>
          <w:sz w:val="28"/>
          <w:szCs w:val="28"/>
          <w:rtl/>
        </w:rPr>
        <w:t>הורשע המשיב בגין שני אירועים שונים.</w:t>
      </w:r>
    </w:p>
    <w:p w14:paraId="21EBC2FC" w14:textId="77777777" w:rsidR="00380F2C" w:rsidRDefault="00380F2C" w:rsidP="00380F2C">
      <w:pPr>
        <w:tabs>
          <w:tab w:val="left" w:pos="282"/>
        </w:tabs>
        <w:spacing w:after="0" w:line="360" w:lineRule="auto"/>
        <w:ind w:left="-1"/>
        <w:jc w:val="both"/>
        <w:rPr>
          <w:rFonts w:cs="David"/>
          <w:sz w:val="28"/>
          <w:szCs w:val="28"/>
        </w:rPr>
      </w:pPr>
      <w:r>
        <w:rPr>
          <w:rFonts w:cs="David" w:hint="cs"/>
          <w:sz w:val="28"/>
          <w:szCs w:val="28"/>
          <w:rtl/>
        </w:rPr>
        <w:t>האירוע הראשון</w:t>
      </w:r>
      <w:r w:rsidR="003B5C24">
        <w:rPr>
          <w:rFonts w:cs="David" w:hint="cs"/>
          <w:sz w:val="28"/>
          <w:szCs w:val="28"/>
          <w:rtl/>
        </w:rPr>
        <w:t xml:space="preserve">, הוא מיום </w:t>
      </w:r>
      <w:r>
        <w:rPr>
          <w:rFonts w:cs="David" w:hint="cs"/>
          <w:sz w:val="28"/>
          <w:szCs w:val="28"/>
          <w:rtl/>
        </w:rPr>
        <w:t>2</w:t>
      </w:r>
      <w:r w:rsidR="008D5D7D">
        <w:rPr>
          <w:rFonts w:cs="David" w:hint="cs"/>
          <w:sz w:val="28"/>
          <w:szCs w:val="28"/>
          <w:rtl/>
        </w:rPr>
        <w:t>2</w:t>
      </w:r>
      <w:r>
        <w:rPr>
          <w:rFonts w:cs="David" w:hint="cs"/>
          <w:sz w:val="28"/>
          <w:szCs w:val="28"/>
          <w:rtl/>
        </w:rPr>
        <w:t>-2</w:t>
      </w:r>
      <w:r w:rsidR="008D5D7D">
        <w:rPr>
          <w:rFonts w:cs="David" w:hint="cs"/>
          <w:sz w:val="28"/>
          <w:szCs w:val="28"/>
          <w:rtl/>
        </w:rPr>
        <w:t>1</w:t>
      </w:r>
      <w:r>
        <w:rPr>
          <w:rFonts w:cs="David" w:hint="cs"/>
          <w:sz w:val="28"/>
          <w:szCs w:val="28"/>
          <w:rtl/>
        </w:rPr>
        <w:t xml:space="preserve"> בספטמבר 2019, אז שימש המשיב כמפקד מחלקה </w:t>
      </w:r>
      <w:proofErr w:type="spellStart"/>
      <w:r>
        <w:rPr>
          <w:rFonts w:cs="David" w:hint="cs"/>
          <w:sz w:val="28"/>
          <w:szCs w:val="28"/>
          <w:rtl/>
        </w:rPr>
        <w:t>בבא"ח</w:t>
      </w:r>
      <w:proofErr w:type="spellEnd"/>
      <w:r>
        <w:rPr>
          <w:rFonts w:cs="David" w:hint="cs"/>
          <w:sz w:val="28"/>
          <w:szCs w:val="28"/>
          <w:rtl/>
        </w:rPr>
        <w:t xml:space="preserve"> העורף, והתקשר אל סמ"ר נ' ב' ששירתה בפלוגה </w:t>
      </w:r>
      <w:r w:rsidR="008D5D7D">
        <w:rPr>
          <w:rFonts w:cs="David" w:hint="cs"/>
          <w:sz w:val="28"/>
          <w:szCs w:val="28"/>
          <w:rtl/>
        </w:rPr>
        <w:t>ש</w:t>
      </w:r>
      <w:r>
        <w:rPr>
          <w:rFonts w:cs="David" w:hint="cs"/>
          <w:sz w:val="28"/>
          <w:szCs w:val="28"/>
          <w:rtl/>
        </w:rPr>
        <w:t>בה שירת במחלקה אחרת.</w:t>
      </w:r>
      <w:r w:rsidR="006A6B91">
        <w:rPr>
          <w:rFonts w:cs="David" w:hint="cs"/>
          <w:sz w:val="28"/>
          <w:szCs w:val="28"/>
          <w:rtl/>
        </w:rPr>
        <w:t xml:space="preserve"> לאחר ש</w:t>
      </w:r>
      <w:r>
        <w:rPr>
          <w:rFonts w:cs="David" w:hint="cs"/>
          <w:sz w:val="28"/>
          <w:szCs w:val="28"/>
          <w:rtl/>
        </w:rPr>
        <w:t>אמר לה שהוא בדרכו לביתה לראותה, היא השיבה לו שהיא יוצאת לבלות עם חבר</w:t>
      </w:r>
      <w:r w:rsidR="006A6B91">
        <w:rPr>
          <w:rFonts w:cs="David" w:hint="cs"/>
          <w:sz w:val="28"/>
          <w:szCs w:val="28"/>
          <w:rtl/>
        </w:rPr>
        <w:t>ת</w:t>
      </w:r>
      <w:r>
        <w:rPr>
          <w:rFonts w:cs="David" w:hint="cs"/>
          <w:sz w:val="28"/>
          <w:szCs w:val="28"/>
          <w:rtl/>
        </w:rPr>
        <w:t xml:space="preserve">ה, </w:t>
      </w:r>
      <w:r w:rsidR="006A6B91">
        <w:rPr>
          <w:rFonts w:cs="David" w:hint="cs"/>
          <w:sz w:val="28"/>
          <w:szCs w:val="28"/>
          <w:rtl/>
        </w:rPr>
        <w:t xml:space="preserve">המשרתת </w:t>
      </w:r>
      <w:r>
        <w:rPr>
          <w:rFonts w:cs="David" w:hint="cs"/>
          <w:sz w:val="28"/>
          <w:szCs w:val="28"/>
          <w:rtl/>
        </w:rPr>
        <w:t xml:space="preserve">במחלקה </w:t>
      </w:r>
      <w:r w:rsidR="008D5D7D">
        <w:rPr>
          <w:rFonts w:cs="David" w:hint="cs"/>
          <w:sz w:val="28"/>
          <w:szCs w:val="28"/>
          <w:rtl/>
        </w:rPr>
        <w:t>ש</w:t>
      </w:r>
      <w:r>
        <w:rPr>
          <w:rFonts w:cs="David" w:hint="cs"/>
          <w:sz w:val="28"/>
          <w:szCs w:val="28"/>
          <w:rtl/>
        </w:rPr>
        <w:t xml:space="preserve">עליה פיקד המשיב. </w:t>
      </w:r>
      <w:r w:rsidR="006A6B91">
        <w:rPr>
          <w:rFonts w:cs="David" w:hint="cs"/>
          <w:sz w:val="28"/>
          <w:szCs w:val="28"/>
          <w:rtl/>
        </w:rPr>
        <w:t xml:space="preserve">לאחר שהמשיב לא הצליח לברר את כתובתה של סמ"ר נ' ב' אל מול אותה חברה, </w:t>
      </w:r>
      <w:r>
        <w:rPr>
          <w:rFonts w:cs="David" w:hint="cs"/>
          <w:sz w:val="28"/>
          <w:szCs w:val="28"/>
          <w:rtl/>
        </w:rPr>
        <w:t>התקשר שוב אל סמ"ר נ' ב' וביקש כי השתיים יסיעו אותו לביתו. כשנכנס לרכב עמד על רצונו להצטרף אליהן לבילוי. במהלך הנסיעה ליטף את צד ימין של גופה של סמ"ר נ'</w:t>
      </w:r>
      <w:r w:rsidR="006A6B91">
        <w:rPr>
          <w:rFonts w:cs="David" w:hint="cs"/>
          <w:sz w:val="28"/>
          <w:szCs w:val="28"/>
          <w:rtl/>
        </w:rPr>
        <w:t xml:space="preserve"> </w:t>
      </w:r>
      <w:r>
        <w:rPr>
          <w:rFonts w:cs="David" w:hint="cs"/>
          <w:sz w:val="28"/>
          <w:szCs w:val="28"/>
          <w:rtl/>
        </w:rPr>
        <w:t xml:space="preserve">ב' ובהמשך ליטף אותה בין צווארה לכתפה. לאחר שהסתיים הבילוי, ביקש </w:t>
      </w:r>
      <w:r w:rsidR="006A6B91">
        <w:rPr>
          <w:rFonts w:cs="David" w:hint="cs"/>
          <w:sz w:val="28"/>
          <w:szCs w:val="28"/>
          <w:rtl/>
        </w:rPr>
        <w:lastRenderedPageBreak/>
        <w:t xml:space="preserve">המשיב </w:t>
      </w:r>
      <w:r>
        <w:rPr>
          <w:rFonts w:cs="David" w:hint="cs"/>
          <w:sz w:val="28"/>
          <w:szCs w:val="28"/>
          <w:rtl/>
        </w:rPr>
        <w:t xml:space="preserve">כי </w:t>
      </w:r>
      <w:r w:rsidR="006A6B91">
        <w:rPr>
          <w:rFonts w:cs="David" w:hint="cs"/>
          <w:sz w:val="28"/>
          <w:szCs w:val="28"/>
          <w:rtl/>
        </w:rPr>
        <w:t xml:space="preserve">השתיים </w:t>
      </w:r>
      <w:r>
        <w:rPr>
          <w:rFonts w:cs="David" w:hint="cs"/>
          <w:sz w:val="28"/>
          <w:szCs w:val="28"/>
          <w:rtl/>
        </w:rPr>
        <w:t xml:space="preserve">יסיעו אותו לבית של חברו, ומשהגיעו בשעת לילה מאוחרת לגינת הבית, פשט את בגדיו מול השתיים ונותר לבוש בתחתוניו בלבד, תוך שהציע להן שייכנסו עמו לבריכה, אך הן סירבו. </w:t>
      </w:r>
    </w:p>
    <w:p w14:paraId="6CA40C4B" w14:textId="77777777" w:rsidR="00380F2C" w:rsidRDefault="00380F2C" w:rsidP="00155D9C">
      <w:pPr>
        <w:tabs>
          <w:tab w:val="left" w:pos="282"/>
        </w:tabs>
        <w:spacing w:after="0" w:line="360" w:lineRule="auto"/>
        <w:ind w:left="-1"/>
        <w:jc w:val="both"/>
        <w:rPr>
          <w:rFonts w:cs="David"/>
          <w:sz w:val="28"/>
          <w:szCs w:val="28"/>
          <w:rtl/>
        </w:rPr>
      </w:pPr>
      <w:r>
        <w:rPr>
          <w:rFonts w:cs="David" w:hint="cs"/>
          <w:sz w:val="28"/>
          <w:szCs w:val="28"/>
          <w:rtl/>
        </w:rPr>
        <w:t xml:space="preserve">האירוע השני מיום 25 ביולי 2020, אירע בעת שהמשיב, אשר שימש כסגן מפקד פלוגה בגדוד, פנה אל סמ"ר ש' א', ששירתה בפלוגה תחת פיקודו והציע לה מספר פעמים להיפגש </w:t>
      </w:r>
      <w:r w:rsidR="008D5D7D">
        <w:rPr>
          <w:rFonts w:cs="David" w:hint="cs"/>
          <w:sz w:val="28"/>
          <w:szCs w:val="28"/>
          <w:rtl/>
        </w:rPr>
        <w:t>ול</w:t>
      </w:r>
      <w:r>
        <w:rPr>
          <w:rFonts w:cs="David" w:hint="cs"/>
          <w:sz w:val="28"/>
          <w:szCs w:val="28"/>
          <w:rtl/>
        </w:rPr>
        <w:t>ראות ביחד סרט בביתו, והיא סירבה להצעה. לאחר מכן הגיע המשיב עם רכבו לביתה, ביקש ממנה לצאת אליו, וביקש ממנה שוב לראות עמו סרט בביתו, אך היא חזרה וסירבה. בעת ששוחחו על נושאים הקשורים לשירותם המשותף, החל המשיב בנסיעה, הגיע לביתו, ושכנע אותה לה</w:t>
      </w:r>
      <w:r w:rsidR="006A6B91">
        <w:rPr>
          <w:rFonts w:cs="David" w:hint="cs"/>
          <w:sz w:val="28"/>
          <w:szCs w:val="28"/>
          <w:rtl/>
        </w:rPr>
        <w:t>י</w:t>
      </w:r>
      <w:r>
        <w:rPr>
          <w:rFonts w:cs="David" w:hint="cs"/>
          <w:sz w:val="28"/>
          <w:szCs w:val="28"/>
          <w:rtl/>
        </w:rPr>
        <w:t>כנס לביתו לשם עניין הנוגע לשירותם המשותף. כשהגיעו לחדרו, נעל את הדלת, נשכב על מיטתו ושוב הציע לה לצפות בסרט, אך היא סירבה. הוא הבטיח לה שלא יעשה דברים שלא תרצה, והיא השיבה שאינה רוצה בכלום. בתגובה התקרב אליה המשיב, תפס את אצבעות שתי ידיה, אמר לה ש"הכל טוב" והצמיד את גופה אליו, על אף שביקשה ממנו להפסיק. לאחר מכן קירב את פניה לפ</w:t>
      </w:r>
      <w:r w:rsidR="008D5D7D">
        <w:rPr>
          <w:rFonts w:cs="David" w:hint="cs"/>
          <w:sz w:val="28"/>
          <w:szCs w:val="28"/>
          <w:rtl/>
        </w:rPr>
        <w:t>נ</w:t>
      </w:r>
      <w:r>
        <w:rPr>
          <w:rFonts w:cs="David" w:hint="cs"/>
          <w:sz w:val="28"/>
          <w:szCs w:val="28"/>
          <w:rtl/>
        </w:rPr>
        <w:t xml:space="preserve">יה וניסה לנשקה, ורק לאחר שאמרה לו פעם נוספת שהיא לא מעוניינת, התרחק ממנה וחדל ממעשיו. בעת שהחזיר אותה אל ביתה, ביקש ממנה שלא תספר על שאירע וכן הניח את הידו על ירכה הפנימית, אך היא הזיזה את ידו. </w:t>
      </w:r>
    </w:p>
    <w:p w14:paraId="6C7895C6" w14:textId="77777777" w:rsidR="00736187" w:rsidRDefault="00AB2F3B" w:rsidP="00E656FF">
      <w:pPr>
        <w:numPr>
          <w:ilvl w:val="0"/>
          <w:numId w:val="1"/>
        </w:numPr>
        <w:tabs>
          <w:tab w:val="left" w:pos="282"/>
        </w:tabs>
        <w:spacing w:after="0" w:line="360" w:lineRule="auto"/>
        <w:ind w:left="-1" w:firstLine="0"/>
        <w:jc w:val="both"/>
        <w:rPr>
          <w:rFonts w:cs="David"/>
          <w:sz w:val="28"/>
          <w:szCs w:val="28"/>
        </w:rPr>
      </w:pPr>
      <w:r>
        <w:rPr>
          <w:rFonts w:cs="David" w:hint="cs"/>
          <w:sz w:val="28"/>
          <w:szCs w:val="28"/>
          <w:rtl/>
        </w:rPr>
        <w:t>כעולה מגזר הדין, התלונות של נפגעות העבירה הוגשו זמן רב לאחר האירועים</w:t>
      </w:r>
      <w:r w:rsidR="006A6B91">
        <w:rPr>
          <w:rFonts w:cs="David" w:hint="cs"/>
          <w:sz w:val="28"/>
          <w:szCs w:val="28"/>
          <w:rtl/>
        </w:rPr>
        <w:t xml:space="preserve">, וכתב האישום הוגש באוגוסט 2021. </w:t>
      </w:r>
      <w:r>
        <w:rPr>
          <w:rFonts w:cs="David" w:hint="cs"/>
          <w:sz w:val="28"/>
          <w:szCs w:val="28"/>
          <w:rtl/>
        </w:rPr>
        <w:t xml:space="preserve">המשיב כפר באשמה והחלו להישמע ראיות. ההסכמות בין הצדדים לתיקון כתב האישום, שהובילו להודאת המשיב במיוחס לו, התגבשו לאחר תחילת חקירתה הנגדית של אחת מנפגעות העבירה.  </w:t>
      </w:r>
      <w:r w:rsidR="00736187">
        <w:rPr>
          <w:rFonts w:cs="David" w:hint="cs"/>
          <w:sz w:val="28"/>
          <w:szCs w:val="28"/>
          <w:rtl/>
        </w:rPr>
        <w:t xml:space="preserve">ביום 30 במארס 2023 ניתן גזר דינו של המשיב בבית הדין קמא, והושת עליו עונש של 60 ימי מאסר בפועל בדרך של עבודה צבאית, תוך שנקבע כי יתייצב לתחילת ריצוי העונש ביום 16 באפריל 2023. עוד הושתו עליו עונשי מאסר מותנה, </w:t>
      </w:r>
      <w:r w:rsidR="008D5D7D">
        <w:rPr>
          <w:rFonts w:cs="David" w:hint="cs"/>
          <w:sz w:val="28"/>
          <w:szCs w:val="28"/>
          <w:rtl/>
        </w:rPr>
        <w:t xml:space="preserve">והורדה לדרגות סמל. לנפגעות העבירה נפסקו פיצויים </w:t>
      </w:r>
      <w:r w:rsidR="00736187">
        <w:rPr>
          <w:rFonts w:cs="David" w:hint="cs"/>
          <w:sz w:val="28"/>
          <w:szCs w:val="28"/>
          <w:rtl/>
        </w:rPr>
        <w:t xml:space="preserve">בסכום כולל של 1,500 ש"ח. </w:t>
      </w:r>
    </w:p>
    <w:p w14:paraId="6916C8EF" w14:textId="77777777" w:rsidR="00E656FF" w:rsidRDefault="000E1C9A" w:rsidP="00E656FF">
      <w:pPr>
        <w:numPr>
          <w:ilvl w:val="0"/>
          <w:numId w:val="1"/>
        </w:numPr>
        <w:tabs>
          <w:tab w:val="left" w:pos="282"/>
        </w:tabs>
        <w:spacing w:after="0" w:line="360" w:lineRule="auto"/>
        <w:ind w:left="-1" w:firstLine="0"/>
        <w:jc w:val="both"/>
        <w:rPr>
          <w:rFonts w:cs="David"/>
          <w:sz w:val="28"/>
          <w:szCs w:val="28"/>
        </w:rPr>
      </w:pPr>
      <w:r w:rsidRPr="00797C3A">
        <w:rPr>
          <w:rFonts w:cs="David" w:hint="cs"/>
          <w:sz w:val="28"/>
          <w:szCs w:val="28"/>
          <w:rtl/>
        </w:rPr>
        <w:t xml:space="preserve">ביום </w:t>
      </w:r>
      <w:r w:rsidR="00736187">
        <w:rPr>
          <w:rFonts w:cs="David" w:hint="cs"/>
          <w:sz w:val="28"/>
          <w:szCs w:val="28"/>
          <w:rtl/>
        </w:rPr>
        <w:t xml:space="preserve">4 באפריל 2023 הגישה התביעה הודעת ערעור על גזר דינו של המשיב, בה עתרה להחמרה בעונש המאסר, כך שירצה עונש מאסר בדרך של כליאה ממשית, וכן להחמרה ברכיב הפיצוי לנפגעות העבירה. ערעורה של התביעה, שהוגש ביום העבודה האחרון שלפני תחילת חג הפסח, לא נומק, והתביעה עתרה למתן אורכה בת שבוע ימים להגשת נימוקי הערעור. בד בבד עתרה התביעה לעיכוב ביצוע גזר דינו של המשיב. בבקשתה טענה, כי סיכויי הערעור גבוהים וכי העונש שהוטל על המשיב חורג מרמת הענישה הראויה; וכי ברקע בקשתה החשש שמא ריצוי העונש טרם דיון בערעור ומתן הכרעה בו, יביאו לסיכול הערעור. </w:t>
      </w:r>
    </w:p>
    <w:p w14:paraId="2A276A58" w14:textId="77777777" w:rsidR="00035526" w:rsidRDefault="00736187" w:rsidP="00E656FF">
      <w:pPr>
        <w:numPr>
          <w:ilvl w:val="0"/>
          <w:numId w:val="1"/>
        </w:numPr>
        <w:tabs>
          <w:tab w:val="left" w:pos="282"/>
        </w:tabs>
        <w:spacing w:after="0" w:line="360" w:lineRule="auto"/>
        <w:ind w:left="-1" w:firstLine="0"/>
        <w:jc w:val="both"/>
        <w:rPr>
          <w:rFonts w:cs="David"/>
          <w:sz w:val="28"/>
          <w:szCs w:val="28"/>
        </w:rPr>
      </w:pPr>
      <w:r>
        <w:rPr>
          <w:rFonts w:cs="David" w:hint="cs"/>
          <w:sz w:val="28"/>
          <w:szCs w:val="28"/>
          <w:rtl/>
        </w:rPr>
        <w:t>ההגנ</w:t>
      </w:r>
      <w:r w:rsidR="00AB2F3B">
        <w:rPr>
          <w:rFonts w:cs="David" w:hint="cs"/>
          <w:sz w:val="28"/>
          <w:szCs w:val="28"/>
          <w:rtl/>
        </w:rPr>
        <w:t>ה התנגדה לבקשת התביעה ועתרה לכך ש</w:t>
      </w:r>
      <w:r w:rsidR="00035526">
        <w:rPr>
          <w:rFonts w:cs="David" w:hint="cs"/>
          <w:sz w:val="28"/>
          <w:szCs w:val="28"/>
          <w:rtl/>
        </w:rPr>
        <w:t xml:space="preserve">המשיב יחל את ריצוי עונשו </w:t>
      </w:r>
      <w:r w:rsidR="006A6B91">
        <w:rPr>
          <w:rFonts w:cs="David" w:hint="cs"/>
          <w:sz w:val="28"/>
          <w:szCs w:val="28"/>
          <w:rtl/>
        </w:rPr>
        <w:t xml:space="preserve">במועד </w:t>
      </w:r>
      <w:r w:rsidR="00035526">
        <w:rPr>
          <w:rFonts w:cs="David" w:hint="cs"/>
          <w:sz w:val="28"/>
          <w:szCs w:val="28"/>
          <w:rtl/>
        </w:rPr>
        <w:t xml:space="preserve"> שנקבע על ידי בית הדין קמא. כן ציינה, כי אף בכוונתה להגיש ערעור, שיעסוק בעיקר בסוגיית דרגתו של המשיב</w:t>
      </w:r>
      <w:r w:rsidR="006A6B91">
        <w:rPr>
          <w:rFonts w:cs="David" w:hint="cs"/>
          <w:sz w:val="28"/>
          <w:szCs w:val="28"/>
          <w:rtl/>
        </w:rPr>
        <w:t>;</w:t>
      </w:r>
      <w:r w:rsidR="00035526">
        <w:rPr>
          <w:rFonts w:cs="David" w:hint="cs"/>
          <w:sz w:val="28"/>
          <w:szCs w:val="28"/>
          <w:rtl/>
        </w:rPr>
        <w:t xml:space="preserve"> אולם היא שוקלת לערער גם ביחס ל</w:t>
      </w:r>
      <w:r w:rsidR="006A6B91">
        <w:rPr>
          <w:rFonts w:cs="David" w:hint="cs"/>
          <w:sz w:val="28"/>
          <w:szCs w:val="28"/>
          <w:rtl/>
        </w:rPr>
        <w:t xml:space="preserve">הטלת </w:t>
      </w:r>
      <w:r w:rsidR="00035526">
        <w:rPr>
          <w:rFonts w:cs="David" w:hint="cs"/>
          <w:sz w:val="28"/>
          <w:szCs w:val="28"/>
          <w:rtl/>
        </w:rPr>
        <w:t xml:space="preserve">עונש המאסר, בשים לב לכך שהמשיב הורשע בעבירות המתאימות, לטענתה, לדיון משמעתי. </w:t>
      </w:r>
    </w:p>
    <w:p w14:paraId="45276C90" w14:textId="77777777" w:rsidR="00035526" w:rsidRDefault="00035526" w:rsidP="00E656FF">
      <w:pPr>
        <w:numPr>
          <w:ilvl w:val="0"/>
          <w:numId w:val="1"/>
        </w:numPr>
        <w:tabs>
          <w:tab w:val="left" w:pos="282"/>
        </w:tabs>
        <w:spacing w:after="0" w:line="360" w:lineRule="auto"/>
        <w:ind w:left="-1" w:firstLine="0"/>
        <w:jc w:val="both"/>
        <w:rPr>
          <w:rFonts w:cs="David"/>
          <w:sz w:val="28"/>
          <w:szCs w:val="28"/>
        </w:rPr>
      </w:pPr>
      <w:r>
        <w:rPr>
          <w:rFonts w:cs="David" w:hint="cs"/>
          <w:sz w:val="28"/>
          <w:szCs w:val="28"/>
          <w:rtl/>
        </w:rPr>
        <w:lastRenderedPageBreak/>
        <w:t xml:space="preserve">טענתה העיקרית של ההגנה היא כי ערעורה של התביעה </w:t>
      </w:r>
      <w:r w:rsidR="006A6B91">
        <w:rPr>
          <w:rFonts w:cs="David" w:hint="cs"/>
          <w:sz w:val="28"/>
          <w:szCs w:val="28"/>
          <w:rtl/>
        </w:rPr>
        <w:t>אינו מנומק, באופן המקשה להעריך את סיכוייו, ו</w:t>
      </w:r>
      <w:r w:rsidR="008D5D7D">
        <w:rPr>
          <w:rFonts w:cs="David" w:hint="cs"/>
          <w:sz w:val="28"/>
          <w:szCs w:val="28"/>
          <w:rtl/>
        </w:rPr>
        <w:t xml:space="preserve">בקשתה של התביעה לעיכוב ריצויו של העונש </w:t>
      </w:r>
      <w:r w:rsidR="006A6B91">
        <w:rPr>
          <w:rFonts w:cs="David" w:hint="cs"/>
          <w:sz w:val="28"/>
          <w:szCs w:val="28"/>
          <w:rtl/>
        </w:rPr>
        <w:t xml:space="preserve">מנוגדת להלכת בית המשפט העליון, לפיה ריצוי עונש מאסר יהא </w:t>
      </w:r>
      <w:proofErr w:type="spellStart"/>
      <w:r w:rsidR="006A6B91">
        <w:rPr>
          <w:rFonts w:cs="David" w:hint="cs"/>
          <w:sz w:val="28"/>
          <w:szCs w:val="28"/>
          <w:rtl/>
        </w:rPr>
        <w:t>מיידי</w:t>
      </w:r>
      <w:proofErr w:type="spellEnd"/>
      <w:r w:rsidR="006A6B91">
        <w:rPr>
          <w:rFonts w:cs="David" w:hint="cs"/>
          <w:sz w:val="28"/>
          <w:szCs w:val="28"/>
          <w:rtl/>
        </w:rPr>
        <w:t>. ההגנה עמדה על כך ש</w:t>
      </w:r>
      <w:r>
        <w:rPr>
          <w:rFonts w:cs="David" w:hint="cs"/>
          <w:sz w:val="28"/>
          <w:szCs w:val="28"/>
          <w:rtl/>
        </w:rPr>
        <w:t>ההליך התמשך תקופה ארוכה, במהלכה היה המשיב מושעה מתפקידו קרוב לשנה, ו</w:t>
      </w:r>
      <w:r w:rsidR="006A6B91">
        <w:rPr>
          <w:rFonts w:cs="David" w:hint="cs"/>
          <w:sz w:val="28"/>
          <w:szCs w:val="28"/>
          <w:rtl/>
        </w:rPr>
        <w:t>אף</w:t>
      </w:r>
      <w:r>
        <w:rPr>
          <w:rFonts w:cs="David" w:hint="cs"/>
          <w:sz w:val="28"/>
          <w:szCs w:val="28"/>
          <w:rtl/>
        </w:rPr>
        <w:t xml:space="preserve"> שוחרר בינתיים משירותו הצבאי</w:t>
      </w:r>
      <w:r w:rsidR="006A6B91">
        <w:rPr>
          <w:rFonts w:cs="David" w:hint="cs"/>
          <w:sz w:val="28"/>
          <w:szCs w:val="28"/>
          <w:rtl/>
        </w:rPr>
        <w:t xml:space="preserve">, וטענה כי נוכח חלוף הזמן הרב </w:t>
      </w:r>
      <w:r>
        <w:rPr>
          <w:rFonts w:cs="David" w:hint="cs"/>
          <w:sz w:val="28"/>
          <w:szCs w:val="28"/>
          <w:rtl/>
        </w:rPr>
        <w:t>אין מקום לעיכוב נוס</w:t>
      </w:r>
      <w:r w:rsidR="006A6B91">
        <w:rPr>
          <w:rFonts w:cs="David" w:hint="cs"/>
          <w:sz w:val="28"/>
          <w:szCs w:val="28"/>
          <w:rtl/>
        </w:rPr>
        <w:t>ף</w:t>
      </w:r>
      <w:r>
        <w:rPr>
          <w:rFonts w:cs="David" w:hint="cs"/>
          <w:sz w:val="28"/>
          <w:szCs w:val="28"/>
          <w:rtl/>
        </w:rPr>
        <w:t xml:space="preserve"> בריצוי העונש. כן טענה, כי בשים לב ל</w:t>
      </w:r>
      <w:r w:rsidR="005460A8">
        <w:rPr>
          <w:rFonts w:cs="David" w:hint="cs"/>
          <w:sz w:val="28"/>
          <w:szCs w:val="28"/>
          <w:rtl/>
        </w:rPr>
        <w:t xml:space="preserve">אפשרות הסבירה לכך שמועד הדיון ייקבע בקרוב (במהלך הדיון הוסכם על הצדדים כי ניתן לקבוע </w:t>
      </w:r>
      <w:r w:rsidR="006A6B91">
        <w:rPr>
          <w:rFonts w:cs="David" w:hint="cs"/>
          <w:sz w:val="28"/>
          <w:szCs w:val="28"/>
          <w:rtl/>
        </w:rPr>
        <w:t>מועד</w:t>
      </w:r>
      <w:r w:rsidR="005460A8">
        <w:rPr>
          <w:rFonts w:cs="David" w:hint="cs"/>
          <w:sz w:val="28"/>
          <w:szCs w:val="28"/>
          <w:rtl/>
        </w:rPr>
        <w:t xml:space="preserve"> לשמיעת ערעורי הצדדים בפני הרכב </w:t>
      </w:r>
      <w:r w:rsidR="006A6B91">
        <w:rPr>
          <w:rFonts w:cs="David" w:hint="cs"/>
          <w:sz w:val="28"/>
          <w:szCs w:val="28"/>
          <w:rtl/>
        </w:rPr>
        <w:t xml:space="preserve">של </w:t>
      </w:r>
      <w:r w:rsidR="005460A8">
        <w:rPr>
          <w:rFonts w:cs="David" w:hint="cs"/>
          <w:sz w:val="28"/>
          <w:szCs w:val="28"/>
          <w:rtl/>
        </w:rPr>
        <w:t xml:space="preserve">בית דין </w:t>
      </w:r>
      <w:r w:rsidR="006A6B91">
        <w:rPr>
          <w:rFonts w:cs="David" w:hint="cs"/>
          <w:sz w:val="28"/>
          <w:szCs w:val="28"/>
          <w:rtl/>
        </w:rPr>
        <w:t xml:space="preserve">זה </w:t>
      </w:r>
      <w:r w:rsidR="005460A8">
        <w:rPr>
          <w:rFonts w:cs="David" w:hint="cs"/>
          <w:sz w:val="28"/>
          <w:szCs w:val="28"/>
          <w:rtl/>
        </w:rPr>
        <w:t>ביום 11 במאי 2023)</w:t>
      </w:r>
      <w:r w:rsidR="005460A8">
        <w:rPr>
          <w:rFonts w:cs="David" w:hint="cs"/>
          <w:sz w:val="28"/>
          <w:szCs w:val="28"/>
        </w:rPr>
        <w:t xml:space="preserve"> </w:t>
      </w:r>
      <w:r>
        <w:rPr>
          <w:rFonts w:cs="David" w:hint="cs"/>
          <w:sz w:val="28"/>
          <w:szCs w:val="28"/>
          <w:rtl/>
        </w:rPr>
        <w:t xml:space="preserve">גם אין בתחילת ריצוי העונש </w:t>
      </w:r>
      <w:r w:rsidR="00412192">
        <w:rPr>
          <w:rFonts w:cs="David" w:hint="cs"/>
          <w:sz w:val="28"/>
          <w:szCs w:val="28"/>
          <w:rtl/>
        </w:rPr>
        <w:t xml:space="preserve">כדי לכבול את שיקול דעתו של בית הדין. </w:t>
      </w:r>
      <w:r>
        <w:rPr>
          <w:rFonts w:cs="David" w:hint="cs"/>
          <w:sz w:val="28"/>
          <w:szCs w:val="28"/>
          <w:rtl/>
        </w:rPr>
        <w:t xml:space="preserve"> </w:t>
      </w:r>
    </w:p>
    <w:p w14:paraId="147CABCE" w14:textId="77777777" w:rsidR="00736187" w:rsidRDefault="00736187" w:rsidP="00412192">
      <w:pPr>
        <w:tabs>
          <w:tab w:val="left" w:pos="282"/>
        </w:tabs>
        <w:spacing w:after="0" w:line="360" w:lineRule="auto"/>
        <w:ind w:left="-1"/>
        <w:jc w:val="both"/>
        <w:rPr>
          <w:rFonts w:cs="David"/>
          <w:sz w:val="28"/>
          <w:szCs w:val="28"/>
        </w:rPr>
      </w:pPr>
    </w:p>
    <w:p w14:paraId="0DD7A8FF" w14:textId="77777777" w:rsidR="00736187" w:rsidRPr="00736187" w:rsidRDefault="00736187" w:rsidP="00736187">
      <w:pPr>
        <w:tabs>
          <w:tab w:val="left" w:pos="282"/>
        </w:tabs>
        <w:spacing w:after="0" w:line="360" w:lineRule="auto"/>
        <w:jc w:val="both"/>
        <w:rPr>
          <w:rFonts w:cs="David"/>
          <w:sz w:val="28"/>
          <w:szCs w:val="28"/>
          <w:u w:val="single"/>
          <w:rtl/>
        </w:rPr>
      </w:pPr>
      <w:r>
        <w:rPr>
          <w:rFonts w:cs="David" w:hint="cs"/>
          <w:sz w:val="28"/>
          <w:szCs w:val="28"/>
          <w:u w:val="single"/>
          <w:rtl/>
        </w:rPr>
        <w:t xml:space="preserve">דיון והכרעה </w:t>
      </w:r>
    </w:p>
    <w:p w14:paraId="257B0A17" w14:textId="77777777" w:rsidR="008E6EB8" w:rsidRDefault="00E710DB" w:rsidP="00710DA4">
      <w:pPr>
        <w:numPr>
          <w:ilvl w:val="0"/>
          <w:numId w:val="1"/>
        </w:numPr>
        <w:tabs>
          <w:tab w:val="left" w:pos="282"/>
        </w:tabs>
        <w:spacing w:after="0" w:line="360" w:lineRule="auto"/>
        <w:ind w:left="-1" w:firstLine="0"/>
        <w:jc w:val="both"/>
        <w:rPr>
          <w:rFonts w:cs="David"/>
          <w:sz w:val="28"/>
          <w:szCs w:val="28"/>
        </w:rPr>
      </w:pPr>
      <w:r w:rsidRPr="00412192">
        <w:rPr>
          <w:rFonts w:cs="David" w:hint="cs"/>
          <w:sz w:val="28"/>
          <w:szCs w:val="28"/>
          <w:rtl/>
        </w:rPr>
        <w:t xml:space="preserve">ככלל, מקום בו נגזר על נאשם לרצות עונש מאסר בפועל, עליו להתחיל בריצוי העונש באופן </w:t>
      </w:r>
      <w:proofErr w:type="spellStart"/>
      <w:r w:rsidRPr="00412192">
        <w:rPr>
          <w:rFonts w:cs="David" w:hint="cs"/>
          <w:sz w:val="28"/>
          <w:szCs w:val="28"/>
          <w:rtl/>
        </w:rPr>
        <w:t>מיידי</w:t>
      </w:r>
      <w:proofErr w:type="spellEnd"/>
      <w:r w:rsidRPr="00412192">
        <w:rPr>
          <w:rFonts w:cs="David" w:hint="cs"/>
          <w:sz w:val="28"/>
          <w:szCs w:val="28"/>
          <w:rtl/>
        </w:rPr>
        <w:t xml:space="preserve"> ועיכוב ביצוע הוא החריג, מקום </w:t>
      </w:r>
      <w:r w:rsidR="008D5D7D">
        <w:rPr>
          <w:rFonts w:cs="David" w:hint="cs"/>
          <w:sz w:val="28"/>
          <w:szCs w:val="28"/>
          <w:rtl/>
        </w:rPr>
        <w:t>ש</w:t>
      </w:r>
      <w:r w:rsidRPr="00412192">
        <w:rPr>
          <w:rFonts w:cs="David" w:hint="cs"/>
          <w:sz w:val="28"/>
          <w:szCs w:val="28"/>
          <w:rtl/>
        </w:rPr>
        <w:t xml:space="preserve">בו קיימות נסיבות מיוחדות שיש בהן כדי לגבור על האינטרס הציבורי באכיפה מיידית של גזר הדין (ע"פ 111/99 </w:t>
      </w:r>
      <w:r w:rsidRPr="00412192">
        <w:rPr>
          <w:rFonts w:cs="David" w:hint="cs"/>
          <w:b/>
          <w:bCs/>
          <w:sz w:val="28"/>
          <w:szCs w:val="28"/>
          <w:rtl/>
        </w:rPr>
        <w:t>שוורץ נ' מדינת ישראל</w:t>
      </w:r>
      <w:r w:rsidRPr="00412192">
        <w:rPr>
          <w:rFonts w:cs="David" w:hint="cs"/>
          <w:sz w:val="28"/>
          <w:szCs w:val="28"/>
          <w:rtl/>
        </w:rPr>
        <w:t>, פ"ד נד(2)</w:t>
      </w:r>
      <w:r w:rsidRPr="00412192">
        <w:rPr>
          <w:rFonts w:cs="David" w:hint="cs"/>
          <w:sz w:val="28"/>
          <w:szCs w:val="28"/>
        </w:rPr>
        <w:t xml:space="preserve"> </w:t>
      </w:r>
      <w:r w:rsidRPr="00412192">
        <w:rPr>
          <w:rFonts w:cs="David" w:hint="cs"/>
          <w:sz w:val="28"/>
          <w:szCs w:val="28"/>
          <w:rtl/>
        </w:rPr>
        <w:t xml:space="preserve">241, (2000); ע"פ 9705/17 </w:t>
      </w:r>
      <w:r w:rsidRPr="00412192">
        <w:rPr>
          <w:rFonts w:cs="David" w:hint="cs"/>
          <w:b/>
          <w:bCs/>
          <w:sz w:val="28"/>
          <w:szCs w:val="28"/>
          <w:rtl/>
        </w:rPr>
        <w:t>פלוני נ' מדינת ישראל</w:t>
      </w:r>
      <w:r w:rsidRPr="00412192">
        <w:rPr>
          <w:rFonts w:cs="David" w:hint="cs"/>
          <w:sz w:val="28"/>
          <w:szCs w:val="28"/>
          <w:rtl/>
        </w:rPr>
        <w:t xml:space="preserve">, פסקה 8 (27.12.2017); ב"ש 65/22 </w:t>
      </w:r>
      <w:r w:rsidRPr="00412192">
        <w:rPr>
          <w:rFonts w:cs="David" w:hint="cs"/>
          <w:b/>
          <w:bCs/>
          <w:sz w:val="28"/>
          <w:szCs w:val="28"/>
          <w:rtl/>
        </w:rPr>
        <w:t xml:space="preserve">רב"ט </w:t>
      </w:r>
      <w:proofErr w:type="spellStart"/>
      <w:r w:rsidRPr="00412192">
        <w:rPr>
          <w:rFonts w:cs="David" w:hint="cs"/>
          <w:b/>
          <w:bCs/>
          <w:sz w:val="28"/>
          <w:szCs w:val="28"/>
          <w:rtl/>
        </w:rPr>
        <w:t>רקנאטי</w:t>
      </w:r>
      <w:proofErr w:type="spellEnd"/>
      <w:r w:rsidRPr="00412192">
        <w:rPr>
          <w:rFonts w:cs="David" w:hint="cs"/>
          <w:b/>
          <w:bCs/>
          <w:sz w:val="28"/>
          <w:szCs w:val="28"/>
          <w:rtl/>
        </w:rPr>
        <w:t xml:space="preserve"> נ' התובע הצבאי הראשי</w:t>
      </w:r>
      <w:r w:rsidRPr="00412192">
        <w:rPr>
          <w:rFonts w:cs="David" w:hint="cs"/>
          <w:sz w:val="28"/>
          <w:szCs w:val="28"/>
          <w:rtl/>
        </w:rPr>
        <w:t xml:space="preserve">, פסקה 7 (2022)). </w:t>
      </w:r>
      <w:r w:rsidR="008F638C">
        <w:rPr>
          <w:rFonts w:cs="David" w:hint="cs"/>
          <w:sz w:val="28"/>
          <w:szCs w:val="28"/>
          <w:rtl/>
        </w:rPr>
        <w:t xml:space="preserve">לפיכך </w:t>
      </w:r>
      <w:r w:rsidR="00412192" w:rsidRPr="00412192">
        <w:rPr>
          <w:rFonts w:cs="David" w:hint="cs"/>
          <w:sz w:val="28"/>
          <w:szCs w:val="28"/>
          <w:rtl/>
        </w:rPr>
        <w:t>ההכרעה בבקש</w:t>
      </w:r>
      <w:r w:rsidR="008F638C">
        <w:rPr>
          <w:rFonts w:cs="David" w:hint="cs"/>
          <w:sz w:val="28"/>
          <w:szCs w:val="28"/>
          <w:rtl/>
        </w:rPr>
        <w:t>ת התביעה</w:t>
      </w:r>
      <w:r w:rsidR="00412192" w:rsidRPr="00412192">
        <w:rPr>
          <w:rFonts w:cs="David" w:hint="cs"/>
          <w:sz w:val="28"/>
          <w:szCs w:val="28"/>
          <w:rtl/>
        </w:rPr>
        <w:t xml:space="preserve"> לעיכוב ביצוע עונש מאסר מתבצעת בהתאם למ</w:t>
      </w:r>
      <w:r w:rsidR="008E6EB8">
        <w:rPr>
          <w:rFonts w:cs="David" w:hint="cs"/>
          <w:sz w:val="28"/>
          <w:szCs w:val="28"/>
          <w:rtl/>
        </w:rPr>
        <w:t>כ</w:t>
      </w:r>
      <w:r w:rsidR="00412192" w:rsidRPr="00412192">
        <w:rPr>
          <w:rFonts w:cs="David" w:hint="cs"/>
          <w:sz w:val="28"/>
          <w:szCs w:val="28"/>
          <w:rtl/>
        </w:rPr>
        <w:t xml:space="preserve">לול שיקולים, וביניהם מהות העבירה, נסיבותיה, סיכויי הערעור, עינוי הדין אשר עשוי להיגרם לנאשם מעצם דחיית ריצוי העונש והאינטרס הציבורי לאפשר למדינה למצות את זכות הערעור שלה (ע"פ 3863/09 </w:t>
      </w:r>
      <w:r w:rsidR="00412192" w:rsidRPr="00412192">
        <w:rPr>
          <w:rFonts w:cs="David" w:hint="cs"/>
          <w:b/>
          <w:bCs/>
          <w:sz w:val="28"/>
          <w:szCs w:val="28"/>
          <w:rtl/>
        </w:rPr>
        <w:t>מדינת ישראל נ' חסן</w:t>
      </w:r>
      <w:r w:rsidR="00412192" w:rsidRPr="00412192">
        <w:rPr>
          <w:rFonts w:cs="David" w:hint="cs"/>
          <w:sz w:val="28"/>
          <w:szCs w:val="28"/>
          <w:rtl/>
        </w:rPr>
        <w:t>, פסקה 6 (26.5.2009))</w:t>
      </w:r>
      <w:r w:rsidR="008E6EB8">
        <w:rPr>
          <w:rFonts w:cs="David" w:hint="cs"/>
          <w:sz w:val="28"/>
          <w:szCs w:val="28"/>
          <w:rtl/>
        </w:rPr>
        <w:t>.</w:t>
      </w:r>
      <w:r w:rsidR="00412192" w:rsidRPr="00412192">
        <w:rPr>
          <w:rFonts w:cs="David" w:hint="cs"/>
          <w:sz w:val="28"/>
          <w:szCs w:val="28"/>
          <w:rtl/>
        </w:rPr>
        <w:t xml:space="preserve"> </w:t>
      </w:r>
      <w:r w:rsidR="008E6EB8">
        <w:rPr>
          <w:rFonts w:cs="David" w:hint="cs"/>
          <w:sz w:val="28"/>
          <w:szCs w:val="28"/>
          <w:rtl/>
        </w:rPr>
        <w:t xml:space="preserve"> </w:t>
      </w:r>
    </w:p>
    <w:p w14:paraId="7C3EEAD2" w14:textId="77777777" w:rsidR="00E710DB" w:rsidRPr="008E6EB8" w:rsidRDefault="008E6EB8" w:rsidP="00710DA4">
      <w:pPr>
        <w:numPr>
          <w:ilvl w:val="0"/>
          <w:numId w:val="1"/>
        </w:numPr>
        <w:tabs>
          <w:tab w:val="left" w:pos="282"/>
        </w:tabs>
        <w:spacing w:after="0" w:line="360" w:lineRule="auto"/>
        <w:ind w:left="-1" w:firstLine="0"/>
        <w:jc w:val="both"/>
        <w:rPr>
          <w:rFonts w:cs="David"/>
          <w:sz w:val="28"/>
          <w:szCs w:val="28"/>
        </w:rPr>
      </w:pPr>
      <w:r w:rsidRPr="008E6EB8">
        <w:rPr>
          <w:rFonts w:cs="David" w:hint="cs"/>
          <w:sz w:val="28"/>
          <w:szCs w:val="28"/>
          <w:rtl/>
        </w:rPr>
        <w:t xml:space="preserve">בהמשך לכך </w:t>
      </w:r>
      <w:r w:rsidR="00412192" w:rsidRPr="008E6EB8">
        <w:rPr>
          <w:rFonts w:cs="David" w:hint="cs"/>
          <w:sz w:val="28"/>
          <w:szCs w:val="28"/>
          <w:rtl/>
        </w:rPr>
        <w:t xml:space="preserve"> </w:t>
      </w:r>
      <w:r w:rsidR="00A33D95" w:rsidRPr="008E6EB8">
        <w:rPr>
          <w:rFonts w:cs="David" w:hint="cs"/>
          <w:sz w:val="28"/>
          <w:szCs w:val="28"/>
          <w:rtl/>
        </w:rPr>
        <w:t xml:space="preserve">נקבע </w:t>
      </w:r>
      <w:r w:rsidRPr="008E6EB8">
        <w:rPr>
          <w:rFonts w:cs="David" w:hint="cs"/>
          <w:sz w:val="28"/>
          <w:szCs w:val="28"/>
          <w:rtl/>
        </w:rPr>
        <w:t xml:space="preserve">באופן עקבי </w:t>
      </w:r>
      <w:r w:rsidR="00A33D95" w:rsidRPr="008E6EB8">
        <w:rPr>
          <w:rFonts w:cs="David" w:hint="cs"/>
          <w:sz w:val="28"/>
          <w:szCs w:val="28"/>
          <w:rtl/>
        </w:rPr>
        <w:t xml:space="preserve">בפסיקת בית המשפט העליון כי "מדיניותו של בית משפט זה היא להיעתר לבקשות עיכוב ביצוע עונשי מאסר קצרים, בפרט כאשר נקבע כי עונשים אלה ירוצו בדרך של עבודות שירות... מדיניות זו חלה בפרט בהתייחס לבקשות עיכוב ביצוע עונשי מאסר קצרים בדרך של עבודות שירות שמוגשות על ידי רשויות התביעה לצד ערעור על קולת העונש" (ע"פ 1408/18 </w:t>
      </w:r>
      <w:r w:rsidR="00A33D95" w:rsidRPr="008E6EB8">
        <w:rPr>
          <w:rFonts w:cs="David" w:hint="cs"/>
          <w:b/>
          <w:bCs/>
          <w:sz w:val="28"/>
          <w:szCs w:val="28"/>
          <w:rtl/>
        </w:rPr>
        <w:t xml:space="preserve">מדינת ישראל נ' בן דרור, </w:t>
      </w:r>
      <w:r w:rsidR="00A33D95" w:rsidRPr="008E6EB8">
        <w:rPr>
          <w:rFonts w:cs="David" w:hint="cs"/>
          <w:sz w:val="28"/>
          <w:szCs w:val="28"/>
          <w:rtl/>
        </w:rPr>
        <w:t>פסקה 15 והאסמכתאות שם (21.2.2018)</w:t>
      </w:r>
      <w:r w:rsidR="00412192" w:rsidRPr="008E6EB8">
        <w:rPr>
          <w:rFonts w:cs="David" w:hint="cs"/>
          <w:sz w:val="28"/>
          <w:szCs w:val="28"/>
          <w:rtl/>
        </w:rPr>
        <w:t xml:space="preserve">; </w:t>
      </w:r>
      <w:r w:rsidRPr="008E6EB8">
        <w:rPr>
          <w:rFonts w:cs="David" w:hint="cs"/>
          <w:sz w:val="28"/>
          <w:szCs w:val="28"/>
          <w:rtl/>
        </w:rPr>
        <w:t xml:space="preserve">ע"פ 6889/11 </w:t>
      </w:r>
      <w:r w:rsidRPr="008E6EB8">
        <w:rPr>
          <w:rFonts w:cs="David" w:hint="cs"/>
          <w:b/>
          <w:bCs/>
          <w:sz w:val="28"/>
          <w:szCs w:val="28"/>
          <w:rtl/>
        </w:rPr>
        <w:t xml:space="preserve">מדינת ישראל נ' </w:t>
      </w:r>
      <w:r w:rsidRPr="00EE7471">
        <w:rPr>
          <w:rFonts w:cs="David" w:hint="cs"/>
          <w:b/>
          <w:bCs/>
          <w:sz w:val="28"/>
          <w:szCs w:val="28"/>
          <w:rtl/>
        </w:rPr>
        <w:t>עובד</w:t>
      </w:r>
      <w:r w:rsidRPr="008E6EB8">
        <w:rPr>
          <w:rFonts w:cs="David" w:hint="cs"/>
          <w:sz w:val="28"/>
          <w:szCs w:val="28"/>
          <w:rtl/>
        </w:rPr>
        <w:t xml:space="preserve">, פסקה 9 (26.9.2011); </w:t>
      </w:r>
      <w:r w:rsidR="00412192" w:rsidRPr="008E6EB8">
        <w:rPr>
          <w:rFonts w:cs="David" w:hint="cs"/>
          <w:sz w:val="28"/>
          <w:szCs w:val="28"/>
          <w:rtl/>
        </w:rPr>
        <w:t xml:space="preserve">כן ר' ע"פ 3863/09 </w:t>
      </w:r>
      <w:r w:rsidR="00412192" w:rsidRPr="008E6EB8">
        <w:rPr>
          <w:rFonts w:cs="David" w:hint="cs"/>
          <w:b/>
          <w:bCs/>
          <w:sz w:val="28"/>
          <w:szCs w:val="28"/>
          <w:rtl/>
        </w:rPr>
        <w:t xml:space="preserve">חסן </w:t>
      </w:r>
      <w:r w:rsidR="00412192" w:rsidRPr="008E6EB8">
        <w:rPr>
          <w:rFonts w:cs="David" w:hint="cs"/>
          <w:sz w:val="28"/>
          <w:szCs w:val="28"/>
          <w:rtl/>
        </w:rPr>
        <w:t>לעיל, בפסקה 6</w:t>
      </w:r>
      <w:r w:rsidR="00A33D95" w:rsidRPr="008E6EB8">
        <w:rPr>
          <w:rFonts w:cs="David" w:hint="cs"/>
          <w:sz w:val="28"/>
          <w:szCs w:val="28"/>
          <w:rtl/>
        </w:rPr>
        <w:t>)</w:t>
      </w:r>
      <w:r w:rsidR="00412192" w:rsidRPr="008E6EB8">
        <w:rPr>
          <w:rFonts w:cs="David" w:hint="cs"/>
          <w:sz w:val="28"/>
          <w:szCs w:val="28"/>
          <w:rtl/>
        </w:rPr>
        <w:t>.</w:t>
      </w:r>
      <w:r w:rsidR="00A33D95" w:rsidRPr="008E6EB8">
        <w:rPr>
          <w:rFonts w:cs="David" w:hint="cs"/>
          <w:sz w:val="28"/>
          <w:szCs w:val="28"/>
          <w:rtl/>
        </w:rPr>
        <w:t xml:space="preserve"> בואר כי הטעם </w:t>
      </w:r>
      <w:r w:rsidR="008F638C">
        <w:rPr>
          <w:rFonts w:cs="David" w:hint="cs"/>
          <w:sz w:val="28"/>
          <w:szCs w:val="28"/>
          <w:rtl/>
        </w:rPr>
        <w:t xml:space="preserve">בבסיס </w:t>
      </w:r>
      <w:r w:rsidR="00A33D95" w:rsidRPr="008E6EB8">
        <w:rPr>
          <w:rFonts w:cs="David" w:hint="cs"/>
          <w:sz w:val="28"/>
          <w:szCs w:val="28"/>
          <w:rtl/>
        </w:rPr>
        <w:t>מדיניות זו ה</w:t>
      </w:r>
      <w:r w:rsidR="008F638C">
        <w:rPr>
          <w:rFonts w:cs="David" w:hint="cs"/>
          <w:sz w:val="28"/>
          <w:szCs w:val="28"/>
          <w:rtl/>
        </w:rPr>
        <w:t>ו</w:t>
      </w:r>
      <w:r w:rsidR="00A33D95" w:rsidRPr="008E6EB8">
        <w:rPr>
          <w:rFonts w:cs="David" w:hint="cs"/>
          <w:sz w:val="28"/>
          <w:szCs w:val="28"/>
          <w:rtl/>
        </w:rPr>
        <w:t>א שהשלמת מלוא ריצוי העונש עשוי</w:t>
      </w:r>
      <w:r w:rsidR="008F638C">
        <w:rPr>
          <w:rFonts w:cs="David" w:hint="cs"/>
          <w:sz w:val="28"/>
          <w:szCs w:val="28"/>
          <w:rtl/>
        </w:rPr>
        <w:t>ה</w:t>
      </w:r>
      <w:r w:rsidR="00A33D95" w:rsidRPr="008E6EB8">
        <w:rPr>
          <w:rFonts w:cs="David" w:hint="cs"/>
          <w:sz w:val="28"/>
          <w:szCs w:val="28"/>
          <w:rtl/>
        </w:rPr>
        <w:t xml:space="preserve"> לכבול את שיקול דעתה של ערכאת הערעור, </w:t>
      </w:r>
      <w:r w:rsidR="008F638C">
        <w:rPr>
          <w:rFonts w:cs="David" w:hint="cs"/>
          <w:sz w:val="28"/>
          <w:szCs w:val="28"/>
          <w:rtl/>
        </w:rPr>
        <w:t>כך ש</w:t>
      </w:r>
      <w:r w:rsidRPr="008E6EB8">
        <w:rPr>
          <w:rFonts w:cs="David" w:hint="cs"/>
          <w:sz w:val="28"/>
          <w:szCs w:val="28"/>
          <w:rtl/>
        </w:rPr>
        <w:t>הערעור עשוי להפוך לבלתי רלוונטי ות</w:t>
      </w:r>
      <w:r w:rsidR="008D5D7D">
        <w:rPr>
          <w:rFonts w:cs="David" w:hint="cs"/>
          <w:sz w:val="28"/>
          <w:szCs w:val="28"/>
          <w:rtl/>
        </w:rPr>
        <w:t>י</w:t>
      </w:r>
      <w:r w:rsidRPr="008E6EB8">
        <w:rPr>
          <w:rFonts w:cs="David" w:hint="cs"/>
          <w:sz w:val="28"/>
          <w:szCs w:val="28"/>
          <w:rtl/>
        </w:rPr>
        <w:t xml:space="preserve">פגע זכות הערעור של התביעה, שעה שתעמוד לפני עובדות מוגמרות של ריצוי העונש </w:t>
      </w:r>
      <w:r w:rsidR="008F638C">
        <w:rPr>
          <w:rFonts w:cs="David" w:hint="cs"/>
          <w:sz w:val="28"/>
          <w:szCs w:val="28"/>
          <w:rtl/>
        </w:rPr>
        <w:t>-</w:t>
      </w:r>
      <w:r w:rsidRPr="008E6EB8">
        <w:rPr>
          <w:rFonts w:cs="David" w:hint="cs"/>
          <w:sz w:val="28"/>
          <w:szCs w:val="28"/>
          <w:rtl/>
        </w:rPr>
        <w:t xml:space="preserve"> ובכך תהא פגיעה באינטרס הציבורי בכבילת ידי בית הדין בבוחנו את הערעור מעצם כך שהעונש כבר רוצה (ע"פ 8423/17 </w:t>
      </w:r>
      <w:r w:rsidRPr="008E6EB8">
        <w:rPr>
          <w:rFonts w:cs="David" w:hint="cs"/>
          <w:b/>
          <w:bCs/>
          <w:sz w:val="28"/>
          <w:szCs w:val="28"/>
          <w:rtl/>
        </w:rPr>
        <w:t>מדינת ישראל נ' סעד</w:t>
      </w:r>
      <w:r w:rsidRPr="008E6EB8">
        <w:rPr>
          <w:rFonts w:cs="David" w:hint="cs"/>
          <w:sz w:val="28"/>
          <w:szCs w:val="28"/>
          <w:rtl/>
        </w:rPr>
        <w:t xml:space="preserve">, פסקה 7 (2.11.2017)). </w:t>
      </w:r>
    </w:p>
    <w:p w14:paraId="14C36BA9" w14:textId="77777777" w:rsidR="008E6EB8" w:rsidRPr="00EE7471" w:rsidRDefault="008E6EB8" w:rsidP="00710DA4">
      <w:pPr>
        <w:numPr>
          <w:ilvl w:val="0"/>
          <w:numId w:val="1"/>
        </w:numPr>
        <w:tabs>
          <w:tab w:val="left" w:pos="282"/>
        </w:tabs>
        <w:spacing w:after="0" w:line="360" w:lineRule="auto"/>
        <w:ind w:left="-1" w:firstLine="0"/>
        <w:jc w:val="both"/>
        <w:rPr>
          <w:rFonts w:cs="David"/>
          <w:sz w:val="28"/>
          <w:szCs w:val="28"/>
        </w:rPr>
      </w:pPr>
      <w:r w:rsidRPr="00EE7471">
        <w:rPr>
          <w:rFonts w:cs="David" w:hint="cs"/>
          <w:sz w:val="28"/>
          <w:szCs w:val="28"/>
          <w:rtl/>
        </w:rPr>
        <w:t xml:space="preserve">ביישום לענייננו </w:t>
      </w:r>
      <w:r w:rsidR="008F638C">
        <w:rPr>
          <w:rFonts w:cs="David" w:hint="cs"/>
          <w:sz w:val="28"/>
          <w:szCs w:val="28"/>
          <w:rtl/>
        </w:rPr>
        <w:t>-</w:t>
      </w:r>
      <w:r w:rsidRPr="00EE7471">
        <w:rPr>
          <w:rFonts w:cs="David" w:hint="cs"/>
          <w:sz w:val="28"/>
          <w:szCs w:val="28"/>
          <w:rtl/>
        </w:rPr>
        <w:t xml:space="preserve"> </w:t>
      </w:r>
      <w:r w:rsidR="005460A8" w:rsidRPr="00EE7471">
        <w:rPr>
          <w:rFonts w:cs="David" w:hint="cs"/>
          <w:sz w:val="28"/>
          <w:szCs w:val="28"/>
          <w:rtl/>
        </w:rPr>
        <w:t>אכן ערעורה של התביעה אינו מנומק, ויקשה לפיכך להעריך את סיכויי ערעור</w:t>
      </w:r>
      <w:r w:rsidR="00EE7471">
        <w:rPr>
          <w:rFonts w:cs="David" w:hint="cs"/>
          <w:sz w:val="28"/>
          <w:szCs w:val="28"/>
          <w:rtl/>
        </w:rPr>
        <w:t>ה</w:t>
      </w:r>
      <w:r w:rsidR="005460A8" w:rsidRPr="00EE7471">
        <w:rPr>
          <w:rFonts w:cs="David" w:hint="cs"/>
          <w:sz w:val="28"/>
          <w:szCs w:val="28"/>
          <w:rtl/>
        </w:rPr>
        <w:t>. עם זאת, כפי שבואר לעיל, אין זה השיקול היחיד ואף לא העיקרי, במקרים כגון דא</w:t>
      </w:r>
      <w:r w:rsidR="008F638C">
        <w:rPr>
          <w:rFonts w:cs="David" w:hint="cs"/>
          <w:sz w:val="28"/>
          <w:szCs w:val="28"/>
          <w:rtl/>
        </w:rPr>
        <w:t>;</w:t>
      </w:r>
      <w:r w:rsidR="00EE7471" w:rsidRPr="00EE7471">
        <w:rPr>
          <w:rFonts w:cs="David" w:hint="cs"/>
          <w:sz w:val="28"/>
          <w:szCs w:val="28"/>
          <w:rtl/>
        </w:rPr>
        <w:t xml:space="preserve"> והעיכוב בהגשת נימוקי הערעור נובע, מכך שפסק הדין ניתן ימים ספורים לפני חג הפסח, </w:t>
      </w:r>
      <w:r w:rsidR="00EE7471" w:rsidRPr="00EE7471">
        <w:rPr>
          <w:rFonts w:cs="David" w:hint="cs"/>
          <w:sz w:val="28"/>
          <w:szCs w:val="28"/>
          <w:rtl/>
        </w:rPr>
        <w:lastRenderedPageBreak/>
        <w:t>אשר הסתיים אך אתמול</w:t>
      </w:r>
      <w:r w:rsidR="005460A8" w:rsidRPr="00EE7471">
        <w:rPr>
          <w:rFonts w:cs="David" w:hint="cs"/>
          <w:sz w:val="28"/>
          <w:szCs w:val="28"/>
          <w:rtl/>
        </w:rPr>
        <w:t xml:space="preserve">. </w:t>
      </w:r>
      <w:r w:rsidR="00EE7471" w:rsidRPr="00EE7471">
        <w:rPr>
          <w:rFonts w:cs="David" w:hint="cs"/>
          <w:sz w:val="28"/>
          <w:szCs w:val="28"/>
          <w:rtl/>
        </w:rPr>
        <w:t xml:space="preserve">לצד זאת, יש לשקול, כי גם </w:t>
      </w:r>
      <w:r w:rsidR="005460A8" w:rsidRPr="00EE7471">
        <w:rPr>
          <w:rFonts w:cs="David" w:hint="cs"/>
          <w:sz w:val="28"/>
          <w:szCs w:val="28"/>
          <w:rtl/>
        </w:rPr>
        <w:t>אם אכן ניתן יהיה לקבוע את הדיון במועד קרוב יחסית, שהוסכם על הצדדים, משמעות הדבר היא כי המשיב יסיים לרצות</w:t>
      </w:r>
      <w:r w:rsidR="008F638C">
        <w:rPr>
          <w:rFonts w:cs="David" w:hint="cs"/>
          <w:sz w:val="28"/>
          <w:szCs w:val="28"/>
          <w:rtl/>
        </w:rPr>
        <w:t>, עד למועד הדיון,</w:t>
      </w:r>
      <w:r w:rsidR="005460A8" w:rsidRPr="00EE7471">
        <w:rPr>
          <w:rFonts w:cs="David" w:hint="cs"/>
          <w:sz w:val="28"/>
          <w:szCs w:val="28"/>
          <w:rtl/>
        </w:rPr>
        <w:t xml:space="preserve"> קרוב </w:t>
      </w:r>
      <w:r w:rsidR="008F638C">
        <w:rPr>
          <w:rFonts w:cs="David" w:hint="cs"/>
          <w:sz w:val="28"/>
          <w:szCs w:val="28"/>
          <w:rtl/>
        </w:rPr>
        <w:t>למחצית מעונש המאסר שהוטל עליו בבית הדין קמא</w:t>
      </w:r>
      <w:r w:rsidR="005460A8" w:rsidRPr="00EE7471">
        <w:rPr>
          <w:rFonts w:cs="David" w:hint="cs"/>
          <w:sz w:val="28"/>
          <w:szCs w:val="28"/>
          <w:rtl/>
        </w:rPr>
        <w:t xml:space="preserve">; ומכאן שככל שלא יעוכב ביצוע העונש, יהא בכך כדי לכבול במידה רבה את שיקול דעתה של ערכאת הערעור. </w:t>
      </w:r>
      <w:r w:rsidR="00EE7471">
        <w:rPr>
          <w:rFonts w:cs="David" w:hint="cs"/>
          <w:sz w:val="28"/>
          <w:szCs w:val="28"/>
          <w:rtl/>
        </w:rPr>
        <w:t xml:space="preserve">עוד </w:t>
      </w:r>
      <w:r w:rsidR="005460A8" w:rsidRPr="00EE7471">
        <w:rPr>
          <w:rFonts w:cs="David" w:hint="cs"/>
          <w:sz w:val="28"/>
          <w:szCs w:val="28"/>
          <w:rtl/>
        </w:rPr>
        <w:t>יקשה להלום את טענת ההגנה לפיה היא מבקשת ל</w:t>
      </w:r>
      <w:r w:rsidR="008F638C">
        <w:rPr>
          <w:rFonts w:cs="David" w:hint="cs"/>
          <w:sz w:val="28"/>
          <w:szCs w:val="28"/>
          <w:rtl/>
        </w:rPr>
        <w:t xml:space="preserve">התחיל בריצוי העונש </w:t>
      </w:r>
      <w:r w:rsidR="005460A8" w:rsidRPr="00EE7471">
        <w:rPr>
          <w:rFonts w:cs="David" w:hint="cs"/>
          <w:sz w:val="28"/>
          <w:szCs w:val="28"/>
          <w:rtl/>
        </w:rPr>
        <w:t xml:space="preserve">גם מקום בו היא שוקלת להגיש ערעור על עצם הטלת עונש המאסר (ר' והשווה </w:t>
      </w:r>
      <w:proofErr w:type="spellStart"/>
      <w:r w:rsidR="005460A8" w:rsidRPr="00EE7471">
        <w:rPr>
          <w:rFonts w:cs="David" w:hint="cs"/>
          <w:sz w:val="28"/>
          <w:szCs w:val="28"/>
          <w:rtl/>
        </w:rPr>
        <w:t>לע"פ</w:t>
      </w:r>
      <w:proofErr w:type="spellEnd"/>
      <w:r w:rsidR="005460A8" w:rsidRPr="00EE7471">
        <w:rPr>
          <w:rFonts w:cs="David" w:hint="cs"/>
          <w:sz w:val="28"/>
          <w:szCs w:val="28"/>
          <w:rtl/>
        </w:rPr>
        <w:t xml:space="preserve"> 8423/17 </w:t>
      </w:r>
      <w:r w:rsidR="005460A8" w:rsidRPr="00EE7471">
        <w:rPr>
          <w:rFonts w:cs="David" w:hint="cs"/>
          <w:b/>
          <w:bCs/>
          <w:sz w:val="28"/>
          <w:szCs w:val="28"/>
          <w:rtl/>
        </w:rPr>
        <w:t xml:space="preserve">סעד </w:t>
      </w:r>
      <w:r w:rsidR="005460A8" w:rsidRPr="00EE7471">
        <w:rPr>
          <w:rFonts w:cs="David" w:hint="cs"/>
          <w:sz w:val="28"/>
          <w:szCs w:val="28"/>
          <w:rtl/>
        </w:rPr>
        <w:t>לעיל, פסקה 8)</w:t>
      </w:r>
      <w:r w:rsidR="008D5D7D">
        <w:rPr>
          <w:rFonts w:cs="David" w:hint="cs"/>
          <w:sz w:val="28"/>
          <w:szCs w:val="28"/>
          <w:rtl/>
        </w:rPr>
        <w:t xml:space="preserve">; ואף אם תחליט ההגנה לערער רק באשר לסוגיית הדרגה, הרי שיש בריצוי חלק ניכר מהעונש שהוטל כדי להקשות גם על דיון בסוגיית תמהיל הענישה הכולל. </w:t>
      </w:r>
    </w:p>
    <w:p w14:paraId="2805DF21" w14:textId="77777777" w:rsidR="00E656FF" w:rsidRDefault="00EE7471" w:rsidP="00710DA4">
      <w:pPr>
        <w:numPr>
          <w:ilvl w:val="0"/>
          <w:numId w:val="1"/>
        </w:numPr>
        <w:tabs>
          <w:tab w:val="left" w:pos="282"/>
        </w:tabs>
        <w:spacing w:after="0" w:line="360" w:lineRule="auto"/>
        <w:ind w:left="-1" w:firstLine="0"/>
        <w:jc w:val="both"/>
        <w:rPr>
          <w:rFonts w:cs="David"/>
          <w:sz w:val="28"/>
          <w:szCs w:val="28"/>
        </w:rPr>
      </w:pPr>
      <w:r w:rsidRPr="00EE7471">
        <w:rPr>
          <w:rFonts w:cs="David" w:hint="cs"/>
          <w:sz w:val="28"/>
          <w:szCs w:val="28"/>
          <w:rtl/>
        </w:rPr>
        <w:t>לכך יש להוסיף, כי על אף שאין להתעלם מחלוף הזמן הרב מאז אירעו המעשים בגינם הורשע המשיב, הרי שנוכח הכוונה לקבוע את הדיון בערעור במועד קרוב, כאמור, הרי שאין בכך משום פגיעה נוספת משמעותית במשיב; וההגנה אף לא הצביעה על אינטרס נוגד הנוגע ל</w:t>
      </w:r>
      <w:r w:rsidR="008F638C">
        <w:rPr>
          <w:rFonts w:cs="David" w:hint="cs"/>
          <w:sz w:val="28"/>
          <w:szCs w:val="28"/>
          <w:rtl/>
        </w:rPr>
        <w:t xml:space="preserve">נזק </w:t>
      </w:r>
      <w:r w:rsidRPr="00EE7471">
        <w:rPr>
          <w:rFonts w:cs="David" w:hint="cs"/>
          <w:sz w:val="28"/>
          <w:szCs w:val="28"/>
          <w:rtl/>
        </w:rPr>
        <w:t>קונקרטי</w:t>
      </w:r>
      <w:r w:rsidR="008F638C">
        <w:rPr>
          <w:rFonts w:cs="David" w:hint="cs"/>
          <w:sz w:val="28"/>
          <w:szCs w:val="28"/>
          <w:rtl/>
        </w:rPr>
        <w:t xml:space="preserve"> שייגרם ל</w:t>
      </w:r>
      <w:r w:rsidRPr="00EE7471">
        <w:rPr>
          <w:rFonts w:cs="David" w:hint="cs"/>
          <w:sz w:val="28"/>
          <w:szCs w:val="28"/>
          <w:rtl/>
        </w:rPr>
        <w:t xml:space="preserve">משיב באם יידחה ריצוי העונש, </w:t>
      </w:r>
      <w:r>
        <w:rPr>
          <w:rFonts w:cs="David" w:hint="cs"/>
          <w:sz w:val="28"/>
          <w:szCs w:val="28"/>
          <w:rtl/>
        </w:rPr>
        <w:t xml:space="preserve">כגון פגיעה בלימודים, בעבודה וכיו"ב (ר' ע"פ 6889/11 </w:t>
      </w:r>
      <w:r>
        <w:rPr>
          <w:rFonts w:cs="David" w:hint="cs"/>
          <w:b/>
          <w:bCs/>
          <w:sz w:val="28"/>
          <w:szCs w:val="28"/>
          <w:rtl/>
        </w:rPr>
        <w:t xml:space="preserve">עובד </w:t>
      </w:r>
      <w:r>
        <w:rPr>
          <w:rFonts w:cs="David" w:hint="cs"/>
          <w:sz w:val="28"/>
          <w:szCs w:val="28"/>
          <w:rtl/>
        </w:rPr>
        <w:t xml:space="preserve"> לעיל, בפסקה 9). </w:t>
      </w:r>
    </w:p>
    <w:p w14:paraId="044DB954" w14:textId="77777777" w:rsidR="00EE7471" w:rsidRPr="00EE7471" w:rsidRDefault="00EE7471" w:rsidP="00710DA4">
      <w:pPr>
        <w:numPr>
          <w:ilvl w:val="0"/>
          <w:numId w:val="1"/>
        </w:numPr>
        <w:tabs>
          <w:tab w:val="left" w:pos="282"/>
        </w:tabs>
        <w:spacing w:after="0" w:line="360" w:lineRule="auto"/>
        <w:ind w:left="-1" w:firstLine="0"/>
        <w:jc w:val="both"/>
        <w:rPr>
          <w:rFonts w:cs="David"/>
          <w:sz w:val="28"/>
          <w:szCs w:val="28"/>
          <w:rtl/>
        </w:rPr>
      </w:pPr>
      <w:r>
        <w:rPr>
          <w:rFonts w:cs="David" w:hint="cs"/>
          <w:sz w:val="28"/>
          <w:szCs w:val="28"/>
          <w:rtl/>
        </w:rPr>
        <w:t xml:space="preserve">לאור האמור, מצאתי להיעתר לבקשת התביעה. מועד ריצוי העונש יידחה עד למתן פסק הדין בערעור. </w:t>
      </w:r>
    </w:p>
    <w:p w14:paraId="34CB71CE" w14:textId="77777777" w:rsidR="00E656FF" w:rsidRDefault="00E656FF" w:rsidP="00E656FF">
      <w:pPr>
        <w:tabs>
          <w:tab w:val="left" w:pos="282"/>
        </w:tabs>
        <w:spacing w:after="0" w:line="360" w:lineRule="auto"/>
        <w:jc w:val="both"/>
        <w:rPr>
          <w:rFonts w:cs="David"/>
          <w:sz w:val="28"/>
          <w:szCs w:val="28"/>
          <w:rtl/>
        </w:rPr>
      </w:pPr>
    </w:p>
    <w:p w14:paraId="7BD9BEB4" w14:textId="77777777" w:rsidR="00FF5A2F" w:rsidRDefault="007B7648" w:rsidP="007126E3">
      <w:pPr>
        <w:tabs>
          <w:tab w:val="left" w:pos="282"/>
        </w:tabs>
        <w:spacing w:after="0" w:line="360" w:lineRule="auto"/>
        <w:ind w:left="-1"/>
        <w:jc w:val="both"/>
        <w:rPr>
          <w:rFonts w:ascii="David" w:hAnsi="David" w:cs="David"/>
          <w:sz w:val="28"/>
          <w:szCs w:val="28"/>
          <w:rtl/>
        </w:rPr>
      </w:pPr>
      <w:r w:rsidRPr="00247C7A">
        <w:rPr>
          <w:rFonts w:ascii="David" w:hAnsi="David" w:cs="David" w:hint="cs"/>
          <w:sz w:val="28"/>
          <w:szCs w:val="28"/>
          <w:rtl/>
        </w:rPr>
        <w:t>ניתנה היום,</w:t>
      </w:r>
      <w:r w:rsidR="009C4142">
        <w:rPr>
          <w:rFonts w:ascii="David" w:hAnsi="David" w:cs="David" w:hint="cs"/>
          <w:sz w:val="28"/>
          <w:szCs w:val="28"/>
          <w:rtl/>
        </w:rPr>
        <w:t xml:space="preserve"> </w:t>
      </w:r>
      <w:r w:rsidR="00E656FF">
        <w:rPr>
          <w:rFonts w:ascii="David" w:hAnsi="David" w:cs="David" w:hint="cs"/>
          <w:sz w:val="28"/>
          <w:szCs w:val="28"/>
          <w:rtl/>
        </w:rPr>
        <w:t xml:space="preserve">כ"ב בניסן </w:t>
      </w:r>
      <w:proofErr w:type="spellStart"/>
      <w:r w:rsidR="002D1E26">
        <w:rPr>
          <w:rFonts w:ascii="David" w:hAnsi="David" w:cs="David" w:hint="cs"/>
          <w:sz w:val="28"/>
          <w:szCs w:val="28"/>
          <w:rtl/>
        </w:rPr>
        <w:t>התשפ"</w:t>
      </w:r>
      <w:r w:rsidR="00E656FF">
        <w:rPr>
          <w:rFonts w:ascii="David" w:hAnsi="David" w:cs="David" w:hint="cs"/>
          <w:sz w:val="28"/>
          <w:szCs w:val="28"/>
          <w:rtl/>
        </w:rPr>
        <w:t>ג</w:t>
      </w:r>
      <w:proofErr w:type="spellEnd"/>
      <w:r w:rsidR="002D1E26">
        <w:rPr>
          <w:rFonts w:ascii="David" w:hAnsi="David" w:cs="David" w:hint="cs"/>
          <w:sz w:val="28"/>
          <w:szCs w:val="28"/>
          <w:rtl/>
        </w:rPr>
        <w:t xml:space="preserve">, </w:t>
      </w:r>
      <w:r w:rsidR="00E656FF">
        <w:rPr>
          <w:rFonts w:ascii="David" w:hAnsi="David" w:cs="David" w:hint="cs"/>
          <w:sz w:val="28"/>
          <w:szCs w:val="28"/>
          <w:rtl/>
        </w:rPr>
        <w:t>13</w:t>
      </w:r>
      <w:r w:rsidR="005551D6">
        <w:rPr>
          <w:rFonts w:ascii="David" w:hAnsi="David" w:cs="David" w:hint="cs"/>
          <w:sz w:val="28"/>
          <w:szCs w:val="28"/>
          <w:rtl/>
        </w:rPr>
        <w:t xml:space="preserve"> ב</w:t>
      </w:r>
      <w:r w:rsidR="00E656FF">
        <w:rPr>
          <w:rFonts w:ascii="David" w:hAnsi="David" w:cs="David" w:hint="cs"/>
          <w:sz w:val="28"/>
          <w:szCs w:val="28"/>
          <w:rtl/>
        </w:rPr>
        <w:t xml:space="preserve">אפריל </w:t>
      </w:r>
      <w:r w:rsidR="005551D6">
        <w:rPr>
          <w:rFonts w:ascii="David" w:hAnsi="David" w:cs="David" w:hint="cs"/>
          <w:sz w:val="28"/>
          <w:szCs w:val="28"/>
          <w:rtl/>
        </w:rPr>
        <w:t xml:space="preserve"> </w:t>
      </w:r>
      <w:r w:rsidR="00EB1F23">
        <w:rPr>
          <w:rFonts w:ascii="David" w:hAnsi="David" w:cs="David" w:hint="cs"/>
          <w:sz w:val="28"/>
          <w:szCs w:val="28"/>
          <w:rtl/>
        </w:rPr>
        <w:t>202</w:t>
      </w:r>
      <w:r w:rsidR="00E656FF">
        <w:rPr>
          <w:rFonts w:ascii="David" w:hAnsi="David" w:cs="David" w:hint="cs"/>
          <w:sz w:val="28"/>
          <w:szCs w:val="28"/>
          <w:rtl/>
        </w:rPr>
        <w:t>3</w:t>
      </w:r>
      <w:r w:rsidR="00DF3153">
        <w:rPr>
          <w:rFonts w:ascii="David" w:hAnsi="David" w:cs="David" w:hint="cs"/>
          <w:sz w:val="28"/>
          <w:szCs w:val="28"/>
          <w:rtl/>
        </w:rPr>
        <w:t xml:space="preserve">, </w:t>
      </w:r>
      <w:r w:rsidR="005551D6">
        <w:rPr>
          <w:rFonts w:ascii="David" w:hAnsi="David" w:cs="David" w:hint="cs"/>
          <w:sz w:val="28"/>
          <w:szCs w:val="28"/>
          <w:rtl/>
        </w:rPr>
        <w:t xml:space="preserve">בלשכה ותועבר לצדדים על ידי </w:t>
      </w:r>
      <w:proofErr w:type="spellStart"/>
      <w:r w:rsidR="005551D6">
        <w:rPr>
          <w:rFonts w:ascii="David" w:hAnsi="David" w:cs="David" w:hint="cs"/>
          <w:sz w:val="28"/>
          <w:szCs w:val="28"/>
          <w:rtl/>
        </w:rPr>
        <w:t>הקבי"ד</w:t>
      </w:r>
      <w:proofErr w:type="spellEnd"/>
      <w:r w:rsidR="00565039">
        <w:rPr>
          <w:rFonts w:ascii="David" w:hAnsi="David" w:cs="David" w:hint="cs"/>
          <w:sz w:val="28"/>
          <w:szCs w:val="28"/>
          <w:rtl/>
        </w:rPr>
        <w:t>.</w:t>
      </w:r>
    </w:p>
    <w:p w14:paraId="6B75FB8B" w14:textId="77777777" w:rsidR="00002B28" w:rsidRDefault="00002B28" w:rsidP="007126E3">
      <w:pPr>
        <w:tabs>
          <w:tab w:val="left" w:pos="282"/>
        </w:tabs>
        <w:spacing w:after="0" w:line="360" w:lineRule="auto"/>
        <w:ind w:left="-1"/>
        <w:jc w:val="both"/>
        <w:rPr>
          <w:rFonts w:ascii="David" w:hAnsi="David" w:cs="David"/>
          <w:sz w:val="28"/>
          <w:szCs w:val="28"/>
          <w:rtl/>
        </w:rPr>
      </w:pPr>
    </w:p>
    <w:p w14:paraId="284002F3" w14:textId="77777777" w:rsidR="00A978A3" w:rsidRPr="00B54F91" w:rsidRDefault="00A978A3" w:rsidP="007126E3">
      <w:pPr>
        <w:spacing w:after="0" w:line="360" w:lineRule="auto"/>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7B6877">
        <w:rPr>
          <w:rFonts w:ascii="David" w:eastAsia="Times New Roman" w:hAnsi="David" w:cs="David" w:hint="cs"/>
          <w:b/>
          <w:bCs/>
          <w:sz w:val="28"/>
          <w:szCs w:val="28"/>
          <w:rtl/>
        </w:rPr>
        <w:t xml:space="preserve">   _____</w:t>
      </w:r>
      <w:r w:rsidRPr="00247C7A">
        <w:rPr>
          <w:rFonts w:ascii="David" w:eastAsia="Times New Roman" w:hAnsi="David" w:cs="David" w:hint="cs"/>
          <w:b/>
          <w:bCs/>
          <w:sz w:val="28"/>
          <w:szCs w:val="28"/>
          <w:rtl/>
        </w:rPr>
        <w:t>________________________</w:t>
      </w:r>
    </w:p>
    <w:p w14:paraId="3ABDFD11" w14:textId="77777777" w:rsidR="00A978A3" w:rsidRPr="00247C7A" w:rsidRDefault="00A978A3" w:rsidP="007126E3">
      <w:pPr>
        <w:keepNext/>
        <w:spacing w:after="0" w:line="360"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7B6877">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אל"ם        </w:t>
      </w:r>
      <w:r w:rsidR="007B6877">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w:t>
      </w:r>
      <w:r w:rsidR="007B6877">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מאיה </w:t>
      </w:r>
      <w:r w:rsidR="007B6877">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גולדשמידט </w:t>
      </w:r>
      <w:r w:rsidRPr="00247C7A">
        <w:rPr>
          <w:rFonts w:ascii="David" w:eastAsia="Times New Roman" w:hAnsi="David" w:cs="David" w:hint="cs"/>
          <w:b/>
          <w:bCs/>
          <w:sz w:val="28"/>
          <w:szCs w:val="28"/>
          <w:rtl/>
        </w:rPr>
        <w:t xml:space="preserve"> </w:t>
      </w:r>
    </w:p>
    <w:p w14:paraId="25A25862" w14:textId="77777777" w:rsidR="00A978A3" w:rsidRPr="00247C7A" w:rsidRDefault="00A978A3" w:rsidP="007126E3">
      <w:pPr>
        <w:keepNext/>
        <w:spacing w:after="0" w:line="360"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sidR="007B6877">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שופטת    </w:t>
      </w:r>
      <w:r w:rsidR="007B6877">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בית </w:t>
      </w:r>
      <w:r w:rsidR="00F608C1">
        <w:rPr>
          <w:rFonts w:ascii="David" w:eastAsia="Times New Roman" w:hAnsi="David" w:cs="David" w:hint="cs"/>
          <w:b/>
          <w:bCs/>
          <w:sz w:val="28"/>
          <w:szCs w:val="28"/>
          <w:rtl/>
        </w:rPr>
        <w:t xml:space="preserve"> </w:t>
      </w:r>
      <w:r w:rsidR="007B6877">
        <w:rPr>
          <w:rFonts w:ascii="David" w:eastAsia="Times New Roman" w:hAnsi="David" w:cs="David" w:hint="cs"/>
          <w:b/>
          <w:bCs/>
          <w:sz w:val="28"/>
          <w:szCs w:val="28"/>
          <w:rtl/>
        </w:rPr>
        <w:t xml:space="preserve">    </w:t>
      </w:r>
      <w:r w:rsidR="00F608C1">
        <w:rPr>
          <w:rFonts w:ascii="David" w:eastAsia="Times New Roman" w:hAnsi="David" w:cs="David" w:hint="cs"/>
          <w:b/>
          <w:bCs/>
          <w:sz w:val="28"/>
          <w:szCs w:val="28"/>
          <w:rtl/>
        </w:rPr>
        <w:t xml:space="preserve">   הדין</w:t>
      </w:r>
      <w:r w:rsidRPr="00247C7A">
        <w:rPr>
          <w:rFonts w:ascii="David" w:eastAsia="Times New Roman" w:hAnsi="David" w:cs="David" w:hint="cs"/>
          <w:b/>
          <w:bCs/>
          <w:sz w:val="28"/>
          <w:szCs w:val="28"/>
          <w:rtl/>
        </w:rPr>
        <w:t xml:space="preserve">      </w:t>
      </w:r>
      <w:r w:rsidR="007B6877">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sidR="007B6877">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הצבאי </w:t>
      </w:r>
    </w:p>
    <w:p w14:paraId="60256DF5" w14:textId="77777777" w:rsidR="007B7648" w:rsidRDefault="00A978A3" w:rsidP="007126E3">
      <w:pPr>
        <w:spacing w:after="0" w:line="360" w:lineRule="auto"/>
        <w:jc w:val="both"/>
        <w:rPr>
          <w:rtl/>
        </w:rPr>
      </w:pPr>
      <w:r w:rsidRPr="00247C7A">
        <w:rPr>
          <w:rFonts w:ascii="David" w:eastAsia="Times New Roman" w:hAnsi="David" w:cs="David" w:hint="cs"/>
          <w:b/>
          <w:bCs/>
          <w:sz w:val="28"/>
          <w:szCs w:val="28"/>
          <w:rtl/>
        </w:rPr>
        <w:t xml:space="preserve">                                                                               ל    </w:t>
      </w:r>
      <w:r w:rsidR="007B6877">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ע </w:t>
      </w:r>
      <w:r w:rsidR="007B6877">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w:t>
      </w:r>
      <w:r w:rsidR="007B6877">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ר     </w:t>
      </w:r>
      <w:r w:rsidR="007B6877">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ע </w:t>
      </w:r>
      <w:r w:rsidR="007B6877">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ו</w:t>
      </w:r>
      <w:r w:rsidR="007B6877">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ר </w:t>
      </w:r>
      <w:r w:rsidR="007B6877">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י    </w:t>
      </w:r>
      <w:r w:rsidR="007B6877">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ם</w:t>
      </w:r>
    </w:p>
    <w:p w14:paraId="16F83F5A" w14:textId="77777777" w:rsidR="00286EB8" w:rsidRDefault="00286EB8" w:rsidP="007126E3">
      <w:pPr>
        <w:spacing w:after="0" w:line="360" w:lineRule="auto"/>
        <w:jc w:val="both"/>
        <w:rPr>
          <w:rtl/>
        </w:rPr>
      </w:pPr>
    </w:p>
    <w:p w14:paraId="4CA31006" w14:textId="77777777" w:rsidR="00286EB8" w:rsidRPr="00B53ED3" w:rsidRDefault="00286EB8" w:rsidP="00286EB8">
      <w:pPr>
        <w:ind w:left="-58" w:right="-142"/>
        <w:rPr>
          <w:rFonts w:ascii="David" w:hAnsi="David" w:cs="David"/>
          <w:b/>
          <w:bCs/>
          <w:sz w:val="28"/>
          <w:szCs w:val="28"/>
          <w:rtl/>
        </w:rPr>
      </w:pPr>
      <w:bookmarkStart w:id="1" w:name="_Hlk122599666"/>
      <w:r w:rsidRPr="00B53ED3">
        <w:rPr>
          <w:rFonts w:ascii="David" w:hAnsi="David" w:cs="David" w:hint="cs"/>
          <w:b/>
          <w:bCs/>
          <w:sz w:val="28"/>
          <w:szCs w:val="28"/>
          <w:rtl/>
        </w:rPr>
        <w:t>חתימת המגיה: __________________</w:t>
      </w:r>
      <w:r>
        <w:rPr>
          <w:rFonts w:ascii="David" w:hAnsi="David" w:cs="David" w:hint="cs"/>
          <w:b/>
          <w:bCs/>
          <w:sz w:val="28"/>
          <w:szCs w:val="28"/>
          <w:rtl/>
        </w:rPr>
        <w:t xml:space="preserve">____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העתק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נאמן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למקור</w:t>
      </w:r>
    </w:p>
    <w:p w14:paraId="26AA9617" w14:textId="77777777" w:rsidR="00286EB8" w:rsidRPr="007D6E18" w:rsidRDefault="00286EB8" w:rsidP="00286EB8">
      <w:pPr>
        <w:ind w:left="-58" w:right="-142"/>
        <w:rPr>
          <w:rFonts w:ascii="David" w:hAnsi="David" w:cs="David"/>
          <w:b/>
          <w:bCs/>
          <w:sz w:val="28"/>
          <w:szCs w:val="28"/>
        </w:rPr>
      </w:pP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סרן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כפיר</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לב</w:t>
      </w:r>
      <w:r>
        <w:rPr>
          <w:rFonts w:ascii="David" w:hAnsi="David" w:cs="David" w:hint="cs"/>
          <w:b/>
          <w:bCs/>
          <w:sz w:val="28"/>
          <w:szCs w:val="28"/>
          <w:rtl/>
        </w:rPr>
        <w:t xml:space="preserve">   ת</w:t>
      </w:r>
      <w:r w:rsidRPr="00B53ED3">
        <w:rPr>
          <w:rFonts w:ascii="David" w:hAnsi="David" w:cs="David" w:hint="cs"/>
          <w:b/>
          <w:bCs/>
          <w:sz w:val="28"/>
          <w:szCs w:val="28"/>
          <w:rtl/>
        </w:rPr>
        <w:t>אריך: _______________________</w:t>
      </w:r>
      <w:r>
        <w:rPr>
          <w:rFonts w:ascii="David" w:hAnsi="David" w:cs="David" w:hint="cs"/>
          <w:b/>
          <w:bCs/>
          <w:sz w:val="28"/>
          <w:szCs w:val="28"/>
          <w:rtl/>
        </w:rPr>
        <w:t>____</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קצי</w:t>
      </w:r>
      <w:r>
        <w:rPr>
          <w:rFonts w:ascii="David" w:hAnsi="David" w:cs="David" w:hint="cs"/>
          <w:b/>
          <w:bCs/>
          <w:sz w:val="28"/>
          <w:szCs w:val="28"/>
          <w:rtl/>
        </w:rPr>
        <w:t>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בית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הדין</w:t>
      </w:r>
    </w:p>
    <w:bookmarkEnd w:id="1"/>
    <w:p w14:paraId="794CB702" w14:textId="77777777" w:rsidR="00286EB8" w:rsidRPr="00286EB8" w:rsidRDefault="00286EB8" w:rsidP="007126E3">
      <w:pPr>
        <w:spacing w:after="0" w:line="360" w:lineRule="auto"/>
        <w:jc w:val="both"/>
      </w:pPr>
    </w:p>
    <w:sectPr w:rsidR="00286EB8" w:rsidRPr="00286EB8" w:rsidSect="00286EB8">
      <w:headerReference w:type="even" r:id="rId9"/>
      <w:headerReference w:type="default" r:id="rId10"/>
      <w:footerReference w:type="default" r:id="rId11"/>
      <w:headerReference w:type="first" r:id="rId12"/>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0C01" w14:textId="77777777" w:rsidR="00C13BB5" w:rsidRDefault="00C13BB5">
      <w:pPr>
        <w:spacing w:after="0" w:line="240" w:lineRule="auto"/>
      </w:pPr>
      <w:r>
        <w:separator/>
      </w:r>
    </w:p>
  </w:endnote>
  <w:endnote w:type="continuationSeparator" w:id="0">
    <w:p w14:paraId="40FDFC09" w14:textId="77777777" w:rsidR="00C13BB5" w:rsidRDefault="00C13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7EC2" w14:textId="77777777" w:rsidR="001C3C72" w:rsidRDefault="001C64D6">
    <w:pPr>
      <w:pStyle w:val="a5"/>
      <w:jc w:val="center"/>
      <w:rPr>
        <w:rtl/>
        <w:cs/>
      </w:rPr>
    </w:pPr>
    <w:r w:rsidRPr="00D61D0E">
      <w:rPr>
        <w:rFonts w:cs="David"/>
        <w:sz w:val="28"/>
        <w:szCs w:val="28"/>
      </w:rPr>
      <w:fldChar w:fldCharType="begin"/>
    </w:r>
    <w:r w:rsidRPr="00D61D0E">
      <w:rPr>
        <w:rFonts w:cs="David"/>
        <w:sz w:val="28"/>
        <w:szCs w:val="28"/>
        <w:rtl/>
        <w:cs/>
      </w:rPr>
      <w:instrText>PAGE</w:instrText>
    </w:r>
    <w:r w:rsidRPr="00D61D0E">
      <w:rPr>
        <w:rFonts w:cs="David"/>
        <w:sz w:val="28"/>
        <w:szCs w:val="28"/>
      </w:rPr>
      <w:fldChar w:fldCharType="separate"/>
    </w:r>
    <w:r w:rsidRPr="00CF70DE">
      <w:rPr>
        <w:rFonts w:cs="David"/>
        <w:noProof/>
        <w:sz w:val="28"/>
        <w:szCs w:val="28"/>
        <w:rtl/>
      </w:rPr>
      <w:t>3</w:t>
    </w:r>
    <w:r w:rsidRPr="00D61D0E">
      <w:rPr>
        <w:rFonts w:cs="David"/>
        <w:sz w:val="28"/>
        <w:szCs w:val="28"/>
      </w:rPr>
      <w:fldChar w:fldCharType="end"/>
    </w:r>
  </w:p>
  <w:p w14:paraId="32149AF0" w14:textId="77777777" w:rsidR="001C3C72" w:rsidRDefault="001C3C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08A7" w14:textId="77777777" w:rsidR="00C13BB5" w:rsidRDefault="00C13BB5">
      <w:pPr>
        <w:spacing w:after="0" w:line="240" w:lineRule="auto"/>
      </w:pPr>
      <w:r>
        <w:separator/>
      </w:r>
    </w:p>
  </w:footnote>
  <w:footnote w:type="continuationSeparator" w:id="0">
    <w:p w14:paraId="44EF3B5D" w14:textId="77777777" w:rsidR="00C13BB5" w:rsidRDefault="00C13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33D1" w14:textId="4FE45865" w:rsidR="00BF1C91" w:rsidRDefault="00BF1C91">
    <w:pPr>
      <w:pStyle w:val="a3"/>
    </w:pPr>
    <w:r>
      <w:rPr>
        <w:noProof/>
      </w:rPr>
      <mc:AlternateContent>
        <mc:Choice Requires="wps">
          <w:drawing>
            <wp:anchor distT="0" distB="0" distL="0" distR="0" simplePos="0" relativeHeight="251659264" behindDoc="0" locked="0" layoutInCell="1" allowOverlap="1" wp14:anchorId="061FFA01" wp14:editId="51E0E76F">
              <wp:simplePos x="635" y="635"/>
              <wp:positionH relativeFrom="page">
                <wp:align>center</wp:align>
              </wp:positionH>
              <wp:positionV relativeFrom="page">
                <wp:align>top</wp:align>
              </wp:positionV>
              <wp:extent cx="443865" cy="443865"/>
              <wp:effectExtent l="0" t="0" r="6985" b="12065"/>
              <wp:wrapNone/>
              <wp:docPr id="4" name="תיבת טקסט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B2210F" w14:textId="74AB13AA" w:rsidR="00BF1C91" w:rsidRPr="00BF1C91" w:rsidRDefault="00BF1C91" w:rsidP="00BF1C91">
                          <w:pPr>
                            <w:spacing w:after="0"/>
                            <w:rPr>
                              <w:rFonts w:cs="Calibri"/>
                              <w:noProof/>
                              <w:color w:val="000000"/>
                              <w:sz w:val="20"/>
                              <w:szCs w:val="20"/>
                            </w:rPr>
                          </w:pPr>
                          <w:r w:rsidRPr="00BF1C91">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1FFA01" id="_x0000_t202" coordsize="21600,21600" o:spt="202" path="m,l,21600r21600,l21600,xe">
              <v:stroke joinstyle="miter"/>
              <v:path gradientshapeok="t" o:connecttype="rect"/>
            </v:shapetype>
            <v:shape id="תיבת טקסט 4"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8B2210F" w14:textId="74AB13AA" w:rsidR="00BF1C91" w:rsidRPr="00BF1C91" w:rsidRDefault="00BF1C91" w:rsidP="00BF1C91">
                    <w:pPr>
                      <w:spacing w:after="0"/>
                      <w:rPr>
                        <w:rFonts w:cs="Calibri"/>
                        <w:noProof/>
                        <w:color w:val="000000"/>
                        <w:sz w:val="20"/>
                        <w:szCs w:val="20"/>
                      </w:rPr>
                    </w:pPr>
                    <w:r w:rsidRPr="00BF1C91">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9F3B" w14:textId="6A2B3208" w:rsidR="00286EB8" w:rsidRDefault="001C64D6" w:rsidP="00286EB8">
    <w:pPr>
      <w:pStyle w:val="a3"/>
      <w:rPr>
        <w:rFonts w:cs="David"/>
        <w:sz w:val="28"/>
        <w:szCs w:val="28"/>
        <w:rtl/>
      </w:rPr>
    </w:pPr>
    <w:r w:rsidRPr="00286EB8">
      <w:rPr>
        <w:rFonts w:ascii="David" w:hAnsi="David" w:cs="David"/>
        <w:sz w:val="28"/>
        <w:szCs w:val="28"/>
        <w:rtl/>
      </w:rPr>
      <w:t xml:space="preserve">                                                        </w:t>
    </w:r>
    <w:r w:rsidR="00286EB8">
      <w:rPr>
        <w:rFonts w:ascii="David" w:hAnsi="David" w:cs="David" w:hint="cs"/>
        <w:sz w:val="28"/>
        <w:szCs w:val="28"/>
        <w:rtl/>
      </w:rPr>
      <w:t xml:space="preserve">     </w:t>
    </w:r>
    <w:r w:rsidRPr="00286EB8">
      <w:rPr>
        <w:rFonts w:ascii="David" w:hAnsi="David" w:cs="David"/>
        <w:sz w:val="28"/>
        <w:szCs w:val="28"/>
        <w:rtl/>
      </w:rPr>
      <w:t xml:space="preserve">   </w:t>
    </w:r>
    <w:r w:rsidR="00D523CC">
      <w:rPr>
        <w:rFonts w:ascii="David" w:hAnsi="David" w:cs="David" w:hint="cs"/>
        <w:sz w:val="28"/>
        <w:szCs w:val="28"/>
        <w:rtl/>
      </w:rPr>
      <w:t>ב ל מ " ס</w:t>
    </w:r>
    <w:r w:rsidR="00286EB8" w:rsidRPr="00286EB8">
      <w:rPr>
        <w:rFonts w:ascii="David" w:hAnsi="David" w:cs="David"/>
        <w:sz w:val="28"/>
        <w:szCs w:val="28"/>
        <w:rtl/>
      </w:rPr>
      <w:t xml:space="preserve"> </w:t>
    </w:r>
    <w:r w:rsidR="00286EB8">
      <w:rPr>
        <w:rFonts w:ascii="David" w:hAnsi="David" w:cs="David"/>
        <w:sz w:val="28"/>
        <w:szCs w:val="28"/>
        <w:rtl/>
      </w:rPr>
      <w:tab/>
    </w:r>
    <w:r w:rsidR="00286EB8" w:rsidRPr="00452031">
      <w:rPr>
        <w:rFonts w:cs="David" w:hint="cs"/>
        <w:sz w:val="28"/>
        <w:szCs w:val="28"/>
        <w:rtl/>
      </w:rPr>
      <w:t>ב"ש</w:t>
    </w:r>
    <w:r w:rsidR="00286EB8">
      <w:rPr>
        <w:rFonts w:cs="David" w:hint="cs"/>
        <w:sz w:val="28"/>
        <w:szCs w:val="28"/>
        <w:rtl/>
      </w:rPr>
      <w:t>/30/23</w:t>
    </w:r>
  </w:p>
  <w:p w14:paraId="4A20795E" w14:textId="77777777" w:rsidR="00B8747B" w:rsidRPr="00286EB8" w:rsidRDefault="00B8747B" w:rsidP="00286EB8">
    <w:pPr>
      <w:pStyle w:val="a3"/>
      <w:tabs>
        <w:tab w:val="clear" w:pos="9026"/>
        <w:tab w:val="right" w:pos="8306"/>
      </w:tabs>
      <w:rPr>
        <w:rFonts w:ascii="David" w:hAnsi="David" w:cs="David"/>
        <w:sz w:val="28"/>
        <w:szCs w:val="28"/>
        <w:rtl/>
      </w:rPr>
    </w:pPr>
  </w:p>
  <w:p w14:paraId="5ADCEA4E" w14:textId="77777777" w:rsidR="00B8747B" w:rsidRDefault="00B8747B" w:rsidP="00B8747B">
    <w:pPr>
      <w:pStyle w:val="a3"/>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4956" w14:textId="153778B1" w:rsidR="00BF1C91" w:rsidRDefault="00BF1C91">
    <w:pPr>
      <w:pStyle w:val="a3"/>
    </w:pPr>
    <w:r>
      <w:rPr>
        <w:noProof/>
      </w:rPr>
      <mc:AlternateContent>
        <mc:Choice Requires="wps">
          <w:drawing>
            <wp:anchor distT="0" distB="0" distL="0" distR="0" simplePos="0" relativeHeight="251658240" behindDoc="0" locked="0" layoutInCell="1" allowOverlap="1" wp14:anchorId="0C1DCD49" wp14:editId="0841CB2C">
              <wp:simplePos x="635" y="635"/>
              <wp:positionH relativeFrom="page">
                <wp:align>center</wp:align>
              </wp:positionH>
              <wp:positionV relativeFrom="page">
                <wp:align>top</wp:align>
              </wp:positionV>
              <wp:extent cx="443865" cy="443865"/>
              <wp:effectExtent l="0" t="0" r="6985" b="12065"/>
              <wp:wrapNone/>
              <wp:docPr id="3"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C80065" w14:textId="3AC408F8" w:rsidR="00BF1C91" w:rsidRPr="00BF1C91" w:rsidRDefault="00BF1C91" w:rsidP="00BF1C91">
                          <w:pPr>
                            <w:spacing w:after="0"/>
                            <w:rPr>
                              <w:rFonts w:cs="Calibri"/>
                              <w:noProof/>
                              <w:color w:val="000000"/>
                              <w:sz w:val="20"/>
                              <w:szCs w:val="20"/>
                            </w:rPr>
                          </w:pPr>
                          <w:r w:rsidRPr="00BF1C91">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1DCD49"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3C80065" w14:textId="3AC408F8" w:rsidR="00BF1C91" w:rsidRPr="00BF1C91" w:rsidRDefault="00BF1C91" w:rsidP="00BF1C91">
                    <w:pPr>
                      <w:spacing w:after="0"/>
                      <w:rPr>
                        <w:rFonts w:cs="Calibri"/>
                        <w:noProof/>
                        <w:color w:val="000000"/>
                        <w:sz w:val="20"/>
                        <w:szCs w:val="20"/>
                      </w:rPr>
                    </w:pPr>
                    <w:r w:rsidRPr="00BF1C91">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D08C0"/>
    <w:multiLevelType w:val="hybridMultilevel"/>
    <w:tmpl w:val="0E80B720"/>
    <w:lvl w:ilvl="0" w:tplc="E13C7D22">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6916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48"/>
    <w:rsid w:val="00002B28"/>
    <w:rsid w:val="00003825"/>
    <w:rsid w:val="000057D7"/>
    <w:rsid w:val="00005C2A"/>
    <w:rsid w:val="00011CE9"/>
    <w:rsid w:val="00012C8B"/>
    <w:rsid w:val="00017ACF"/>
    <w:rsid w:val="00035526"/>
    <w:rsid w:val="00041325"/>
    <w:rsid w:val="00086CB4"/>
    <w:rsid w:val="000952A8"/>
    <w:rsid w:val="000A1220"/>
    <w:rsid w:val="000B0017"/>
    <w:rsid w:val="000B0EBB"/>
    <w:rsid w:val="000B0FBE"/>
    <w:rsid w:val="000C09BD"/>
    <w:rsid w:val="000C2E39"/>
    <w:rsid w:val="000D2B68"/>
    <w:rsid w:val="000D495A"/>
    <w:rsid w:val="000D4F6A"/>
    <w:rsid w:val="000E1C9A"/>
    <w:rsid w:val="000E2952"/>
    <w:rsid w:val="000E43EE"/>
    <w:rsid w:val="000F239B"/>
    <w:rsid w:val="00103A61"/>
    <w:rsid w:val="001123A4"/>
    <w:rsid w:val="001144BE"/>
    <w:rsid w:val="00125592"/>
    <w:rsid w:val="00136D26"/>
    <w:rsid w:val="00151C65"/>
    <w:rsid w:val="00155D9C"/>
    <w:rsid w:val="00160B79"/>
    <w:rsid w:val="001655D6"/>
    <w:rsid w:val="00171189"/>
    <w:rsid w:val="00174E64"/>
    <w:rsid w:val="00191E90"/>
    <w:rsid w:val="0019583B"/>
    <w:rsid w:val="001B799F"/>
    <w:rsid w:val="001C3C72"/>
    <w:rsid w:val="001C64D6"/>
    <w:rsid w:val="001E306F"/>
    <w:rsid w:val="001E50E5"/>
    <w:rsid w:val="001E5370"/>
    <w:rsid w:val="001E73D6"/>
    <w:rsid w:val="001F1F24"/>
    <w:rsid w:val="00207DDA"/>
    <w:rsid w:val="00222EC1"/>
    <w:rsid w:val="00223B26"/>
    <w:rsid w:val="002333F6"/>
    <w:rsid w:val="00246547"/>
    <w:rsid w:val="00246D6B"/>
    <w:rsid w:val="002604A2"/>
    <w:rsid w:val="00260914"/>
    <w:rsid w:val="00262DA7"/>
    <w:rsid w:val="00281478"/>
    <w:rsid w:val="00286EB8"/>
    <w:rsid w:val="0028747A"/>
    <w:rsid w:val="002965C7"/>
    <w:rsid w:val="00296B50"/>
    <w:rsid w:val="002B3770"/>
    <w:rsid w:val="002B4867"/>
    <w:rsid w:val="002C48EE"/>
    <w:rsid w:val="002D1E26"/>
    <w:rsid w:val="002E7B5A"/>
    <w:rsid w:val="002F0155"/>
    <w:rsid w:val="0033155B"/>
    <w:rsid w:val="00334064"/>
    <w:rsid w:val="003432F6"/>
    <w:rsid w:val="0034455F"/>
    <w:rsid w:val="00350865"/>
    <w:rsid w:val="00352D14"/>
    <w:rsid w:val="003647A8"/>
    <w:rsid w:val="00365B5A"/>
    <w:rsid w:val="003661F9"/>
    <w:rsid w:val="00373D0D"/>
    <w:rsid w:val="0037420B"/>
    <w:rsid w:val="00380F2C"/>
    <w:rsid w:val="0038341F"/>
    <w:rsid w:val="00385466"/>
    <w:rsid w:val="003A362A"/>
    <w:rsid w:val="003B5C24"/>
    <w:rsid w:val="003C30AE"/>
    <w:rsid w:val="00402AC2"/>
    <w:rsid w:val="00403B80"/>
    <w:rsid w:val="004071C9"/>
    <w:rsid w:val="00407E4A"/>
    <w:rsid w:val="00410469"/>
    <w:rsid w:val="00412192"/>
    <w:rsid w:val="0041564E"/>
    <w:rsid w:val="00415F2D"/>
    <w:rsid w:val="00453953"/>
    <w:rsid w:val="0045557A"/>
    <w:rsid w:val="004634AC"/>
    <w:rsid w:val="00466742"/>
    <w:rsid w:val="00474044"/>
    <w:rsid w:val="0047518E"/>
    <w:rsid w:val="004B63CD"/>
    <w:rsid w:val="004B6DC8"/>
    <w:rsid w:val="004B75F3"/>
    <w:rsid w:val="004C380E"/>
    <w:rsid w:val="004C455B"/>
    <w:rsid w:val="004C79FE"/>
    <w:rsid w:val="004F2B8D"/>
    <w:rsid w:val="004F3CE1"/>
    <w:rsid w:val="00500D62"/>
    <w:rsid w:val="0050270F"/>
    <w:rsid w:val="00502CE6"/>
    <w:rsid w:val="00510776"/>
    <w:rsid w:val="0051281D"/>
    <w:rsid w:val="005156B7"/>
    <w:rsid w:val="005257C9"/>
    <w:rsid w:val="005258C9"/>
    <w:rsid w:val="005314CF"/>
    <w:rsid w:val="0053315C"/>
    <w:rsid w:val="00540EB1"/>
    <w:rsid w:val="005460A8"/>
    <w:rsid w:val="005551D6"/>
    <w:rsid w:val="005558D8"/>
    <w:rsid w:val="00556DF5"/>
    <w:rsid w:val="00562861"/>
    <w:rsid w:val="00564A47"/>
    <w:rsid w:val="00565039"/>
    <w:rsid w:val="00567E22"/>
    <w:rsid w:val="00572ABC"/>
    <w:rsid w:val="005775FA"/>
    <w:rsid w:val="00591BCF"/>
    <w:rsid w:val="00596AEC"/>
    <w:rsid w:val="005A3EBC"/>
    <w:rsid w:val="005B2227"/>
    <w:rsid w:val="005B3F68"/>
    <w:rsid w:val="005D065B"/>
    <w:rsid w:val="0061271C"/>
    <w:rsid w:val="00624941"/>
    <w:rsid w:val="00624EFF"/>
    <w:rsid w:val="00627321"/>
    <w:rsid w:val="00631610"/>
    <w:rsid w:val="00636B00"/>
    <w:rsid w:val="0064021D"/>
    <w:rsid w:val="00656086"/>
    <w:rsid w:val="006621D3"/>
    <w:rsid w:val="00672073"/>
    <w:rsid w:val="00675545"/>
    <w:rsid w:val="0068302E"/>
    <w:rsid w:val="006A6B91"/>
    <w:rsid w:val="006C6B5F"/>
    <w:rsid w:val="006D699A"/>
    <w:rsid w:val="006F3BC3"/>
    <w:rsid w:val="006F7855"/>
    <w:rsid w:val="00703053"/>
    <w:rsid w:val="00710DA4"/>
    <w:rsid w:val="007120FD"/>
    <w:rsid w:val="007126E3"/>
    <w:rsid w:val="00731316"/>
    <w:rsid w:val="00736187"/>
    <w:rsid w:val="00744161"/>
    <w:rsid w:val="00747834"/>
    <w:rsid w:val="007530F1"/>
    <w:rsid w:val="00762E89"/>
    <w:rsid w:val="00771923"/>
    <w:rsid w:val="007772CE"/>
    <w:rsid w:val="00795881"/>
    <w:rsid w:val="00797C3A"/>
    <w:rsid w:val="007B6877"/>
    <w:rsid w:val="007B73E6"/>
    <w:rsid w:val="007B7648"/>
    <w:rsid w:val="007C5F3F"/>
    <w:rsid w:val="007D2910"/>
    <w:rsid w:val="007D4729"/>
    <w:rsid w:val="007D7B29"/>
    <w:rsid w:val="007E25CA"/>
    <w:rsid w:val="007F3297"/>
    <w:rsid w:val="00800486"/>
    <w:rsid w:val="00807833"/>
    <w:rsid w:val="00812A78"/>
    <w:rsid w:val="00816E02"/>
    <w:rsid w:val="00831484"/>
    <w:rsid w:val="0083699C"/>
    <w:rsid w:val="00837B9B"/>
    <w:rsid w:val="00860DB2"/>
    <w:rsid w:val="00865507"/>
    <w:rsid w:val="00865FF9"/>
    <w:rsid w:val="00867B08"/>
    <w:rsid w:val="00892747"/>
    <w:rsid w:val="008A00A4"/>
    <w:rsid w:val="008A1C33"/>
    <w:rsid w:val="008D5D7D"/>
    <w:rsid w:val="008E6EB8"/>
    <w:rsid w:val="008F5DAB"/>
    <w:rsid w:val="008F638C"/>
    <w:rsid w:val="00902DBE"/>
    <w:rsid w:val="009150AF"/>
    <w:rsid w:val="00920679"/>
    <w:rsid w:val="00937F42"/>
    <w:rsid w:val="009400FC"/>
    <w:rsid w:val="00950481"/>
    <w:rsid w:val="00972E69"/>
    <w:rsid w:val="0097376A"/>
    <w:rsid w:val="009761A6"/>
    <w:rsid w:val="00990E4A"/>
    <w:rsid w:val="009B3D03"/>
    <w:rsid w:val="009C4142"/>
    <w:rsid w:val="009E2B4D"/>
    <w:rsid w:val="009F1521"/>
    <w:rsid w:val="009F66C2"/>
    <w:rsid w:val="00A006AB"/>
    <w:rsid w:val="00A007D5"/>
    <w:rsid w:val="00A17F79"/>
    <w:rsid w:val="00A211B6"/>
    <w:rsid w:val="00A24F0A"/>
    <w:rsid w:val="00A3166F"/>
    <w:rsid w:val="00A33D95"/>
    <w:rsid w:val="00A35DE1"/>
    <w:rsid w:val="00A545BC"/>
    <w:rsid w:val="00A60433"/>
    <w:rsid w:val="00A6168A"/>
    <w:rsid w:val="00A6543F"/>
    <w:rsid w:val="00A75D3E"/>
    <w:rsid w:val="00A76860"/>
    <w:rsid w:val="00A8116D"/>
    <w:rsid w:val="00A87888"/>
    <w:rsid w:val="00A928D2"/>
    <w:rsid w:val="00A978A3"/>
    <w:rsid w:val="00AA0133"/>
    <w:rsid w:val="00AB039A"/>
    <w:rsid w:val="00AB2F3B"/>
    <w:rsid w:val="00AC37D7"/>
    <w:rsid w:val="00AC7C74"/>
    <w:rsid w:val="00AE004B"/>
    <w:rsid w:val="00AF0471"/>
    <w:rsid w:val="00AF0C78"/>
    <w:rsid w:val="00B0473B"/>
    <w:rsid w:val="00B25C73"/>
    <w:rsid w:val="00B31D35"/>
    <w:rsid w:val="00B34098"/>
    <w:rsid w:val="00B35FB4"/>
    <w:rsid w:val="00B36BAC"/>
    <w:rsid w:val="00B37925"/>
    <w:rsid w:val="00B4569B"/>
    <w:rsid w:val="00B54F91"/>
    <w:rsid w:val="00B56CBB"/>
    <w:rsid w:val="00B83DF0"/>
    <w:rsid w:val="00B8747B"/>
    <w:rsid w:val="00BA04E7"/>
    <w:rsid w:val="00BA16E8"/>
    <w:rsid w:val="00BC3C05"/>
    <w:rsid w:val="00BD0239"/>
    <w:rsid w:val="00BD3148"/>
    <w:rsid w:val="00BF1C91"/>
    <w:rsid w:val="00BF1D65"/>
    <w:rsid w:val="00BF318F"/>
    <w:rsid w:val="00BF5364"/>
    <w:rsid w:val="00C10BBA"/>
    <w:rsid w:val="00C13BB5"/>
    <w:rsid w:val="00C31546"/>
    <w:rsid w:val="00C3381A"/>
    <w:rsid w:val="00C373B9"/>
    <w:rsid w:val="00C46F79"/>
    <w:rsid w:val="00C53103"/>
    <w:rsid w:val="00C55797"/>
    <w:rsid w:val="00C64ABB"/>
    <w:rsid w:val="00C701A3"/>
    <w:rsid w:val="00C735BC"/>
    <w:rsid w:val="00C81190"/>
    <w:rsid w:val="00C92B53"/>
    <w:rsid w:val="00CB0DCD"/>
    <w:rsid w:val="00CB4718"/>
    <w:rsid w:val="00CB7953"/>
    <w:rsid w:val="00CD4B1E"/>
    <w:rsid w:val="00CE6F7C"/>
    <w:rsid w:val="00CF4831"/>
    <w:rsid w:val="00D0186F"/>
    <w:rsid w:val="00D14732"/>
    <w:rsid w:val="00D2705C"/>
    <w:rsid w:val="00D3628F"/>
    <w:rsid w:val="00D429B9"/>
    <w:rsid w:val="00D44485"/>
    <w:rsid w:val="00D47BE4"/>
    <w:rsid w:val="00D523CC"/>
    <w:rsid w:val="00D549E7"/>
    <w:rsid w:val="00D646F9"/>
    <w:rsid w:val="00D66ACE"/>
    <w:rsid w:val="00D7525D"/>
    <w:rsid w:val="00D80AD2"/>
    <w:rsid w:val="00D85BF2"/>
    <w:rsid w:val="00D97AE8"/>
    <w:rsid w:val="00DA018C"/>
    <w:rsid w:val="00DA110D"/>
    <w:rsid w:val="00DB6B25"/>
    <w:rsid w:val="00DE18F5"/>
    <w:rsid w:val="00DF3153"/>
    <w:rsid w:val="00DF59E1"/>
    <w:rsid w:val="00E02708"/>
    <w:rsid w:val="00E03B2B"/>
    <w:rsid w:val="00E069C0"/>
    <w:rsid w:val="00E177EC"/>
    <w:rsid w:val="00E22C5D"/>
    <w:rsid w:val="00E248F2"/>
    <w:rsid w:val="00E5169F"/>
    <w:rsid w:val="00E56783"/>
    <w:rsid w:val="00E63952"/>
    <w:rsid w:val="00E656FF"/>
    <w:rsid w:val="00E710DB"/>
    <w:rsid w:val="00E72F56"/>
    <w:rsid w:val="00E9495E"/>
    <w:rsid w:val="00EA1895"/>
    <w:rsid w:val="00EA3A0B"/>
    <w:rsid w:val="00EA5595"/>
    <w:rsid w:val="00EA5766"/>
    <w:rsid w:val="00EB1F23"/>
    <w:rsid w:val="00EB2FB6"/>
    <w:rsid w:val="00EB671A"/>
    <w:rsid w:val="00ED0E85"/>
    <w:rsid w:val="00ED587A"/>
    <w:rsid w:val="00EE5EE8"/>
    <w:rsid w:val="00EE6204"/>
    <w:rsid w:val="00EE7471"/>
    <w:rsid w:val="00F00A2F"/>
    <w:rsid w:val="00F21186"/>
    <w:rsid w:val="00F33627"/>
    <w:rsid w:val="00F33AC7"/>
    <w:rsid w:val="00F36194"/>
    <w:rsid w:val="00F45CE4"/>
    <w:rsid w:val="00F4796D"/>
    <w:rsid w:val="00F54D87"/>
    <w:rsid w:val="00F608C1"/>
    <w:rsid w:val="00F67A31"/>
    <w:rsid w:val="00F71192"/>
    <w:rsid w:val="00F92C19"/>
    <w:rsid w:val="00F95AB4"/>
    <w:rsid w:val="00F96D22"/>
    <w:rsid w:val="00FB7525"/>
    <w:rsid w:val="00FC1184"/>
    <w:rsid w:val="00FC4443"/>
    <w:rsid w:val="00FC792E"/>
    <w:rsid w:val="00FD659F"/>
    <w:rsid w:val="00FE23DC"/>
    <w:rsid w:val="00FF3C66"/>
    <w:rsid w:val="00FF5A2F"/>
    <w:rsid w:val="00FF75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FEB3"/>
  <w15:chartTrackingRefBased/>
  <w15:docId w15:val="{51B9F94F-5443-4F64-92F8-9386B71B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1"/>
    <w:qFormat/>
    <w:rsid w:val="007B7648"/>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648"/>
    <w:pPr>
      <w:tabs>
        <w:tab w:val="center" w:pos="4513"/>
        <w:tab w:val="right" w:pos="9026"/>
      </w:tabs>
      <w:spacing w:after="0" w:line="240" w:lineRule="auto"/>
    </w:pPr>
  </w:style>
  <w:style w:type="character" w:customStyle="1" w:styleId="a4">
    <w:name w:val="כותרת עליונה תו"/>
    <w:basedOn w:val="a0"/>
    <w:link w:val="a3"/>
    <w:uiPriority w:val="99"/>
    <w:rsid w:val="007B7648"/>
  </w:style>
  <w:style w:type="paragraph" w:styleId="a5">
    <w:name w:val="footer"/>
    <w:basedOn w:val="a"/>
    <w:link w:val="a6"/>
    <w:uiPriority w:val="99"/>
    <w:unhideWhenUsed/>
    <w:rsid w:val="007B7648"/>
    <w:pPr>
      <w:tabs>
        <w:tab w:val="center" w:pos="4513"/>
        <w:tab w:val="right" w:pos="9026"/>
      </w:tabs>
      <w:spacing w:after="0" w:line="240" w:lineRule="auto"/>
    </w:pPr>
  </w:style>
  <w:style w:type="character" w:customStyle="1" w:styleId="a6">
    <w:name w:val="כותרת תחתונה תו"/>
    <w:basedOn w:val="a0"/>
    <w:link w:val="a5"/>
    <w:uiPriority w:val="99"/>
    <w:rsid w:val="007B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7222">
      <w:bodyDiv w:val="1"/>
      <w:marLeft w:val="0"/>
      <w:marRight w:val="0"/>
      <w:marTop w:val="0"/>
      <w:marBottom w:val="0"/>
      <w:divBdr>
        <w:top w:val="none" w:sz="0" w:space="0" w:color="auto"/>
        <w:left w:val="none" w:sz="0" w:space="0" w:color="auto"/>
        <w:bottom w:val="none" w:sz="0" w:space="0" w:color="auto"/>
        <w:right w:val="none" w:sz="0" w:space="0" w:color="auto"/>
      </w:divBdr>
    </w:div>
    <w:div w:id="1147625370">
      <w:bodyDiv w:val="1"/>
      <w:marLeft w:val="0"/>
      <w:marRight w:val="0"/>
      <w:marTop w:val="0"/>
      <w:marBottom w:val="0"/>
      <w:divBdr>
        <w:top w:val="none" w:sz="0" w:space="0" w:color="auto"/>
        <w:left w:val="none" w:sz="0" w:space="0" w:color="auto"/>
        <w:bottom w:val="none" w:sz="0" w:space="0" w:color="auto"/>
        <w:right w:val="none" w:sz="0" w:space="0" w:color="auto"/>
      </w:divBdr>
    </w:div>
    <w:div w:id="1378773200">
      <w:bodyDiv w:val="1"/>
      <w:marLeft w:val="0"/>
      <w:marRight w:val="0"/>
      <w:marTop w:val="0"/>
      <w:marBottom w:val="0"/>
      <w:divBdr>
        <w:top w:val="none" w:sz="0" w:space="0" w:color="auto"/>
        <w:left w:val="none" w:sz="0" w:space="0" w:color="auto"/>
        <w:bottom w:val="none" w:sz="0" w:space="0" w:color="auto"/>
        <w:right w:val="none" w:sz="0" w:space="0" w:color="auto"/>
      </w:divBdr>
    </w:div>
    <w:div w:id="1849253814">
      <w:bodyDiv w:val="1"/>
      <w:marLeft w:val="0"/>
      <w:marRight w:val="0"/>
      <w:marTop w:val="0"/>
      <w:marBottom w:val="0"/>
      <w:divBdr>
        <w:top w:val="none" w:sz="0" w:space="0" w:color="auto"/>
        <w:left w:val="none" w:sz="0" w:space="0" w:color="auto"/>
        <w:bottom w:val="none" w:sz="0" w:space="0" w:color="auto"/>
        <w:right w:val="none" w:sz="0" w:space="0" w:color="auto"/>
      </w:divBdr>
    </w:div>
    <w:div w:id="2011834347">
      <w:bodyDiv w:val="1"/>
      <w:marLeft w:val="0"/>
      <w:marRight w:val="0"/>
      <w:marTop w:val="0"/>
      <w:marBottom w:val="0"/>
      <w:divBdr>
        <w:top w:val="none" w:sz="0" w:space="0" w:color="auto"/>
        <w:left w:val="none" w:sz="0" w:space="0" w:color="auto"/>
        <w:bottom w:val="none" w:sz="0" w:space="0" w:color="auto"/>
        <w:right w:val="none" w:sz="0" w:space="0" w:color="auto"/>
      </w:divBdr>
    </w:div>
    <w:div w:id="20547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7CCD1B"/>
        </a:dk1>
        <a:lt1>
          <a:srgbClr val="FEDC2F"/>
        </a:lt1>
        <a:dk2>
          <a:srgbClr val="58BF9A"/>
        </a:dk2>
        <a:lt2>
          <a:srgbClr val="0A37BA"/>
        </a:lt2>
        <a:accent1>
          <a:srgbClr val="8236DD"/>
        </a:accent1>
        <a:accent2>
          <a:srgbClr val="C27AB1"/>
        </a:accent2>
        <a:accent3>
          <a:srgbClr val="D8760F"/>
        </a:accent3>
        <a:accent4>
          <a:srgbClr val="1698AD"/>
        </a:accent4>
        <a:accent5>
          <a:srgbClr val="63223E"/>
        </a:accent5>
        <a:accent6>
          <a:srgbClr val="20E9CD"/>
        </a:accent6>
        <a:hlink>
          <a:srgbClr val="A163D0"/>
        </a:hlink>
        <a:folHlink>
          <a:srgbClr val="2847DD"/>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אבי הראל</cp:lastModifiedBy>
  <cp:revision>3</cp:revision>
  <dcterms:created xsi:type="dcterms:W3CDTF">2023-04-18T07:53:00Z</dcterms:created>
  <dcterms:modified xsi:type="dcterms:W3CDTF">2023-04-18T07:58:00Z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2023-04-18T07:54:38Z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2f323734-d0f2-43af-b1b4-e2c2404279b5</vt:lpwstr>
  </property>
  <property fmtid="{D5CDD505-2E9C-101B-9397-08002B2CF9AE}" pid="11" name="MSIP_Label_701b9bfc-c426-492e-a46c-1a922d5fe54b_ContentBits">
    <vt:lpwstr>1</vt:lpwstr>
  </property>
</Properties>
</file>