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8AD7" w14:textId="6E809D2F" w:rsidR="00FD4FF0" w:rsidRPr="00FD4FF0" w:rsidRDefault="00FD4FF0" w:rsidP="00FD4FF0">
      <w:pPr>
        <w:tabs>
          <w:tab w:val="right" w:pos="7085"/>
        </w:tabs>
        <w:spacing w:line="360" w:lineRule="auto"/>
        <w:ind w:left="1985" w:right="1985"/>
        <w:rPr>
          <w:rtl/>
        </w:rPr>
      </w:pPr>
      <w:bookmarkStart w:id="0" w:name="_Hlk149821736"/>
      <w:bookmarkStart w:id="1" w:name="_Hlk149824479"/>
      <w:r w:rsidRPr="00164FD0">
        <w:rPr>
          <w:noProof/>
        </w:rPr>
        <w:drawing>
          <wp:inline distT="0" distB="0" distL="0" distR="0" wp14:anchorId="31DEC30E" wp14:editId="49EDC61A">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1D5C15E" wp14:editId="4067F888">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91300B4" w14:textId="395E5397" w:rsidR="00FD4FF0" w:rsidRPr="00FD2DDA" w:rsidRDefault="00FD4FF0" w:rsidP="00FD4FF0">
      <w:pPr>
        <w:bidi w:val="0"/>
        <w:spacing w:line="36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090EC78B" w14:textId="77777777" w:rsidR="00FD4FF0" w:rsidRPr="00FD2DDA" w:rsidRDefault="00FD4FF0" w:rsidP="00FD4FF0">
      <w:pPr>
        <w:spacing w:before="120" w:after="0" w:line="360" w:lineRule="auto"/>
        <w:rPr>
          <w:rFonts w:ascii="David" w:hAnsi="David" w:cs="David"/>
          <w:sz w:val="28"/>
          <w:szCs w:val="28"/>
          <w:rtl/>
        </w:rPr>
      </w:pPr>
      <w:r w:rsidRPr="00FD2DDA">
        <w:rPr>
          <w:rFonts w:ascii="David" w:hAnsi="David" w:cs="David" w:hint="cs"/>
          <w:sz w:val="28"/>
          <w:szCs w:val="28"/>
          <w:rtl/>
        </w:rPr>
        <w:t>בפני:</w:t>
      </w:r>
    </w:p>
    <w:p w14:paraId="1709E448" w14:textId="02AEC8F4" w:rsidR="00FD4FF0" w:rsidRDefault="00FD4FF0" w:rsidP="00FD4FF0">
      <w:pPr>
        <w:spacing w:line="36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065FDF88" w14:textId="77777777" w:rsidR="00FD4FF0" w:rsidRPr="00FD4FF0" w:rsidRDefault="00FD4FF0" w:rsidP="00FD4FF0">
      <w:pPr>
        <w:spacing w:line="360" w:lineRule="auto"/>
        <w:jc w:val="center"/>
        <w:rPr>
          <w:rFonts w:cs="David"/>
          <w:sz w:val="8"/>
          <w:szCs w:val="8"/>
          <w:rtl/>
        </w:rPr>
      </w:pPr>
    </w:p>
    <w:p w14:paraId="71876E40" w14:textId="6D94BA2C" w:rsidR="00FD4FF0" w:rsidRDefault="00FD4FF0" w:rsidP="00FD4FF0">
      <w:pPr>
        <w:spacing w:line="360" w:lineRule="auto"/>
        <w:rPr>
          <w:rFonts w:ascii="David" w:hAnsi="David" w:cs="David"/>
          <w:sz w:val="28"/>
          <w:szCs w:val="28"/>
          <w:rtl/>
        </w:rPr>
      </w:pPr>
      <w:r w:rsidRPr="00FD2DDA">
        <w:rPr>
          <w:rFonts w:ascii="David" w:hAnsi="David" w:cs="David" w:hint="cs"/>
          <w:sz w:val="28"/>
          <w:szCs w:val="28"/>
          <w:rtl/>
        </w:rPr>
        <w:t>בעניין:</w:t>
      </w:r>
    </w:p>
    <w:p w14:paraId="7DB71A86" w14:textId="77777777" w:rsidR="00FD4FF0" w:rsidRPr="00FD4FF0" w:rsidRDefault="00FD4FF0" w:rsidP="00FD4FF0">
      <w:pPr>
        <w:spacing w:line="360" w:lineRule="auto"/>
        <w:rPr>
          <w:rFonts w:ascii="David" w:hAnsi="David" w:cs="David"/>
          <w:sz w:val="12"/>
          <w:szCs w:val="12"/>
          <w:rtl/>
        </w:rPr>
      </w:pPr>
    </w:p>
    <w:p w14:paraId="739D941E" w14:textId="5A08D60D" w:rsidR="00FD4FF0" w:rsidRPr="00FD2DDA" w:rsidRDefault="00FD4FF0" w:rsidP="00FD4FF0">
      <w:pPr>
        <w:bidi w:val="0"/>
        <w:spacing w:line="360" w:lineRule="auto"/>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סרן בת אל זיגמן; סרן דנה </w:t>
      </w:r>
      <w:proofErr w:type="spellStart"/>
      <w:r>
        <w:rPr>
          <w:rFonts w:ascii="David" w:hAnsi="David" w:cs="David" w:hint="cs"/>
          <w:sz w:val="28"/>
          <w:szCs w:val="28"/>
          <w:rtl/>
        </w:rPr>
        <w:t>קוזניצקי</w:t>
      </w:r>
      <w:proofErr w:type="spellEnd"/>
      <w:r w:rsidRPr="00FD2DDA">
        <w:rPr>
          <w:rFonts w:ascii="David" w:hAnsi="David" w:cs="David" w:hint="cs"/>
          <w:sz w:val="28"/>
          <w:szCs w:val="28"/>
          <w:rtl/>
        </w:rPr>
        <w:t>)</w:t>
      </w:r>
    </w:p>
    <w:p w14:paraId="7F48414D" w14:textId="77777777" w:rsidR="00FD4FF0" w:rsidRPr="00FD2DDA" w:rsidRDefault="00FD4FF0" w:rsidP="00FD4FF0">
      <w:pPr>
        <w:spacing w:line="360" w:lineRule="auto"/>
        <w:jc w:val="center"/>
        <w:rPr>
          <w:rFonts w:ascii="David" w:hAnsi="David" w:cs="David"/>
          <w:sz w:val="28"/>
          <w:szCs w:val="28"/>
          <w:rtl/>
        </w:rPr>
      </w:pPr>
    </w:p>
    <w:p w14:paraId="11FE114D" w14:textId="74818049" w:rsidR="00FD4FF0" w:rsidRDefault="00FD4FF0" w:rsidP="00FD4FF0">
      <w:pPr>
        <w:spacing w:after="360" w:line="360" w:lineRule="auto"/>
        <w:jc w:val="center"/>
        <w:rPr>
          <w:rFonts w:ascii="David" w:hAnsi="David" w:cs="David"/>
          <w:b/>
          <w:bCs/>
          <w:sz w:val="28"/>
          <w:szCs w:val="28"/>
          <w:rtl/>
        </w:rPr>
      </w:pPr>
      <w:r w:rsidRPr="00FD2DDA">
        <w:rPr>
          <w:rFonts w:ascii="David" w:hAnsi="David" w:cs="David" w:hint="cs"/>
          <w:b/>
          <w:bCs/>
          <w:sz w:val="28"/>
          <w:szCs w:val="28"/>
          <w:rtl/>
        </w:rPr>
        <w:t xml:space="preserve">נ ג ד </w:t>
      </w:r>
    </w:p>
    <w:p w14:paraId="2723693B" w14:textId="77777777" w:rsidR="00FD4FF0" w:rsidRPr="00FD4FF0" w:rsidRDefault="00FD4FF0" w:rsidP="00FD4FF0">
      <w:pPr>
        <w:spacing w:after="360" w:line="360" w:lineRule="auto"/>
        <w:jc w:val="center"/>
        <w:rPr>
          <w:rFonts w:ascii="David" w:hAnsi="David" w:cs="David"/>
          <w:b/>
          <w:bCs/>
          <w:sz w:val="12"/>
          <w:szCs w:val="12"/>
          <w:rtl/>
        </w:rPr>
      </w:pPr>
    </w:p>
    <w:p w14:paraId="5AEA60DB" w14:textId="1799DD9A" w:rsidR="00FD4FF0" w:rsidRDefault="00FD4FF0" w:rsidP="00FD4FF0">
      <w:pPr>
        <w:spacing w:after="120" w:line="360" w:lineRule="auto"/>
        <w:jc w:val="center"/>
        <w:rPr>
          <w:rFonts w:ascii="David" w:hAnsi="David" w:cs="David"/>
          <w:sz w:val="28"/>
          <w:szCs w:val="28"/>
          <w:rtl/>
        </w:rPr>
      </w:pPr>
      <w:r>
        <w:rPr>
          <w:rFonts w:ascii="Times New Roman" w:eastAsia="Times New Roman" w:hAnsi="Times New Roman" w:cs="David" w:hint="cs"/>
          <w:b/>
          <w:bCs/>
          <w:sz w:val="32"/>
          <w:szCs w:val="28"/>
          <w:rtl/>
        </w:rPr>
        <w:t>ב</w:t>
      </w:r>
      <w:r w:rsidRPr="00251330">
        <w:rPr>
          <w:rFonts w:ascii="Times New Roman" w:eastAsia="Times New Roman" w:hAnsi="Times New Roman" w:cs="David" w:hint="cs"/>
          <w:b/>
          <w:bCs/>
          <w:sz w:val="32"/>
          <w:szCs w:val="28"/>
          <w:rtl/>
        </w:rPr>
        <w:t>/</w:t>
      </w:r>
      <w:r w:rsidR="00A16B23">
        <w:rPr>
          <w:rFonts w:ascii="Times New Roman" w:eastAsia="Times New Roman" w:hAnsi="Times New Roman" w:cs="David" w:hint="cs"/>
          <w:b/>
          <w:bCs/>
          <w:sz w:val="32"/>
          <w:szCs w:val="28"/>
        </w:rPr>
        <w:t>XXXXXXX</w:t>
      </w:r>
      <w:r w:rsidRPr="00251330">
        <w:rPr>
          <w:rFonts w:ascii="Times New Roman" w:eastAsia="Times New Roman" w:hAnsi="Times New Roman" w:cs="David" w:hint="cs"/>
          <w:b/>
          <w:bCs/>
          <w:sz w:val="32"/>
          <w:szCs w:val="28"/>
          <w:rtl/>
        </w:rPr>
        <w:t xml:space="preserve"> </w:t>
      </w:r>
      <w:r>
        <w:rPr>
          <w:rFonts w:ascii="David" w:hAnsi="David" w:cs="David" w:hint="cs"/>
          <w:b/>
          <w:bCs/>
          <w:sz w:val="28"/>
          <w:szCs w:val="28"/>
          <w:rtl/>
        </w:rPr>
        <w:t xml:space="preserve">רס"ר </w:t>
      </w:r>
      <w:r w:rsidR="00A16B23">
        <w:rPr>
          <w:rFonts w:ascii="David" w:hAnsi="David" w:cs="David" w:hint="cs"/>
          <w:b/>
          <w:bCs/>
          <w:sz w:val="28"/>
          <w:szCs w:val="28"/>
          <w:rtl/>
        </w:rPr>
        <w:t>ד' 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 עדי </w:t>
      </w:r>
      <w:proofErr w:type="spellStart"/>
      <w:r w:rsidR="0056423D">
        <w:rPr>
          <w:rFonts w:ascii="David" w:hAnsi="David" w:cs="David" w:hint="cs"/>
          <w:sz w:val="28"/>
          <w:szCs w:val="28"/>
          <w:rtl/>
        </w:rPr>
        <w:t>ריטיגשטיין</w:t>
      </w:r>
      <w:proofErr w:type="spellEnd"/>
      <w:r w:rsidR="0056423D">
        <w:rPr>
          <w:rFonts w:ascii="David" w:hAnsi="David" w:cs="David" w:hint="cs"/>
          <w:sz w:val="28"/>
          <w:szCs w:val="28"/>
          <w:rtl/>
        </w:rPr>
        <w:t xml:space="preserve"> - </w:t>
      </w:r>
      <w:proofErr w:type="spellStart"/>
      <w:r>
        <w:rPr>
          <w:rFonts w:ascii="David" w:hAnsi="David" w:cs="David" w:hint="cs"/>
          <w:sz w:val="28"/>
          <w:szCs w:val="28"/>
          <w:rtl/>
        </w:rPr>
        <w:t>אייזנר</w:t>
      </w:r>
      <w:proofErr w:type="spellEnd"/>
      <w:r w:rsidRPr="00FD2DDA">
        <w:rPr>
          <w:rFonts w:ascii="David" w:hAnsi="David" w:cs="David" w:hint="cs"/>
          <w:sz w:val="28"/>
          <w:szCs w:val="28"/>
          <w:rtl/>
        </w:rPr>
        <w:t>)</w:t>
      </w:r>
    </w:p>
    <w:p w14:paraId="6C92A000" w14:textId="77777777" w:rsidR="00FD4FF0" w:rsidRPr="00FD2DDA" w:rsidRDefault="00FD4FF0" w:rsidP="00FD4FF0">
      <w:pPr>
        <w:spacing w:after="360" w:line="360" w:lineRule="auto"/>
        <w:rPr>
          <w:rFonts w:ascii="David" w:hAnsi="David" w:cs="David"/>
          <w:b/>
          <w:bCs/>
          <w:sz w:val="28"/>
          <w:szCs w:val="28"/>
          <w:u w:val="single"/>
          <w:rtl/>
        </w:rPr>
      </w:pPr>
    </w:p>
    <w:bookmarkEnd w:id="0"/>
    <w:bookmarkEnd w:id="1"/>
    <w:p w14:paraId="50111629" w14:textId="0FC42DEB" w:rsidR="00FD4FF0" w:rsidRDefault="00FD4FF0" w:rsidP="00FD4FF0">
      <w:pPr>
        <w:spacing w:after="360" w:line="360" w:lineRule="auto"/>
        <w:jc w:val="both"/>
        <w:rPr>
          <w:rFonts w:ascii="David" w:hAnsi="David" w:cs="David"/>
          <w:sz w:val="28"/>
          <w:szCs w:val="28"/>
          <w:rtl/>
        </w:rPr>
      </w:pPr>
      <w:r>
        <w:rPr>
          <w:rFonts w:ascii="David" w:hAnsi="David" w:cs="David" w:hint="cs"/>
          <w:sz w:val="28"/>
          <w:szCs w:val="28"/>
          <w:rtl/>
        </w:rPr>
        <w:t>בקשה להארכת מעצרו של המשיב. הבקשה התקבלה.</w:t>
      </w:r>
    </w:p>
    <w:p w14:paraId="742244F8" w14:textId="77777777" w:rsidR="00FD4FF0" w:rsidRPr="00EE22D0" w:rsidRDefault="00FD4FF0" w:rsidP="00FD4FF0">
      <w:pPr>
        <w:spacing w:after="360" w:line="360" w:lineRule="auto"/>
        <w:jc w:val="both"/>
        <w:rPr>
          <w:rFonts w:ascii="David" w:hAnsi="David" w:cs="David"/>
          <w:sz w:val="28"/>
          <w:szCs w:val="28"/>
          <w:rtl/>
        </w:rPr>
      </w:pPr>
    </w:p>
    <w:p w14:paraId="421A7441" w14:textId="5270A1BD" w:rsidR="007B7648" w:rsidRDefault="007B7648" w:rsidP="00FD4FF0">
      <w:pPr>
        <w:tabs>
          <w:tab w:val="left" w:pos="232"/>
        </w:tabs>
        <w:spacing w:after="0" w:line="360"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0BEAB084" w14:textId="77777777" w:rsidR="004B6DC8" w:rsidRDefault="004B6DC8" w:rsidP="00FD4FF0">
      <w:pPr>
        <w:tabs>
          <w:tab w:val="left" w:pos="232"/>
        </w:tabs>
        <w:spacing w:after="0" w:line="360" w:lineRule="auto"/>
        <w:ind w:left="-52"/>
        <w:rPr>
          <w:rFonts w:ascii="David" w:hAnsi="David" w:cs="David"/>
          <w:b/>
          <w:bCs/>
          <w:sz w:val="28"/>
          <w:szCs w:val="28"/>
          <w:u w:val="single"/>
          <w:rtl/>
        </w:rPr>
      </w:pPr>
    </w:p>
    <w:p w14:paraId="65F16855" w14:textId="341FBDD0" w:rsidR="0080702E" w:rsidRDefault="00865507" w:rsidP="00FD4FF0">
      <w:pPr>
        <w:numPr>
          <w:ilvl w:val="0"/>
          <w:numId w:val="1"/>
        </w:numPr>
        <w:tabs>
          <w:tab w:val="left" w:pos="282"/>
        </w:tabs>
        <w:spacing w:after="0" w:line="360" w:lineRule="auto"/>
        <w:ind w:left="-1" w:firstLine="0"/>
        <w:jc w:val="both"/>
        <w:rPr>
          <w:rFonts w:cs="David"/>
          <w:sz w:val="28"/>
          <w:szCs w:val="28"/>
        </w:rPr>
      </w:pPr>
      <w:r w:rsidRPr="003D4EDC">
        <w:rPr>
          <w:rFonts w:ascii="Times New Roman" w:eastAsia="Times New Roman" w:hAnsi="Times New Roman" w:cs="David" w:hint="cs"/>
          <w:sz w:val="20"/>
          <w:szCs w:val="28"/>
          <w:rtl/>
        </w:rPr>
        <w:t xml:space="preserve">מונחת בפניי בקשת התביעה הצבאית </w:t>
      </w:r>
      <w:r w:rsidR="00EE6204" w:rsidRPr="003D4EDC">
        <w:rPr>
          <w:rFonts w:ascii="Times New Roman" w:eastAsia="Times New Roman" w:hAnsi="Times New Roman" w:cs="David" w:hint="cs"/>
          <w:sz w:val="20"/>
          <w:szCs w:val="28"/>
          <w:rtl/>
        </w:rPr>
        <w:t>להארכת מעצרו של המשיב</w:t>
      </w:r>
      <w:r w:rsidR="0080702E">
        <w:rPr>
          <w:rFonts w:cs="David" w:hint="cs"/>
          <w:sz w:val="28"/>
          <w:szCs w:val="28"/>
          <w:rtl/>
        </w:rPr>
        <w:t>,</w:t>
      </w:r>
      <w:r w:rsidR="00B7121E">
        <w:rPr>
          <w:rFonts w:cs="David" w:hint="cs"/>
          <w:sz w:val="28"/>
          <w:szCs w:val="28"/>
          <w:rtl/>
        </w:rPr>
        <w:t xml:space="preserve"> </w:t>
      </w:r>
      <w:r w:rsidR="0080702E">
        <w:rPr>
          <w:rFonts w:ascii="Times New Roman" w:eastAsia="Times New Roman" w:hAnsi="Times New Roman" w:cs="David" w:hint="cs"/>
          <w:sz w:val="20"/>
          <w:szCs w:val="28"/>
          <w:rtl/>
        </w:rPr>
        <w:t xml:space="preserve">רס"ר </w:t>
      </w:r>
      <w:r w:rsidR="00A16B23">
        <w:rPr>
          <w:rFonts w:ascii="Times New Roman" w:eastAsia="Times New Roman" w:hAnsi="Times New Roman" w:cs="David" w:hint="cs"/>
          <w:sz w:val="20"/>
          <w:szCs w:val="28"/>
          <w:rtl/>
        </w:rPr>
        <w:t>ד' י'</w:t>
      </w:r>
      <w:r w:rsidR="0080702E">
        <w:rPr>
          <w:rFonts w:ascii="Times New Roman" w:eastAsia="Times New Roman" w:hAnsi="Times New Roman" w:cs="David" w:hint="cs"/>
          <w:sz w:val="20"/>
          <w:szCs w:val="28"/>
          <w:rtl/>
        </w:rPr>
        <w:t>, ב-90 ימים</w:t>
      </w:r>
      <w:r w:rsidR="005E3E53">
        <w:rPr>
          <w:rFonts w:ascii="Times New Roman" w:eastAsia="Times New Roman" w:hAnsi="Times New Roman" w:cs="David" w:hint="cs"/>
          <w:sz w:val="20"/>
          <w:szCs w:val="28"/>
          <w:rtl/>
        </w:rPr>
        <w:t>, החל מיום 19 באוקטובר 2025</w:t>
      </w:r>
      <w:r w:rsidR="0080702E">
        <w:rPr>
          <w:rFonts w:ascii="Times New Roman" w:eastAsia="Times New Roman" w:hAnsi="Times New Roman" w:cs="David" w:hint="cs"/>
          <w:sz w:val="20"/>
          <w:szCs w:val="28"/>
          <w:rtl/>
        </w:rPr>
        <w:t xml:space="preserve"> או עד למתן </w:t>
      </w:r>
      <w:r w:rsidR="0080702E">
        <w:rPr>
          <w:rFonts w:cs="David" w:hint="cs"/>
          <w:sz w:val="28"/>
          <w:szCs w:val="28"/>
          <w:rtl/>
        </w:rPr>
        <w:t>הכרעת הדין בעניינו, לפי המוקדם</w:t>
      </w:r>
      <w:r w:rsidR="00EA1E90">
        <w:rPr>
          <w:rFonts w:cs="David" w:hint="cs"/>
          <w:sz w:val="28"/>
          <w:szCs w:val="28"/>
          <w:rtl/>
        </w:rPr>
        <w:t>. ה</w:t>
      </w:r>
      <w:r w:rsidR="0080702E">
        <w:rPr>
          <w:rFonts w:cs="David" w:hint="cs"/>
          <w:sz w:val="28"/>
          <w:szCs w:val="28"/>
          <w:rtl/>
        </w:rPr>
        <w:t xml:space="preserve">בקשה הוגשה בהתאם לסעיף 243ב לחוק השיפוט הצבאי, </w:t>
      </w:r>
      <w:proofErr w:type="spellStart"/>
      <w:r w:rsidR="00EA1E90">
        <w:rPr>
          <w:rFonts w:cs="David" w:hint="cs"/>
          <w:sz w:val="28"/>
          <w:szCs w:val="28"/>
          <w:rtl/>
        </w:rPr>
        <w:t>ה</w:t>
      </w:r>
      <w:r w:rsidR="0080702E">
        <w:rPr>
          <w:rFonts w:cs="David" w:hint="cs"/>
          <w:sz w:val="28"/>
          <w:szCs w:val="28"/>
          <w:rtl/>
        </w:rPr>
        <w:t>תשט"ו</w:t>
      </w:r>
      <w:proofErr w:type="spellEnd"/>
      <w:r w:rsidR="0080702E">
        <w:rPr>
          <w:rFonts w:cs="David" w:hint="cs"/>
          <w:sz w:val="28"/>
          <w:szCs w:val="28"/>
          <w:rtl/>
        </w:rPr>
        <w:t xml:space="preserve"> - 1955 וסעיף 62 לחוק סדר הדין הפלילי (סמכויות אכיפה - מעצרים), </w:t>
      </w:r>
      <w:proofErr w:type="spellStart"/>
      <w:r w:rsidR="0080702E">
        <w:rPr>
          <w:rFonts w:cs="David" w:hint="cs"/>
          <w:sz w:val="28"/>
          <w:szCs w:val="28"/>
          <w:rtl/>
        </w:rPr>
        <w:t>התשנ"ו</w:t>
      </w:r>
      <w:proofErr w:type="spellEnd"/>
      <w:r w:rsidR="0080702E">
        <w:rPr>
          <w:rFonts w:cs="David" w:hint="cs"/>
          <w:sz w:val="28"/>
          <w:szCs w:val="28"/>
          <w:rtl/>
        </w:rPr>
        <w:t xml:space="preserve"> - 1996. </w:t>
      </w:r>
    </w:p>
    <w:p w14:paraId="793C7711" w14:textId="6E5DDA7C" w:rsidR="0080702E" w:rsidRDefault="0080702E" w:rsidP="00FD4FF0">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sidRPr="006B0D3C">
        <w:rPr>
          <w:rFonts w:ascii="Times New Roman" w:eastAsia="Times New Roman" w:hAnsi="Times New Roman" w:cs="David" w:hint="cs"/>
          <w:sz w:val="20"/>
          <w:szCs w:val="28"/>
          <w:rtl/>
        </w:rPr>
        <w:t xml:space="preserve">המשיב נעצר ביום 13 בנובמבר 2024. כתב האישום שהוגש  </w:t>
      </w:r>
      <w:r w:rsidR="0042453C">
        <w:rPr>
          <w:rFonts w:ascii="Times New Roman" w:eastAsia="Times New Roman" w:hAnsi="Times New Roman" w:cs="David" w:hint="cs"/>
          <w:sz w:val="20"/>
          <w:szCs w:val="28"/>
          <w:rtl/>
        </w:rPr>
        <w:t xml:space="preserve">נגדו </w:t>
      </w:r>
      <w:r w:rsidRPr="006B0D3C">
        <w:rPr>
          <w:rFonts w:ascii="Times New Roman" w:eastAsia="Times New Roman" w:hAnsi="Times New Roman" w:cs="David" w:hint="cs"/>
          <w:sz w:val="20"/>
          <w:szCs w:val="28"/>
          <w:rtl/>
        </w:rPr>
        <w:t xml:space="preserve">ביום </w:t>
      </w:r>
      <w:r>
        <w:rPr>
          <w:rFonts w:ascii="Times New Roman" w:eastAsia="Times New Roman" w:hAnsi="Times New Roman" w:cs="David" w:hint="cs"/>
          <w:sz w:val="20"/>
          <w:szCs w:val="28"/>
          <w:rtl/>
        </w:rPr>
        <w:t>19 בדצמבר 2025 (ותוקן בהמשך)</w:t>
      </w:r>
      <w:r w:rsidR="00EA1E90">
        <w:rPr>
          <w:rFonts w:ascii="Times New Roman" w:eastAsia="Times New Roman" w:hAnsi="Times New Roman" w:cs="David" w:hint="cs"/>
          <w:sz w:val="20"/>
          <w:szCs w:val="28"/>
          <w:rtl/>
        </w:rPr>
        <w:t>,</w:t>
      </w:r>
      <w:r>
        <w:rPr>
          <w:rFonts w:ascii="Times New Roman" w:eastAsia="Times New Roman" w:hAnsi="Times New Roman" w:cs="David" w:hint="cs"/>
          <w:sz w:val="20"/>
          <w:szCs w:val="28"/>
          <w:rtl/>
        </w:rPr>
        <w:t xml:space="preserve"> </w:t>
      </w:r>
      <w:r w:rsidRPr="006B0D3C">
        <w:rPr>
          <w:rFonts w:ascii="Times New Roman" w:eastAsia="Times New Roman" w:hAnsi="Times New Roman" w:cs="David" w:hint="cs"/>
          <w:sz w:val="20"/>
          <w:szCs w:val="28"/>
          <w:rtl/>
        </w:rPr>
        <w:t xml:space="preserve">מייחס לו עבירות של הוצאת נשק מרשות הצבא בצוותא, לפי סעיף 78 לחוק השיפוט הצבאי וסעיף 29(ב) לחוק העונשין, </w:t>
      </w:r>
      <w:proofErr w:type="spellStart"/>
      <w:r w:rsidRPr="006B0D3C">
        <w:rPr>
          <w:rFonts w:ascii="Times New Roman" w:eastAsia="Times New Roman" w:hAnsi="Times New Roman" w:cs="David" w:hint="cs"/>
          <w:sz w:val="20"/>
          <w:szCs w:val="28"/>
          <w:rtl/>
        </w:rPr>
        <w:t>התשל"ז</w:t>
      </w:r>
      <w:proofErr w:type="spellEnd"/>
      <w:r w:rsidRPr="006B0D3C">
        <w:rPr>
          <w:rFonts w:ascii="Times New Roman" w:eastAsia="Times New Roman" w:hAnsi="Times New Roman" w:cs="David" w:hint="cs"/>
          <w:sz w:val="20"/>
          <w:szCs w:val="28"/>
          <w:rtl/>
        </w:rPr>
        <w:t xml:space="preserve"> - 1977; עבירות בנשק (סחר)</w:t>
      </w:r>
      <w:r w:rsidRPr="006B0D3C">
        <w:rPr>
          <w:rFonts w:ascii="Times New Roman" w:eastAsia="Times New Roman" w:hAnsi="Times New Roman" w:cs="David"/>
          <w:sz w:val="20"/>
          <w:szCs w:val="28"/>
        </w:rPr>
        <w:t xml:space="preserve"> </w:t>
      </w:r>
      <w:r w:rsidRPr="006B0D3C">
        <w:rPr>
          <w:rFonts w:ascii="Times New Roman" w:eastAsia="Times New Roman" w:hAnsi="Times New Roman" w:cs="David" w:hint="cs"/>
          <w:sz w:val="20"/>
          <w:szCs w:val="28"/>
          <w:rtl/>
        </w:rPr>
        <w:t xml:space="preserve">בצוותא, </w:t>
      </w:r>
      <w:r w:rsidRPr="006B0D3C">
        <w:rPr>
          <w:rFonts w:ascii="Times New Roman" w:eastAsia="Times New Roman" w:hAnsi="Times New Roman" w:cs="David" w:hint="cs"/>
          <w:sz w:val="20"/>
          <w:szCs w:val="28"/>
          <w:rtl/>
        </w:rPr>
        <w:lastRenderedPageBreak/>
        <w:t>לפי סעיף 144(ב2) וסעיף 29(ב) לחוק העונשין; שימוש בסם מסוכן, לפי סעיף 7(א) ו-(ג) סיפ</w:t>
      </w:r>
      <w:r w:rsidR="00EA1E90">
        <w:rPr>
          <w:rFonts w:ascii="Times New Roman" w:eastAsia="Times New Roman" w:hAnsi="Times New Roman" w:cs="David" w:hint="cs"/>
          <w:sz w:val="20"/>
          <w:szCs w:val="28"/>
          <w:rtl/>
        </w:rPr>
        <w:t>ה</w:t>
      </w:r>
      <w:r w:rsidRPr="006B0D3C">
        <w:rPr>
          <w:rFonts w:ascii="Times New Roman" w:eastAsia="Times New Roman" w:hAnsi="Times New Roman" w:cs="David" w:hint="cs"/>
          <w:sz w:val="20"/>
          <w:szCs w:val="28"/>
          <w:rtl/>
        </w:rPr>
        <w:t xml:space="preserve"> לפקודת הסמים המסוכנים [נוסח חדש], </w:t>
      </w:r>
      <w:proofErr w:type="spellStart"/>
      <w:r w:rsidRPr="006B0D3C">
        <w:rPr>
          <w:rFonts w:ascii="Times New Roman" w:eastAsia="Times New Roman" w:hAnsi="Times New Roman" w:cs="David" w:hint="cs"/>
          <w:sz w:val="20"/>
          <w:szCs w:val="28"/>
          <w:rtl/>
        </w:rPr>
        <w:t>התשל"ג</w:t>
      </w:r>
      <w:proofErr w:type="spellEnd"/>
      <w:r w:rsidRPr="006B0D3C">
        <w:rPr>
          <w:rFonts w:ascii="Times New Roman" w:eastAsia="Times New Roman" w:hAnsi="Times New Roman" w:cs="David" w:hint="cs"/>
          <w:sz w:val="20"/>
          <w:szCs w:val="28"/>
          <w:rtl/>
        </w:rPr>
        <w:t xml:space="preserve"> - 1973; החזקת סם מסוכן, לפי סעיף 7(א) ו-(ג)</w:t>
      </w:r>
      <w:r w:rsidRPr="006B0D3C">
        <w:rPr>
          <w:rFonts w:ascii="Times New Roman" w:eastAsia="Times New Roman" w:hAnsi="Times New Roman" w:cs="David"/>
          <w:sz w:val="20"/>
          <w:szCs w:val="28"/>
        </w:rPr>
        <w:t xml:space="preserve"> </w:t>
      </w:r>
      <w:r w:rsidRPr="006B0D3C">
        <w:rPr>
          <w:rFonts w:ascii="Times New Roman" w:eastAsia="Times New Roman" w:hAnsi="Times New Roman" w:cs="David" w:hint="cs"/>
          <w:sz w:val="20"/>
          <w:szCs w:val="28"/>
          <w:rtl/>
        </w:rPr>
        <w:t>לפקודת הסמים המסוכנים; החזקת כלים להכנת סם לצריכה עצמית, לפי סעיף 10 סיפה לפקודת הסמים המסוכנים;</w:t>
      </w:r>
      <w:r>
        <w:rPr>
          <w:rFonts w:ascii="Times New Roman" w:eastAsia="Times New Roman" w:hAnsi="Times New Roman" w:cs="David" w:hint="cs"/>
          <w:sz w:val="20"/>
          <w:szCs w:val="28"/>
          <w:rtl/>
        </w:rPr>
        <w:t xml:space="preserve"> סירוב להיבדק לשם גילוי שימוש בסמים מסוכנים, לפי סעיפים 127א' ו-250א' לחוק השיפוט הצבאי;</w:t>
      </w:r>
      <w:r w:rsidRPr="006B0D3C">
        <w:rPr>
          <w:rFonts w:ascii="Times New Roman" w:eastAsia="Times New Roman" w:hAnsi="Times New Roman" w:cs="David" w:hint="cs"/>
          <w:sz w:val="20"/>
          <w:szCs w:val="28"/>
          <w:rtl/>
        </w:rPr>
        <w:t xml:space="preserve"> והתנהגות שאינה הולמת, לפי סעיף 130 לחוק השיפוט הצבאי. </w:t>
      </w:r>
    </w:p>
    <w:p w14:paraId="7D86A050" w14:textId="59D1C528" w:rsidR="00610B53" w:rsidRDefault="00610B53" w:rsidP="00FD4FF0">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Pr>
          <w:rFonts w:ascii="Times New Roman" w:eastAsia="Times New Roman" w:hAnsi="Times New Roman" w:cs="David" w:hint="cs"/>
          <w:sz w:val="28"/>
          <w:szCs w:val="28"/>
          <w:rtl/>
        </w:rPr>
        <w:t xml:space="preserve">בכתב האישום נטען, כי המשיב, </w:t>
      </w:r>
      <w:r w:rsidR="00EA1E90">
        <w:rPr>
          <w:rFonts w:ascii="Times New Roman" w:eastAsia="Times New Roman" w:hAnsi="Times New Roman" w:cs="David" w:hint="cs"/>
          <w:sz w:val="28"/>
          <w:szCs w:val="28"/>
          <w:rtl/>
        </w:rPr>
        <w:t xml:space="preserve">משרת קבע </w:t>
      </w:r>
      <w:r>
        <w:rPr>
          <w:rFonts w:ascii="Times New Roman" w:eastAsia="Times New Roman" w:hAnsi="Times New Roman" w:cs="David" w:hint="cs"/>
          <w:sz w:val="28"/>
          <w:szCs w:val="28"/>
          <w:rtl/>
        </w:rPr>
        <w:t xml:space="preserve">בדרגת רס"ר, </w:t>
      </w:r>
      <w:r w:rsidR="00FB228C">
        <w:rPr>
          <w:rFonts w:ascii="Times New Roman" w:eastAsia="Times New Roman" w:hAnsi="Times New Roman" w:cs="David" w:hint="cs"/>
          <w:sz w:val="28"/>
          <w:szCs w:val="28"/>
          <w:rtl/>
        </w:rPr>
        <w:t xml:space="preserve">בתפקיד בוחן מכונאות </w:t>
      </w:r>
      <w:proofErr w:type="spellStart"/>
      <w:r w:rsidR="00FB228C">
        <w:rPr>
          <w:rFonts w:ascii="Times New Roman" w:eastAsia="Times New Roman" w:hAnsi="Times New Roman" w:cs="David" w:hint="cs"/>
          <w:sz w:val="28"/>
          <w:szCs w:val="28"/>
          <w:rtl/>
        </w:rPr>
        <w:t>נמ"ר</w:t>
      </w:r>
      <w:proofErr w:type="spellEnd"/>
      <w:r w:rsidR="00FB228C">
        <w:rPr>
          <w:rFonts w:ascii="Times New Roman" w:eastAsia="Times New Roman" w:hAnsi="Times New Roman" w:cs="David" w:hint="cs"/>
          <w:sz w:val="28"/>
          <w:szCs w:val="28"/>
          <w:rtl/>
        </w:rPr>
        <w:t xml:space="preserve"> בסיירת גבעתי, </w:t>
      </w:r>
      <w:r>
        <w:rPr>
          <w:rFonts w:ascii="Times New Roman" w:eastAsia="Times New Roman" w:hAnsi="Times New Roman" w:cs="David" w:hint="cs"/>
          <w:sz w:val="28"/>
          <w:szCs w:val="28"/>
          <w:rtl/>
        </w:rPr>
        <w:t xml:space="preserve">הוציא </w:t>
      </w:r>
      <w:r w:rsidR="001C42C1">
        <w:rPr>
          <w:rFonts w:ascii="Times New Roman" w:eastAsia="Times New Roman" w:hAnsi="Times New Roman" w:cs="David" w:hint="cs"/>
          <w:sz w:val="28"/>
          <w:szCs w:val="28"/>
          <w:rtl/>
        </w:rPr>
        <w:t xml:space="preserve">במועדים </w:t>
      </w:r>
      <w:r w:rsidR="00EA1E90">
        <w:rPr>
          <w:rFonts w:ascii="Times New Roman" w:eastAsia="Times New Roman" w:hAnsi="Times New Roman" w:cs="David" w:hint="cs"/>
          <w:sz w:val="28"/>
          <w:szCs w:val="28"/>
          <w:rtl/>
        </w:rPr>
        <w:t xml:space="preserve">שונים, </w:t>
      </w:r>
      <w:r w:rsidR="001C42C1">
        <w:rPr>
          <w:rFonts w:ascii="Times New Roman" w:eastAsia="Times New Roman" w:hAnsi="Times New Roman" w:cs="David" w:hint="cs"/>
          <w:sz w:val="28"/>
          <w:szCs w:val="28"/>
          <w:rtl/>
        </w:rPr>
        <w:t>בין אוקטובר 2023 ועד לנובמבר 2024</w:t>
      </w:r>
      <w:r w:rsidR="00EA1E90">
        <w:rPr>
          <w:rFonts w:ascii="Times New Roman" w:eastAsia="Times New Roman" w:hAnsi="Times New Roman" w:cs="David" w:hint="cs"/>
          <w:sz w:val="28"/>
          <w:szCs w:val="28"/>
          <w:rtl/>
        </w:rPr>
        <w:t>,</w:t>
      </w:r>
      <w:r w:rsidR="001C42C1">
        <w:rPr>
          <w:rFonts w:ascii="Times New Roman" w:eastAsia="Times New Roman" w:hAnsi="Times New Roman" w:cs="David" w:hint="cs"/>
          <w:sz w:val="28"/>
          <w:szCs w:val="28"/>
          <w:rtl/>
        </w:rPr>
        <w:t xml:space="preserve"> </w:t>
      </w:r>
      <w:r>
        <w:rPr>
          <w:rFonts w:ascii="Times New Roman" w:eastAsia="Times New Roman" w:hAnsi="Times New Roman" w:cs="David" w:hint="cs"/>
          <w:sz w:val="28"/>
          <w:szCs w:val="28"/>
          <w:rtl/>
        </w:rPr>
        <w:t>מרשות הצבא</w:t>
      </w:r>
      <w:r w:rsidR="004E2E91">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23 רימוני רסס, שמונה לבנות חבלה ו-30 נפצי חבלה חשמליים מרשות הצבא</w:t>
      </w:r>
      <w:r w:rsidR="001C42C1">
        <w:rPr>
          <w:rFonts w:ascii="Times New Roman" w:eastAsia="Times New Roman" w:hAnsi="Times New Roman" w:cs="David" w:hint="cs"/>
          <w:sz w:val="28"/>
          <w:szCs w:val="28"/>
          <w:rtl/>
        </w:rPr>
        <w:t xml:space="preserve"> (</w:t>
      </w:r>
      <w:r w:rsidR="004E2E91">
        <w:rPr>
          <w:rFonts w:ascii="Times New Roman" w:eastAsia="Times New Roman" w:hAnsi="Times New Roman" w:cs="David" w:hint="cs"/>
          <w:sz w:val="28"/>
          <w:szCs w:val="28"/>
          <w:rtl/>
        </w:rPr>
        <w:t>ש</w:t>
      </w:r>
      <w:r w:rsidR="001C42C1">
        <w:rPr>
          <w:rFonts w:ascii="Times New Roman" w:eastAsia="Times New Roman" w:hAnsi="Times New Roman" w:cs="David" w:hint="cs"/>
          <w:sz w:val="28"/>
          <w:szCs w:val="28"/>
          <w:rtl/>
        </w:rPr>
        <w:t xml:space="preserve">הוצאו </w:t>
      </w:r>
      <w:r w:rsidR="004E2E91">
        <w:rPr>
          <w:rFonts w:ascii="Times New Roman" w:eastAsia="Times New Roman" w:hAnsi="Times New Roman" w:cs="David" w:hint="cs"/>
          <w:sz w:val="28"/>
          <w:szCs w:val="28"/>
          <w:rtl/>
        </w:rPr>
        <w:t xml:space="preserve">בחלקם </w:t>
      </w:r>
      <w:r w:rsidR="001C42C1">
        <w:rPr>
          <w:rFonts w:ascii="Times New Roman" w:eastAsia="Times New Roman" w:hAnsi="Times New Roman" w:cs="David" w:hint="cs"/>
          <w:sz w:val="28"/>
          <w:szCs w:val="28"/>
          <w:rtl/>
        </w:rPr>
        <w:t>משטחי כינוס בסמוך לעזה)</w:t>
      </w:r>
      <w:r>
        <w:rPr>
          <w:rFonts w:ascii="Times New Roman" w:eastAsia="Times New Roman" w:hAnsi="Times New Roman" w:cs="David" w:hint="cs"/>
          <w:sz w:val="28"/>
          <w:szCs w:val="28"/>
          <w:rtl/>
        </w:rPr>
        <w:t>, בצוותא עם נגד נוסף, רס"ר אטיאס, וכי ה</w:t>
      </w:r>
      <w:r w:rsidR="004E2E91">
        <w:rPr>
          <w:rFonts w:ascii="Times New Roman" w:eastAsia="Times New Roman" w:hAnsi="Times New Roman" w:cs="David" w:hint="cs"/>
          <w:sz w:val="28"/>
          <w:szCs w:val="28"/>
          <w:rtl/>
        </w:rPr>
        <w:t xml:space="preserve">שניים </w:t>
      </w:r>
      <w:r>
        <w:rPr>
          <w:rFonts w:ascii="Times New Roman" w:eastAsia="Times New Roman" w:hAnsi="Times New Roman" w:cs="David" w:hint="cs"/>
          <w:sz w:val="28"/>
          <w:szCs w:val="28"/>
          <w:rtl/>
        </w:rPr>
        <w:t>סחרו בנשק האמור עם סוכן חשאי במצ"ח. כן נטען בכתב האישום כי המשיב השתמש בסם מסוג קנאביס במספר הזדמנויות בביתו ובסם מסוג קוקאין</w:t>
      </w:r>
      <w:r w:rsidR="004E2E91">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w:t>
      </w:r>
      <w:r w:rsidR="004E2E91">
        <w:rPr>
          <w:rFonts w:ascii="Times New Roman" w:eastAsia="Times New Roman" w:hAnsi="Times New Roman" w:cs="David" w:hint="cs"/>
          <w:sz w:val="28"/>
          <w:szCs w:val="28"/>
          <w:rtl/>
        </w:rPr>
        <w:t>ב</w:t>
      </w:r>
      <w:r>
        <w:rPr>
          <w:rFonts w:ascii="Times New Roman" w:eastAsia="Times New Roman" w:hAnsi="Times New Roman" w:cs="David" w:hint="cs"/>
          <w:sz w:val="28"/>
          <w:szCs w:val="28"/>
          <w:rtl/>
        </w:rPr>
        <w:t>מספר רב של פעמים ביחידתו, וכן החזיק בסם מסוג קוקאין ובכלים לצריכתו ביחידה</w:t>
      </w:r>
      <w:r w:rsidR="001C42C1">
        <w:rPr>
          <w:rFonts w:ascii="Times New Roman" w:eastAsia="Times New Roman" w:hAnsi="Times New Roman" w:cs="David" w:hint="cs"/>
          <w:sz w:val="28"/>
          <w:szCs w:val="28"/>
          <w:rtl/>
        </w:rPr>
        <w:t xml:space="preserve">. לבסוף נטען כי </w:t>
      </w:r>
      <w:r>
        <w:rPr>
          <w:rFonts w:ascii="Times New Roman" w:eastAsia="Times New Roman" w:hAnsi="Times New Roman" w:cs="David" w:hint="cs"/>
          <w:sz w:val="28"/>
          <w:szCs w:val="28"/>
          <w:rtl/>
        </w:rPr>
        <w:t>סירב למ</w:t>
      </w:r>
      <w:r w:rsidR="004E2E91">
        <w:rPr>
          <w:rFonts w:ascii="Times New Roman" w:eastAsia="Times New Roman" w:hAnsi="Times New Roman" w:cs="David" w:hint="cs"/>
          <w:sz w:val="28"/>
          <w:szCs w:val="28"/>
          <w:rtl/>
        </w:rPr>
        <w:t>סור</w:t>
      </w:r>
      <w:r>
        <w:rPr>
          <w:rFonts w:ascii="Times New Roman" w:eastAsia="Times New Roman" w:hAnsi="Times New Roman" w:cs="David" w:hint="cs"/>
          <w:sz w:val="28"/>
          <w:szCs w:val="28"/>
          <w:rtl/>
        </w:rPr>
        <w:t xml:space="preserve"> דגימת שתן בחקירתו, גם לאחר שהוצא בעניינו צו </w:t>
      </w:r>
      <w:proofErr w:type="spellStart"/>
      <w:r>
        <w:rPr>
          <w:rFonts w:ascii="Times New Roman" w:eastAsia="Times New Roman" w:hAnsi="Times New Roman" w:cs="David" w:hint="cs"/>
          <w:sz w:val="28"/>
          <w:szCs w:val="28"/>
          <w:rtl/>
        </w:rPr>
        <w:t>קש"ב</w:t>
      </w:r>
      <w:proofErr w:type="spellEnd"/>
      <w:r>
        <w:rPr>
          <w:rFonts w:ascii="Times New Roman" w:eastAsia="Times New Roman" w:hAnsi="Times New Roman" w:cs="David" w:hint="cs"/>
          <w:sz w:val="28"/>
          <w:szCs w:val="28"/>
          <w:rtl/>
        </w:rPr>
        <w:t xml:space="preserve"> המחייבו לעשות כן. </w:t>
      </w:r>
    </w:p>
    <w:p w14:paraId="10E2FA76" w14:textId="3C3D6EBB" w:rsidR="0042453C" w:rsidRDefault="00724CC2" w:rsidP="00FD4FF0">
      <w:pPr>
        <w:numPr>
          <w:ilvl w:val="0"/>
          <w:numId w:val="1"/>
        </w:numPr>
        <w:tabs>
          <w:tab w:val="left" w:pos="282"/>
        </w:tabs>
        <w:spacing w:after="0" w:line="360" w:lineRule="auto"/>
        <w:ind w:left="-1" w:firstLine="0"/>
        <w:jc w:val="both"/>
        <w:rPr>
          <w:rFonts w:ascii="Times New Roman" w:eastAsia="Times New Roman" w:hAnsi="Times New Roman" w:cs="David"/>
          <w:sz w:val="28"/>
          <w:szCs w:val="28"/>
        </w:rPr>
      </w:pPr>
      <w:r>
        <w:rPr>
          <w:rFonts w:ascii="Times New Roman" w:eastAsia="Times New Roman" w:hAnsi="Times New Roman" w:cs="David" w:hint="cs"/>
          <w:sz w:val="28"/>
          <w:szCs w:val="28"/>
          <w:rtl/>
        </w:rPr>
        <w:t>בהחלט</w:t>
      </w:r>
      <w:r w:rsidR="001C42C1">
        <w:rPr>
          <w:rFonts w:ascii="Times New Roman" w:eastAsia="Times New Roman" w:hAnsi="Times New Roman" w:cs="David" w:hint="cs"/>
          <w:sz w:val="28"/>
          <w:szCs w:val="28"/>
          <w:rtl/>
        </w:rPr>
        <w:t xml:space="preserve">ת מעצר </w:t>
      </w:r>
      <w:r>
        <w:rPr>
          <w:rFonts w:ascii="Times New Roman" w:eastAsia="Times New Roman" w:hAnsi="Times New Roman" w:cs="David" w:hint="cs"/>
          <w:sz w:val="28"/>
          <w:szCs w:val="28"/>
          <w:rtl/>
        </w:rPr>
        <w:t xml:space="preserve">שניתנה </w:t>
      </w:r>
      <w:r w:rsidR="001C42C1">
        <w:rPr>
          <w:rFonts w:ascii="Times New Roman" w:eastAsia="Times New Roman" w:hAnsi="Times New Roman" w:cs="David" w:hint="cs"/>
          <w:sz w:val="28"/>
          <w:szCs w:val="28"/>
          <w:rtl/>
        </w:rPr>
        <w:t>בי</w:t>
      </w:r>
      <w:r>
        <w:rPr>
          <w:rFonts w:ascii="Times New Roman" w:eastAsia="Times New Roman" w:hAnsi="Times New Roman" w:cs="David" w:hint="cs"/>
          <w:sz w:val="28"/>
          <w:szCs w:val="28"/>
          <w:rtl/>
        </w:rPr>
        <w:t>ום 17 בפברואר 2025 על ידי כב' השופטת סא"ל אנסטסיה סורז'נקו, נ</w:t>
      </w:r>
      <w:r w:rsidR="001C42C1">
        <w:rPr>
          <w:rFonts w:ascii="Times New Roman" w:eastAsia="Times New Roman" w:hAnsi="Times New Roman" w:cs="David" w:hint="cs"/>
          <w:sz w:val="28"/>
          <w:szCs w:val="28"/>
          <w:rtl/>
        </w:rPr>
        <w:t>בחן</w:t>
      </w:r>
      <w:r>
        <w:rPr>
          <w:rFonts w:ascii="Times New Roman" w:eastAsia="Times New Roman" w:hAnsi="Times New Roman" w:cs="David" w:hint="cs"/>
          <w:sz w:val="28"/>
          <w:szCs w:val="28"/>
          <w:rtl/>
        </w:rPr>
        <w:t xml:space="preserve"> המסד הראייתי </w:t>
      </w:r>
      <w:r w:rsidR="004E2E91">
        <w:rPr>
          <w:rFonts w:ascii="Times New Roman" w:eastAsia="Times New Roman" w:hAnsi="Times New Roman" w:cs="David" w:hint="cs"/>
          <w:sz w:val="28"/>
          <w:szCs w:val="28"/>
          <w:rtl/>
        </w:rPr>
        <w:t>ש</w:t>
      </w:r>
      <w:r w:rsidR="001C42C1">
        <w:rPr>
          <w:rFonts w:ascii="Times New Roman" w:eastAsia="Times New Roman" w:hAnsi="Times New Roman" w:cs="David" w:hint="cs"/>
          <w:sz w:val="28"/>
          <w:szCs w:val="28"/>
          <w:rtl/>
        </w:rPr>
        <w:t>בבסיסו של כתב האישום</w:t>
      </w:r>
      <w:r w:rsidR="004E2E91">
        <w:rPr>
          <w:rFonts w:ascii="Times New Roman" w:eastAsia="Times New Roman" w:hAnsi="Times New Roman" w:cs="David" w:hint="cs"/>
          <w:sz w:val="28"/>
          <w:szCs w:val="28"/>
          <w:rtl/>
        </w:rPr>
        <w:t xml:space="preserve">. מסד זה </w:t>
      </w:r>
      <w:r w:rsidR="001C42C1">
        <w:rPr>
          <w:rFonts w:ascii="Times New Roman" w:eastAsia="Times New Roman" w:hAnsi="Times New Roman" w:cs="David" w:hint="cs"/>
          <w:sz w:val="28"/>
          <w:szCs w:val="28"/>
          <w:rtl/>
        </w:rPr>
        <w:t>כולל, בתמצית</w:t>
      </w:r>
      <w:r w:rsidR="004E2E91">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דוחות של סוכן חשאי ש</w:t>
      </w:r>
      <w:r w:rsidR="004E2E91">
        <w:rPr>
          <w:rFonts w:ascii="Times New Roman" w:eastAsia="Times New Roman" w:hAnsi="Times New Roman" w:cs="David" w:hint="cs"/>
          <w:sz w:val="28"/>
          <w:szCs w:val="28"/>
          <w:rtl/>
        </w:rPr>
        <w:t xml:space="preserve">עמד בקשר עם </w:t>
      </w:r>
      <w:r>
        <w:rPr>
          <w:rFonts w:ascii="Times New Roman" w:eastAsia="Times New Roman" w:hAnsi="Times New Roman" w:cs="David" w:hint="cs"/>
          <w:sz w:val="28"/>
          <w:szCs w:val="28"/>
          <w:rtl/>
        </w:rPr>
        <w:t>רס"ר אטיאס</w:t>
      </w:r>
      <w:r w:rsidR="001C42C1">
        <w:rPr>
          <w:rFonts w:ascii="Times New Roman" w:eastAsia="Times New Roman" w:hAnsi="Times New Roman" w:cs="David" w:hint="cs"/>
          <w:sz w:val="28"/>
          <w:szCs w:val="28"/>
          <w:rtl/>
        </w:rPr>
        <w:t xml:space="preserve">, ומהם </w:t>
      </w:r>
      <w:r>
        <w:rPr>
          <w:rFonts w:ascii="Times New Roman" w:eastAsia="Times New Roman" w:hAnsi="Times New Roman" w:cs="David" w:hint="cs"/>
          <w:sz w:val="28"/>
          <w:szCs w:val="28"/>
          <w:rtl/>
        </w:rPr>
        <w:t xml:space="preserve">עלה, כי רס"ר אטיאס מכר לו אמצעי לחימה, תוך שתיאר כי </w:t>
      </w:r>
      <w:r w:rsidR="001C42C1">
        <w:rPr>
          <w:rFonts w:ascii="Times New Roman" w:eastAsia="Times New Roman" w:hAnsi="Times New Roman" w:cs="David" w:hint="cs"/>
          <w:sz w:val="28"/>
          <w:szCs w:val="28"/>
          <w:rtl/>
        </w:rPr>
        <w:t>מקורם ב</w:t>
      </w:r>
      <w:r>
        <w:rPr>
          <w:rFonts w:ascii="Times New Roman" w:eastAsia="Times New Roman" w:hAnsi="Times New Roman" w:cs="David" w:hint="cs"/>
          <w:sz w:val="28"/>
          <w:szCs w:val="28"/>
          <w:rtl/>
        </w:rPr>
        <w:t>שטחי כינוס</w:t>
      </w:r>
      <w:r w:rsidR="001C42C1">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w:t>
      </w:r>
      <w:r w:rsidR="001C42C1">
        <w:rPr>
          <w:rFonts w:ascii="Times New Roman" w:eastAsia="Times New Roman" w:hAnsi="Times New Roman" w:cs="David" w:hint="cs"/>
          <w:sz w:val="28"/>
          <w:szCs w:val="28"/>
          <w:rtl/>
        </w:rPr>
        <w:t xml:space="preserve">משם הוציא אותם </w:t>
      </w:r>
      <w:r>
        <w:rPr>
          <w:rFonts w:ascii="Times New Roman" w:eastAsia="Times New Roman" w:hAnsi="Times New Roman" w:cs="David" w:hint="cs"/>
          <w:sz w:val="28"/>
          <w:szCs w:val="28"/>
          <w:rtl/>
        </w:rPr>
        <w:t xml:space="preserve">ביחד עם שותפו </w:t>
      </w:r>
      <w:r w:rsidR="00BB36EF">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המשיב</w:t>
      </w:r>
      <w:r w:rsidR="00BB36EF">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לדוחו</w:t>
      </w:r>
      <w:r w:rsidR="001C42C1">
        <w:rPr>
          <w:rFonts w:ascii="Times New Roman" w:eastAsia="Times New Roman" w:hAnsi="Times New Roman" w:cs="David" w:hint="cs"/>
          <w:sz w:val="28"/>
          <w:szCs w:val="28"/>
          <w:rtl/>
        </w:rPr>
        <w:t>ת</w:t>
      </w:r>
      <w:r>
        <w:rPr>
          <w:rFonts w:ascii="Times New Roman" w:eastAsia="Times New Roman" w:hAnsi="Times New Roman" w:cs="David" w:hint="cs"/>
          <w:sz w:val="28"/>
          <w:szCs w:val="28"/>
          <w:rtl/>
        </w:rPr>
        <w:t xml:space="preserve"> צורפו צילומי מסך מהשיחה של רס"ר אטיאס עם הסוכן</w:t>
      </w:r>
      <w:r w:rsidR="004E2E91">
        <w:rPr>
          <w:rFonts w:ascii="Times New Roman" w:eastAsia="Times New Roman" w:hAnsi="Times New Roman" w:cs="David" w:hint="cs"/>
          <w:sz w:val="28"/>
          <w:szCs w:val="28"/>
          <w:rtl/>
        </w:rPr>
        <w:t xml:space="preserve">; כמו כן </w:t>
      </w:r>
      <w:r w:rsidR="001C42C1">
        <w:rPr>
          <w:rFonts w:ascii="Times New Roman" w:eastAsia="Times New Roman" w:hAnsi="Times New Roman" w:cs="David" w:hint="cs"/>
          <w:sz w:val="28"/>
          <w:szCs w:val="28"/>
          <w:rtl/>
        </w:rPr>
        <w:t>בחיפוש ב</w:t>
      </w:r>
      <w:r>
        <w:rPr>
          <w:rFonts w:ascii="Times New Roman" w:eastAsia="Times New Roman" w:hAnsi="Times New Roman" w:cs="David" w:hint="cs"/>
          <w:sz w:val="28"/>
          <w:szCs w:val="28"/>
          <w:rtl/>
        </w:rPr>
        <w:t xml:space="preserve">מכשיר הטלפון של המשיב </w:t>
      </w:r>
      <w:r w:rsidR="001C42C1">
        <w:rPr>
          <w:rFonts w:ascii="Times New Roman" w:eastAsia="Times New Roman" w:hAnsi="Times New Roman" w:cs="David" w:hint="cs"/>
          <w:sz w:val="28"/>
          <w:szCs w:val="28"/>
          <w:rtl/>
        </w:rPr>
        <w:t>נמצאו</w:t>
      </w:r>
      <w:r>
        <w:rPr>
          <w:rFonts w:ascii="Times New Roman" w:eastAsia="Times New Roman" w:hAnsi="Times New Roman" w:cs="David" w:hint="cs"/>
          <w:sz w:val="28"/>
          <w:szCs w:val="28"/>
          <w:rtl/>
        </w:rPr>
        <w:t xml:space="preserve"> התכתבויות מחשידות עם רס"ר אטיאס ביחס להוצאת אמל"ח מרשות הצבא ושימוש בסם</w:t>
      </w:r>
      <w:r w:rsidR="004E2E91">
        <w:rPr>
          <w:rFonts w:ascii="Times New Roman" w:eastAsia="Times New Roman" w:hAnsi="Times New Roman" w:cs="David" w:hint="cs"/>
          <w:sz w:val="28"/>
          <w:szCs w:val="28"/>
          <w:rtl/>
        </w:rPr>
        <w:t>;</w:t>
      </w:r>
      <w:r>
        <w:rPr>
          <w:rFonts w:ascii="Times New Roman" w:eastAsia="Times New Roman" w:hAnsi="Times New Roman" w:cs="David" w:hint="cs"/>
          <w:sz w:val="28"/>
          <w:szCs w:val="28"/>
          <w:rtl/>
        </w:rPr>
        <w:t xml:space="preserve"> </w:t>
      </w:r>
      <w:r w:rsidR="00BB36EF">
        <w:rPr>
          <w:rFonts w:ascii="Times New Roman" w:eastAsia="Times New Roman" w:hAnsi="Times New Roman" w:cs="David" w:hint="cs"/>
          <w:sz w:val="28"/>
          <w:szCs w:val="28"/>
          <w:rtl/>
        </w:rPr>
        <w:t>ו</w:t>
      </w:r>
      <w:r>
        <w:rPr>
          <w:rFonts w:ascii="Times New Roman" w:eastAsia="Times New Roman" w:hAnsi="Times New Roman" w:cs="David" w:hint="cs"/>
          <w:sz w:val="28"/>
          <w:szCs w:val="28"/>
          <w:rtl/>
        </w:rPr>
        <w:t>בחיפוש ביחידתם של המשיב ורס"ר אטיאס נמצאו שטרות כסף וסמים מסוג קוקאין. רס"ר אטיאס שמר בחקירתו על זכות השתיקה ו</w:t>
      </w:r>
      <w:r w:rsidR="004E2E91">
        <w:rPr>
          <w:rFonts w:ascii="Times New Roman" w:eastAsia="Times New Roman" w:hAnsi="Times New Roman" w:cs="David" w:hint="cs"/>
          <w:sz w:val="28"/>
          <w:szCs w:val="28"/>
          <w:rtl/>
        </w:rPr>
        <w:t xml:space="preserve">אילו </w:t>
      </w:r>
      <w:r>
        <w:rPr>
          <w:rFonts w:ascii="Times New Roman" w:eastAsia="Times New Roman" w:hAnsi="Times New Roman" w:cs="David" w:hint="cs"/>
          <w:sz w:val="28"/>
          <w:szCs w:val="28"/>
          <w:rtl/>
        </w:rPr>
        <w:t>המשיב</w:t>
      </w:r>
      <w:r w:rsidR="001C42C1">
        <w:rPr>
          <w:rFonts w:ascii="Times New Roman" w:eastAsia="Times New Roman" w:hAnsi="Times New Roman" w:cs="David" w:hint="cs"/>
          <w:sz w:val="28"/>
          <w:szCs w:val="28"/>
          <w:rtl/>
        </w:rPr>
        <w:t xml:space="preserve"> אישר כי רס"ר אטיאס פנה אליו בעבר בהצעה </w:t>
      </w:r>
      <w:r w:rsidR="004E2E91">
        <w:rPr>
          <w:rFonts w:ascii="Times New Roman" w:eastAsia="Times New Roman" w:hAnsi="Times New Roman" w:cs="David" w:hint="cs"/>
          <w:sz w:val="28"/>
          <w:szCs w:val="28"/>
          <w:rtl/>
        </w:rPr>
        <w:t xml:space="preserve">כי יוציאו </w:t>
      </w:r>
      <w:r w:rsidR="001C42C1">
        <w:rPr>
          <w:rFonts w:ascii="Times New Roman" w:eastAsia="Times New Roman" w:hAnsi="Times New Roman" w:cs="David" w:hint="cs"/>
          <w:sz w:val="28"/>
          <w:szCs w:val="28"/>
          <w:rtl/>
        </w:rPr>
        <w:t>אמצעי לחימה</w:t>
      </w:r>
      <w:r w:rsidR="0068161A">
        <w:rPr>
          <w:rFonts w:ascii="Times New Roman" w:eastAsia="Times New Roman" w:hAnsi="Times New Roman" w:cs="David" w:hint="cs"/>
          <w:sz w:val="28"/>
          <w:szCs w:val="28"/>
          <w:rtl/>
        </w:rPr>
        <w:t xml:space="preserve"> מעזה</w:t>
      </w:r>
      <w:r w:rsidR="001C42C1">
        <w:rPr>
          <w:rFonts w:ascii="Times New Roman" w:eastAsia="Times New Roman" w:hAnsi="Times New Roman" w:cs="David" w:hint="cs"/>
          <w:sz w:val="28"/>
          <w:szCs w:val="28"/>
          <w:rtl/>
        </w:rPr>
        <w:t>, אך</w:t>
      </w:r>
      <w:r>
        <w:rPr>
          <w:rFonts w:ascii="Times New Roman" w:eastAsia="Times New Roman" w:hAnsi="Times New Roman" w:cs="David" w:hint="cs"/>
          <w:sz w:val="28"/>
          <w:szCs w:val="28"/>
          <w:rtl/>
        </w:rPr>
        <w:t xml:space="preserve"> </w:t>
      </w:r>
      <w:r w:rsidR="0068161A">
        <w:rPr>
          <w:rFonts w:ascii="Times New Roman" w:eastAsia="Times New Roman" w:hAnsi="Times New Roman" w:cs="David" w:hint="cs"/>
          <w:sz w:val="28"/>
          <w:szCs w:val="28"/>
          <w:rtl/>
        </w:rPr>
        <w:t>טען כי השיב בשלילה ו</w:t>
      </w:r>
      <w:r>
        <w:rPr>
          <w:rFonts w:ascii="Times New Roman" w:eastAsia="Times New Roman" w:hAnsi="Times New Roman" w:cs="David" w:hint="cs"/>
          <w:sz w:val="28"/>
          <w:szCs w:val="28"/>
          <w:rtl/>
        </w:rPr>
        <w:t xml:space="preserve">הכחיש את מעורבותו </w:t>
      </w:r>
      <w:r w:rsidR="001C42C1">
        <w:rPr>
          <w:rFonts w:ascii="Times New Roman" w:eastAsia="Times New Roman" w:hAnsi="Times New Roman" w:cs="David" w:hint="cs"/>
          <w:sz w:val="28"/>
          <w:szCs w:val="28"/>
          <w:rtl/>
        </w:rPr>
        <w:t xml:space="preserve">בעניין. לצד זאת </w:t>
      </w:r>
      <w:r>
        <w:rPr>
          <w:rFonts w:ascii="Times New Roman" w:eastAsia="Times New Roman" w:hAnsi="Times New Roman" w:cs="David" w:hint="cs"/>
          <w:sz w:val="28"/>
          <w:szCs w:val="28"/>
          <w:rtl/>
        </w:rPr>
        <w:t xml:space="preserve">הודה בשימוש בסם. בית הדין קבע כי יש ראיות לכאורה למעורבות המשיב הן בהוצאת </w:t>
      </w:r>
      <w:proofErr w:type="spellStart"/>
      <w:r>
        <w:rPr>
          <w:rFonts w:ascii="Times New Roman" w:eastAsia="Times New Roman" w:hAnsi="Times New Roman" w:cs="David" w:hint="cs"/>
          <w:sz w:val="28"/>
          <w:szCs w:val="28"/>
          <w:rtl/>
        </w:rPr>
        <w:t>האמל"ח</w:t>
      </w:r>
      <w:proofErr w:type="spellEnd"/>
      <w:r>
        <w:rPr>
          <w:rFonts w:ascii="Times New Roman" w:eastAsia="Times New Roman" w:hAnsi="Times New Roman" w:cs="David" w:hint="cs"/>
          <w:sz w:val="28"/>
          <w:szCs w:val="28"/>
          <w:rtl/>
        </w:rPr>
        <w:t xml:space="preserve"> והן בשימוש בסם, והורה על מעצרו של המשיב עד לתום ההליכים המשפטיים בעניינו. על החלטה זו לא הוגש ערעור. </w:t>
      </w:r>
    </w:p>
    <w:p w14:paraId="477ABB42" w14:textId="0124BC55" w:rsidR="00F650B4" w:rsidRDefault="0080702E" w:rsidP="00FD4FF0">
      <w:pPr>
        <w:numPr>
          <w:ilvl w:val="0"/>
          <w:numId w:val="1"/>
        </w:numPr>
        <w:tabs>
          <w:tab w:val="left" w:pos="282"/>
        </w:tabs>
        <w:spacing w:after="0" w:line="360" w:lineRule="auto"/>
        <w:ind w:left="-1" w:firstLine="0"/>
        <w:jc w:val="both"/>
        <w:rPr>
          <w:rFonts w:cs="David"/>
          <w:sz w:val="28"/>
          <w:szCs w:val="28"/>
        </w:rPr>
      </w:pPr>
      <w:r w:rsidRPr="00C5464E">
        <w:rPr>
          <w:rFonts w:cs="David" w:hint="cs"/>
          <w:sz w:val="28"/>
          <w:szCs w:val="28"/>
          <w:rtl/>
        </w:rPr>
        <w:t xml:space="preserve">המשיב כפר באשמה </w:t>
      </w:r>
      <w:r w:rsidR="005E3E53">
        <w:rPr>
          <w:rFonts w:cs="David" w:hint="cs"/>
          <w:sz w:val="28"/>
          <w:szCs w:val="28"/>
          <w:rtl/>
        </w:rPr>
        <w:t>ביום 12 בינואר 2025, ו</w:t>
      </w:r>
      <w:r w:rsidR="0042453C">
        <w:rPr>
          <w:rFonts w:cs="David" w:hint="cs"/>
          <w:sz w:val="28"/>
          <w:szCs w:val="28"/>
          <w:rtl/>
        </w:rPr>
        <w:t>ב</w:t>
      </w:r>
      <w:r w:rsidR="005E3E53">
        <w:rPr>
          <w:rFonts w:cs="David" w:hint="cs"/>
          <w:sz w:val="28"/>
          <w:szCs w:val="28"/>
          <w:rtl/>
        </w:rPr>
        <w:t xml:space="preserve">תיק התנהלו דיונים בבקשת ההגנה לקבל חומרי חקירה </w:t>
      </w:r>
      <w:r w:rsidR="0068161A">
        <w:rPr>
          <w:rFonts w:cs="David" w:hint="cs"/>
          <w:sz w:val="28"/>
          <w:szCs w:val="28"/>
          <w:rtl/>
        </w:rPr>
        <w:t>ו</w:t>
      </w:r>
      <w:r w:rsidR="005E3E53">
        <w:rPr>
          <w:rFonts w:cs="David" w:hint="cs"/>
          <w:sz w:val="28"/>
          <w:szCs w:val="28"/>
          <w:rtl/>
        </w:rPr>
        <w:t>בעתירה לגילוי ראיה חסויה</w:t>
      </w:r>
      <w:r w:rsidR="0068161A">
        <w:rPr>
          <w:rFonts w:cs="David" w:hint="cs"/>
          <w:sz w:val="28"/>
          <w:szCs w:val="28"/>
          <w:rtl/>
        </w:rPr>
        <w:t xml:space="preserve">. כמו כן </w:t>
      </w:r>
      <w:r w:rsidR="005E3E53">
        <w:rPr>
          <w:rFonts w:cs="David" w:hint="cs"/>
          <w:sz w:val="28"/>
          <w:szCs w:val="28"/>
          <w:rtl/>
        </w:rPr>
        <w:t>התנהלו ישיבות גישור בין הצדדים.</w:t>
      </w:r>
      <w:r w:rsidR="00724CC2">
        <w:rPr>
          <w:rFonts w:cs="David" w:hint="cs"/>
          <w:sz w:val="28"/>
          <w:szCs w:val="28"/>
          <w:rtl/>
        </w:rPr>
        <w:t xml:space="preserve"> בין לבין הוארך מעצרו </w:t>
      </w:r>
      <w:r w:rsidR="0068161A">
        <w:rPr>
          <w:rFonts w:cs="David" w:hint="cs"/>
          <w:sz w:val="28"/>
          <w:szCs w:val="28"/>
          <w:rtl/>
        </w:rPr>
        <w:t xml:space="preserve">של המשיב </w:t>
      </w:r>
      <w:r w:rsidR="00724CC2">
        <w:rPr>
          <w:rFonts w:cs="David" w:hint="cs"/>
          <w:sz w:val="28"/>
          <w:szCs w:val="28"/>
          <w:rtl/>
        </w:rPr>
        <w:t xml:space="preserve">על ידי בית דין זה </w:t>
      </w:r>
      <w:r w:rsidR="00155F47">
        <w:rPr>
          <w:rFonts w:cs="David" w:hint="cs"/>
          <w:sz w:val="28"/>
          <w:szCs w:val="28"/>
          <w:rtl/>
        </w:rPr>
        <w:t xml:space="preserve">בהסכמת הצדדים (ב"ש 59589-07-25 </w:t>
      </w:r>
      <w:r w:rsidR="00155F47">
        <w:rPr>
          <w:rFonts w:cs="David" w:hint="cs"/>
          <w:b/>
          <w:bCs/>
          <w:sz w:val="28"/>
          <w:szCs w:val="28"/>
          <w:rtl/>
        </w:rPr>
        <w:t>התובע הצבאי הראשי נ' רס"ר י</w:t>
      </w:r>
      <w:r w:rsidR="00A16B23">
        <w:rPr>
          <w:rFonts w:cs="David" w:hint="cs"/>
          <w:b/>
          <w:bCs/>
          <w:sz w:val="28"/>
          <w:szCs w:val="28"/>
          <w:rtl/>
        </w:rPr>
        <w:t xml:space="preserve">' </w:t>
      </w:r>
      <w:r w:rsidR="00155F47">
        <w:rPr>
          <w:rFonts w:cs="David" w:hint="cs"/>
          <w:sz w:val="28"/>
          <w:szCs w:val="28"/>
          <w:rtl/>
        </w:rPr>
        <w:t>(2025)).</w:t>
      </w:r>
      <w:r w:rsidR="005E3E53">
        <w:rPr>
          <w:rFonts w:cs="David" w:hint="cs"/>
          <w:sz w:val="28"/>
          <w:szCs w:val="28"/>
          <w:rtl/>
        </w:rPr>
        <w:t xml:space="preserve"> התיק מתנהל </w:t>
      </w:r>
      <w:r w:rsidR="004E2E91">
        <w:rPr>
          <w:rFonts w:cs="David" w:hint="cs"/>
          <w:sz w:val="28"/>
          <w:szCs w:val="28"/>
          <w:rtl/>
        </w:rPr>
        <w:t xml:space="preserve">כעת בדרך של </w:t>
      </w:r>
      <w:r w:rsidR="005E3E53">
        <w:rPr>
          <w:rFonts w:cs="David" w:hint="cs"/>
          <w:sz w:val="28"/>
          <w:szCs w:val="28"/>
          <w:rtl/>
        </w:rPr>
        <w:t>שמיעת ראיות</w:t>
      </w:r>
      <w:r w:rsidR="004E2E91">
        <w:rPr>
          <w:rFonts w:cs="David" w:hint="cs"/>
          <w:sz w:val="28"/>
          <w:szCs w:val="28"/>
          <w:rtl/>
        </w:rPr>
        <w:t xml:space="preserve">. פרשת התביעה נמצאת לקראת סיום, </w:t>
      </w:r>
      <w:r w:rsidR="005E3E53">
        <w:rPr>
          <w:rFonts w:cs="David" w:hint="cs"/>
          <w:sz w:val="28"/>
          <w:szCs w:val="28"/>
          <w:rtl/>
        </w:rPr>
        <w:t xml:space="preserve">ונותר לשמוע </w:t>
      </w:r>
      <w:r w:rsidR="0068161A">
        <w:rPr>
          <w:rFonts w:cs="David" w:hint="cs"/>
          <w:sz w:val="28"/>
          <w:szCs w:val="28"/>
          <w:rtl/>
        </w:rPr>
        <w:t xml:space="preserve">את העד האחרון </w:t>
      </w:r>
      <w:r w:rsidR="004E2E91">
        <w:rPr>
          <w:rFonts w:cs="David" w:hint="cs"/>
          <w:sz w:val="28"/>
          <w:szCs w:val="28"/>
          <w:rtl/>
        </w:rPr>
        <w:t>מטעמה</w:t>
      </w:r>
      <w:r w:rsidR="0068161A">
        <w:rPr>
          <w:rFonts w:cs="David" w:hint="cs"/>
          <w:sz w:val="28"/>
          <w:szCs w:val="28"/>
          <w:rtl/>
        </w:rPr>
        <w:t xml:space="preserve"> וכן את עדות המשיב במסגרת פרשת ההגנה. </w:t>
      </w:r>
      <w:r w:rsidR="00F650B4">
        <w:rPr>
          <w:rFonts w:cs="David" w:hint="cs"/>
          <w:sz w:val="28"/>
          <w:szCs w:val="28"/>
          <w:rtl/>
        </w:rPr>
        <w:t xml:space="preserve">לשם כך נקבעו בתיק עוד מספר מועדים לשמיעת הראיות במהלך החודשים נובמבר </w:t>
      </w:r>
      <w:r w:rsidR="0042453C">
        <w:rPr>
          <w:rFonts w:cs="David" w:hint="cs"/>
          <w:sz w:val="28"/>
          <w:szCs w:val="28"/>
          <w:rtl/>
        </w:rPr>
        <w:t>-</w:t>
      </w:r>
      <w:r w:rsidR="00F650B4">
        <w:rPr>
          <w:rFonts w:cs="David" w:hint="cs"/>
          <w:sz w:val="28"/>
          <w:szCs w:val="28"/>
          <w:rtl/>
        </w:rPr>
        <w:t xml:space="preserve"> דצמבר 2025. </w:t>
      </w:r>
      <w:r w:rsidR="0068161A">
        <w:rPr>
          <w:rFonts w:cs="David" w:hint="cs"/>
          <w:sz w:val="28"/>
          <w:szCs w:val="28"/>
          <w:rtl/>
        </w:rPr>
        <w:t xml:space="preserve">בחודש ספטמבר 2025 ביקשה ההגנה מבית הדין קמא לעיין מחדש </w:t>
      </w:r>
      <w:r w:rsidR="0068161A">
        <w:rPr>
          <w:rFonts w:cs="David" w:hint="cs"/>
          <w:sz w:val="28"/>
          <w:szCs w:val="28"/>
          <w:rtl/>
        </w:rPr>
        <w:lastRenderedPageBreak/>
        <w:t xml:space="preserve">בשאלת מעצרו של המשיב, מטעמים ראייתיים ולאור חלוף הזמן. הבקשה </w:t>
      </w:r>
      <w:r w:rsidR="00F650B4">
        <w:rPr>
          <w:rFonts w:cs="David" w:hint="cs"/>
          <w:sz w:val="28"/>
          <w:szCs w:val="28"/>
          <w:rtl/>
        </w:rPr>
        <w:t>נדונה על ידי האב"ד בתיק</w:t>
      </w:r>
      <w:r w:rsidR="00155F47">
        <w:rPr>
          <w:rFonts w:cs="David" w:hint="cs"/>
          <w:sz w:val="28"/>
          <w:szCs w:val="28"/>
          <w:rtl/>
        </w:rPr>
        <w:t>, כב' סגן הנשיא, סא"ל טובי הארט</w:t>
      </w:r>
      <w:r w:rsidR="0068161A">
        <w:rPr>
          <w:rFonts w:cs="David" w:hint="cs"/>
          <w:sz w:val="28"/>
          <w:szCs w:val="28"/>
          <w:rtl/>
        </w:rPr>
        <w:t>,</w:t>
      </w:r>
      <w:r w:rsidR="00F650B4">
        <w:rPr>
          <w:rFonts w:cs="David" w:hint="cs"/>
          <w:sz w:val="28"/>
          <w:szCs w:val="28"/>
          <w:rtl/>
        </w:rPr>
        <w:t xml:space="preserve"> ונדחתה</w:t>
      </w:r>
      <w:r w:rsidR="00B111BF">
        <w:rPr>
          <w:rFonts w:cs="David" w:hint="cs"/>
          <w:sz w:val="28"/>
          <w:szCs w:val="28"/>
          <w:rtl/>
        </w:rPr>
        <w:t xml:space="preserve"> ביום 17 בספטמבר 2025</w:t>
      </w:r>
      <w:r w:rsidR="00AC2C91">
        <w:rPr>
          <w:rFonts w:cs="David" w:hint="cs"/>
          <w:sz w:val="28"/>
          <w:szCs w:val="28"/>
          <w:rtl/>
        </w:rPr>
        <w:t>.</w:t>
      </w:r>
      <w:r w:rsidR="007F751E">
        <w:rPr>
          <w:rFonts w:cs="David" w:hint="cs"/>
          <w:sz w:val="28"/>
          <w:szCs w:val="28"/>
          <w:rtl/>
        </w:rPr>
        <w:t xml:space="preserve"> </w:t>
      </w:r>
    </w:p>
    <w:p w14:paraId="1945C00F" w14:textId="15680003" w:rsidR="00E406C7" w:rsidRDefault="0068161A" w:rsidP="00FD4FF0">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כעת עותרת</w:t>
      </w:r>
      <w:r w:rsidR="00F650B4">
        <w:rPr>
          <w:rFonts w:cs="David" w:hint="cs"/>
          <w:sz w:val="28"/>
          <w:szCs w:val="28"/>
          <w:rtl/>
        </w:rPr>
        <w:t xml:space="preserve"> התביעה להארכת המעצר כאמור</w:t>
      </w:r>
      <w:r w:rsidR="004E2E91">
        <w:rPr>
          <w:rFonts w:cs="David" w:hint="cs"/>
          <w:sz w:val="28"/>
          <w:szCs w:val="28"/>
          <w:rtl/>
        </w:rPr>
        <w:t xml:space="preserve">. התביעה ציינה כי </w:t>
      </w:r>
      <w:r w:rsidR="00F650B4">
        <w:rPr>
          <w:rFonts w:cs="David" w:hint="cs"/>
          <w:sz w:val="28"/>
          <w:szCs w:val="28"/>
          <w:rtl/>
        </w:rPr>
        <w:t xml:space="preserve">ההליך מתנהל בקצב סביר וכי עילות המעצר אינן מאפשרות </w:t>
      </w:r>
      <w:r w:rsidR="004E2E91">
        <w:rPr>
          <w:rFonts w:cs="David" w:hint="cs"/>
          <w:sz w:val="28"/>
          <w:szCs w:val="28"/>
          <w:rtl/>
        </w:rPr>
        <w:t>ל</w:t>
      </w:r>
      <w:r w:rsidR="00F650B4">
        <w:rPr>
          <w:rFonts w:cs="David" w:hint="cs"/>
          <w:sz w:val="28"/>
          <w:szCs w:val="28"/>
          <w:rtl/>
        </w:rPr>
        <w:t xml:space="preserve">הסתפק בחלופת מעצר. </w:t>
      </w:r>
      <w:r w:rsidR="00155F47">
        <w:rPr>
          <w:rFonts w:cs="David" w:hint="cs"/>
          <w:sz w:val="28"/>
          <w:szCs w:val="28"/>
          <w:rtl/>
        </w:rPr>
        <w:t>על כן</w:t>
      </w:r>
      <w:r w:rsidR="00F650B4">
        <w:rPr>
          <w:rFonts w:cs="David" w:hint="cs"/>
          <w:sz w:val="28"/>
          <w:szCs w:val="28"/>
          <w:rtl/>
        </w:rPr>
        <w:t xml:space="preserve"> התנגדה גם לבקש</w:t>
      </w:r>
      <w:r>
        <w:rPr>
          <w:rFonts w:cs="David" w:hint="cs"/>
          <w:sz w:val="28"/>
          <w:szCs w:val="28"/>
          <w:rtl/>
        </w:rPr>
        <w:t>ה</w:t>
      </w:r>
      <w:r w:rsidR="00F650B4">
        <w:rPr>
          <w:rFonts w:cs="David" w:hint="cs"/>
          <w:sz w:val="28"/>
          <w:szCs w:val="28"/>
          <w:rtl/>
        </w:rPr>
        <w:t xml:space="preserve"> </w:t>
      </w:r>
      <w:r>
        <w:rPr>
          <w:rFonts w:cs="David" w:hint="cs"/>
          <w:sz w:val="28"/>
          <w:szCs w:val="28"/>
          <w:rtl/>
        </w:rPr>
        <w:t xml:space="preserve">שהעלתה </w:t>
      </w:r>
      <w:r w:rsidR="00F650B4">
        <w:rPr>
          <w:rFonts w:cs="David" w:hint="cs"/>
          <w:sz w:val="28"/>
          <w:szCs w:val="28"/>
          <w:rtl/>
        </w:rPr>
        <w:t xml:space="preserve">ההגנה </w:t>
      </w:r>
      <w:r>
        <w:rPr>
          <w:rFonts w:cs="David" w:hint="cs"/>
          <w:sz w:val="28"/>
          <w:szCs w:val="28"/>
          <w:rtl/>
        </w:rPr>
        <w:t>בטיעוניה ל</w:t>
      </w:r>
      <w:r w:rsidR="00F650B4">
        <w:rPr>
          <w:rFonts w:cs="David" w:hint="cs"/>
          <w:sz w:val="28"/>
          <w:szCs w:val="28"/>
          <w:rtl/>
        </w:rPr>
        <w:t xml:space="preserve">הפניית המשיב לתסקיר מעצר. </w:t>
      </w:r>
    </w:p>
    <w:p w14:paraId="5130559E" w14:textId="202B84FC" w:rsidR="00F650B4" w:rsidRDefault="00F650B4" w:rsidP="00FD4FF0">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ההגנה</w:t>
      </w:r>
      <w:r w:rsidR="0068161A">
        <w:rPr>
          <w:rFonts w:cs="David" w:hint="cs"/>
          <w:sz w:val="28"/>
          <w:szCs w:val="28"/>
          <w:rtl/>
        </w:rPr>
        <w:t xml:space="preserve">, מבקשת כאמור, להפנות את </w:t>
      </w:r>
      <w:r>
        <w:rPr>
          <w:rFonts w:cs="David" w:hint="cs"/>
          <w:sz w:val="28"/>
          <w:szCs w:val="28"/>
          <w:rtl/>
        </w:rPr>
        <w:t xml:space="preserve"> המשיב ל</w:t>
      </w:r>
      <w:r w:rsidR="00F412C6">
        <w:rPr>
          <w:rFonts w:cs="David" w:hint="cs"/>
          <w:sz w:val="28"/>
          <w:szCs w:val="28"/>
          <w:rtl/>
        </w:rPr>
        <w:t>שירות המבחן לשם עריכת תסקיר מעצר</w:t>
      </w:r>
      <w:r w:rsidR="004E2E91">
        <w:rPr>
          <w:rFonts w:cs="David" w:hint="cs"/>
          <w:sz w:val="28"/>
          <w:szCs w:val="28"/>
          <w:rtl/>
        </w:rPr>
        <w:t xml:space="preserve">. נטען, כי </w:t>
      </w:r>
      <w:r w:rsidR="0068161A">
        <w:rPr>
          <w:rFonts w:cs="David" w:hint="cs"/>
          <w:sz w:val="28"/>
          <w:szCs w:val="28"/>
          <w:rtl/>
        </w:rPr>
        <w:t>כעת, מ</w:t>
      </w:r>
      <w:r w:rsidR="00F412C6">
        <w:rPr>
          <w:rFonts w:cs="David" w:hint="cs"/>
          <w:sz w:val="28"/>
          <w:szCs w:val="28"/>
          <w:rtl/>
        </w:rPr>
        <w:t>שפרשת התביעה קרבה לסיומה ניתן ל</w:t>
      </w:r>
      <w:r w:rsidR="0068161A">
        <w:rPr>
          <w:rFonts w:cs="David" w:hint="cs"/>
          <w:sz w:val="28"/>
          <w:szCs w:val="28"/>
          <w:rtl/>
        </w:rPr>
        <w:t>התרשם</w:t>
      </w:r>
      <w:r w:rsidR="00F412C6">
        <w:rPr>
          <w:rFonts w:cs="David" w:hint="cs"/>
          <w:sz w:val="28"/>
          <w:szCs w:val="28"/>
          <w:rtl/>
        </w:rPr>
        <w:t xml:space="preserve"> כי חל </w:t>
      </w:r>
      <w:r w:rsidR="0068161A">
        <w:rPr>
          <w:rFonts w:cs="David" w:hint="cs"/>
          <w:sz w:val="28"/>
          <w:szCs w:val="28"/>
          <w:rtl/>
        </w:rPr>
        <w:t>"</w:t>
      </w:r>
      <w:r w:rsidR="00F412C6">
        <w:rPr>
          <w:rFonts w:cs="David" w:hint="cs"/>
          <w:sz w:val="28"/>
          <w:szCs w:val="28"/>
          <w:rtl/>
        </w:rPr>
        <w:t>כרסום ראייתי</w:t>
      </w:r>
      <w:r w:rsidR="0068161A">
        <w:rPr>
          <w:rFonts w:cs="David" w:hint="cs"/>
          <w:sz w:val="28"/>
          <w:szCs w:val="28"/>
          <w:rtl/>
        </w:rPr>
        <w:t>"</w:t>
      </w:r>
      <w:r w:rsidR="00F412C6">
        <w:rPr>
          <w:rFonts w:cs="David" w:hint="cs"/>
          <w:sz w:val="28"/>
          <w:szCs w:val="28"/>
          <w:rtl/>
        </w:rPr>
        <w:t xml:space="preserve"> משמעותי</w:t>
      </w:r>
      <w:r w:rsidR="000A04D9">
        <w:rPr>
          <w:rFonts w:cs="David" w:hint="cs"/>
          <w:sz w:val="28"/>
          <w:szCs w:val="28"/>
          <w:rtl/>
        </w:rPr>
        <w:t>, משהמפליל המרכזי בעניינו של המשיב, שותפו לדבר עבירה, לא שב על ההפללה שמסר במצ"ח במהלך עדותו בבית הדין</w:t>
      </w:r>
      <w:r w:rsidR="0068161A">
        <w:rPr>
          <w:rFonts w:cs="David" w:hint="cs"/>
          <w:sz w:val="28"/>
          <w:szCs w:val="28"/>
          <w:rtl/>
        </w:rPr>
        <w:t xml:space="preserve">. </w:t>
      </w:r>
      <w:r w:rsidR="00F412C6">
        <w:rPr>
          <w:rFonts w:cs="David" w:hint="cs"/>
          <w:sz w:val="28"/>
          <w:szCs w:val="28"/>
          <w:rtl/>
        </w:rPr>
        <w:t xml:space="preserve">לאור האמור, </w:t>
      </w:r>
      <w:r w:rsidR="00BE2840">
        <w:rPr>
          <w:rFonts w:cs="David" w:hint="cs"/>
          <w:sz w:val="28"/>
          <w:szCs w:val="28"/>
          <w:rtl/>
        </w:rPr>
        <w:t>בהתחשב ב</w:t>
      </w:r>
      <w:r w:rsidR="00F412C6">
        <w:rPr>
          <w:rFonts w:cs="David" w:hint="cs"/>
          <w:sz w:val="28"/>
          <w:szCs w:val="28"/>
          <w:rtl/>
        </w:rPr>
        <w:t xml:space="preserve">חלוף הזמן, </w:t>
      </w:r>
      <w:r w:rsidR="0068161A">
        <w:rPr>
          <w:rFonts w:cs="David" w:hint="cs"/>
          <w:sz w:val="28"/>
          <w:szCs w:val="28"/>
          <w:rtl/>
        </w:rPr>
        <w:t>סב</w:t>
      </w:r>
      <w:r w:rsidR="00BE2840">
        <w:rPr>
          <w:rFonts w:cs="David" w:hint="cs"/>
          <w:sz w:val="28"/>
          <w:szCs w:val="28"/>
          <w:rtl/>
        </w:rPr>
        <w:t>ו</w:t>
      </w:r>
      <w:r w:rsidR="0068161A">
        <w:rPr>
          <w:rFonts w:cs="David" w:hint="cs"/>
          <w:sz w:val="28"/>
          <w:szCs w:val="28"/>
          <w:rtl/>
        </w:rPr>
        <w:t xml:space="preserve">רה </w:t>
      </w:r>
      <w:r w:rsidR="00BE2840">
        <w:rPr>
          <w:rFonts w:cs="David" w:hint="cs"/>
          <w:sz w:val="28"/>
          <w:szCs w:val="28"/>
          <w:rtl/>
        </w:rPr>
        <w:t xml:space="preserve">ההגנה </w:t>
      </w:r>
      <w:r w:rsidR="0068161A">
        <w:rPr>
          <w:rFonts w:cs="David" w:hint="cs"/>
          <w:sz w:val="28"/>
          <w:szCs w:val="28"/>
          <w:rtl/>
        </w:rPr>
        <w:t xml:space="preserve">כי בשלה העת לבחון את </w:t>
      </w:r>
      <w:r w:rsidR="00F412C6">
        <w:rPr>
          <w:rFonts w:cs="David" w:hint="cs"/>
          <w:sz w:val="28"/>
          <w:szCs w:val="28"/>
          <w:rtl/>
        </w:rPr>
        <w:t xml:space="preserve">התאמתו </w:t>
      </w:r>
      <w:r w:rsidR="0068161A">
        <w:rPr>
          <w:rFonts w:cs="David" w:hint="cs"/>
          <w:sz w:val="28"/>
          <w:szCs w:val="28"/>
          <w:rtl/>
        </w:rPr>
        <w:t>של המשיב לשחרור</w:t>
      </w:r>
      <w:r w:rsidR="00BE2840">
        <w:rPr>
          <w:rFonts w:cs="David" w:hint="cs"/>
          <w:sz w:val="28"/>
          <w:szCs w:val="28"/>
          <w:rtl/>
        </w:rPr>
        <w:t>ו</w:t>
      </w:r>
      <w:r w:rsidR="0068161A">
        <w:rPr>
          <w:rFonts w:cs="David" w:hint="cs"/>
          <w:sz w:val="28"/>
          <w:szCs w:val="28"/>
          <w:rtl/>
        </w:rPr>
        <w:t xml:space="preserve"> </w:t>
      </w:r>
      <w:r w:rsidR="00F412C6">
        <w:rPr>
          <w:rFonts w:cs="David" w:hint="cs"/>
          <w:sz w:val="28"/>
          <w:szCs w:val="28"/>
          <w:rtl/>
        </w:rPr>
        <w:t xml:space="preserve">לחלופת מעצר. </w:t>
      </w:r>
    </w:p>
    <w:p w14:paraId="0716EDB8" w14:textId="15AA665E" w:rsidR="00F412C6" w:rsidRPr="00BE2840" w:rsidRDefault="00F412C6" w:rsidP="00FD4FF0">
      <w:pPr>
        <w:tabs>
          <w:tab w:val="left" w:pos="282"/>
        </w:tabs>
        <w:spacing w:after="0" w:line="360" w:lineRule="auto"/>
        <w:jc w:val="both"/>
        <w:rPr>
          <w:rFonts w:cs="David"/>
          <w:sz w:val="28"/>
          <w:szCs w:val="28"/>
          <w:rtl/>
        </w:rPr>
      </w:pPr>
    </w:p>
    <w:p w14:paraId="4525D24E" w14:textId="74B2F17D" w:rsidR="00F412C6" w:rsidRPr="00F412C6" w:rsidRDefault="00F412C6" w:rsidP="00FD4FF0">
      <w:pPr>
        <w:tabs>
          <w:tab w:val="left" w:pos="282"/>
        </w:tabs>
        <w:spacing w:after="0" w:line="360" w:lineRule="auto"/>
        <w:jc w:val="both"/>
        <w:rPr>
          <w:rFonts w:cs="David"/>
          <w:b/>
          <w:bCs/>
          <w:sz w:val="28"/>
          <w:szCs w:val="28"/>
          <w:u w:val="single"/>
        </w:rPr>
      </w:pPr>
      <w:r>
        <w:rPr>
          <w:rFonts w:cs="David" w:hint="cs"/>
          <w:b/>
          <w:bCs/>
          <w:sz w:val="28"/>
          <w:szCs w:val="28"/>
          <w:u w:val="single"/>
          <w:rtl/>
        </w:rPr>
        <w:t>דיון והכרעה</w:t>
      </w:r>
    </w:p>
    <w:p w14:paraId="454D6946" w14:textId="45CC8962" w:rsidR="005E3E53" w:rsidRDefault="005E3E53" w:rsidP="00FD4FF0">
      <w:pPr>
        <w:tabs>
          <w:tab w:val="left" w:pos="282"/>
        </w:tabs>
        <w:spacing w:after="0" w:line="360" w:lineRule="auto"/>
        <w:jc w:val="both"/>
        <w:rPr>
          <w:rFonts w:cs="David"/>
          <w:sz w:val="28"/>
          <w:szCs w:val="28"/>
          <w:rtl/>
        </w:rPr>
      </w:pPr>
    </w:p>
    <w:p w14:paraId="43091FD0" w14:textId="2BCB4F30" w:rsidR="00155F47" w:rsidRDefault="005E3E53" w:rsidP="00FD4FF0">
      <w:pPr>
        <w:numPr>
          <w:ilvl w:val="0"/>
          <w:numId w:val="1"/>
        </w:numPr>
        <w:tabs>
          <w:tab w:val="left" w:pos="-58"/>
          <w:tab w:val="left" w:pos="226"/>
          <w:tab w:val="left" w:pos="368"/>
          <w:tab w:val="left" w:pos="935"/>
        </w:tabs>
        <w:spacing w:after="0" w:line="360" w:lineRule="auto"/>
        <w:ind w:left="-58" w:firstLine="0"/>
        <w:jc w:val="both"/>
        <w:rPr>
          <w:rFonts w:cs="David"/>
          <w:sz w:val="28"/>
          <w:szCs w:val="28"/>
        </w:rPr>
      </w:pPr>
      <w:r w:rsidRPr="00155F47">
        <w:rPr>
          <w:rFonts w:cs="David" w:hint="cs"/>
          <w:sz w:val="28"/>
          <w:szCs w:val="28"/>
          <w:rtl/>
        </w:rPr>
        <w:t>כידוע, ב</w:t>
      </w:r>
      <w:r w:rsidR="00BE2840">
        <w:rPr>
          <w:rFonts w:cs="David" w:hint="cs"/>
          <w:sz w:val="28"/>
          <w:szCs w:val="28"/>
          <w:rtl/>
        </w:rPr>
        <w:t xml:space="preserve">שאלת הארכת המעצר לפי </w:t>
      </w:r>
      <w:r w:rsidRPr="00155F47">
        <w:rPr>
          <w:rFonts w:cs="David" w:hint="cs"/>
          <w:sz w:val="28"/>
          <w:szCs w:val="28"/>
          <w:rtl/>
        </w:rPr>
        <w:t xml:space="preserve">סעיף 62 </w:t>
      </w:r>
      <w:r w:rsidRPr="00155F47">
        <w:rPr>
          <w:rFonts w:ascii="David" w:hAnsi="David" w:cs="David" w:hint="cs"/>
          <w:sz w:val="28"/>
          <w:szCs w:val="28"/>
          <w:rtl/>
        </w:rPr>
        <w:t xml:space="preserve">לחוק סדר הדין הפלילי (סמכויות אכיפה </w:t>
      </w:r>
      <w:r w:rsidR="00BB36EF">
        <w:rPr>
          <w:rFonts w:ascii="David" w:hAnsi="David" w:cs="David" w:hint="cs"/>
          <w:sz w:val="28"/>
          <w:szCs w:val="28"/>
          <w:rtl/>
        </w:rPr>
        <w:t>-</w:t>
      </w:r>
      <w:r w:rsidRPr="00155F47">
        <w:rPr>
          <w:rFonts w:ascii="David" w:hAnsi="David" w:cs="David" w:hint="cs"/>
          <w:sz w:val="28"/>
          <w:szCs w:val="28"/>
          <w:rtl/>
        </w:rPr>
        <w:t xml:space="preserve"> מעצרים)</w:t>
      </w:r>
      <w:r w:rsidRPr="00155F47">
        <w:rPr>
          <w:rFonts w:cs="David" w:hint="cs"/>
          <w:sz w:val="28"/>
          <w:szCs w:val="28"/>
          <w:rtl/>
        </w:rPr>
        <w:t xml:space="preserve"> (שהוחל, כאמור, בשינויים המחויבים, בסעיף 243ב לחוק השיפוט הצבאי) יש לאזן בין הפגיעה המתמשכת בחירותו של הנאשם לבין הצורך בהגנה על שלום הציבור ובטחונו והצורך להגן על תקינות ההליך הפלילי, וזאת בדרך של התחשבות בחלוף הזמן מאז הושם הנאשם במעצר; חומרת העבירות המיוחסות לנאשם ונסיבותיהן; מידת המסוכנות הנשקפת ממנו; וכן החשש מפני שיבוש הליכי משפט (</w:t>
      </w:r>
      <w:proofErr w:type="spellStart"/>
      <w:r w:rsidRPr="00155F47">
        <w:rPr>
          <w:rFonts w:cs="David" w:hint="cs"/>
          <w:sz w:val="28"/>
          <w:szCs w:val="28"/>
          <w:rtl/>
        </w:rPr>
        <w:t>בש"פ</w:t>
      </w:r>
      <w:proofErr w:type="spellEnd"/>
      <w:r w:rsidRPr="00155F47">
        <w:rPr>
          <w:rFonts w:cs="David" w:hint="cs"/>
          <w:sz w:val="28"/>
          <w:szCs w:val="28"/>
          <w:rtl/>
        </w:rPr>
        <w:t xml:space="preserve"> 7430/21 </w:t>
      </w:r>
      <w:r w:rsidRPr="00155F47">
        <w:rPr>
          <w:rFonts w:cs="David" w:hint="cs"/>
          <w:b/>
          <w:bCs/>
          <w:sz w:val="28"/>
          <w:szCs w:val="28"/>
          <w:rtl/>
        </w:rPr>
        <w:t>מדינת ישראל נ' פלוני</w:t>
      </w:r>
      <w:r w:rsidRPr="00155F47">
        <w:rPr>
          <w:rFonts w:cs="David"/>
          <w:sz w:val="28"/>
          <w:szCs w:val="28"/>
          <w:rtl/>
        </w:rPr>
        <w:t>,</w:t>
      </w:r>
      <w:r w:rsidRPr="00155F47">
        <w:rPr>
          <w:rFonts w:cs="David" w:hint="cs"/>
          <w:b/>
          <w:bCs/>
          <w:sz w:val="28"/>
          <w:szCs w:val="28"/>
          <w:rtl/>
        </w:rPr>
        <w:t xml:space="preserve"> </w:t>
      </w:r>
      <w:r w:rsidRPr="00155F47">
        <w:rPr>
          <w:rFonts w:cs="David" w:hint="cs"/>
          <w:sz w:val="28"/>
          <w:szCs w:val="28"/>
          <w:rtl/>
        </w:rPr>
        <w:t xml:space="preserve">פסקה 12 </w:t>
      </w:r>
      <w:r w:rsidRPr="00155F47">
        <w:rPr>
          <w:rFonts w:cs="David" w:hint="cs"/>
          <w:b/>
          <w:bCs/>
          <w:sz w:val="28"/>
          <w:szCs w:val="28"/>
          <w:rtl/>
        </w:rPr>
        <w:t xml:space="preserve"> </w:t>
      </w:r>
      <w:r w:rsidRPr="00155F47">
        <w:rPr>
          <w:rFonts w:cs="David" w:hint="cs"/>
          <w:sz w:val="28"/>
          <w:szCs w:val="28"/>
          <w:rtl/>
        </w:rPr>
        <w:t>(</w:t>
      </w:r>
      <w:r w:rsidR="0056423D">
        <w:rPr>
          <w:rFonts w:cs="David" w:hint="cs"/>
          <w:sz w:val="28"/>
          <w:szCs w:val="28"/>
          <w:rtl/>
        </w:rPr>
        <w:t>18.11.2021</w:t>
      </w:r>
      <w:r w:rsidRPr="00155F47">
        <w:rPr>
          <w:rFonts w:cs="David" w:hint="cs"/>
          <w:sz w:val="28"/>
          <w:szCs w:val="28"/>
          <w:rtl/>
        </w:rPr>
        <w:t xml:space="preserve">); </w:t>
      </w:r>
      <w:proofErr w:type="spellStart"/>
      <w:r w:rsidRPr="00155F47">
        <w:rPr>
          <w:rFonts w:cs="David" w:hint="cs"/>
          <w:sz w:val="28"/>
          <w:szCs w:val="28"/>
          <w:rtl/>
        </w:rPr>
        <w:t>בש"פ</w:t>
      </w:r>
      <w:proofErr w:type="spellEnd"/>
      <w:r w:rsidRPr="00155F47">
        <w:rPr>
          <w:rFonts w:cs="David" w:hint="cs"/>
          <w:sz w:val="28"/>
          <w:szCs w:val="28"/>
          <w:rtl/>
        </w:rPr>
        <w:t xml:space="preserve"> 85/21 </w:t>
      </w:r>
      <w:r w:rsidRPr="00155F47">
        <w:rPr>
          <w:rFonts w:cs="David" w:hint="cs"/>
          <w:b/>
          <w:bCs/>
          <w:sz w:val="28"/>
          <w:szCs w:val="28"/>
          <w:rtl/>
        </w:rPr>
        <w:t xml:space="preserve">מדינת ישראל נ' </w:t>
      </w:r>
      <w:proofErr w:type="spellStart"/>
      <w:r w:rsidRPr="00155F47">
        <w:rPr>
          <w:rFonts w:cs="David" w:hint="cs"/>
          <w:b/>
          <w:bCs/>
          <w:sz w:val="28"/>
          <w:szCs w:val="28"/>
          <w:rtl/>
        </w:rPr>
        <w:t>מחאג'נה</w:t>
      </w:r>
      <w:proofErr w:type="spellEnd"/>
      <w:r w:rsidRPr="00155F47">
        <w:rPr>
          <w:rFonts w:cs="David" w:hint="cs"/>
          <w:sz w:val="28"/>
          <w:szCs w:val="28"/>
          <w:rtl/>
        </w:rPr>
        <w:t>, פסקה 10 (</w:t>
      </w:r>
      <w:r w:rsidR="0056423D">
        <w:rPr>
          <w:rFonts w:cs="David" w:hint="cs"/>
          <w:sz w:val="28"/>
          <w:szCs w:val="28"/>
          <w:rtl/>
        </w:rPr>
        <w:t>19.1.2021</w:t>
      </w:r>
      <w:r w:rsidRPr="00155F47">
        <w:rPr>
          <w:rFonts w:cs="David" w:hint="cs"/>
          <w:sz w:val="28"/>
          <w:szCs w:val="28"/>
          <w:rtl/>
        </w:rPr>
        <w:t xml:space="preserve">); ב"ש 15/21 </w:t>
      </w:r>
      <w:r w:rsidRPr="00155F47">
        <w:rPr>
          <w:rFonts w:cs="David" w:hint="cs"/>
          <w:b/>
          <w:bCs/>
          <w:sz w:val="28"/>
          <w:szCs w:val="28"/>
          <w:rtl/>
        </w:rPr>
        <w:t xml:space="preserve">התובע הצבאי הראשי נ' רס"ר </w:t>
      </w:r>
      <w:proofErr w:type="spellStart"/>
      <w:r w:rsidRPr="00155F47">
        <w:rPr>
          <w:rFonts w:cs="David" w:hint="cs"/>
          <w:b/>
          <w:bCs/>
          <w:sz w:val="28"/>
          <w:szCs w:val="28"/>
          <w:rtl/>
        </w:rPr>
        <w:t>שיליאן</w:t>
      </w:r>
      <w:proofErr w:type="spellEnd"/>
      <w:r w:rsidRPr="00155F47">
        <w:rPr>
          <w:rFonts w:cs="David" w:hint="cs"/>
          <w:sz w:val="28"/>
          <w:szCs w:val="28"/>
          <w:rtl/>
        </w:rPr>
        <w:t xml:space="preserve"> (2021); ב"ש 7/22 </w:t>
      </w:r>
      <w:r w:rsidRPr="00155F47">
        <w:rPr>
          <w:rFonts w:cs="David" w:hint="cs"/>
          <w:b/>
          <w:bCs/>
          <w:sz w:val="28"/>
          <w:szCs w:val="28"/>
          <w:rtl/>
        </w:rPr>
        <w:t>התובע הצבאי הראשי נ' סמל יגר</w:t>
      </w:r>
      <w:r w:rsidRPr="00155F47">
        <w:rPr>
          <w:rFonts w:cs="David" w:hint="cs"/>
          <w:sz w:val="28"/>
          <w:szCs w:val="28"/>
          <w:rtl/>
        </w:rPr>
        <w:t>, פסקה 9</w:t>
      </w:r>
      <w:r w:rsidRPr="00155F47">
        <w:rPr>
          <w:rFonts w:cs="David" w:hint="cs"/>
          <w:b/>
          <w:bCs/>
          <w:sz w:val="28"/>
          <w:szCs w:val="28"/>
          <w:rtl/>
        </w:rPr>
        <w:t xml:space="preserve"> </w:t>
      </w:r>
      <w:r w:rsidRPr="00155F47">
        <w:rPr>
          <w:rFonts w:cs="David" w:hint="cs"/>
          <w:sz w:val="28"/>
          <w:szCs w:val="28"/>
          <w:rtl/>
        </w:rPr>
        <w:t xml:space="preserve">(2022)). </w:t>
      </w:r>
      <w:r w:rsidR="00BE2840">
        <w:rPr>
          <w:rFonts w:cs="David" w:hint="cs"/>
          <w:sz w:val="28"/>
          <w:szCs w:val="28"/>
          <w:rtl/>
        </w:rPr>
        <w:t xml:space="preserve">בחינה זו נועדה </w:t>
      </w:r>
      <w:r w:rsidRPr="00155F47">
        <w:rPr>
          <w:rFonts w:cs="David" w:hint="cs"/>
          <w:sz w:val="28"/>
          <w:szCs w:val="28"/>
          <w:rtl/>
        </w:rPr>
        <w:t xml:space="preserve"> לקיים מנגנון של ביקורת שיפוטית על הליכי מעצר ממושכים, תוך בחינה</w:t>
      </w:r>
      <w:r w:rsidR="00BE2840">
        <w:rPr>
          <w:rFonts w:cs="David" w:hint="cs"/>
          <w:sz w:val="28"/>
          <w:szCs w:val="28"/>
          <w:rtl/>
        </w:rPr>
        <w:t>,</w:t>
      </w:r>
      <w:r w:rsidRPr="00155F47">
        <w:rPr>
          <w:rFonts w:cs="David" w:hint="cs"/>
          <w:sz w:val="28"/>
          <w:szCs w:val="28"/>
          <w:rtl/>
        </w:rPr>
        <w:t xml:space="preserve"> בין ה</w:t>
      </w:r>
      <w:r w:rsidR="00BE2840">
        <w:rPr>
          <w:rFonts w:cs="David" w:hint="cs"/>
          <w:sz w:val="28"/>
          <w:szCs w:val="28"/>
          <w:rtl/>
        </w:rPr>
        <w:t xml:space="preserve">יתר, </w:t>
      </w:r>
      <w:r w:rsidRPr="00155F47">
        <w:rPr>
          <w:rFonts w:cs="David" w:hint="cs"/>
          <w:sz w:val="28"/>
          <w:szCs w:val="28"/>
          <w:rtl/>
        </w:rPr>
        <w:t>של קצב התקדמות ההליך המשפטי בעניינו וצפי התמשכותו בעתיד (</w:t>
      </w:r>
      <w:proofErr w:type="spellStart"/>
      <w:r w:rsidRPr="00155F47">
        <w:rPr>
          <w:rFonts w:cs="David" w:hint="cs"/>
          <w:sz w:val="28"/>
          <w:szCs w:val="28"/>
          <w:rtl/>
        </w:rPr>
        <w:t>בש"פ</w:t>
      </w:r>
      <w:proofErr w:type="spellEnd"/>
      <w:r w:rsidRPr="00155F47">
        <w:rPr>
          <w:rFonts w:cs="David" w:hint="cs"/>
          <w:sz w:val="28"/>
          <w:szCs w:val="28"/>
          <w:rtl/>
        </w:rPr>
        <w:t xml:space="preserve"> 4661/21 </w:t>
      </w:r>
      <w:r w:rsidRPr="00155F47">
        <w:rPr>
          <w:rFonts w:cs="David" w:hint="cs"/>
          <w:b/>
          <w:bCs/>
          <w:sz w:val="28"/>
          <w:szCs w:val="28"/>
          <w:rtl/>
        </w:rPr>
        <w:t>ראובן נ' מדינת ישראל</w:t>
      </w:r>
      <w:r w:rsidRPr="00155F47">
        <w:rPr>
          <w:rFonts w:cs="David" w:hint="cs"/>
          <w:sz w:val="28"/>
          <w:szCs w:val="28"/>
          <w:rtl/>
        </w:rPr>
        <w:t xml:space="preserve">, פסקה 7 (25.7.2021); ב"ש 107/22  </w:t>
      </w:r>
      <w:r w:rsidRPr="00155F47">
        <w:rPr>
          <w:rFonts w:cs="David" w:hint="cs"/>
          <w:b/>
          <w:bCs/>
          <w:sz w:val="28"/>
          <w:szCs w:val="28"/>
          <w:rtl/>
        </w:rPr>
        <w:t>סא"ל דן שרוני נ' התובע הצבאי הראשי</w:t>
      </w:r>
      <w:r w:rsidRPr="00155F47">
        <w:rPr>
          <w:rFonts w:cs="David" w:hint="cs"/>
          <w:sz w:val="28"/>
          <w:szCs w:val="28"/>
          <w:rtl/>
        </w:rPr>
        <w:t xml:space="preserve">, פסקאות </w:t>
      </w:r>
      <w:r w:rsidR="00BE2840">
        <w:rPr>
          <w:rFonts w:cs="David" w:hint="cs"/>
          <w:sz w:val="28"/>
          <w:szCs w:val="28"/>
          <w:rtl/>
        </w:rPr>
        <w:t>20</w:t>
      </w:r>
      <w:r w:rsidRPr="00155F47">
        <w:rPr>
          <w:rFonts w:cs="David" w:hint="cs"/>
          <w:sz w:val="28"/>
          <w:szCs w:val="28"/>
          <w:rtl/>
        </w:rPr>
        <w:t>-</w:t>
      </w:r>
      <w:r w:rsidR="00BE2840">
        <w:rPr>
          <w:rFonts w:cs="David" w:hint="cs"/>
          <w:sz w:val="28"/>
          <w:szCs w:val="28"/>
          <w:rtl/>
        </w:rPr>
        <w:t>18</w:t>
      </w:r>
      <w:r w:rsidRPr="00155F47">
        <w:rPr>
          <w:rFonts w:cs="David" w:hint="cs"/>
          <w:sz w:val="28"/>
          <w:szCs w:val="28"/>
          <w:rtl/>
        </w:rPr>
        <w:t xml:space="preserve"> (2023)). עולה מהאמור כי מטרתה של סמכות ייחודית זו היא לבקר ולבחון את קצב התקדמות ההליכים בעניינם של עצורים, ואין מדובר בערעור נוסף על החלטת המעצר במסגרת ההליך העיקרי (</w:t>
      </w:r>
      <w:proofErr w:type="spellStart"/>
      <w:r w:rsidRPr="00155F47">
        <w:rPr>
          <w:rFonts w:cs="David" w:hint="cs"/>
          <w:sz w:val="28"/>
          <w:szCs w:val="28"/>
          <w:rtl/>
        </w:rPr>
        <w:t>בש"פ</w:t>
      </w:r>
      <w:proofErr w:type="spellEnd"/>
      <w:r w:rsidRPr="00155F47">
        <w:rPr>
          <w:rFonts w:cs="David" w:hint="cs"/>
          <w:sz w:val="28"/>
          <w:szCs w:val="28"/>
          <w:rtl/>
        </w:rPr>
        <w:t xml:space="preserve"> 938/19 </w:t>
      </w:r>
      <w:r w:rsidRPr="00155F47">
        <w:rPr>
          <w:rFonts w:cs="David" w:hint="cs"/>
          <w:b/>
          <w:bCs/>
          <w:sz w:val="28"/>
          <w:szCs w:val="28"/>
          <w:rtl/>
        </w:rPr>
        <w:t xml:space="preserve">מדינת ישראל נ' רוחן, </w:t>
      </w:r>
      <w:r w:rsidRPr="00155F47">
        <w:rPr>
          <w:rFonts w:cs="David" w:hint="cs"/>
          <w:sz w:val="28"/>
          <w:szCs w:val="28"/>
          <w:rtl/>
        </w:rPr>
        <w:t>פסקה 18</w:t>
      </w:r>
      <w:r w:rsidRPr="00155F47">
        <w:rPr>
          <w:rFonts w:cs="David" w:hint="cs"/>
          <w:b/>
          <w:bCs/>
          <w:sz w:val="28"/>
          <w:szCs w:val="28"/>
          <w:rtl/>
        </w:rPr>
        <w:t xml:space="preserve"> </w:t>
      </w:r>
      <w:r w:rsidRPr="00155F47">
        <w:rPr>
          <w:rFonts w:cs="David" w:hint="cs"/>
          <w:sz w:val="28"/>
          <w:szCs w:val="28"/>
          <w:rtl/>
        </w:rPr>
        <w:t>(</w:t>
      </w:r>
      <w:r w:rsidR="0056423D">
        <w:rPr>
          <w:rFonts w:cs="David" w:hint="cs"/>
          <w:sz w:val="28"/>
          <w:szCs w:val="28"/>
          <w:rtl/>
        </w:rPr>
        <w:t>16.4.2019</w:t>
      </w:r>
      <w:r w:rsidRPr="00155F47">
        <w:rPr>
          <w:rFonts w:cs="David" w:hint="cs"/>
          <w:sz w:val="28"/>
          <w:szCs w:val="28"/>
          <w:rtl/>
        </w:rPr>
        <w:t xml:space="preserve">); ב"ש 107/22 </w:t>
      </w:r>
      <w:r w:rsidRPr="00155F47">
        <w:rPr>
          <w:rFonts w:cs="David" w:hint="cs"/>
          <w:b/>
          <w:bCs/>
          <w:sz w:val="28"/>
          <w:szCs w:val="28"/>
          <w:rtl/>
        </w:rPr>
        <w:t xml:space="preserve">סא"ל שרוני </w:t>
      </w:r>
      <w:r w:rsidRPr="00155F47">
        <w:rPr>
          <w:rFonts w:cs="David" w:hint="cs"/>
          <w:sz w:val="28"/>
          <w:szCs w:val="28"/>
          <w:rtl/>
        </w:rPr>
        <w:t xml:space="preserve">הנ"ל, פסקה 26). </w:t>
      </w:r>
    </w:p>
    <w:p w14:paraId="2B87C753" w14:textId="039EC69C" w:rsidR="0068161A" w:rsidRDefault="00155F47" w:rsidP="00FD4FF0">
      <w:pPr>
        <w:numPr>
          <w:ilvl w:val="0"/>
          <w:numId w:val="1"/>
        </w:numPr>
        <w:tabs>
          <w:tab w:val="left" w:pos="-58"/>
          <w:tab w:val="left" w:pos="226"/>
          <w:tab w:val="left" w:pos="368"/>
          <w:tab w:val="left" w:pos="935"/>
        </w:tabs>
        <w:spacing w:after="0" w:line="360" w:lineRule="auto"/>
        <w:ind w:left="-58" w:firstLine="0"/>
        <w:jc w:val="both"/>
        <w:rPr>
          <w:rFonts w:cs="David"/>
          <w:sz w:val="28"/>
          <w:szCs w:val="28"/>
        </w:rPr>
      </w:pPr>
      <w:r w:rsidRPr="00155F47">
        <w:rPr>
          <w:rFonts w:cs="David" w:hint="cs"/>
          <w:sz w:val="28"/>
          <w:szCs w:val="28"/>
          <w:rtl/>
        </w:rPr>
        <w:t xml:space="preserve">לאור האמור, </w:t>
      </w:r>
      <w:r w:rsidR="00BE2840">
        <w:rPr>
          <w:rFonts w:cs="David" w:hint="cs"/>
          <w:sz w:val="28"/>
          <w:szCs w:val="28"/>
          <w:rtl/>
        </w:rPr>
        <w:t>לא זו המסגרת לב</w:t>
      </w:r>
      <w:r w:rsidR="00BB36EF">
        <w:rPr>
          <w:rFonts w:cs="David" w:hint="cs"/>
          <w:sz w:val="28"/>
          <w:szCs w:val="28"/>
          <w:rtl/>
        </w:rPr>
        <w:t>י</w:t>
      </w:r>
      <w:r w:rsidR="00BE2840">
        <w:rPr>
          <w:rFonts w:cs="David" w:hint="cs"/>
          <w:sz w:val="28"/>
          <w:szCs w:val="28"/>
          <w:rtl/>
        </w:rPr>
        <w:t xml:space="preserve">רור </w:t>
      </w:r>
      <w:r w:rsidR="005E3E53" w:rsidRPr="00155F47">
        <w:rPr>
          <w:rFonts w:cs="David" w:hint="cs"/>
          <w:sz w:val="28"/>
          <w:szCs w:val="28"/>
          <w:rtl/>
        </w:rPr>
        <w:t>טע</w:t>
      </w:r>
      <w:r w:rsidR="00BE2840">
        <w:rPr>
          <w:rFonts w:cs="David" w:hint="cs"/>
          <w:sz w:val="28"/>
          <w:szCs w:val="28"/>
          <w:rtl/>
        </w:rPr>
        <w:t xml:space="preserve">נות ההגנה </w:t>
      </w:r>
      <w:r w:rsidR="005E3E53" w:rsidRPr="00155F47">
        <w:rPr>
          <w:rFonts w:cs="David" w:hint="cs"/>
          <w:sz w:val="28"/>
          <w:szCs w:val="28"/>
          <w:rtl/>
        </w:rPr>
        <w:t>ל"כרסום ראייתי"</w:t>
      </w:r>
      <w:r w:rsidR="00BE2840">
        <w:rPr>
          <w:rFonts w:cs="David" w:hint="cs"/>
          <w:sz w:val="28"/>
          <w:szCs w:val="28"/>
          <w:rtl/>
        </w:rPr>
        <w:t xml:space="preserve">, ובחינה זו, מן הראוי שתתקיים </w:t>
      </w:r>
      <w:r w:rsidR="005E3E53" w:rsidRPr="00155F47">
        <w:rPr>
          <w:rFonts w:cs="David" w:hint="cs"/>
          <w:sz w:val="28"/>
          <w:szCs w:val="28"/>
          <w:rtl/>
        </w:rPr>
        <w:t>בהתאם להוראת סעיף 52 לחוק סדר הדין הפלילי (סמכויות אכיפה - מעצרים)</w:t>
      </w:r>
      <w:r w:rsidR="00BE2840">
        <w:rPr>
          <w:rFonts w:cs="David" w:hint="cs"/>
          <w:sz w:val="28"/>
          <w:szCs w:val="28"/>
          <w:rtl/>
        </w:rPr>
        <w:t>,</w:t>
      </w:r>
      <w:r>
        <w:rPr>
          <w:rFonts w:cs="David" w:hint="cs"/>
          <w:sz w:val="28"/>
          <w:szCs w:val="28"/>
          <w:rtl/>
        </w:rPr>
        <w:t xml:space="preserve"> </w:t>
      </w:r>
      <w:r w:rsidR="005E3E53" w:rsidRPr="00155F47">
        <w:rPr>
          <w:rFonts w:cs="David" w:hint="cs"/>
          <w:sz w:val="28"/>
          <w:szCs w:val="28"/>
          <w:rtl/>
        </w:rPr>
        <w:t xml:space="preserve">במסגרת בקשה לעיון חוזר </w:t>
      </w:r>
      <w:r w:rsidR="00BE2840">
        <w:rPr>
          <w:rFonts w:cs="David" w:hint="cs"/>
          <w:sz w:val="28"/>
          <w:szCs w:val="28"/>
          <w:rtl/>
        </w:rPr>
        <w:t xml:space="preserve">במעצר, </w:t>
      </w:r>
      <w:r w:rsidR="005E3E53" w:rsidRPr="00155F47">
        <w:rPr>
          <w:rFonts w:cs="David" w:hint="cs"/>
          <w:sz w:val="28"/>
          <w:szCs w:val="28"/>
          <w:rtl/>
        </w:rPr>
        <w:t>בפני הערכאה הדיונית (</w:t>
      </w:r>
      <w:proofErr w:type="spellStart"/>
      <w:r w:rsidR="005E3E53" w:rsidRPr="00155F47">
        <w:rPr>
          <w:rFonts w:cs="David" w:hint="cs"/>
          <w:sz w:val="28"/>
          <w:szCs w:val="28"/>
          <w:rtl/>
        </w:rPr>
        <w:t>בש"פ</w:t>
      </w:r>
      <w:proofErr w:type="spellEnd"/>
      <w:r w:rsidR="005E3E53" w:rsidRPr="00155F47">
        <w:rPr>
          <w:rFonts w:cs="David"/>
          <w:sz w:val="28"/>
          <w:szCs w:val="28"/>
          <w:rtl/>
        </w:rPr>
        <w:t xml:space="preserve"> 5694/19 </w:t>
      </w:r>
      <w:r w:rsidR="005E3E53" w:rsidRPr="00155F47">
        <w:rPr>
          <w:rFonts w:cs="David" w:hint="cs"/>
          <w:b/>
          <w:bCs/>
          <w:sz w:val="28"/>
          <w:szCs w:val="28"/>
          <w:rtl/>
        </w:rPr>
        <w:t>מדינת</w:t>
      </w:r>
      <w:r w:rsidR="005E3E53" w:rsidRPr="00155F47">
        <w:rPr>
          <w:rFonts w:cs="David"/>
          <w:b/>
          <w:bCs/>
          <w:sz w:val="28"/>
          <w:szCs w:val="28"/>
          <w:rtl/>
        </w:rPr>
        <w:t xml:space="preserve"> </w:t>
      </w:r>
      <w:r w:rsidR="005E3E53" w:rsidRPr="00155F47">
        <w:rPr>
          <w:rFonts w:cs="David" w:hint="cs"/>
          <w:b/>
          <w:bCs/>
          <w:sz w:val="28"/>
          <w:szCs w:val="28"/>
          <w:rtl/>
        </w:rPr>
        <w:t>ישראל</w:t>
      </w:r>
      <w:r w:rsidR="005E3E53" w:rsidRPr="00155F47">
        <w:rPr>
          <w:rFonts w:cs="David"/>
          <w:b/>
          <w:bCs/>
          <w:sz w:val="28"/>
          <w:szCs w:val="28"/>
          <w:rtl/>
        </w:rPr>
        <w:t xml:space="preserve"> </w:t>
      </w:r>
      <w:r w:rsidR="005E3E53" w:rsidRPr="00155F47">
        <w:rPr>
          <w:rFonts w:cs="David" w:hint="cs"/>
          <w:b/>
          <w:bCs/>
          <w:sz w:val="28"/>
          <w:szCs w:val="28"/>
          <w:rtl/>
        </w:rPr>
        <w:t>נ</w:t>
      </w:r>
      <w:r w:rsidR="005E3E53" w:rsidRPr="00155F47">
        <w:rPr>
          <w:rFonts w:cs="David"/>
          <w:b/>
          <w:bCs/>
          <w:sz w:val="28"/>
          <w:szCs w:val="28"/>
          <w:rtl/>
        </w:rPr>
        <w:t xml:space="preserve">' </w:t>
      </w:r>
      <w:r w:rsidR="005E3E53" w:rsidRPr="00155F47">
        <w:rPr>
          <w:rFonts w:cs="David" w:hint="cs"/>
          <w:b/>
          <w:bCs/>
          <w:sz w:val="28"/>
          <w:szCs w:val="28"/>
          <w:rtl/>
        </w:rPr>
        <w:t>עיסא</w:t>
      </w:r>
      <w:r w:rsidR="005E3E53" w:rsidRPr="00155F47">
        <w:rPr>
          <w:rFonts w:cs="David" w:hint="cs"/>
          <w:sz w:val="28"/>
          <w:szCs w:val="28"/>
          <w:rtl/>
        </w:rPr>
        <w:t xml:space="preserve">, פסקה 6 (12.9.2019); ב"ש 50/24 </w:t>
      </w:r>
      <w:r w:rsidR="005E3E53" w:rsidRPr="00155F47">
        <w:rPr>
          <w:rFonts w:cs="David" w:hint="cs"/>
          <w:b/>
          <w:bCs/>
          <w:sz w:val="28"/>
          <w:szCs w:val="28"/>
          <w:rtl/>
        </w:rPr>
        <w:t xml:space="preserve">התובע הצבאי הראשי נ' רב"ט </w:t>
      </w:r>
      <w:proofErr w:type="spellStart"/>
      <w:r w:rsidR="005E3E53" w:rsidRPr="00155F47">
        <w:rPr>
          <w:rFonts w:cs="David" w:hint="cs"/>
          <w:b/>
          <w:bCs/>
          <w:sz w:val="28"/>
          <w:szCs w:val="28"/>
          <w:rtl/>
        </w:rPr>
        <w:t>הייב</w:t>
      </w:r>
      <w:proofErr w:type="spellEnd"/>
      <w:r w:rsidR="005E3E53" w:rsidRPr="00155F47">
        <w:rPr>
          <w:rFonts w:cs="David" w:hint="cs"/>
          <w:b/>
          <w:bCs/>
          <w:sz w:val="28"/>
          <w:szCs w:val="28"/>
          <w:rtl/>
        </w:rPr>
        <w:t xml:space="preserve"> </w:t>
      </w:r>
      <w:r w:rsidR="005E3E53" w:rsidRPr="00155F47">
        <w:rPr>
          <w:rFonts w:cs="David" w:hint="cs"/>
          <w:sz w:val="28"/>
          <w:szCs w:val="28"/>
          <w:rtl/>
        </w:rPr>
        <w:t xml:space="preserve">(2024); ב"ש </w:t>
      </w:r>
      <w:r w:rsidR="005E3E53" w:rsidRPr="00155F47">
        <w:rPr>
          <w:rFonts w:cs="David" w:hint="cs"/>
          <w:sz w:val="28"/>
          <w:szCs w:val="28"/>
          <w:rtl/>
        </w:rPr>
        <w:lastRenderedPageBreak/>
        <w:t xml:space="preserve">107/22 </w:t>
      </w:r>
      <w:r w:rsidR="005E3E53" w:rsidRPr="00155F47">
        <w:rPr>
          <w:rFonts w:cs="David" w:hint="cs"/>
          <w:b/>
          <w:bCs/>
          <w:sz w:val="28"/>
          <w:szCs w:val="28"/>
          <w:rtl/>
        </w:rPr>
        <w:t xml:space="preserve">סא"ל שרוני </w:t>
      </w:r>
      <w:r w:rsidR="005E3E53" w:rsidRPr="00155F47">
        <w:rPr>
          <w:rFonts w:cs="David" w:hint="cs"/>
          <w:sz w:val="28"/>
          <w:szCs w:val="28"/>
          <w:rtl/>
        </w:rPr>
        <w:t>הנ"ל, פסקאות 28 ו-30</w:t>
      </w:r>
      <w:r w:rsidR="00F412C6" w:rsidRPr="00155F47">
        <w:rPr>
          <w:rFonts w:cs="David" w:hint="cs"/>
          <w:sz w:val="28"/>
          <w:szCs w:val="28"/>
          <w:rtl/>
        </w:rPr>
        <w:t xml:space="preserve">; ב"ש 44199-03-25 </w:t>
      </w:r>
      <w:r w:rsidR="00F412C6" w:rsidRPr="00155F47">
        <w:rPr>
          <w:rFonts w:cs="David" w:hint="cs"/>
          <w:b/>
          <w:bCs/>
          <w:sz w:val="28"/>
          <w:szCs w:val="28"/>
          <w:rtl/>
        </w:rPr>
        <w:t>התביעה הצבאית נ' רב"ט בן דוד</w:t>
      </w:r>
      <w:r w:rsidR="00F412C6" w:rsidRPr="00155F47">
        <w:rPr>
          <w:rFonts w:cs="David" w:hint="cs"/>
          <w:sz w:val="28"/>
          <w:szCs w:val="28"/>
          <w:rtl/>
        </w:rPr>
        <w:t>, פסקה 7 (2025))</w:t>
      </w:r>
      <w:r w:rsidR="00BE2840">
        <w:rPr>
          <w:rFonts w:cs="David" w:hint="cs"/>
          <w:sz w:val="28"/>
          <w:szCs w:val="28"/>
          <w:rtl/>
        </w:rPr>
        <w:t>, שעל ההחלטה בה, כידוע, ניתן לערער</w:t>
      </w:r>
      <w:r w:rsidR="00F412C6" w:rsidRPr="00155F47">
        <w:rPr>
          <w:rFonts w:cs="David" w:hint="cs"/>
          <w:sz w:val="28"/>
          <w:szCs w:val="28"/>
          <w:rtl/>
        </w:rPr>
        <w:t xml:space="preserve">. </w:t>
      </w:r>
    </w:p>
    <w:p w14:paraId="728D03A9" w14:textId="6E82D09B" w:rsidR="00610B53" w:rsidRPr="00BB36EF" w:rsidRDefault="00155F47" w:rsidP="00FD4FF0">
      <w:pPr>
        <w:numPr>
          <w:ilvl w:val="0"/>
          <w:numId w:val="1"/>
        </w:numPr>
        <w:tabs>
          <w:tab w:val="left" w:pos="-58"/>
          <w:tab w:val="left" w:pos="226"/>
          <w:tab w:val="left" w:pos="368"/>
          <w:tab w:val="left" w:pos="935"/>
        </w:tabs>
        <w:spacing w:after="0" w:line="360" w:lineRule="auto"/>
        <w:ind w:left="-58" w:firstLine="0"/>
        <w:jc w:val="both"/>
        <w:rPr>
          <w:rFonts w:cs="David"/>
          <w:sz w:val="28"/>
          <w:szCs w:val="28"/>
        </w:rPr>
      </w:pPr>
      <w:r w:rsidRPr="00BB36EF">
        <w:rPr>
          <w:rFonts w:cs="David" w:hint="cs"/>
          <w:sz w:val="28"/>
          <w:szCs w:val="28"/>
          <w:rtl/>
        </w:rPr>
        <w:t xml:space="preserve">ההגנה הפנתה </w:t>
      </w:r>
      <w:proofErr w:type="spellStart"/>
      <w:r w:rsidRPr="00BB36EF">
        <w:rPr>
          <w:rFonts w:cs="David" w:hint="cs"/>
          <w:sz w:val="28"/>
          <w:szCs w:val="28"/>
          <w:rtl/>
        </w:rPr>
        <w:t>לבש"פ</w:t>
      </w:r>
      <w:proofErr w:type="spellEnd"/>
      <w:r w:rsidRPr="00BB36EF">
        <w:rPr>
          <w:rFonts w:cs="David" w:hint="cs"/>
          <w:sz w:val="28"/>
          <w:szCs w:val="28"/>
          <w:rtl/>
        </w:rPr>
        <w:t xml:space="preserve"> 8010/13 </w:t>
      </w:r>
      <w:r w:rsidRPr="00BB36EF">
        <w:rPr>
          <w:rFonts w:cs="David" w:hint="cs"/>
          <w:b/>
          <w:bCs/>
          <w:sz w:val="28"/>
          <w:szCs w:val="28"/>
          <w:rtl/>
        </w:rPr>
        <w:t xml:space="preserve">מדינת ישראל נ' </w:t>
      </w:r>
      <w:proofErr w:type="spellStart"/>
      <w:r w:rsidRPr="00BB36EF">
        <w:rPr>
          <w:rFonts w:cs="David" w:hint="cs"/>
          <w:b/>
          <w:bCs/>
          <w:sz w:val="28"/>
          <w:szCs w:val="28"/>
          <w:rtl/>
        </w:rPr>
        <w:t>שבירו</w:t>
      </w:r>
      <w:proofErr w:type="spellEnd"/>
      <w:r w:rsidRPr="00BB36EF">
        <w:rPr>
          <w:rFonts w:cs="David" w:hint="cs"/>
          <w:b/>
          <w:bCs/>
          <w:sz w:val="28"/>
          <w:szCs w:val="28"/>
          <w:rtl/>
        </w:rPr>
        <w:t xml:space="preserve"> </w:t>
      </w:r>
      <w:r w:rsidRPr="00BB36EF">
        <w:rPr>
          <w:rFonts w:cs="David" w:hint="cs"/>
          <w:sz w:val="28"/>
          <w:szCs w:val="28"/>
          <w:rtl/>
        </w:rPr>
        <w:t>(25.12.2013)) לתמיכה בטיעוניה</w:t>
      </w:r>
      <w:r w:rsidR="0068161A" w:rsidRPr="00BB36EF">
        <w:rPr>
          <w:rFonts w:cs="David" w:hint="cs"/>
          <w:sz w:val="28"/>
          <w:szCs w:val="28"/>
          <w:rtl/>
        </w:rPr>
        <w:t xml:space="preserve"> לפיה ניתן לשקול </w:t>
      </w:r>
      <w:r w:rsidR="00BE2840" w:rsidRPr="00BB36EF">
        <w:rPr>
          <w:rFonts w:cs="David" w:hint="cs"/>
          <w:sz w:val="28"/>
          <w:szCs w:val="28"/>
          <w:rtl/>
        </w:rPr>
        <w:t xml:space="preserve">גם </w:t>
      </w:r>
      <w:r w:rsidR="0068161A" w:rsidRPr="00BB36EF">
        <w:rPr>
          <w:rFonts w:cs="David" w:hint="cs"/>
          <w:sz w:val="28"/>
          <w:szCs w:val="28"/>
          <w:rtl/>
        </w:rPr>
        <w:t xml:space="preserve">במסגרת </w:t>
      </w:r>
      <w:r w:rsidR="00BE2840" w:rsidRPr="00BB36EF">
        <w:rPr>
          <w:rFonts w:cs="David" w:hint="cs"/>
          <w:sz w:val="28"/>
          <w:szCs w:val="28"/>
          <w:rtl/>
        </w:rPr>
        <w:t xml:space="preserve">הדיון הנוכחי </w:t>
      </w:r>
      <w:r w:rsidR="0068161A" w:rsidRPr="00BB36EF">
        <w:rPr>
          <w:rFonts w:cs="David" w:hint="cs"/>
          <w:sz w:val="28"/>
          <w:szCs w:val="28"/>
          <w:rtl/>
        </w:rPr>
        <w:t>שיקולים הנוגעים ל"כרסום ראייתי"; א</w:t>
      </w:r>
      <w:r w:rsidR="00BE2840" w:rsidRPr="00BB36EF">
        <w:rPr>
          <w:rFonts w:cs="David" w:hint="cs"/>
          <w:sz w:val="28"/>
          <w:szCs w:val="28"/>
          <w:rtl/>
        </w:rPr>
        <w:t>לא ש</w:t>
      </w:r>
      <w:r w:rsidR="0068161A" w:rsidRPr="00BB36EF">
        <w:rPr>
          <w:rFonts w:cs="David" w:hint="cs"/>
          <w:sz w:val="28"/>
          <w:szCs w:val="28"/>
          <w:rtl/>
        </w:rPr>
        <w:t xml:space="preserve">אף בעניין </w:t>
      </w:r>
      <w:proofErr w:type="spellStart"/>
      <w:r w:rsidR="0068161A" w:rsidRPr="00BB36EF">
        <w:rPr>
          <w:rFonts w:cs="David" w:hint="cs"/>
          <w:b/>
          <w:bCs/>
          <w:sz w:val="28"/>
          <w:szCs w:val="28"/>
          <w:rtl/>
        </w:rPr>
        <w:t>שבירו</w:t>
      </w:r>
      <w:proofErr w:type="spellEnd"/>
      <w:r w:rsidR="0068161A" w:rsidRPr="00BB36EF">
        <w:rPr>
          <w:rFonts w:cs="David" w:hint="cs"/>
          <w:b/>
          <w:bCs/>
          <w:sz w:val="28"/>
          <w:szCs w:val="28"/>
          <w:rtl/>
        </w:rPr>
        <w:t xml:space="preserve"> </w:t>
      </w:r>
      <w:r w:rsidRPr="00BB36EF">
        <w:rPr>
          <w:rFonts w:cs="David" w:hint="cs"/>
          <w:sz w:val="28"/>
          <w:szCs w:val="28"/>
          <w:rtl/>
        </w:rPr>
        <w:t>שב</w:t>
      </w:r>
      <w:r w:rsidR="0068161A" w:rsidRPr="00BB36EF">
        <w:rPr>
          <w:rFonts w:cs="David" w:hint="cs"/>
          <w:sz w:val="28"/>
          <w:szCs w:val="28"/>
          <w:rtl/>
        </w:rPr>
        <w:t xml:space="preserve">, ככלל, </w:t>
      </w:r>
      <w:r w:rsidRPr="00BB36EF">
        <w:rPr>
          <w:rFonts w:cs="David" w:hint="cs"/>
          <w:sz w:val="28"/>
          <w:szCs w:val="28"/>
          <w:rtl/>
        </w:rPr>
        <w:t xml:space="preserve">בית המשפט העליון על ההלכה </w:t>
      </w:r>
      <w:r w:rsidR="00BE2840" w:rsidRPr="00BB36EF">
        <w:rPr>
          <w:rFonts w:cs="David" w:hint="cs"/>
          <w:sz w:val="28"/>
          <w:szCs w:val="28"/>
          <w:rtl/>
        </w:rPr>
        <w:t>ש</w:t>
      </w:r>
      <w:r w:rsidRPr="00BB36EF">
        <w:rPr>
          <w:rFonts w:cs="David" w:hint="cs"/>
          <w:sz w:val="28"/>
          <w:szCs w:val="28"/>
          <w:rtl/>
        </w:rPr>
        <w:t xml:space="preserve">לפיה המסגרת המתאימה לבירור טענה בדבר </w:t>
      </w:r>
      <w:r w:rsidR="0068161A" w:rsidRPr="00BB36EF">
        <w:rPr>
          <w:rFonts w:cs="David" w:hint="cs"/>
          <w:sz w:val="28"/>
          <w:szCs w:val="28"/>
          <w:rtl/>
        </w:rPr>
        <w:t>"</w:t>
      </w:r>
      <w:r w:rsidRPr="00BB36EF">
        <w:rPr>
          <w:rFonts w:cs="David" w:hint="cs"/>
          <w:sz w:val="28"/>
          <w:szCs w:val="28"/>
          <w:rtl/>
        </w:rPr>
        <w:t>כרסום ראייתי</w:t>
      </w:r>
      <w:r w:rsidR="0068161A" w:rsidRPr="00BB36EF">
        <w:rPr>
          <w:rFonts w:cs="David" w:hint="cs"/>
          <w:sz w:val="28"/>
          <w:szCs w:val="28"/>
          <w:rtl/>
        </w:rPr>
        <w:t>"</w:t>
      </w:r>
      <w:r w:rsidRPr="00BB36EF">
        <w:rPr>
          <w:rFonts w:cs="David" w:hint="cs"/>
          <w:sz w:val="28"/>
          <w:szCs w:val="28"/>
          <w:rtl/>
        </w:rPr>
        <w:t xml:space="preserve"> ה</w:t>
      </w:r>
      <w:r w:rsidR="00BE2840" w:rsidRPr="00BB36EF">
        <w:rPr>
          <w:rFonts w:cs="David" w:hint="cs"/>
          <w:sz w:val="28"/>
          <w:szCs w:val="28"/>
          <w:rtl/>
        </w:rPr>
        <w:t>י</w:t>
      </w:r>
      <w:r w:rsidRPr="00BB36EF">
        <w:rPr>
          <w:rFonts w:cs="David" w:hint="cs"/>
          <w:sz w:val="28"/>
          <w:szCs w:val="28"/>
          <w:rtl/>
        </w:rPr>
        <w:t xml:space="preserve">א </w:t>
      </w:r>
      <w:r w:rsidR="00BE2840" w:rsidRPr="00BB36EF">
        <w:rPr>
          <w:rFonts w:cs="David" w:hint="cs"/>
          <w:sz w:val="28"/>
          <w:szCs w:val="28"/>
          <w:rtl/>
        </w:rPr>
        <w:t>הדיון בבקשה ל</w:t>
      </w:r>
      <w:r w:rsidR="00B42955" w:rsidRPr="00BB36EF">
        <w:rPr>
          <w:rFonts w:cs="David" w:hint="cs"/>
          <w:sz w:val="28"/>
          <w:szCs w:val="28"/>
          <w:rtl/>
        </w:rPr>
        <w:t>עיון חוזר בפני הערכאה הדיונית</w:t>
      </w:r>
      <w:r w:rsidR="0068161A" w:rsidRPr="00BB36EF">
        <w:rPr>
          <w:rFonts w:cs="David" w:hint="cs"/>
          <w:sz w:val="28"/>
          <w:szCs w:val="28"/>
          <w:rtl/>
        </w:rPr>
        <w:t xml:space="preserve">. </w:t>
      </w:r>
      <w:r w:rsidR="00BE2840" w:rsidRPr="00BB36EF">
        <w:rPr>
          <w:rFonts w:cs="David" w:hint="cs"/>
          <w:sz w:val="28"/>
          <w:szCs w:val="28"/>
          <w:rtl/>
        </w:rPr>
        <w:t xml:space="preserve">אמנם, </w:t>
      </w:r>
      <w:proofErr w:type="spellStart"/>
      <w:r w:rsidR="00B42955" w:rsidRPr="00BB36EF">
        <w:rPr>
          <w:rFonts w:cs="David" w:hint="cs"/>
          <w:sz w:val="28"/>
          <w:szCs w:val="28"/>
          <w:rtl/>
        </w:rPr>
        <w:t>צ</w:t>
      </w:r>
      <w:r w:rsidR="00BE2840" w:rsidRPr="00BB36EF">
        <w:rPr>
          <w:rFonts w:cs="David" w:hint="cs"/>
          <w:sz w:val="28"/>
          <w:szCs w:val="28"/>
          <w:rtl/>
        </w:rPr>
        <w:t>ויין</w:t>
      </w:r>
      <w:proofErr w:type="spellEnd"/>
      <w:r w:rsidR="00BE2840" w:rsidRPr="00BB36EF">
        <w:rPr>
          <w:rFonts w:cs="David" w:hint="cs"/>
          <w:sz w:val="28"/>
          <w:szCs w:val="28"/>
          <w:rtl/>
        </w:rPr>
        <w:t xml:space="preserve"> באותה החלטה כי </w:t>
      </w:r>
      <w:r w:rsidR="00B42955" w:rsidRPr="00BB36EF">
        <w:rPr>
          <w:rFonts w:cs="David" w:hint="cs"/>
          <w:sz w:val="28"/>
          <w:szCs w:val="28"/>
          <w:rtl/>
        </w:rPr>
        <w:t xml:space="preserve">ניתן </w:t>
      </w:r>
      <w:r w:rsidR="00BE2840" w:rsidRPr="00BB36EF">
        <w:rPr>
          <w:rFonts w:cs="David" w:hint="cs"/>
          <w:sz w:val="28"/>
          <w:szCs w:val="28"/>
          <w:rtl/>
        </w:rPr>
        <w:t xml:space="preserve">יהיה </w:t>
      </w:r>
      <w:r w:rsidR="00B42955" w:rsidRPr="00BB36EF">
        <w:rPr>
          <w:rFonts w:cs="David" w:hint="cs"/>
          <w:sz w:val="28"/>
          <w:szCs w:val="28"/>
          <w:rtl/>
        </w:rPr>
        <w:t>להידרש לטענה זו</w:t>
      </w:r>
      <w:r w:rsidR="00BE2840" w:rsidRPr="00BB36EF">
        <w:rPr>
          <w:rFonts w:cs="David" w:hint="cs"/>
          <w:sz w:val="28"/>
          <w:szCs w:val="28"/>
          <w:rtl/>
        </w:rPr>
        <w:t xml:space="preserve"> במקרים ייחודיים </w:t>
      </w:r>
      <w:r w:rsidR="00F76CC7" w:rsidRPr="00BB36EF">
        <w:rPr>
          <w:rFonts w:cs="David" w:hint="cs"/>
          <w:sz w:val="28"/>
          <w:szCs w:val="28"/>
          <w:rtl/>
        </w:rPr>
        <w:t xml:space="preserve">- </w:t>
      </w:r>
      <w:r w:rsidR="00B42955" w:rsidRPr="00BB36EF">
        <w:rPr>
          <w:rFonts w:cs="David" w:hint="cs"/>
          <w:sz w:val="28"/>
          <w:szCs w:val="28"/>
          <w:rtl/>
        </w:rPr>
        <w:t>אם ניתן להצביע על "שינוי דרמטי במערכת ראיות התביעה ועל כרסום מהותי ומשמעותי בה. צריך להיות בשינוי שחל כדי להפוך את הק</w:t>
      </w:r>
      <w:r w:rsidR="0068161A" w:rsidRPr="00BB36EF">
        <w:rPr>
          <w:rFonts w:cs="David" w:hint="cs"/>
          <w:sz w:val="28"/>
          <w:szCs w:val="28"/>
          <w:rtl/>
        </w:rPr>
        <w:t>ע</w:t>
      </w:r>
      <w:r w:rsidR="00B42955" w:rsidRPr="00BB36EF">
        <w:rPr>
          <w:rFonts w:cs="David" w:hint="cs"/>
          <w:sz w:val="28"/>
          <w:szCs w:val="28"/>
          <w:rtl/>
        </w:rPr>
        <w:t xml:space="preserve">רה על פיה, עד כדי הטיית הכף לזכות הנאשם באופן שהסיכויים לזיכויו עולים על הסיכויים להרשעתו" (פסקה 11 בעניין </w:t>
      </w:r>
      <w:proofErr w:type="spellStart"/>
      <w:r w:rsidR="00B42955" w:rsidRPr="00BB36EF">
        <w:rPr>
          <w:rFonts w:cs="David" w:hint="cs"/>
          <w:b/>
          <w:bCs/>
          <w:sz w:val="28"/>
          <w:szCs w:val="28"/>
          <w:rtl/>
        </w:rPr>
        <w:t>שבירו</w:t>
      </w:r>
      <w:proofErr w:type="spellEnd"/>
      <w:r w:rsidR="00B42955" w:rsidRPr="00BB36EF">
        <w:rPr>
          <w:rFonts w:cs="David" w:hint="cs"/>
          <w:b/>
          <w:bCs/>
          <w:sz w:val="28"/>
          <w:szCs w:val="28"/>
          <w:rtl/>
        </w:rPr>
        <w:t xml:space="preserve"> </w:t>
      </w:r>
      <w:r w:rsidR="00B42955" w:rsidRPr="00BB36EF">
        <w:rPr>
          <w:rFonts w:cs="David" w:hint="cs"/>
          <w:sz w:val="28"/>
          <w:szCs w:val="28"/>
          <w:rtl/>
        </w:rPr>
        <w:t>והאסמכתאות שם)</w:t>
      </w:r>
      <w:r w:rsidR="00F76CC7" w:rsidRPr="00BB36EF">
        <w:rPr>
          <w:rFonts w:cs="David" w:hint="cs"/>
          <w:sz w:val="28"/>
          <w:szCs w:val="28"/>
          <w:rtl/>
        </w:rPr>
        <w:t xml:space="preserve">, אך </w:t>
      </w:r>
      <w:r w:rsidR="00B42955" w:rsidRPr="00BB36EF">
        <w:rPr>
          <w:rFonts w:cs="David" w:hint="cs"/>
          <w:sz w:val="28"/>
          <w:szCs w:val="28"/>
          <w:rtl/>
        </w:rPr>
        <w:t>דעה זו אינה נפוצה בפסיקה, וכפי ש</w:t>
      </w:r>
      <w:r w:rsidR="00F76CC7" w:rsidRPr="00BB36EF">
        <w:rPr>
          <w:rFonts w:cs="David" w:hint="cs"/>
          <w:sz w:val="28"/>
          <w:szCs w:val="28"/>
          <w:rtl/>
        </w:rPr>
        <w:t xml:space="preserve">בואר </w:t>
      </w:r>
      <w:r w:rsidR="00B42955" w:rsidRPr="00BB36EF">
        <w:rPr>
          <w:rFonts w:cs="David" w:hint="cs"/>
          <w:sz w:val="28"/>
          <w:szCs w:val="28"/>
          <w:rtl/>
        </w:rPr>
        <w:t>בפסיקה מאוחרת יותר</w:t>
      </w:r>
      <w:r w:rsidR="0068161A" w:rsidRPr="00BB36EF">
        <w:rPr>
          <w:rFonts w:cs="David" w:hint="cs"/>
          <w:sz w:val="28"/>
          <w:szCs w:val="28"/>
          <w:rtl/>
        </w:rPr>
        <w:t xml:space="preserve"> של בית המשפט העליון</w:t>
      </w:r>
      <w:r w:rsidR="00B42955" w:rsidRPr="00BB36EF">
        <w:rPr>
          <w:rFonts w:cs="David" w:hint="cs"/>
          <w:sz w:val="28"/>
          <w:szCs w:val="28"/>
          <w:rtl/>
        </w:rPr>
        <w:t xml:space="preserve">: "דומני כי ההחלטה בעניין </w:t>
      </w:r>
      <w:proofErr w:type="spellStart"/>
      <w:r w:rsidR="00B42955" w:rsidRPr="00BB36EF">
        <w:rPr>
          <w:rFonts w:cs="David" w:hint="cs"/>
          <w:b/>
          <w:bCs/>
          <w:sz w:val="28"/>
          <w:szCs w:val="28"/>
          <w:rtl/>
        </w:rPr>
        <w:t>שבירו</w:t>
      </w:r>
      <w:proofErr w:type="spellEnd"/>
      <w:r w:rsidR="00B42955" w:rsidRPr="00BB36EF">
        <w:rPr>
          <w:rFonts w:cs="David" w:hint="cs"/>
          <w:b/>
          <w:bCs/>
          <w:sz w:val="28"/>
          <w:szCs w:val="28"/>
          <w:rtl/>
        </w:rPr>
        <w:t xml:space="preserve"> </w:t>
      </w:r>
      <w:r w:rsidR="00B42955" w:rsidRPr="00BB36EF">
        <w:rPr>
          <w:rFonts w:cs="David" w:hint="cs"/>
          <w:sz w:val="28"/>
          <w:szCs w:val="28"/>
          <w:rtl/>
        </w:rPr>
        <w:t xml:space="preserve">אינה עולה בקנה אחד עם הזרם המרכזי בפסיקה, ולפיו הליך על פי סעיף 62 לחוק המעצרים אינו האכסניה </w:t>
      </w:r>
      <w:r w:rsidR="0068161A" w:rsidRPr="00BB36EF">
        <w:rPr>
          <w:rFonts w:cs="David" w:hint="cs"/>
          <w:sz w:val="28"/>
          <w:szCs w:val="28"/>
          <w:rtl/>
        </w:rPr>
        <w:t>ה</w:t>
      </w:r>
      <w:r w:rsidR="00B42955" w:rsidRPr="00BB36EF">
        <w:rPr>
          <w:rFonts w:cs="David" w:hint="cs"/>
          <w:sz w:val="28"/>
          <w:szCs w:val="28"/>
          <w:rtl/>
        </w:rPr>
        <w:t>משפטית הנאותה לבחינת טענות במישור הראיות לכאורה" (</w:t>
      </w:r>
      <w:proofErr w:type="spellStart"/>
      <w:r w:rsidR="00B42955" w:rsidRPr="00BB36EF">
        <w:rPr>
          <w:rFonts w:cs="David" w:hint="cs"/>
          <w:sz w:val="28"/>
          <w:szCs w:val="28"/>
          <w:rtl/>
        </w:rPr>
        <w:t>בש"פ</w:t>
      </w:r>
      <w:proofErr w:type="spellEnd"/>
      <w:r w:rsidR="00B42955" w:rsidRPr="00BB36EF">
        <w:rPr>
          <w:rFonts w:cs="David" w:hint="cs"/>
          <w:sz w:val="28"/>
          <w:szCs w:val="28"/>
          <w:rtl/>
        </w:rPr>
        <w:t xml:space="preserve"> 6003/17 </w:t>
      </w:r>
      <w:r w:rsidR="00B42955" w:rsidRPr="00BB36EF">
        <w:rPr>
          <w:rFonts w:cs="David" w:hint="cs"/>
          <w:b/>
          <w:bCs/>
          <w:sz w:val="28"/>
          <w:szCs w:val="28"/>
          <w:rtl/>
        </w:rPr>
        <w:t>מדינת ישראל נ' פלוני</w:t>
      </w:r>
      <w:r w:rsidR="00B42955" w:rsidRPr="00BB36EF">
        <w:rPr>
          <w:rFonts w:cs="David" w:hint="cs"/>
          <w:sz w:val="28"/>
          <w:szCs w:val="28"/>
          <w:rtl/>
        </w:rPr>
        <w:t xml:space="preserve">, פסקה 6 (31.7.2017); כן ראו </w:t>
      </w:r>
      <w:proofErr w:type="spellStart"/>
      <w:r w:rsidR="00B42955" w:rsidRPr="00BB36EF">
        <w:rPr>
          <w:rFonts w:cs="David" w:hint="cs"/>
          <w:sz w:val="28"/>
          <w:szCs w:val="28"/>
          <w:rtl/>
        </w:rPr>
        <w:t>בש"פ</w:t>
      </w:r>
      <w:proofErr w:type="spellEnd"/>
      <w:r w:rsidR="00B42955" w:rsidRPr="00BB36EF">
        <w:rPr>
          <w:rFonts w:cs="David" w:hint="cs"/>
          <w:sz w:val="28"/>
          <w:szCs w:val="28"/>
          <w:rtl/>
        </w:rPr>
        <w:t xml:space="preserve"> 6687/17 </w:t>
      </w:r>
      <w:r w:rsidR="00B42955" w:rsidRPr="00BB36EF">
        <w:rPr>
          <w:rFonts w:cs="David" w:hint="cs"/>
          <w:b/>
          <w:bCs/>
          <w:sz w:val="28"/>
          <w:szCs w:val="28"/>
          <w:rtl/>
        </w:rPr>
        <w:t xml:space="preserve">מדינת ישראל נ' </w:t>
      </w:r>
      <w:proofErr w:type="spellStart"/>
      <w:r w:rsidR="00B42955" w:rsidRPr="00BB36EF">
        <w:rPr>
          <w:rFonts w:cs="David" w:hint="cs"/>
          <w:b/>
          <w:bCs/>
          <w:sz w:val="28"/>
          <w:szCs w:val="28"/>
          <w:rtl/>
        </w:rPr>
        <w:t>טחימר</w:t>
      </w:r>
      <w:proofErr w:type="spellEnd"/>
      <w:r w:rsidR="00B42955" w:rsidRPr="00BB36EF">
        <w:rPr>
          <w:rFonts w:cs="David" w:hint="cs"/>
          <w:sz w:val="28"/>
          <w:szCs w:val="28"/>
          <w:rtl/>
        </w:rPr>
        <w:t>, פסקה 10 (30.8.2017)</w:t>
      </w:r>
      <w:r w:rsidR="0068161A" w:rsidRPr="00BB36EF">
        <w:rPr>
          <w:rFonts w:cs="David" w:hint="cs"/>
          <w:sz w:val="28"/>
          <w:szCs w:val="28"/>
          <w:rtl/>
        </w:rPr>
        <w:t>).</w:t>
      </w:r>
      <w:r w:rsidR="00BB36EF">
        <w:rPr>
          <w:rFonts w:cs="David" w:hint="cs"/>
          <w:sz w:val="28"/>
          <w:szCs w:val="28"/>
          <w:rtl/>
        </w:rPr>
        <w:t xml:space="preserve"> </w:t>
      </w:r>
      <w:proofErr w:type="spellStart"/>
      <w:r w:rsidR="00F76CC7" w:rsidRPr="00BB36EF">
        <w:rPr>
          <w:rFonts w:cs="David" w:hint="cs"/>
          <w:sz w:val="28"/>
          <w:szCs w:val="28"/>
          <w:rtl/>
        </w:rPr>
        <w:t>ודוקו</w:t>
      </w:r>
      <w:proofErr w:type="spellEnd"/>
      <w:r w:rsidR="00F76CC7" w:rsidRPr="00BB36EF">
        <w:rPr>
          <w:rFonts w:cs="David" w:hint="cs"/>
          <w:sz w:val="28"/>
          <w:szCs w:val="28"/>
          <w:rtl/>
        </w:rPr>
        <w:t xml:space="preserve">: לא למותר לציין כי טענות ההגנה בדבר כרסום ראייתי נדונו ונדחו בהחלטת בית הדין המחוזי, כאמור, שעליה </w:t>
      </w:r>
      <w:r w:rsidR="00BB36EF">
        <w:rPr>
          <w:rFonts w:cs="David" w:hint="cs"/>
          <w:sz w:val="28"/>
          <w:szCs w:val="28"/>
          <w:rtl/>
        </w:rPr>
        <w:t>-</w:t>
      </w:r>
      <w:r w:rsidR="00F76CC7" w:rsidRPr="00BB36EF">
        <w:rPr>
          <w:rFonts w:cs="David" w:hint="cs"/>
          <w:sz w:val="28"/>
          <w:szCs w:val="28"/>
          <w:rtl/>
        </w:rPr>
        <w:t xml:space="preserve"> לא הוגש ערעור. </w:t>
      </w:r>
    </w:p>
    <w:p w14:paraId="345317ED" w14:textId="401C8741" w:rsidR="00F412C6" w:rsidRPr="00FB228C" w:rsidRDefault="00BB36EF" w:rsidP="00FD4FF0">
      <w:pPr>
        <w:numPr>
          <w:ilvl w:val="0"/>
          <w:numId w:val="1"/>
        </w:numPr>
        <w:tabs>
          <w:tab w:val="left" w:pos="-58"/>
          <w:tab w:val="left" w:pos="226"/>
          <w:tab w:val="left" w:pos="368"/>
          <w:tab w:val="left" w:pos="935"/>
        </w:tabs>
        <w:spacing w:after="0" w:line="360" w:lineRule="auto"/>
        <w:ind w:left="-57" w:firstLine="0"/>
        <w:jc w:val="both"/>
        <w:rPr>
          <w:rFonts w:cs="David"/>
          <w:sz w:val="28"/>
          <w:szCs w:val="28"/>
        </w:rPr>
      </w:pPr>
      <w:r>
        <w:rPr>
          <w:rFonts w:cs="David" w:hint="cs"/>
          <w:sz w:val="28"/>
          <w:szCs w:val="28"/>
          <w:rtl/>
        </w:rPr>
        <w:t xml:space="preserve">עוד </w:t>
      </w:r>
      <w:r w:rsidR="00F76CC7">
        <w:rPr>
          <w:rFonts w:cs="David" w:hint="cs"/>
          <w:sz w:val="28"/>
          <w:szCs w:val="28"/>
          <w:rtl/>
        </w:rPr>
        <w:t xml:space="preserve">יש לציין, כי כעולה מהחלטת בית הדין המחוזי, אף </w:t>
      </w:r>
      <w:r w:rsidR="00B111BF" w:rsidRPr="00FB228C">
        <w:rPr>
          <w:rFonts w:cs="David" w:hint="cs"/>
          <w:sz w:val="28"/>
          <w:szCs w:val="28"/>
          <w:rtl/>
        </w:rPr>
        <w:t>ש</w:t>
      </w:r>
      <w:r w:rsidR="000A04D9" w:rsidRPr="00FB228C">
        <w:rPr>
          <w:rFonts w:cs="David" w:hint="cs"/>
          <w:sz w:val="28"/>
          <w:szCs w:val="28"/>
          <w:rtl/>
        </w:rPr>
        <w:t>התעוררו קשיים בקביעת מועדים לשמיעת ראיות, הן בשל אילוצי הצדדים והן בשל אילוצי בית הדין, ניתן להעריך כי שמיעת הראיות תסתיים בתוך פרק זמן של כשלושה חודשים</w:t>
      </w:r>
      <w:r w:rsidR="00F76CC7">
        <w:rPr>
          <w:rFonts w:cs="David" w:hint="cs"/>
          <w:sz w:val="28"/>
          <w:szCs w:val="28"/>
          <w:rtl/>
        </w:rPr>
        <w:t xml:space="preserve"> ממועד ההחלטה (בספטמבר 2025)</w:t>
      </w:r>
      <w:r w:rsidR="00FB228C" w:rsidRPr="00FB228C">
        <w:rPr>
          <w:rFonts w:cs="David" w:hint="cs"/>
          <w:sz w:val="28"/>
          <w:szCs w:val="28"/>
          <w:rtl/>
        </w:rPr>
        <w:t xml:space="preserve">; ואכן נמסר על ידי הצדדים כי </w:t>
      </w:r>
      <w:r w:rsidR="00FB228C">
        <w:rPr>
          <w:rFonts w:cs="David" w:hint="cs"/>
          <w:sz w:val="28"/>
          <w:szCs w:val="28"/>
          <w:rtl/>
        </w:rPr>
        <w:t>ב</w:t>
      </w:r>
      <w:r w:rsidR="000A04D9" w:rsidRPr="00FB228C">
        <w:rPr>
          <w:rFonts w:cs="David" w:hint="cs"/>
          <w:sz w:val="28"/>
          <w:szCs w:val="28"/>
          <w:rtl/>
        </w:rPr>
        <w:t xml:space="preserve">שלב זה נקבעו ארבעה מועדי הוכחות נוספים לשמיעת התיק בחודשים נובמבר </w:t>
      </w:r>
      <w:r w:rsidR="00B111BF" w:rsidRPr="00FB228C">
        <w:rPr>
          <w:rFonts w:cs="David" w:hint="cs"/>
          <w:sz w:val="28"/>
          <w:szCs w:val="28"/>
          <w:rtl/>
        </w:rPr>
        <w:t>-</w:t>
      </w:r>
      <w:r w:rsidR="000A04D9" w:rsidRPr="00FB228C">
        <w:rPr>
          <w:rFonts w:cs="David" w:hint="cs"/>
          <w:sz w:val="28"/>
          <w:szCs w:val="28"/>
          <w:rtl/>
        </w:rPr>
        <w:t xml:space="preserve"> דצמבר 2025</w:t>
      </w:r>
      <w:r w:rsidR="00FB228C">
        <w:rPr>
          <w:rFonts w:cs="David" w:hint="cs"/>
          <w:sz w:val="28"/>
          <w:szCs w:val="28"/>
          <w:rtl/>
        </w:rPr>
        <w:t>. לפיכך</w:t>
      </w:r>
      <w:r w:rsidR="00F76CC7">
        <w:rPr>
          <w:rFonts w:cs="David" w:hint="cs"/>
          <w:sz w:val="28"/>
          <w:szCs w:val="28"/>
          <w:rtl/>
        </w:rPr>
        <w:t xml:space="preserve"> ו</w:t>
      </w:r>
      <w:r w:rsidR="00FB228C">
        <w:rPr>
          <w:rFonts w:cs="David" w:hint="cs"/>
          <w:sz w:val="28"/>
          <w:szCs w:val="28"/>
          <w:rtl/>
        </w:rPr>
        <w:t xml:space="preserve">על אף שצוין כי ככל הנראה </w:t>
      </w:r>
      <w:r w:rsidR="000A04D9" w:rsidRPr="00FB228C">
        <w:rPr>
          <w:rFonts w:cs="David" w:hint="cs"/>
          <w:sz w:val="28"/>
          <w:szCs w:val="28"/>
          <w:rtl/>
        </w:rPr>
        <w:t xml:space="preserve">אחד מהמועדים יבוטל, </w:t>
      </w:r>
      <w:r w:rsidR="00B111BF" w:rsidRPr="00FB228C">
        <w:rPr>
          <w:rFonts w:cs="David" w:hint="cs"/>
          <w:sz w:val="28"/>
          <w:szCs w:val="28"/>
          <w:rtl/>
        </w:rPr>
        <w:t xml:space="preserve">נראה כי </w:t>
      </w:r>
      <w:r w:rsidR="00F76CC7">
        <w:rPr>
          <w:rFonts w:cs="David" w:hint="cs"/>
          <w:sz w:val="28"/>
          <w:szCs w:val="28"/>
          <w:rtl/>
        </w:rPr>
        <w:t xml:space="preserve">ההליך צפוי </w:t>
      </w:r>
      <w:r w:rsidR="00B111BF" w:rsidRPr="00FB228C">
        <w:rPr>
          <w:rFonts w:cs="David" w:hint="cs"/>
          <w:sz w:val="28"/>
          <w:szCs w:val="28"/>
          <w:rtl/>
        </w:rPr>
        <w:t>להסתיים בקרוב ו</w:t>
      </w:r>
      <w:r w:rsidR="00F76CC7">
        <w:rPr>
          <w:rFonts w:cs="David" w:hint="cs"/>
          <w:sz w:val="28"/>
          <w:szCs w:val="28"/>
          <w:rtl/>
        </w:rPr>
        <w:t xml:space="preserve">בשלב זה, </w:t>
      </w:r>
      <w:r w:rsidR="00B111BF" w:rsidRPr="00FB228C">
        <w:rPr>
          <w:rFonts w:cs="David" w:hint="cs"/>
          <w:sz w:val="28"/>
          <w:szCs w:val="28"/>
          <w:rtl/>
        </w:rPr>
        <w:t xml:space="preserve">לא צפויה התמשכות הליכים. </w:t>
      </w:r>
    </w:p>
    <w:p w14:paraId="039EC50D" w14:textId="597E2DE0" w:rsidR="005E3E53" w:rsidRPr="0042632D" w:rsidRDefault="00B111BF" w:rsidP="00FD4FF0">
      <w:pPr>
        <w:numPr>
          <w:ilvl w:val="0"/>
          <w:numId w:val="1"/>
        </w:numPr>
        <w:tabs>
          <w:tab w:val="left" w:pos="-58"/>
          <w:tab w:val="left" w:pos="226"/>
          <w:tab w:val="left" w:pos="368"/>
          <w:tab w:val="left" w:pos="935"/>
        </w:tabs>
        <w:spacing w:after="0" w:line="360" w:lineRule="auto"/>
        <w:ind w:left="-57" w:firstLine="0"/>
        <w:jc w:val="both"/>
        <w:rPr>
          <w:rFonts w:cs="David"/>
          <w:sz w:val="28"/>
          <w:szCs w:val="28"/>
        </w:rPr>
      </w:pPr>
      <w:r>
        <w:rPr>
          <w:rFonts w:cs="David" w:hint="cs"/>
          <w:sz w:val="28"/>
          <w:szCs w:val="28"/>
          <w:rtl/>
        </w:rPr>
        <w:t xml:space="preserve">עוד יוטעם, כי </w:t>
      </w:r>
      <w:r w:rsidR="005E3E53" w:rsidRPr="007A363A">
        <w:rPr>
          <w:rFonts w:cs="David" w:hint="cs"/>
          <w:sz w:val="28"/>
          <w:szCs w:val="28"/>
          <w:rtl/>
        </w:rPr>
        <w:t>עביר</w:t>
      </w:r>
      <w:r w:rsidR="00233184">
        <w:rPr>
          <w:rFonts w:cs="David" w:hint="cs"/>
          <w:sz w:val="28"/>
          <w:szCs w:val="28"/>
          <w:rtl/>
        </w:rPr>
        <w:t>ות</w:t>
      </w:r>
      <w:r w:rsidR="005E3E53" w:rsidRPr="007A363A">
        <w:rPr>
          <w:rFonts w:cs="David" w:hint="cs"/>
          <w:sz w:val="28"/>
          <w:szCs w:val="28"/>
          <w:rtl/>
        </w:rPr>
        <w:t xml:space="preserve"> </w:t>
      </w:r>
      <w:r w:rsidR="00233184">
        <w:rPr>
          <w:rFonts w:cs="David" w:hint="cs"/>
          <w:sz w:val="28"/>
          <w:szCs w:val="28"/>
          <w:rtl/>
        </w:rPr>
        <w:t>הנשק ה</w:t>
      </w:r>
      <w:r w:rsidR="005E3E53" w:rsidRPr="007A363A">
        <w:rPr>
          <w:rFonts w:cs="David" w:hint="cs"/>
          <w:sz w:val="28"/>
          <w:szCs w:val="28"/>
          <w:rtl/>
        </w:rPr>
        <w:t>מיוחס</w:t>
      </w:r>
      <w:r w:rsidR="00233184">
        <w:rPr>
          <w:rFonts w:cs="David" w:hint="cs"/>
          <w:sz w:val="28"/>
          <w:szCs w:val="28"/>
          <w:rtl/>
        </w:rPr>
        <w:t>ו</w:t>
      </w:r>
      <w:r w:rsidR="005E3E53" w:rsidRPr="007A363A">
        <w:rPr>
          <w:rFonts w:cs="David" w:hint="cs"/>
          <w:sz w:val="28"/>
          <w:szCs w:val="28"/>
          <w:rtl/>
        </w:rPr>
        <w:t>ת למשיב מקימ</w:t>
      </w:r>
      <w:r w:rsidR="00233184">
        <w:rPr>
          <w:rFonts w:cs="David" w:hint="cs"/>
          <w:sz w:val="28"/>
          <w:szCs w:val="28"/>
          <w:rtl/>
        </w:rPr>
        <w:t>ות</w:t>
      </w:r>
      <w:r w:rsidR="005E3E53" w:rsidRPr="007A363A">
        <w:rPr>
          <w:rFonts w:cs="David" w:hint="cs"/>
          <w:sz w:val="28"/>
          <w:szCs w:val="28"/>
          <w:rtl/>
        </w:rPr>
        <w:t xml:space="preserve"> חזקת מסוכנות סטטוטורית לפי סעיף 21(א)(1)(ג)(</w:t>
      </w:r>
      <w:r w:rsidR="00233184">
        <w:rPr>
          <w:rFonts w:cs="David" w:hint="cs"/>
          <w:sz w:val="28"/>
          <w:szCs w:val="28"/>
          <w:rtl/>
        </w:rPr>
        <w:t>2</w:t>
      </w:r>
      <w:r w:rsidR="005E3E53" w:rsidRPr="007A363A">
        <w:rPr>
          <w:rFonts w:cs="David" w:hint="cs"/>
          <w:sz w:val="28"/>
          <w:szCs w:val="28"/>
          <w:rtl/>
        </w:rPr>
        <w:t>) לחוק סדר הדין הפלילי (סמכויות אכיפה - מעצרים)</w:t>
      </w:r>
      <w:r w:rsidR="00FB228C">
        <w:rPr>
          <w:rFonts w:cs="David" w:hint="cs"/>
          <w:sz w:val="28"/>
          <w:szCs w:val="28"/>
          <w:rtl/>
        </w:rPr>
        <w:t xml:space="preserve">. </w:t>
      </w:r>
      <w:r w:rsidR="005E3E53" w:rsidRPr="007A363A">
        <w:rPr>
          <w:rFonts w:cs="David" w:hint="cs"/>
          <w:sz w:val="28"/>
          <w:szCs w:val="28"/>
          <w:rtl/>
        </w:rPr>
        <w:t>לצד עילת המעצר הסטטוטורית מתקיימות בעניינו של המשיב, גם עילת המסוכנות הצבאית ועילת המעצר הצבאית הייחודית, שעניינה פגיעה חריפה במשמעת הצבא</w:t>
      </w:r>
      <w:r w:rsidR="00FB228C">
        <w:rPr>
          <w:rFonts w:cs="David" w:hint="cs"/>
          <w:sz w:val="28"/>
          <w:szCs w:val="28"/>
          <w:rtl/>
        </w:rPr>
        <w:t>; וזאת</w:t>
      </w:r>
      <w:r w:rsidR="005E3E53" w:rsidRPr="007A363A">
        <w:rPr>
          <w:rFonts w:cs="David" w:hint="cs"/>
          <w:sz w:val="28"/>
          <w:szCs w:val="28"/>
          <w:rtl/>
        </w:rPr>
        <w:t xml:space="preserve"> </w:t>
      </w:r>
      <w:r w:rsidR="00E36858">
        <w:rPr>
          <w:rFonts w:cs="David" w:hint="cs"/>
          <w:sz w:val="28"/>
          <w:szCs w:val="28"/>
          <w:rtl/>
        </w:rPr>
        <w:t>בשים לב לטיב העבירות ולכך ש</w:t>
      </w:r>
      <w:r>
        <w:rPr>
          <w:rFonts w:cs="David" w:hint="cs"/>
          <w:sz w:val="28"/>
          <w:szCs w:val="28"/>
          <w:rtl/>
        </w:rPr>
        <w:t xml:space="preserve">עניינן הוצאת נשק מרשות הצבא, תוך מעילה בתפקידו של המשיב, </w:t>
      </w:r>
      <w:r w:rsidR="00E36858">
        <w:rPr>
          <w:rFonts w:cs="David" w:hint="cs"/>
          <w:sz w:val="28"/>
          <w:szCs w:val="28"/>
          <w:rtl/>
        </w:rPr>
        <w:t xml:space="preserve">בעיצומה של מלחמת </w:t>
      </w:r>
      <w:r w:rsidR="00F76CC7">
        <w:rPr>
          <w:rFonts w:cs="David" w:hint="cs"/>
          <w:sz w:val="28"/>
          <w:szCs w:val="28"/>
          <w:rtl/>
        </w:rPr>
        <w:t>"</w:t>
      </w:r>
      <w:r w:rsidR="00E36858">
        <w:rPr>
          <w:rFonts w:cs="David" w:hint="cs"/>
          <w:sz w:val="28"/>
          <w:szCs w:val="28"/>
          <w:rtl/>
        </w:rPr>
        <w:t>חרבות ברזל</w:t>
      </w:r>
      <w:r w:rsidR="00F76CC7">
        <w:rPr>
          <w:rFonts w:cs="David" w:hint="cs"/>
          <w:sz w:val="28"/>
          <w:szCs w:val="28"/>
          <w:rtl/>
        </w:rPr>
        <w:t>"</w:t>
      </w:r>
      <w:r w:rsidR="00FB228C">
        <w:rPr>
          <w:rFonts w:cs="David" w:hint="cs"/>
          <w:sz w:val="28"/>
          <w:szCs w:val="28"/>
          <w:rtl/>
        </w:rPr>
        <w:t>. מכאן</w:t>
      </w:r>
      <w:r>
        <w:rPr>
          <w:rFonts w:cs="David" w:hint="cs"/>
          <w:sz w:val="28"/>
          <w:szCs w:val="28"/>
          <w:rtl/>
        </w:rPr>
        <w:t xml:space="preserve"> שמתקיימות בנסיבות העניין עילות </w:t>
      </w:r>
      <w:r w:rsidR="005E3E53" w:rsidRPr="007A363A">
        <w:rPr>
          <w:rFonts w:cs="David" w:hint="cs"/>
          <w:sz w:val="28"/>
          <w:szCs w:val="28"/>
          <w:rtl/>
        </w:rPr>
        <w:t>המעצר מובהקות</w:t>
      </w:r>
      <w:r w:rsidR="005E3E53">
        <w:rPr>
          <w:rFonts w:cs="David" w:hint="cs"/>
          <w:sz w:val="28"/>
          <w:szCs w:val="28"/>
          <w:rtl/>
        </w:rPr>
        <w:t>, בעוצמה שאינה מאפשרת את שחרורו לחלופת מעצר, ודאי לא לעת הז</w:t>
      </w:r>
      <w:r w:rsidR="00E36858">
        <w:rPr>
          <w:rFonts w:cs="David" w:hint="cs"/>
          <w:sz w:val="28"/>
          <w:szCs w:val="28"/>
          <w:rtl/>
        </w:rPr>
        <w:t>ו</w:t>
      </w:r>
      <w:r w:rsidR="00FB228C">
        <w:rPr>
          <w:rFonts w:cs="David" w:hint="cs"/>
          <w:sz w:val="28"/>
          <w:szCs w:val="28"/>
          <w:rtl/>
        </w:rPr>
        <w:t xml:space="preserve">. בנסיבות אלה גם לא ראיתי טעם להפנותו </w:t>
      </w:r>
      <w:r w:rsidR="00E36858">
        <w:rPr>
          <w:rFonts w:cs="David" w:hint="cs"/>
          <w:sz w:val="28"/>
          <w:szCs w:val="28"/>
          <w:rtl/>
        </w:rPr>
        <w:t xml:space="preserve">לתסקיר מעצר (ראו לעניין זה ע"מ 447-06-25 </w:t>
      </w:r>
      <w:r w:rsidR="00E36858">
        <w:rPr>
          <w:rFonts w:cs="David" w:hint="cs"/>
          <w:b/>
          <w:bCs/>
          <w:sz w:val="28"/>
          <w:szCs w:val="28"/>
          <w:rtl/>
        </w:rPr>
        <w:t>רס"ר אטיאס נ' התובע הצבאי הראשי</w:t>
      </w:r>
      <w:r w:rsidR="00E36858">
        <w:rPr>
          <w:rFonts w:cs="David" w:hint="cs"/>
          <w:sz w:val="28"/>
          <w:szCs w:val="28"/>
          <w:rtl/>
        </w:rPr>
        <w:t>, פסקאות 15, 20</w:t>
      </w:r>
      <w:r w:rsidR="00F76CC7">
        <w:rPr>
          <w:rFonts w:cs="David" w:hint="cs"/>
          <w:sz w:val="28"/>
          <w:szCs w:val="28"/>
          <w:rtl/>
        </w:rPr>
        <w:t xml:space="preserve"> (2025)</w:t>
      </w:r>
      <w:r w:rsidR="00E36858">
        <w:rPr>
          <w:rFonts w:cs="David" w:hint="cs"/>
          <w:sz w:val="28"/>
          <w:szCs w:val="28"/>
          <w:rtl/>
        </w:rPr>
        <w:t xml:space="preserve">; ע"מ 76/24 </w:t>
      </w:r>
      <w:r w:rsidR="00E36858">
        <w:rPr>
          <w:rFonts w:cs="David" w:hint="cs"/>
          <w:b/>
          <w:bCs/>
          <w:sz w:val="28"/>
          <w:szCs w:val="28"/>
          <w:rtl/>
        </w:rPr>
        <w:t>התובע הצבאי הראשי נ' רס"ם יחזקאלי</w:t>
      </w:r>
      <w:r w:rsidR="00E36858">
        <w:rPr>
          <w:rFonts w:cs="David" w:hint="cs"/>
          <w:sz w:val="28"/>
          <w:szCs w:val="28"/>
          <w:rtl/>
        </w:rPr>
        <w:t xml:space="preserve">, פסקה 36 (2024)). </w:t>
      </w:r>
      <w:r w:rsidR="00233184">
        <w:rPr>
          <w:rFonts w:cs="David" w:hint="cs"/>
          <w:sz w:val="28"/>
          <w:szCs w:val="28"/>
          <w:rtl/>
        </w:rPr>
        <w:t xml:space="preserve"> </w:t>
      </w:r>
    </w:p>
    <w:p w14:paraId="04F54047" w14:textId="612ED4D6" w:rsidR="00A563B2" w:rsidRDefault="00FB228C" w:rsidP="00FD4FF0">
      <w:pPr>
        <w:numPr>
          <w:ilvl w:val="0"/>
          <w:numId w:val="1"/>
        </w:numPr>
        <w:tabs>
          <w:tab w:val="left" w:pos="282"/>
        </w:tabs>
        <w:spacing w:after="0" w:line="360" w:lineRule="auto"/>
        <w:ind w:left="-58" w:firstLine="0"/>
        <w:jc w:val="both"/>
        <w:rPr>
          <w:rFonts w:cs="David"/>
          <w:sz w:val="28"/>
          <w:szCs w:val="28"/>
        </w:rPr>
      </w:pPr>
      <w:r>
        <w:rPr>
          <w:rFonts w:cs="David" w:hint="cs"/>
          <w:sz w:val="28"/>
          <w:szCs w:val="28"/>
          <w:rtl/>
        </w:rPr>
        <w:lastRenderedPageBreak/>
        <w:t>משכך,</w:t>
      </w:r>
      <w:r w:rsidR="00E36858">
        <w:rPr>
          <w:rFonts w:cs="David" w:hint="cs"/>
          <w:sz w:val="28"/>
          <w:szCs w:val="28"/>
          <w:rtl/>
        </w:rPr>
        <w:t xml:space="preserve"> </w:t>
      </w:r>
      <w:r w:rsidR="00C5464E">
        <w:rPr>
          <w:rFonts w:cs="David" w:hint="cs"/>
          <w:sz w:val="28"/>
          <w:szCs w:val="28"/>
          <w:rtl/>
        </w:rPr>
        <w:t>בשים לב לטיב העבירות המיוחסות למשיב המקימות עילות מעצר מובהקות</w:t>
      </w:r>
      <w:r>
        <w:rPr>
          <w:rFonts w:cs="David" w:hint="cs"/>
          <w:sz w:val="28"/>
          <w:szCs w:val="28"/>
          <w:rtl/>
        </w:rPr>
        <w:t>,</w:t>
      </w:r>
      <w:r w:rsidR="00C5464E">
        <w:rPr>
          <w:rFonts w:cs="David" w:hint="cs"/>
          <w:sz w:val="28"/>
          <w:szCs w:val="28"/>
          <w:rtl/>
        </w:rPr>
        <w:t xml:space="preserve"> לקצב התקדמות ההליך </w:t>
      </w:r>
      <w:r w:rsidR="00E36858">
        <w:rPr>
          <w:rFonts w:cs="David" w:hint="cs"/>
          <w:sz w:val="28"/>
          <w:szCs w:val="28"/>
          <w:rtl/>
        </w:rPr>
        <w:t>עד כה</w:t>
      </w:r>
      <w:r>
        <w:rPr>
          <w:rFonts w:cs="David" w:hint="cs"/>
          <w:sz w:val="28"/>
          <w:szCs w:val="28"/>
          <w:rtl/>
        </w:rPr>
        <w:t xml:space="preserve"> ולצפי שהוצג ביחס להמשכו</w:t>
      </w:r>
      <w:r w:rsidR="00E36858">
        <w:rPr>
          <w:rFonts w:cs="David" w:hint="cs"/>
          <w:sz w:val="28"/>
          <w:szCs w:val="28"/>
          <w:rtl/>
        </w:rPr>
        <w:t xml:space="preserve">, </w:t>
      </w:r>
      <w:r w:rsidR="00C5464E">
        <w:rPr>
          <w:rFonts w:cs="David" w:hint="cs"/>
          <w:sz w:val="28"/>
          <w:szCs w:val="28"/>
          <w:rtl/>
        </w:rPr>
        <w:t xml:space="preserve">אני מורה על הארכת מעצרו של המשיב </w:t>
      </w:r>
      <w:r w:rsidR="00E36858">
        <w:rPr>
          <w:rFonts w:cs="David" w:hint="cs"/>
          <w:sz w:val="28"/>
          <w:szCs w:val="28"/>
          <w:rtl/>
        </w:rPr>
        <w:t>למשך 90 יום החל מיום 19 באוקטובר 2025</w:t>
      </w:r>
      <w:r w:rsidR="00C5464E">
        <w:rPr>
          <w:rFonts w:cs="David" w:hint="cs"/>
          <w:sz w:val="28"/>
          <w:szCs w:val="28"/>
          <w:rtl/>
        </w:rPr>
        <w:t xml:space="preserve"> או </w:t>
      </w:r>
      <w:r w:rsidR="009F4151" w:rsidRPr="0021357B">
        <w:rPr>
          <w:rFonts w:cs="David" w:hint="cs"/>
          <w:sz w:val="28"/>
          <w:szCs w:val="28"/>
          <w:rtl/>
        </w:rPr>
        <w:t xml:space="preserve">עד </w:t>
      </w:r>
      <w:r w:rsidR="00E4283D" w:rsidRPr="0021357B">
        <w:rPr>
          <w:rFonts w:cs="David" w:hint="cs"/>
          <w:sz w:val="28"/>
          <w:szCs w:val="28"/>
          <w:rtl/>
        </w:rPr>
        <w:t>ש</w:t>
      </w:r>
      <w:r w:rsidR="00C50D97">
        <w:rPr>
          <w:rFonts w:cs="David" w:hint="cs"/>
          <w:sz w:val="28"/>
          <w:szCs w:val="28"/>
          <w:rtl/>
        </w:rPr>
        <w:t>תי</w:t>
      </w:r>
      <w:r w:rsidR="00E4283D" w:rsidRPr="0021357B">
        <w:rPr>
          <w:rFonts w:cs="David" w:hint="cs"/>
          <w:sz w:val="28"/>
          <w:szCs w:val="28"/>
          <w:rtl/>
        </w:rPr>
        <w:t xml:space="preserve">נתן </w:t>
      </w:r>
      <w:r w:rsidR="00C50D97">
        <w:rPr>
          <w:rFonts w:cs="David" w:hint="cs"/>
          <w:sz w:val="28"/>
          <w:szCs w:val="28"/>
          <w:rtl/>
        </w:rPr>
        <w:t>הכרעת</w:t>
      </w:r>
      <w:r w:rsidR="009F4151" w:rsidRPr="0021357B">
        <w:rPr>
          <w:rFonts w:cs="David" w:hint="cs"/>
          <w:sz w:val="28"/>
          <w:szCs w:val="28"/>
          <w:rtl/>
        </w:rPr>
        <w:t xml:space="preserve"> הדין בעניינו</w:t>
      </w:r>
      <w:r w:rsidR="00E4283D" w:rsidRPr="0021357B">
        <w:rPr>
          <w:rFonts w:cs="David" w:hint="cs"/>
          <w:sz w:val="28"/>
          <w:szCs w:val="28"/>
          <w:rtl/>
        </w:rPr>
        <w:t>,</w:t>
      </w:r>
      <w:r w:rsidR="009F4151" w:rsidRPr="0021357B">
        <w:rPr>
          <w:rFonts w:cs="David" w:hint="cs"/>
          <w:sz w:val="28"/>
          <w:szCs w:val="28"/>
          <w:rtl/>
        </w:rPr>
        <w:t xml:space="preserve"> לפי המוקדם. </w:t>
      </w:r>
    </w:p>
    <w:p w14:paraId="7119297A" w14:textId="6C9BBE07" w:rsidR="009053D5" w:rsidRPr="0021357B" w:rsidRDefault="009053D5" w:rsidP="00FD4FF0">
      <w:pPr>
        <w:tabs>
          <w:tab w:val="left" w:pos="282"/>
        </w:tabs>
        <w:spacing w:after="0" w:line="360" w:lineRule="auto"/>
        <w:ind w:left="-58"/>
        <w:jc w:val="both"/>
        <w:rPr>
          <w:rFonts w:cs="David"/>
          <w:sz w:val="28"/>
          <w:szCs w:val="28"/>
          <w:rtl/>
        </w:rPr>
      </w:pPr>
    </w:p>
    <w:p w14:paraId="25410FBB" w14:textId="31A9B895" w:rsidR="00FF5A2F" w:rsidRDefault="007B7648" w:rsidP="00FD4FF0">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A13BCB">
        <w:rPr>
          <w:rFonts w:ascii="David" w:hAnsi="David" w:cs="David" w:hint="cs"/>
          <w:sz w:val="28"/>
          <w:szCs w:val="28"/>
          <w:rtl/>
        </w:rPr>
        <w:t xml:space="preserve">, </w:t>
      </w:r>
      <w:r w:rsidR="00E36858">
        <w:rPr>
          <w:rFonts w:ascii="David" w:hAnsi="David" w:cs="David" w:hint="cs"/>
          <w:sz w:val="28"/>
          <w:szCs w:val="28"/>
          <w:rtl/>
        </w:rPr>
        <w:t xml:space="preserve">י"ב </w:t>
      </w:r>
      <w:r w:rsidR="001524B2">
        <w:rPr>
          <w:rFonts w:ascii="David" w:hAnsi="David" w:cs="David" w:hint="cs"/>
          <w:sz w:val="28"/>
          <w:szCs w:val="28"/>
          <w:rtl/>
        </w:rPr>
        <w:t>בחשוון</w:t>
      </w:r>
      <w:r w:rsidR="003561BD">
        <w:rPr>
          <w:rFonts w:ascii="David" w:hAnsi="David" w:cs="David" w:hint="cs"/>
          <w:sz w:val="28"/>
          <w:szCs w:val="28"/>
          <w:rtl/>
        </w:rPr>
        <w:t xml:space="preserve"> </w:t>
      </w:r>
      <w:proofErr w:type="spellStart"/>
      <w:r w:rsidR="0056423D">
        <w:rPr>
          <w:rFonts w:ascii="David" w:hAnsi="David" w:cs="David" w:hint="cs"/>
          <w:sz w:val="28"/>
          <w:szCs w:val="28"/>
          <w:rtl/>
        </w:rPr>
        <w:t>ה</w:t>
      </w:r>
      <w:r w:rsidR="00A563B2">
        <w:rPr>
          <w:rFonts w:ascii="David" w:hAnsi="David" w:cs="David" w:hint="cs"/>
          <w:sz w:val="28"/>
          <w:szCs w:val="28"/>
          <w:rtl/>
        </w:rPr>
        <w:t>תשפ"</w:t>
      </w:r>
      <w:r w:rsidR="001524B2">
        <w:rPr>
          <w:rFonts w:ascii="David" w:hAnsi="David" w:cs="David" w:hint="cs"/>
          <w:sz w:val="28"/>
          <w:szCs w:val="28"/>
          <w:rtl/>
        </w:rPr>
        <w:t>ו</w:t>
      </w:r>
      <w:proofErr w:type="spellEnd"/>
      <w:r w:rsidR="00A563B2">
        <w:rPr>
          <w:rFonts w:ascii="David" w:hAnsi="David" w:cs="David" w:hint="cs"/>
          <w:sz w:val="28"/>
          <w:szCs w:val="28"/>
          <w:rtl/>
        </w:rPr>
        <w:t>,</w:t>
      </w:r>
      <w:r w:rsidR="001524B2">
        <w:rPr>
          <w:rFonts w:ascii="David" w:hAnsi="David" w:cs="David" w:hint="cs"/>
          <w:sz w:val="28"/>
          <w:szCs w:val="28"/>
          <w:rtl/>
        </w:rPr>
        <w:t xml:space="preserve"> </w:t>
      </w:r>
      <w:r w:rsidR="00E36858">
        <w:rPr>
          <w:rFonts w:ascii="David" w:hAnsi="David" w:cs="David" w:hint="cs"/>
          <w:sz w:val="28"/>
          <w:szCs w:val="28"/>
          <w:rtl/>
        </w:rPr>
        <w:t xml:space="preserve">3 </w:t>
      </w:r>
      <w:r w:rsidR="001524B2">
        <w:rPr>
          <w:rFonts w:ascii="David" w:hAnsi="David" w:cs="David" w:hint="cs"/>
          <w:sz w:val="28"/>
          <w:szCs w:val="28"/>
          <w:rtl/>
        </w:rPr>
        <w:t>בנובמבר</w:t>
      </w:r>
      <w:r w:rsidR="00E4283D">
        <w:rPr>
          <w:rFonts w:ascii="David" w:hAnsi="David" w:cs="David" w:hint="cs"/>
          <w:sz w:val="28"/>
          <w:szCs w:val="28"/>
          <w:rtl/>
        </w:rPr>
        <w:t xml:space="preserve"> 202</w:t>
      </w:r>
      <w:r w:rsidR="00C50D97">
        <w:rPr>
          <w:rFonts w:ascii="David" w:hAnsi="David" w:cs="David" w:hint="cs"/>
          <w:sz w:val="28"/>
          <w:szCs w:val="28"/>
          <w:rtl/>
        </w:rPr>
        <w:t>5</w:t>
      </w:r>
      <w:r w:rsidR="00DF3153">
        <w:rPr>
          <w:rFonts w:ascii="David" w:hAnsi="David" w:cs="David" w:hint="cs"/>
          <w:sz w:val="28"/>
          <w:szCs w:val="28"/>
          <w:rtl/>
        </w:rPr>
        <w:t xml:space="preserve">, </w:t>
      </w:r>
      <w:r w:rsidR="007A49A6">
        <w:rPr>
          <w:rFonts w:ascii="David" w:hAnsi="David" w:cs="David" w:hint="cs"/>
          <w:sz w:val="28"/>
          <w:szCs w:val="28"/>
          <w:rtl/>
        </w:rPr>
        <w:t>ב</w:t>
      </w:r>
      <w:r w:rsidR="001524B2">
        <w:rPr>
          <w:rFonts w:ascii="David" w:hAnsi="David" w:cs="David" w:hint="cs"/>
          <w:sz w:val="28"/>
          <w:szCs w:val="28"/>
          <w:rtl/>
        </w:rPr>
        <w:t xml:space="preserve">לשכה ותועבר לצדדים באמצעות קצינת בית הדין. </w:t>
      </w:r>
      <w:r w:rsidR="007A49A6">
        <w:rPr>
          <w:rFonts w:ascii="David" w:hAnsi="David" w:cs="David" w:hint="cs"/>
          <w:sz w:val="28"/>
          <w:szCs w:val="28"/>
          <w:rtl/>
        </w:rPr>
        <w:t xml:space="preserve"> </w:t>
      </w:r>
    </w:p>
    <w:p w14:paraId="34F19057" w14:textId="77777777" w:rsidR="00AA326F" w:rsidRPr="00247C7A" w:rsidRDefault="00AA326F" w:rsidP="00FD4FF0">
      <w:pPr>
        <w:tabs>
          <w:tab w:val="left" w:pos="282"/>
        </w:tabs>
        <w:spacing w:after="0" w:line="360" w:lineRule="auto"/>
        <w:ind w:left="-1"/>
        <w:jc w:val="both"/>
        <w:rPr>
          <w:rFonts w:ascii="David" w:hAnsi="David" w:cs="David"/>
          <w:sz w:val="28"/>
          <w:szCs w:val="28"/>
          <w:rtl/>
        </w:rPr>
      </w:pPr>
    </w:p>
    <w:p w14:paraId="703CD559" w14:textId="406024E5" w:rsidR="00A978A3" w:rsidRPr="00B54F91" w:rsidRDefault="00A978A3" w:rsidP="00FD4FF0">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FD4FF0">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6FA67BF4" w:rsidR="00A978A3" w:rsidRPr="00247C7A" w:rsidRDefault="00A978A3" w:rsidP="00FD4FF0">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FD4FF0">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מאיה </w:t>
      </w:r>
      <w:r w:rsidR="00FD4FF0">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505E15CF" w14:textId="6B3F7D67" w:rsidR="00A978A3" w:rsidRPr="00247C7A" w:rsidRDefault="00A978A3" w:rsidP="00FD4FF0">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FD4FF0">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Pr="00247C7A">
        <w:rPr>
          <w:rFonts w:ascii="David" w:eastAsia="Times New Roman" w:hAnsi="David" w:cs="David" w:hint="cs"/>
          <w:b/>
          <w:bCs/>
          <w:sz w:val="28"/>
          <w:szCs w:val="28"/>
          <w:rtl/>
        </w:rPr>
        <w:tab/>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הצבאי </w:t>
      </w:r>
    </w:p>
    <w:p w14:paraId="38DF2124" w14:textId="086D5C14" w:rsidR="00A978A3" w:rsidRDefault="00A978A3" w:rsidP="00FD4FF0">
      <w:pPr>
        <w:spacing w:after="0" w:line="360" w:lineRule="auto"/>
        <w:jc w:val="both"/>
        <w:rPr>
          <w:rFonts w:ascii="Times New Roman" w:eastAsia="Times New Roman" w:hAnsi="Times New Roman" w:cs="David"/>
          <w:sz w:val="20"/>
          <w:szCs w:val="28"/>
          <w:rtl/>
        </w:rPr>
      </w:pPr>
      <w:r w:rsidRPr="00247C7A">
        <w:rPr>
          <w:rFonts w:ascii="David" w:eastAsia="Times New Roman" w:hAnsi="David" w:cs="David" w:hint="cs"/>
          <w:b/>
          <w:bCs/>
          <w:sz w:val="28"/>
          <w:szCs w:val="28"/>
          <w:rtl/>
        </w:rPr>
        <w:t xml:space="preserve">                                                                              </w:t>
      </w:r>
      <w:r w:rsidR="00FD4FF0">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ל     ע     ר     ע      ו      ר      י     ם</w:t>
      </w:r>
    </w:p>
    <w:p w14:paraId="66721E71" w14:textId="77777777" w:rsidR="00021417" w:rsidRDefault="00021417" w:rsidP="00FD4FF0">
      <w:pPr>
        <w:spacing w:after="0" w:line="360" w:lineRule="auto"/>
        <w:jc w:val="both"/>
        <w:rPr>
          <w:rFonts w:ascii="Times New Roman" w:eastAsia="Times New Roman" w:hAnsi="Times New Roman" w:cs="David"/>
          <w:sz w:val="20"/>
          <w:szCs w:val="28"/>
          <w:rtl/>
        </w:rPr>
      </w:pPr>
    </w:p>
    <w:p w14:paraId="6D5A723E" w14:textId="41DDABA9" w:rsidR="00FD4FF0" w:rsidRDefault="00FD4FF0" w:rsidP="00FD4FF0">
      <w:pPr>
        <w:spacing w:after="0" w:line="360" w:lineRule="auto"/>
        <w:jc w:val="both"/>
        <w:rPr>
          <w:rFonts w:ascii="Times New Roman" w:eastAsia="Times New Roman" w:hAnsi="Times New Roman" w:cs="David"/>
          <w:sz w:val="20"/>
          <w:szCs w:val="28"/>
          <w:rtl/>
        </w:rPr>
      </w:pPr>
    </w:p>
    <w:p w14:paraId="14D877E3" w14:textId="6E20DA2D" w:rsidR="00FD4FF0" w:rsidRPr="00405BC8" w:rsidRDefault="00FD4FF0" w:rsidP="00FD4FF0">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נאמן         למקור             </w:t>
      </w:r>
    </w:p>
    <w:p w14:paraId="4F7BFEA1" w14:textId="671D9A70" w:rsidR="00FD4FF0" w:rsidRPr="00405BC8" w:rsidRDefault="00FD4FF0" w:rsidP="00FD4FF0">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62E4450C" w14:textId="5839852F" w:rsidR="00FD4FF0" w:rsidRPr="00405BC8" w:rsidRDefault="00FD4FF0" w:rsidP="00FD4FF0">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700F450A" w14:textId="77777777" w:rsidR="00FD4FF0" w:rsidRPr="00797A29" w:rsidRDefault="00FD4FF0" w:rsidP="00FD4FF0">
      <w:pPr>
        <w:spacing w:after="0" w:line="360" w:lineRule="auto"/>
        <w:jc w:val="both"/>
        <w:rPr>
          <w:rFonts w:ascii="Times New Roman" w:eastAsia="Times New Roman" w:hAnsi="Times New Roman" w:cs="David"/>
          <w:sz w:val="20"/>
          <w:szCs w:val="28"/>
          <w:rtl/>
        </w:rPr>
      </w:pPr>
    </w:p>
    <w:sectPr w:rsidR="00FD4FF0" w:rsidRPr="00797A29" w:rsidSect="00FD4FF0">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9741" w14:textId="77777777" w:rsidR="000016DD" w:rsidRDefault="000016DD">
      <w:pPr>
        <w:spacing w:after="0" w:line="240" w:lineRule="auto"/>
      </w:pPr>
      <w:r>
        <w:separator/>
      </w:r>
    </w:p>
  </w:endnote>
  <w:endnote w:type="continuationSeparator" w:id="0">
    <w:p w14:paraId="0D4D267F" w14:textId="77777777" w:rsidR="000016DD" w:rsidRDefault="0000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72490376"/>
      <w:docPartObj>
        <w:docPartGallery w:val="Page Numbers (Bottom of Page)"/>
        <w:docPartUnique/>
      </w:docPartObj>
    </w:sdtPr>
    <w:sdtEndPr>
      <w:rPr>
        <w:cs/>
      </w:rPr>
    </w:sdtEndPr>
    <w:sdtContent>
      <w:p w14:paraId="53B75E96" w14:textId="77777777" w:rsidR="00D61D0E" w:rsidRDefault="001C64D6">
        <w:pPr>
          <w:pStyle w:val="Footer"/>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D61D0E" w:rsidRDefault="0000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BD70" w14:textId="77777777" w:rsidR="000016DD" w:rsidRDefault="000016DD">
      <w:pPr>
        <w:spacing w:after="0" w:line="240" w:lineRule="auto"/>
      </w:pPr>
      <w:r>
        <w:separator/>
      </w:r>
    </w:p>
  </w:footnote>
  <w:footnote w:type="continuationSeparator" w:id="0">
    <w:p w14:paraId="4F846CDE" w14:textId="77777777" w:rsidR="000016DD" w:rsidRDefault="0000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EA5A" w14:textId="510A489A" w:rsidR="0080702E" w:rsidRPr="00A16B23" w:rsidRDefault="001C64D6" w:rsidP="00A16B23">
    <w:pPr>
      <w:pStyle w:val="Header"/>
      <w:rPr>
        <w:rFonts w:cs="David"/>
        <w:sz w:val="28"/>
        <w:szCs w:val="28"/>
      </w:rPr>
    </w:pPr>
    <w:r>
      <w:rPr>
        <w:rFonts w:cs="David" w:hint="cs"/>
        <w:sz w:val="28"/>
        <w:szCs w:val="28"/>
        <w:rtl/>
      </w:rPr>
      <w:t xml:space="preserve">                                                    </w:t>
    </w:r>
    <w:r w:rsidR="00FD4FF0">
      <w:rPr>
        <w:rFonts w:cs="David" w:hint="cs"/>
        <w:sz w:val="28"/>
        <w:szCs w:val="28"/>
        <w:rtl/>
      </w:rPr>
      <w:t xml:space="preserve">        </w:t>
    </w:r>
    <w:r>
      <w:rPr>
        <w:rFonts w:cs="David" w:hint="cs"/>
        <w:sz w:val="28"/>
        <w:szCs w:val="28"/>
        <w:rtl/>
      </w:rPr>
      <w:t xml:space="preserve">       </w:t>
    </w:r>
    <w:r w:rsidR="00A16B23">
      <w:rPr>
        <w:rFonts w:cs="David" w:hint="cs"/>
        <w:sz w:val="28"/>
        <w:szCs w:val="28"/>
        <w:rtl/>
      </w:rPr>
      <w:t>ב ל מ " ס</w:t>
    </w:r>
    <w:r>
      <w:rPr>
        <w:rtl/>
      </w:rPr>
      <w:tab/>
    </w:r>
    <w:r>
      <w:rPr>
        <w:rFonts w:hint="cs"/>
        <w:rtl/>
      </w:rPr>
      <w:t xml:space="preserve">                                </w:t>
    </w:r>
    <w:r w:rsidR="0080702E" w:rsidRPr="00452031">
      <w:rPr>
        <w:rFonts w:cs="David" w:hint="cs"/>
        <w:sz w:val="28"/>
        <w:szCs w:val="28"/>
        <w:rtl/>
      </w:rPr>
      <w:t>ב"ש</w:t>
    </w:r>
    <w:r w:rsidR="0080702E">
      <w:rPr>
        <w:rFonts w:cs="David" w:hint="cs"/>
        <w:sz w:val="28"/>
        <w:szCs w:val="28"/>
        <w:rtl/>
      </w:rPr>
      <w:t xml:space="preserve"> </w:t>
    </w:r>
    <w:r w:rsidR="001524B2">
      <w:rPr>
        <w:rFonts w:cs="David" w:hint="cs"/>
        <w:sz w:val="28"/>
        <w:szCs w:val="28"/>
        <w:rtl/>
      </w:rPr>
      <w:t>23995-10</w:t>
    </w:r>
    <w:r w:rsidR="0080702E">
      <w:rPr>
        <w:rFonts w:cs="David" w:hint="cs"/>
        <w:sz w:val="28"/>
        <w:szCs w:val="28"/>
        <w:rt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4"/>
  </w:num>
  <w:num w:numId="4">
    <w:abstractNumId w:val="2"/>
  </w:num>
  <w:num w:numId="5">
    <w:abstractNumId w:val="0"/>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16DD"/>
    <w:rsid w:val="000057D7"/>
    <w:rsid w:val="00012C8B"/>
    <w:rsid w:val="00021417"/>
    <w:rsid w:val="00041325"/>
    <w:rsid w:val="00054601"/>
    <w:rsid w:val="00067D06"/>
    <w:rsid w:val="00086CB4"/>
    <w:rsid w:val="000952A8"/>
    <w:rsid w:val="000A04D9"/>
    <w:rsid w:val="000A1220"/>
    <w:rsid w:val="000B0017"/>
    <w:rsid w:val="000B0EBB"/>
    <w:rsid w:val="000B0FBE"/>
    <w:rsid w:val="000C09BD"/>
    <w:rsid w:val="000C2E39"/>
    <w:rsid w:val="000D2B68"/>
    <w:rsid w:val="000D4F6A"/>
    <w:rsid w:val="000E2952"/>
    <w:rsid w:val="000E43EE"/>
    <w:rsid w:val="000E51DE"/>
    <w:rsid w:val="000F239B"/>
    <w:rsid w:val="00103A61"/>
    <w:rsid w:val="001144BE"/>
    <w:rsid w:val="001300B0"/>
    <w:rsid w:val="001524B2"/>
    <w:rsid w:val="00155F47"/>
    <w:rsid w:val="00160B79"/>
    <w:rsid w:val="00191E90"/>
    <w:rsid w:val="001B799F"/>
    <w:rsid w:val="001C42C1"/>
    <w:rsid w:val="001C64D6"/>
    <w:rsid w:val="001E306F"/>
    <w:rsid w:val="001E50E5"/>
    <w:rsid w:val="001E5370"/>
    <w:rsid w:val="001E608E"/>
    <w:rsid w:val="001E73D6"/>
    <w:rsid w:val="001F1F24"/>
    <w:rsid w:val="001F2FB8"/>
    <w:rsid w:val="002036B1"/>
    <w:rsid w:val="00207DDA"/>
    <w:rsid w:val="0021357B"/>
    <w:rsid w:val="002149EA"/>
    <w:rsid w:val="00222EC1"/>
    <w:rsid w:val="00225151"/>
    <w:rsid w:val="00233184"/>
    <w:rsid w:val="002333F6"/>
    <w:rsid w:val="00246547"/>
    <w:rsid w:val="00260914"/>
    <w:rsid w:val="00262DA7"/>
    <w:rsid w:val="00281478"/>
    <w:rsid w:val="0028747A"/>
    <w:rsid w:val="002B4867"/>
    <w:rsid w:val="002D1E26"/>
    <w:rsid w:val="002E7B5A"/>
    <w:rsid w:val="002F0155"/>
    <w:rsid w:val="00334064"/>
    <w:rsid w:val="003432F6"/>
    <w:rsid w:val="0034455F"/>
    <w:rsid w:val="00352D14"/>
    <w:rsid w:val="003561BD"/>
    <w:rsid w:val="003647A8"/>
    <w:rsid w:val="00365B5A"/>
    <w:rsid w:val="0037420B"/>
    <w:rsid w:val="0038341F"/>
    <w:rsid w:val="00385466"/>
    <w:rsid w:val="003A362A"/>
    <w:rsid w:val="003C30AE"/>
    <w:rsid w:val="003D4EDC"/>
    <w:rsid w:val="00403B80"/>
    <w:rsid w:val="004071C9"/>
    <w:rsid w:val="00407E4A"/>
    <w:rsid w:val="0041564E"/>
    <w:rsid w:val="00415F2D"/>
    <w:rsid w:val="0042453C"/>
    <w:rsid w:val="0042632D"/>
    <w:rsid w:val="0044749D"/>
    <w:rsid w:val="0045557A"/>
    <w:rsid w:val="004634AC"/>
    <w:rsid w:val="00466742"/>
    <w:rsid w:val="0047518E"/>
    <w:rsid w:val="004A3FB5"/>
    <w:rsid w:val="004B6DC8"/>
    <w:rsid w:val="004B75F3"/>
    <w:rsid w:val="004C380E"/>
    <w:rsid w:val="004C79FE"/>
    <w:rsid w:val="004E2E91"/>
    <w:rsid w:val="004F2B8D"/>
    <w:rsid w:val="0050270F"/>
    <w:rsid w:val="0051281D"/>
    <w:rsid w:val="005156B7"/>
    <w:rsid w:val="005258C9"/>
    <w:rsid w:val="005314CF"/>
    <w:rsid w:val="00556DF5"/>
    <w:rsid w:val="00562861"/>
    <w:rsid w:val="0056423D"/>
    <w:rsid w:val="00567E22"/>
    <w:rsid w:val="00575B76"/>
    <w:rsid w:val="00575F1B"/>
    <w:rsid w:val="0058186D"/>
    <w:rsid w:val="00591BCF"/>
    <w:rsid w:val="00596AEC"/>
    <w:rsid w:val="005A1397"/>
    <w:rsid w:val="005A42C6"/>
    <w:rsid w:val="005B2227"/>
    <w:rsid w:val="005B3F68"/>
    <w:rsid w:val="005E3D57"/>
    <w:rsid w:val="005E3E53"/>
    <w:rsid w:val="005F4811"/>
    <w:rsid w:val="00610B53"/>
    <w:rsid w:val="00624941"/>
    <w:rsid w:val="00624EFF"/>
    <w:rsid w:val="00627321"/>
    <w:rsid w:val="00631610"/>
    <w:rsid w:val="00636B00"/>
    <w:rsid w:val="0064021D"/>
    <w:rsid w:val="00656086"/>
    <w:rsid w:val="00675545"/>
    <w:rsid w:val="0068161A"/>
    <w:rsid w:val="0068302E"/>
    <w:rsid w:val="00684C0A"/>
    <w:rsid w:val="006B147D"/>
    <w:rsid w:val="006D699A"/>
    <w:rsid w:val="006F7855"/>
    <w:rsid w:val="00703053"/>
    <w:rsid w:val="007120FD"/>
    <w:rsid w:val="00724CC2"/>
    <w:rsid w:val="00726B86"/>
    <w:rsid w:val="00731316"/>
    <w:rsid w:val="00744161"/>
    <w:rsid w:val="00747834"/>
    <w:rsid w:val="007530F1"/>
    <w:rsid w:val="00762E89"/>
    <w:rsid w:val="007A363A"/>
    <w:rsid w:val="007A49A6"/>
    <w:rsid w:val="007B7648"/>
    <w:rsid w:val="007C5F3F"/>
    <w:rsid w:val="007D2910"/>
    <w:rsid w:val="007D7B29"/>
    <w:rsid w:val="007F3297"/>
    <w:rsid w:val="007F751E"/>
    <w:rsid w:val="00800486"/>
    <w:rsid w:val="0080702E"/>
    <w:rsid w:val="00807833"/>
    <w:rsid w:val="00812A78"/>
    <w:rsid w:val="00831484"/>
    <w:rsid w:val="00836238"/>
    <w:rsid w:val="00837B9B"/>
    <w:rsid w:val="00860DB2"/>
    <w:rsid w:val="00865507"/>
    <w:rsid w:val="00867B08"/>
    <w:rsid w:val="00892747"/>
    <w:rsid w:val="008A00A4"/>
    <w:rsid w:val="008F5DAB"/>
    <w:rsid w:val="00902DBE"/>
    <w:rsid w:val="009053D5"/>
    <w:rsid w:val="00920679"/>
    <w:rsid w:val="00937F42"/>
    <w:rsid w:val="00950481"/>
    <w:rsid w:val="00955692"/>
    <w:rsid w:val="00971768"/>
    <w:rsid w:val="0097376A"/>
    <w:rsid w:val="009761A6"/>
    <w:rsid w:val="00990E4A"/>
    <w:rsid w:val="009C4142"/>
    <w:rsid w:val="009D1EAB"/>
    <w:rsid w:val="009E2B4D"/>
    <w:rsid w:val="009F4151"/>
    <w:rsid w:val="009F66C2"/>
    <w:rsid w:val="00A006AB"/>
    <w:rsid w:val="00A13BCB"/>
    <w:rsid w:val="00A16B23"/>
    <w:rsid w:val="00A17F79"/>
    <w:rsid w:val="00A211B6"/>
    <w:rsid w:val="00A24F0A"/>
    <w:rsid w:val="00A35DE1"/>
    <w:rsid w:val="00A44C00"/>
    <w:rsid w:val="00A50CCA"/>
    <w:rsid w:val="00A545BC"/>
    <w:rsid w:val="00A563B2"/>
    <w:rsid w:val="00A60433"/>
    <w:rsid w:val="00A6543F"/>
    <w:rsid w:val="00A8116D"/>
    <w:rsid w:val="00A928D2"/>
    <w:rsid w:val="00A978A3"/>
    <w:rsid w:val="00AA0133"/>
    <w:rsid w:val="00AA326F"/>
    <w:rsid w:val="00AB039A"/>
    <w:rsid w:val="00AC2C91"/>
    <w:rsid w:val="00AC7C74"/>
    <w:rsid w:val="00AF0471"/>
    <w:rsid w:val="00AF0C78"/>
    <w:rsid w:val="00B075F5"/>
    <w:rsid w:val="00B111BF"/>
    <w:rsid w:val="00B25C73"/>
    <w:rsid w:val="00B31D35"/>
    <w:rsid w:val="00B34098"/>
    <w:rsid w:val="00B36BAC"/>
    <w:rsid w:val="00B37925"/>
    <w:rsid w:val="00B42955"/>
    <w:rsid w:val="00B4569B"/>
    <w:rsid w:val="00B54F91"/>
    <w:rsid w:val="00B56CBB"/>
    <w:rsid w:val="00B7121E"/>
    <w:rsid w:val="00B83DF0"/>
    <w:rsid w:val="00B8747B"/>
    <w:rsid w:val="00BA16E8"/>
    <w:rsid w:val="00BB36EF"/>
    <w:rsid w:val="00BC3C05"/>
    <w:rsid w:val="00BC5B8A"/>
    <w:rsid w:val="00BD3148"/>
    <w:rsid w:val="00BD7841"/>
    <w:rsid w:val="00BE2840"/>
    <w:rsid w:val="00C31546"/>
    <w:rsid w:val="00C3381A"/>
    <w:rsid w:val="00C373B9"/>
    <w:rsid w:val="00C46F79"/>
    <w:rsid w:val="00C50D97"/>
    <w:rsid w:val="00C53103"/>
    <w:rsid w:val="00C5354D"/>
    <w:rsid w:val="00C5464E"/>
    <w:rsid w:val="00C55797"/>
    <w:rsid w:val="00C62FAA"/>
    <w:rsid w:val="00C64ABB"/>
    <w:rsid w:val="00C67F12"/>
    <w:rsid w:val="00C701A3"/>
    <w:rsid w:val="00C92B53"/>
    <w:rsid w:val="00CB0DCD"/>
    <w:rsid w:val="00CB4718"/>
    <w:rsid w:val="00CB7953"/>
    <w:rsid w:val="00CD4B1E"/>
    <w:rsid w:val="00CD5467"/>
    <w:rsid w:val="00CE6F7C"/>
    <w:rsid w:val="00CF4831"/>
    <w:rsid w:val="00D14732"/>
    <w:rsid w:val="00D2377D"/>
    <w:rsid w:val="00D3628F"/>
    <w:rsid w:val="00D429B9"/>
    <w:rsid w:val="00D44485"/>
    <w:rsid w:val="00D47BE4"/>
    <w:rsid w:val="00D646F9"/>
    <w:rsid w:val="00D66ACE"/>
    <w:rsid w:val="00D7525D"/>
    <w:rsid w:val="00D85BF2"/>
    <w:rsid w:val="00D90CE7"/>
    <w:rsid w:val="00D97AE8"/>
    <w:rsid w:val="00DA018C"/>
    <w:rsid w:val="00DA110D"/>
    <w:rsid w:val="00DB6B25"/>
    <w:rsid w:val="00DE18F5"/>
    <w:rsid w:val="00DF3153"/>
    <w:rsid w:val="00DF59E1"/>
    <w:rsid w:val="00E02708"/>
    <w:rsid w:val="00E03B2B"/>
    <w:rsid w:val="00E069C0"/>
    <w:rsid w:val="00E248F2"/>
    <w:rsid w:val="00E36858"/>
    <w:rsid w:val="00E406C7"/>
    <w:rsid w:val="00E4283D"/>
    <w:rsid w:val="00E5169F"/>
    <w:rsid w:val="00E63952"/>
    <w:rsid w:val="00E72F56"/>
    <w:rsid w:val="00E8040F"/>
    <w:rsid w:val="00E9495E"/>
    <w:rsid w:val="00EA1895"/>
    <w:rsid w:val="00EA1E90"/>
    <w:rsid w:val="00EA5595"/>
    <w:rsid w:val="00EA5766"/>
    <w:rsid w:val="00EB1F23"/>
    <w:rsid w:val="00EC5134"/>
    <w:rsid w:val="00ED0E85"/>
    <w:rsid w:val="00EE5EE8"/>
    <w:rsid w:val="00EE6204"/>
    <w:rsid w:val="00F00A2F"/>
    <w:rsid w:val="00F21186"/>
    <w:rsid w:val="00F3342F"/>
    <w:rsid w:val="00F33AC7"/>
    <w:rsid w:val="00F36194"/>
    <w:rsid w:val="00F412C6"/>
    <w:rsid w:val="00F4796D"/>
    <w:rsid w:val="00F54D87"/>
    <w:rsid w:val="00F650B4"/>
    <w:rsid w:val="00F67A31"/>
    <w:rsid w:val="00F76CC7"/>
    <w:rsid w:val="00F92C19"/>
    <w:rsid w:val="00F95AB4"/>
    <w:rsid w:val="00F96D22"/>
    <w:rsid w:val="00FB228C"/>
    <w:rsid w:val="00FB7525"/>
    <w:rsid w:val="00FC1184"/>
    <w:rsid w:val="00FC792E"/>
    <w:rsid w:val="00FD4FF0"/>
    <w:rsid w:val="00FD5E0F"/>
    <w:rsid w:val="00FE0340"/>
    <w:rsid w:val="00FE23DC"/>
    <w:rsid w:val="00FE5C24"/>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7B764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7648"/>
    <w:pPr>
      <w:ind w:left="720"/>
      <w:contextualSpacing/>
    </w:pPr>
  </w:style>
  <w:style w:type="character" w:customStyle="1" w:styleId="ListParagraphChar">
    <w:name w:val="List Paragraph Char"/>
    <w:basedOn w:val="DefaultParagraphFont"/>
    <w:link w:val="ListParagraph"/>
    <w:uiPriority w:val="34"/>
    <w:rsid w:val="007B7648"/>
  </w:style>
  <w:style w:type="paragraph" w:styleId="Header">
    <w:name w:val="header"/>
    <w:basedOn w:val="Normal"/>
    <w:link w:val="HeaderChar"/>
    <w:uiPriority w:val="99"/>
    <w:unhideWhenUsed/>
    <w:rsid w:val="007B7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648"/>
  </w:style>
  <w:style w:type="paragraph" w:styleId="Footer">
    <w:name w:val="footer"/>
    <w:basedOn w:val="Normal"/>
    <w:link w:val="FooterChar"/>
    <w:uiPriority w:val="99"/>
    <w:unhideWhenUsed/>
    <w:rsid w:val="007B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48"/>
  </w:style>
  <w:style w:type="paragraph" w:styleId="BalloonText">
    <w:name w:val="Balloon Text"/>
    <w:basedOn w:val="Normal"/>
    <w:link w:val="BalloonTextChar"/>
    <w:uiPriority w:val="99"/>
    <w:semiHidden/>
    <w:unhideWhenUsed/>
    <w:rsid w:val="00812A7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2A78"/>
    <w:rPr>
      <w:rFonts w:ascii="Tahoma" w:hAnsi="Tahoma" w:cs="Tahoma"/>
      <w:sz w:val="18"/>
      <w:szCs w:val="18"/>
    </w:rPr>
  </w:style>
  <w:style w:type="paragraph" w:customStyle="1" w:styleId="1">
    <w:name w:val="סגנון1"/>
    <w:basedOn w:val="BlockText"/>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BlockText">
    <w:name w:val="Block Text"/>
    <w:basedOn w:val="Normal"/>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EA5766"/>
    <w:rPr>
      <w:sz w:val="16"/>
      <w:szCs w:val="16"/>
    </w:rPr>
  </w:style>
  <w:style w:type="paragraph" w:styleId="CommentText">
    <w:name w:val="annotation text"/>
    <w:basedOn w:val="Normal"/>
    <w:link w:val="CommentTextChar"/>
    <w:uiPriority w:val="99"/>
    <w:semiHidden/>
    <w:unhideWhenUsed/>
    <w:rsid w:val="00EA5766"/>
    <w:pPr>
      <w:spacing w:line="240" w:lineRule="auto"/>
    </w:pPr>
    <w:rPr>
      <w:sz w:val="20"/>
      <w:szCs w:val="20"/>
    </w:rPr>
  </w:style>
  <w:style w:type="character" w:customStyle="1" w:styleId="CommentTextChar">
    <w:name w:val="Comment Text Char"/>
    <w:basedOn w:val="DefaultParagraphFont"/>
    <w:link w:val="CommentText"/>
    <w:uiPriority w:val="99"/>
    <w:semiHidden/>
    <w:rsid w:val="00EA5766"/>
    <w:rPr>
      <w:sz w:val="20"/>
      <w:szCs w:val="20"/>
    </w:rPr>
  </w:style>
  <w:style w:type="paragraph" w:styleId="CommentSubject">
    <w:name w:val="annotation subject"/>
    <w:basedOn w:val="CommentText"/>
    <w:next w:val="CommentText"/>
    <w:link w:val="CommentSubjectChar"/>
    <w:uiPriority w:val="99"/>
    <w:semiHidden/>
    <w:unhideWhenUsed/>
    <w:rsid w:val="00EA5766"/>
    <w:rPr>
      <w:b/>
      <w:bCs/>
    </w:rPr>
  </w:style>
  <w:style w:type="character" w:customStyle="1" w:styleId="CommentSubjectChar">
    <w:name w:val="Comment Subject Char"/>
    <w:basedOn w:val="CommentTextChar"/>
    <w:link w:val="CommentSubject"/>
    <w:uiPriority w:val="99"/>
    <w:semiHidden/>
    <w:rsid w:val="00EA5766"/>
    <w:rPr>
      <w:b/>
      <w:bCs/>
      <w:sz w:val="20"/>
      <w:szCs w:val="20"/>
    </w:rPr>
  </w:style>
  <w:style w:type="character" w:styleId="Hyperlink">
    <w:name w:val="Hyperlink"/>
    <w:uiPriority w:val="99"/>
    <w:unhideWhenUsed/>
    <w:rsid w:val="00BD7841"/>
    <w:rPr>
      <w:color w:val="0563C1"/>
      <w:u w:val="single"/>
    </w:rPr>
  </w:style>
  <w:style w:type="paragraph" w:customStyle="1" w:styleId="11">
    <w:name w:val="פיסקת רשימה1"/>
    <w:basedOn w:val="Normal"/>
    <w:uiPriority w:val="34"/>
    <w:qFormat/>
    <w:rsid w:val="00E406C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1504</Words>
  <Characters>7523</Characters>
  <Application>Microsoft Office Word</Application>
  <DocSecurity>0</DocSecurity>
  <Lines>62</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ארבל דו גלאון - בית הדין לערעורים/מש"ק משפט</cp:lastModifiedBy>
  <cp:revision>5</cp:revision>
  <cp:lastPrinted>2025-11-04T08:44:00Z</cp:lastPrinted>
  <dcterms:created xsi:type="dcterms:W3CDTF">2025-11-04T08:30:00Z</dcterms:created>
  <dcterms:modified xsi:type="dcterms:W3CDTF">2025-11-30T11:18:00Z</dcterms:modified>
</cp:coreProperties>
</file>