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1493" w14:textId="77777777" w:rsidR="00A10920" w:rsidRDefault="00A10920" w:rsidP="00A10920">
      <w:pPr>
        <w:tabs>
          <w:tab w:val="right" w:pos="6328"/>
        </w:tabs>
        <w:spacing w:line="480" w:lineRule="auto"/>
        <w:ind w:left="1985" w:right="1985"/>
        <w:rPr>
          <w:rtl/>
        </w:rPr>
      </w:pPr>
      <w:r w:rsidRPr="00E21AE7">
        <w:rPr>
          <w:noProof/>
        </w:rPr>
        <w:drawing>
          <wp:inline distT="0" distB="0" distL="0" distR="0" wp14:anchorId="18931EE0" wp14:editId="5F1443A7">
            <wp:extent cx="866775" cy="790575"/>
            <wp:effectExtent l="0" t="0" r="9525" b="9525"/>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E21AE7">
        <w:rPr>
          <w:noProof/>
        </w:rPr>
        <w:drawing>
          <wp:inline distT="0" distB="0" distL="0" distR="0" wp14:anchorId="27743410" wp14:editId="2FFE0DD9">
            <wp:extent cx="581025" cy="790575"/>
            <wp:effectExtent l="0" t="0" r="9525" b="9525"/>
            <wp:docPr id="4" name="תמונה 4"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479D455E" w14:textId="77777777" w:rsidR="00CE52F8" w:rsidRPr="00FD2DDA" w:rsidRDefault="00CE52F8" w:rsidP="00CE52F8">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777B08BD" w14:textId="77777777" w:rsidR="00CE52F8" w:rsidRPr="00FD2DDA" w:rsidRDefault="00CE52F8" w:rsidP="00CE52F8">
      <w:pPr>
        <w:spacing w:before="120" w:after="0" w:line="480" w:lineRule="auto"/>
        <w:rPr>
          <w:rFonts w:ascii="David" w:hAnsi="David"/>
          <w:rtl/>
        </w:rPr>
      </w:pPr>
      <w:r w:rsidRPr="00FD2DDA">
        <w:rPr>
          <w:rFonts w:ascii="David" w:hAnsi="David" w:hint="cs"/>
          <w:rtl/>
        </w:rPr>
        <w:t>בפני:</w:t>
      </w:r>
    </w:p>
    <w:p w14:paraId="460B3E3C" w14:textId="77777777" w:rsidR="00CE52F8" w:rsidRPr="00BB5867" w:rsidRDefault="00CE52F8" w:rsidP="00CE52F8">
      <w:pPr>
        <w:spacing w:line="240" w:lineRule="auto"/>
        <w:jc w:val="center"/>
        <w:rPr>
          <w:rtl/>
        </w:rPr>
      </w:pPr>
      <w:r w:rsidRPr="00ED4EF3">
        <w:rPr>
          <w:rFonts w:hint="cs"/>
          <w:b/>
          <w:bCs/>
          <w:rtl/>
        </w:rPr>
        <w:t>אל"ם מאיה גולדשמידט</w:t>
      </w:r>
      <w:r>
        <w:rPr>
          <w:rFonts w:hint="cs"/>
          <w:rtl/>
        </w:rPr>
        <w:t xml:space="preserve">    -   שופטת</w:t>
      </w:r>
    </w:p>
    <w:p w14:paraId="385F5C23" w14:textId="77777777" w:rsidR="00CE52F8" w:rsidRPr="00FD2DDA" w:rsidRDefault="00CE52F8" w:rsidP="00CE52F8">
      <w:pPr>
        <w:rPr>
          <w:rFonts w:ascii="David" w:hAnsi="David"/>
          <w:rtl/>
        </w:rPr>
      </w:pPr>
      <w:r w:rsidRPr="00FD2DDA">
        <w:rPr>
          <w:rFonts w:ascii="David" w:hAnsi="David" w:hint="cs"/>
          <w:rtl/>
        </w:rPr>
        <w:t>בעניין:</w:t>
      </w:r>
    </w:p>
    <w:p w14:paraId="3D5E8A79" w14:textId="659F9871" w:rsidR="00CE52F8" w:rsidRPr="00FD2DDA" w:rsidRDefault="00CE52F8" w:rsidP="00733BAB">
      <w:pPr>
        <w:bidi w:val="0"/>
        <w:spacing w:line="360" w:lineRule="auto"/>
        <w:jc w:val="center"/>
        <w:rPr>
          <w:rFonts w:ascii="David" w:hAnsi="David"/>
          <w:rtl/>
        </w:rPr>
      </w:pPr>
      <w:r>
        <w:rPr>
          <w:rFonts w:ascii="David" w:hAnsi="David" w:hint="cs"/>
          <w:b/>
          <w:bCs/>
          <w:rtl/>
        </w:rPr>
        <w:t>ח/</w:t>
      </w:r>
      <w:r w:rsidR="000B1EA6">
        <w:rPr>
          <w:rFonts w:ascii="David" w:hAnsi="David" w:hint="cs"/>
          <w:b/>
          <w:bCs/>
          <w:rtl/>
        </w:rPr>
        <w:t>*******</w:t>
      </w:r>
      <w:r>
        <w:rPr>
          <w:rFonts w:ascii="David" w:hAnsi="David" w:hint="cs"/>
          <w:b/>
          <w:bCs/>
          <w:rtl/>
        </w:rPr>
        <w:t xml:space="preserve"> סמל (מיל</w:t>
      </w:r>
      <w:r w:rsidR="00B70668">
        <w:rPr>
          <w:rFonts w:ascii="David" w:hAnsi="David" w:hint="cs"/>
          <w:b/>
          <w:bCs/>
          <w:rtl/>
        </w:rPr>
        <w:t>'</w:t>
      </w:r>
      <w:r>
        <w:rPr>
          <w:rFonts w:ascii="David" w:hAnsi="David" w:hint="cs"/>
          <w:b/>
          <w:bCs/>
          <w:rtl/>
        </w:rPr>
        <w:t>)</w:t>
      </w:r>
      <w:r w:rsidR="00C45B85">
        <w:rPr>
          <w:rFonts w:ascii="David" w:hAnsi="David" w:hint="cs"/>
          <w:b/>
          <w:bCs/>
          <w:rtl/>
        </w:rPr>
        <w:t xml:space="preserve"> </w:t>
      </w:r>
      <w:r w:rsidR="004C11A4">
        <w:rPr>
          <w:rFonts w:ascii="David" w:hAnsi="David" w:hint="cs"/>
          <w:b/>
          <w:bCs/>
          <w:rtl/>
        </w:rPr>
        <w:t>ב'</w:t>
      </w:r>
      <w:r>
        <w:rPr>
          <w:rFonts w:ascii="David" w:hAnsi="David" w:hint="cs"/>
          <w:b/>
          <w:bCs/>
          <w:rtl/>
        </w:rPr>
        <w:t xml:space="preserve"> </w:t>
      </w:r>
      <w:r w:rsidR="004C11A4">
        <w:rPr>
          <w:rFonts w:ascii="David" w:hAnsi="David" w:hint="cs"/>
          <w:b/>
          <w:bCs/>
          <w:rtl/>
        </w:rPr>
        <w:t>ב'</w:t>
      </w:r>
      <w:r w:rsidR="00C45B85">
        <w:rPr>
          <w:rFonts w:ascii="David" w:hAnsi="David" w:hint="cs"/>
          <w:b/>
          <w:bCs/>
          <w:rtl/>
        </w:rPr>
        <w:t xml:space="preserve"> -</w:t>
      </w:r>
      <w:r w:rsidRPr="00FD2DDA">
        <w:rPr>
          <w:rFonts w:ascii="David" w:hAnsi="David" w:hint="cs"/>
          <w:rtl/>
        </w:rPr>
        <w:t xml:space="preserve"> המערער (ע"י ב"כ</w:t>
      </w:r>
      <w:r>
        <w:rPr>
          <w:rFonts w:ascii="David" w:hAnsi="David" w:hint="cs"/>
          <w:rtl/>
        </w:rPr>
        <w:t>, רס"ן מאי ארבל; רס"ן עמית שוחנצקי; סגן אהרן פופקו</w:t>
      </w:r>
      <w:r w:rsidRPr="00FD2DDA">
        <w:rPr>
          <w:rFonts w:ascii="David" w:hAnsi="David" w:hint="cs"/>
          <w:rtl/>
        </w:rPr>
        <w:t>)</w:t>
      </w:r>
    </w:p>
    <w:p w14:paraId="6EF3230A" w14:textId="77777777" w:rsidR="00CE52F8" w:rsidRPr="00FD2DDA" w:rsidRDefault="00CE52F8" w:rsidP="00CE52F8">
      <w:pPr>
        <w:jc w:val="center"/>
        <w:rPr>
          <w:rFonts w:ascii="David" w:hAnsi="David"/>
          <w:rtl/>
        </w:rPr>
      </w:pPr>
    </w:p>
    <w:p w14:paraId="009423BC" w14:textId="77777777" w:rsidR="00CE52F8" w:rsidRPr="00FD2DDA" w:rsidRDefault="00CE52F8" w:rsidP="00CE52F8">
      <w:pPr>
        <w:spacing w:after="360"/>
        <w:jc w:val="center"/>
        <w:rPr>
          <w:rFonts w:ascii="David" w:hAnsi="David"/>
          <w:b/>
          <w:bCs/>
          <w:rtl/>
        </w:rPr>
      </w:pPr>
      <w:r w:rsidRPr="00FD2DDA">
        <w:rPr>
          <w:rFonts w:ascii="David" w:hAnsi="David" w:hint="cs"/>
          <w:b/>
          <w:bCs/>
          <w:rtl/>
        </w:rPr>
        <w:t xml:space="preserve">נ ג ד </w:t>
      </w:r>
    </w:p>
    <w:p w14:paraId="4E2B8264" w14:textId="0D3596BB" w:rsidR="00CE52F8" w:rsidRPr="00FD2DDA" w:rsidRDefault="00CE52F8" w:rsidP="00CE52F8">
      <w:pPr>
        <w:spacing w:after="120"/>
        <w:jc w:val="center"/>
        <w:rPr>
          <w:rFonts w:ascii="David" w:hAnsi="David"/>
          <w:rtl/>
        </w:rPr>
      </w:pPr>
      <w:r>
        <w:rPr>
          <w:rFonts w:ascii="Times New Roman" w:eastAsia="Times New Roman" w:hAnsi="Times New Roman" w:hint="cs"/>
          <w:b/>
          <w:bCs/>
          <w:sz w:val="32"/>
          <w:rtl/>
        </w:rPr>
        <w:t>התובע הצבאי הראשי</w:t>
      </w:r>
      <w:r w:rsidRPr="00FD2DDA">
        <w:rPr>
          <w:rFonts w:ascii="David" w:hAnsi="David" w:hint="cs"/>
          <w:b/>
          <w:bCs/>
          <w:rtl/>
        </w:rPr>
        <w:t xml:space="preserve"> </w:t>
      </w:r>
      <w:r w:rsidR="00C45B85">
        <w:rPr>
          <w:rFonts w:ascii="David" w:hAnsi="David" w:hint="cs"/>
          <w:b/>
          <w:bCs/>
          <w:rtl/>
        </w:rPr>
        <w:t>-</w:t>
      </w:r>
      <w:r w:rsidRPr="00FD2DDA">
        <w:rPr>
          <w:rFonts w:ascii="David" w:hAnsi="David" w:hint="cs"/>
          <w:rtl/>
        </w:rPr>
        <w:t xml:space="preserve"> המשיב (ע"י ב"כ,</w:t>
      </w:r>
      <w:r>
        <w:rPr>
          <w:rFonts w:ascii="David" w:hAnsi="David" w:hint="cs"/>
          <w:rtl/>
        </w:rPr>
        <w:t xml:space="preserve"> סרן אוהד מנור</w:t>
      </w:r>
      <w:r w:rsidR="00C45B85">
        <w:rPr>
          <w:rFonts w:ascii="David" w:hAnsi="David" w:hint="cs"/>
          <w:rtl/>
        </w:rPr>
        <w:t>; קמ"ש ליטל הרטמן</w:t>
      </w:r>
      <w:r w:rsidRPr="00FD2DDA">
        <w:rPr>
          <w:rFonts w:ascii="David" w:hAnsi="David" w:hint="cs"/>
          <w:rtl/>
        </w:rPr>
        <w:t>)</w:t>
      </w:r>
    </w:p>
    <w:p w14:paraId="76361EC7" w14:textId="77777777" w:rsidR="00CE52F8" w:rsidRPr="00FD2DDA" w:rsidRDefault="00CE52F8" w:rsidP="00CE52F8">
      <w:pPr>
        <w:spacing w:after="360" w:line="360" w:lineRule="auto"/>
        <w:rPr>
          <w:rFonts w:ascii="David" w:hAnsi="David"/>
          <w:b/>
          <w:bCs/>
          <w:u w:val="single"/>
          <w:rtl/>
        </w:rPr>
      </w:pPr>
    </w:p>
    <w:p w14:paraId="51574666" w14:textId="5AC7CCA9" w:rsidR="00CE52F8" w:rsidRDefault="00CE52F8" w:rsidP="00733BAB">
      <w:pPr>
        <w:spacing w:after="0" w:line="360" w:lineRule="auto"/>
        <w:outlineLvl w:val="0"/>
        <w:rPr>
          <w:b/>
          <w:bCs/>
          <w:u w:val="single"/>
          <w:rtl/>
        </w:rPr>
      </w:pPr>
      <w:r w:rsidRPr="007452AA">
        <w:rPr>
          <w:rFonts w:ascii="David" w:hAnsi="David" w:hint="cs"/>
          <w:rtl/>
        </w:rPr>
        <w:t xml:space="preserve">ערעור על </w:t>
      </w:r>
      <w:r w:rsidR="00733BAB" w:rsidRPr="007452AA">
        <w:rPr>
          <w:rFonts w:ascii="David" w:hAnsi="David" w:hint="cs"/>
          <w:rtl/>
        </w:rPr>
        <w:t>החלטה</w:t>
      </w:r>
      <w:r w:rsidRPr="007452AA">
        <w:rPr>
          <w:rFonts w:ascii="David" w:hAnsi="David" w:hint="cs"/>
          <w:rtl/>
        </w:rPr>
        <w:t xml:space="preserve"> של בית הדין הצבאי המחוזי במחוז שיפוטי </w:t>
      </w:r>
      <w:r w:rsidR="00662D53">
        <w:rPr>
          <w:rFonts w:ascii="David" w:hAnsi="David" w:hint="cs"/>
          <w:rtl/>
        </w:rPr>
        <w:t>ה</w:t>
      </w:r>
      <w:r w:rsidR="00733BAB" w:rsidRPr="007452AA">
        <w:rPr>
          <w:rFonts w:ascii="David" w:hAnsi="David" w:hint="cs"/>
          <w:rtl/>
        </w:rPr>
        <w:t>מטכ</w:t>
      </w:r>
      <w:r w:rsidR="00662D53">
        <w:rPr>
          <w:rFonts w:ascii="David" w:hAnsi="David" w:hint="cs"/>
          <w:rtl/>
        </w:rPr>
        <w:t>"</w:t>
      </w:r>
      <w:r w:rsidR="00733BAB" w:rsidRPr="007452AA">
        <w:rPr>
          <w:rFonts w:ascii="David" w:hAnsi="David" w:hint="cs"/>
          <w:rtl/>
        </w:rPr>
        <w:t>ל</w:t>
      </w:r>
      <w:r w:rsidRPr="007452AA">
        <w:rPr>
          <w:rFonts w:ascii="David" w:hAnsi="David" w:hint="cs"/>
          <w:rtl/>
        </w:rPr>
        <w:t xml:space="preserve"> שניתן בתיק </w:t>
      </w:r>
      <w:r w:rsidR="007F0B85" w:rsidRPr="007452AA">
        <w:rPr>
          <w:rFonts w:ascii="David" w:hAnsi="David" w:hint="cs"/>
          <w:rtl/>
        </w:rPr>
        <w:t>מטכ</w:t>
      </w:r>
      <w:r w:rsidR="00662D53">
        <w:rPr>
          <w:rFonts w:ascii="David" w:hAnsi="David" w:hint="cs"/>
          <w:rtl/>
        </w:rPr>
        <w:t>"</w:t>
      </w:r>
      <w:r w:rsidR="007F0B85" w:rsidRPr="007452AA">
        <w:rPr>
          <w:rFonts w:ascii="David" w:hAnsi="David" w:hint="cs"/>
          <w:rtl/>
        </w:rPr>
        <w:t>ל</w:t>
      </w:r>
      <w:r w:rsidRPr="007452AA">
        <w:rPr>
          <w:rFonts w:ascii="David" w:hAnsi="David" w:hint="cs"/>
          <w:rtl/>
        </w:rPr>
        <w:t xml:space="preserve"> (</w:t>
      </w:r>
      <w:r w:rsidR="007452AA" w:rsidRPr="007452AA">
        <w:rPr>
          <w:rFonts w:ascii="David" w:hAnsi="David" w:hint="cs"/>
          <w:rtl/>
        </w:rPr>
        <w:t>ב"ש</w:t>
      </w:r>
      <w:r w:rsidRPr="007452AA">
        <w:rPr>
          <w:rFonts w:ascii="David" w:hAnsi="David" w:hint="cs"/>
          <w:rtl/>
        </w:rPr>
        <w:t xml:space="preserve">) </w:t>
      </w:r>
      <w:r w:rsidR="00733BAB" w:rsidRPr="007452AA">
        <w:rPr>
          <w:rFonts w:ascii="David" w:hAnsi="David" w:hint="cs"/>
          <w:rtl/>
        </w:rPr>
        <w:t>3</w:t>
      </w:r>
      <w:r w:rsidRPr="007452AA">
        <w:rPr>
          <w:rFonts w:ascii="David" w:hAnsi="David" w:hint="cs"/>
          <w:rtl/>
        </w:rPr>
        <w:t>/</w:t>
      </w:r>
      <w:r w:rsidR="00733BAB" w:rsidRPr="007452AA">
        <w:rPr>
          <w:rFonts w:ascii="David" w:hAnsi="David" w:hint="cs"/>
          <w:rtl/>
        </w:rPr>
        <w:t>23</w:t>
      </w:r>
      <w:r w:rsidRPr="007452AA">
        <w:rPr>
          <w:rFonts w:ascii="David" w:hAnsi="David" w:hint="cs"/>
          <w:rtl/>
        </w:rPr>
        <w:t xml:space="preserve"> (סא"ל סיגל טורג'מן</w:t>
      </w:r>
      <w:r w:rsidR="007452AA">
        <w:rPr>
          <w:rFonts w:ascii="David" w:hAnsi="David" w:hint="cs"/>
          <w:rtl/>
        </w:rPr>
        <w:t>-</w:t>
      </w:r>
      <w:r w:rsidRPr="007452AA">
        <w:rPr>
          <w:rFonts w:ascii="David" w:hAnsi="David" w:hint="cs"/>
          <w:rtl/>
        </w:rPr>
        <w:t>חזן</w:t>
      </w:r>
      <w:r w:rsidR="007452AA">
        <w:rPr>
          <w:rFonts w:ascii="David" w:hAnsi="David" w:hint="cs"/>
          <w:rtl/>
        </w:rPr>
        <w:t xml:space="preserve"> - סגנית הנשיא</w:t>
      </w:r>
      <w:r w:rsidRPr="007452AA">
        <w:rPr>
          <w:rFonts w:ascii="David" w:hAnsi="David" w:hint="cs"/>
          <w:rtl/>
        </w:rPr>
        <w:t xml:space="preserve">) ביום </w:t>
      </w:r>
      <w:r w:rsidR="007452AA">
        <w:rPr>
          <w:rFonts w:ascii="David" w:hAnsi="David" w:hint="cs"/>
          <w:rtl/>
        </w:rPr>
        <w:t>16</w:t>
      </w:r>
      <w:r w:rsidRPr="007452AA">
        <w:rPr>
          <w:rFonts w:ascii="David" w:hAnsi="David" w:hint="cs"/>
          <w:rtl/>
        </w:rPr>
        <w:t>.</w:t>
      </w:r>
      <w:r w:rsidR="007452AA">
        <w:rPr>
          <w:rFonts w:ascii="David" w:hAnsi="David" w:hint="cs"/>
          <w:rtl/>
        </w:rPr>
        <w:t>2</w:t>
      </w:r>
      <w:r w:rsidRPr="007452AA">
        <w:rPr>
          <w:rFonts w:ascii="David" w:hAnsi="David" w:hint="cs"/>
          <w:rtl/>
        </w:rPr>
        <w:t>.</w:t>
      </w:r>
      <w:r w:rsidR="007452AA">
        <w:rPr>
          <w:rFonts w:ascii="David" w:hAnsi="David" w:hint="cs"/>
          <w:rtl/>
        </w:rPr>
        <w:t>2023</w:t>
      </w:r>
      <w:r w:rsidRPr="007452AA">
        <w:rPr>
          <w:rFonts w:ascii="David" w:hAnsi="David" w:hint="cs"/>
          <w:rtl/>
        </w:rPr>
        <w:t xml:space="preserve">. הערעור </w:t>
      </w:r>
      <w:r w:rsidR="00733BAB" w:rsidRPr="007452AA">
        <w:rPr>
          <w:rFonts w:ascii="David" w:hAnsi="David" w:hint="cs"/>
          <w:rtl/>
        </w:rPr>
        <w:t>נדחה</w:t>
      </w:r>
      <w:r w:rsidRPr="007452AA">
        <w:rPr>
          <w:rFonts w:ascii="David" w:hAnsi="David" w:hint="cs"/>
          <w:rtl/>
        </w:rPr>
        <w:t>.</w:t>
      </w:r>
    </w:p>
    <w:p w14:paraId="28F203FE" w14:textId="77777777" w:rsidR="00CE52F8" w:rsidRDefault="00CE52F8" w:rsidP="009B2917">
      <w:pPr>
        <w:spacing w:after="0" w:line="360" w:lineRule="auto"/>
        <w:jc w:val="center"/>
        <w:outlineLvl w:val="0"/>
        <w:rPr>
          <w:b/>
          <w:bCs/>
          <w:u w:val="single"/>
          <w:rtl/>
        </w:rPr>
      </w:pPr>
    </w:p>
    <w:p w14:paraId="2225A884" w14:textId="2F4AE648" w:rsidR="009B2917" w:rsidRDefault="009B2917" w:rsidP="009B2917">
      <w:pPr>
        <w:spacing w:after="0" w:line="360" w:lineRule="auto"/>
        <w:jc w:val="center"/>
        <w:outlineLvl w:val="0"/>
        <w:rPr>
          <w:b/>
          <w:bCs/>
          <w:u w:val="single"/>
          <w:rtl/>
        </w:rPr>
      </w:pPr>
      <w:r>
        <w:rPr>
          <w:rFonts w:hint="cs"/>
          <w:b/>
          <w:bCs/>
          <w:u w:val="single"/>
          <w:rtl/>
        </w:rPr>
        <w:t>ה</w:t>
      </w:r>
      <w:r w:rsidRPr="00C25D4A">
        <w:rPr>
          <w:rFonts w:hint="cs"/>
          <w:b/>
          <w:bCs/>
          <w:u w:val="single"/>
          <w:rtl/>
        </w:rPr>
        <w:t xml:space="preserve"> ח ל ט ה</w:t>
      </w:r>
    </w:p>
    <w:p w14:paraId="677882D4" w14:textId="4EEE1193" w:rsidR="00183D41" w:rsidRDefault="00183D41" w:rsidP="00183D41">
      <w:pPr>
        <w:spacing w:after="0" w:line="360" w:lineRule="auto"/>
        <w:outlineLvl w:val="0"/>
        <w:rPr>
          <w:b/>
          <w:bCs/>
          <w:u w:val="single"/>
          <w:rtl/>
        </w:rPr>
      </w:pPr>
      <w:r w:rsidRPr="00183D41">
        <w:rPr>
          <w:rFonts w:hint="cs"/>
          <w:b/>
          <w:bCs/>
          <w:u w:val="single"/>
          <w:rtl/>
        </w:rPr>
        <w:t>רקע</w:t>
      </w:r>
    </w:p>
    <w:p w14:paraId="382C69B0" w14:textId="3C4B5C16" w:rsidR="00824528" w:rsidRDefault="00824528" w:rsidP="009B2917">
      <w:pPr>
        <w:numPr>
          <w:ilvl w:val="0"/>
          <w:numId w:val="1"/>
        </w:numPr>
        <w:tabs>
          <w:tab w:val="left" w:pos="418"/>
          <w:tab w:val="left" w:pos="992"/>
        </w:tabs>
        <w:spacing w:after="0" w:line="360" w:lineRule="auto"/>
        <w:ind w:left="-7" w:firstLine="0"/>
        <w:jc w:val="both"/>
      </w:pPr>
      <w:r>
        <w:rPr>
          <w:rFonts w:hint="cs"/>
          <w:rtl/>
        </w:rPr>
        <w:t xml:space="preserve"> בעניינו של המערער, סמל (מיל</w:t>
      </w:r>
      <w:r w:rsidR="00C4236C">
        <w:rPr>
          <w:rFonts w:hint="cs"/>
          <w:rtl/>
        </w:rPr>
        <w:t>'</w:t>
      </w:r>
      <w:r>
        <w:rPr>
          <w:rFonts w:hint="cs"/>
          <w:rtl/>
        </w:rPr>
        <w:t xml:space="preserve">) </w:t>
      </w:r>
      <w:r w:rsidR="004C11A4">
        <w:rPr>
          <w:rFonts w:hint="cs"/>
          <w:rtl/>
        </w:rPr>
        <w:t>ב'</w:t>
      </w:r>
      <w:r w:rsidR="00F76901">
        <w:rPr>
          <w:rFonts w:hint="cs"/>
          <w:rtl/>
        </w:rPr>
        <w:t xml:space="preserve"> </w:t>
      </w:r>
      <w:r w:rsidR="004C11A4">
        <w:rPr>
          <w:rFonts w:hint="cs"/>
          <w:rtl/>
        </w:rPr>
        <w:t>ב'</w:t>
      </w:r>
      <w:r w:rsidR="00C4236C">
        <w:rPr>
          <w:rFonts w:hint="cs"/>
          <w:rtl/>
        </w:rPr>
        <w:t>,</w:t>
      </w:r>
      <w:r>
        <w:rPr>
          <w:rFonts w:hint="cs"/>
          <w:rtl/>
        </w:rPr>
        <w:t xml:space="preserve"> התקבלה </w:t>
      </w:r>
      <w:r w:rsidR="008063AC">
        <w:rPr>
          <w:rFonts w:hint="cs"/>
          <w:rtl/>
        </w:rPr>
        <w:t xml:space="preserve">ביום 16 בפברואר 2023 </w:t>
      </w:r>
      <w:r>
        <w:rPr>
          <w:rFonts w:hint="cs"/>
          <w:rtl/>
        </w:rPr>
        <w:t xml:space="preserve">החלטת בית הדין המחוזי (כב' סגנית הנשיאה, סא"ל סיגל טורג'מן </w:t>
      </w:r>
      <w:r w:rsidR="008063AC">
        <w:rPr>
          <w:rFonts w:hint="cs"/>
          <w:rtl/>
        </w:rPr>
        <w:t>-</w:t>
      </w:r>
      <w:r>
        <w:rPr>
          <w:rFonts w:hint="cs"/>
          <w:rtl/>
        </w:rPr>
        <w:t xml:space="preserve"> חזן) לדחות את בקשת ההגנה</w:t>
      </w:r>
      <w:r w:rsidR="00F76901">
        <w:rPr>
          <w:rFonts w:hint="cs"/>
          <w:rtl/>
        </w:rPr>
        <w:t xml:space="preserve">, </w:t>
      </w:r>
      <w:r w:rsidR="008063AC">
        <w:rPr>
          <w:rFonts w:hint="cs"/>
          <w:rtl/>
        </w:rPr>
        <w:t>לקבלת חומר חקירה, בהתאם ל</w:t>
      </w:r>
      <w:r w:rsidR="00F76901" w:rsidRPr="00CD4225">
        <w:rPr>
          <w:rFonts w:hint="cs"/>
          <w:rtl/>
        </w:rPr>
        <w:t>סעיף 74 לחוק סדר הדין הפלילי [נוסח משולב], התשמ"ב-1982</w:t>
      </w:r>
      <w:r w:rsidR="008063AC">
        <w:rPr>
          <w:rFonts w:hint="cs"/>
          <w:rtl/>
        </w:rPr>
        <w:t>.</w:t>
      </w:r>
      <w:r w:rsidR="00F76901">
        <w:rPr>
          <w:rFonts w:hint="cs"/>
          <w:rtl/>
        </w:rPr>
        <w:t xml:space="preserve"> </w:t>
      </w:r>
      <w:r>
        <w:rPr>
          <w:rFonts w:hint="cs"/>
          <w:rtl/>
        </w:rPr>
        <w:t xml:space="preserve">ההגנה לא השלימה עם החלטה זו, ומכאן הערעור שבפניי. </w:t>
      </w:r>
    </w:p>
    <w:p w14:paraId="1B609A6F" w14:textId="7424DAC6" w:rsidR="00243FE1" w:rsidRDefault="00824528" w:rsidP="00776470">
      <w:pPr>
        <w:numPr>
          <w:ilvl w:val="0"/>
          <w:numId w:val="1"/>
        </w:numPr>
        <w:tabs>
          <w:tab w:val="left" w:pos="418"/>
          <w:tab w:val="left" w:pos="992"/>
        </w:tabs>
        <w:spacing w:after="0" w:line="360" w:lineRule="auto"/>
        <w:ind w:left="-7" w:firstLine="0"/>
        <w:jc w:val="both"/>
      </w:pPr>
      <w:r>
        <w:rPr>
          <w:rFonts w:hint="cs"/>
          <w:rtl/>
        </w:rPr>
        <w:t xml:space="preserve">יבואר, כי כתב האישום </w:t>
      </w:r>
      <w:r w:rsidR="008063AC">
        <w:rPr>
          <w:rFonts w:hint="cs"/>
          <w:rtl/>
        </w:rPr>
        <w:t xml:space="preserve">שהוגש </w:t>
      </w:r>
      <w:r>
        <w:rPr>
          <w:rFonts w:hint="cs"/>
          <w:rtl/>
        </w:rPr>
        <w:t xml:space="preserve">כנגד המערער </w:t>
      </w:r>
      <w:r w:rsidR="009B2917">
        <w:rPr>
          <w:rFonts w:hint="cs"/>
          <w:rtl/>
        </w:rPr>
        <w:t xml:space="preserve">מייחס לו </w:t>
      </w:r>
      <w:r w:rsidR="00201C26">
        <w:rPr>
          <w:rFonts w:hint="cs"/>
          <w:rtl/>
        </w:rPr>
        <w:t>עבירה</w:t>
      </w:r>
      <w:r w:rsidR="009B2917">
        <w:rPr>
          <w:rFonts w:hint="cs"/>
          <w:rtl/>
        </w:rPr>
        <w:t xml:space="preserve"> של </w:t>
      </w:r>
      <w:r w:rsidR="009B2917" w:rsidRPr="00D51F1D">
        <w:rPr>
          <w:rFonts w:hint="cs"/>
          <w:rtl/>
        </w:rPr>
        <w:t>מעשה מגונה</w:t>
      </w:r>
      <w:r w:rsidR="009B2917" w:rsidRPr="002E49C3">
        <w:rPr>
          <w:rFonts w:hint="cs"/>
          <w:rtl/>
        </w:rPr>
        <w:t xml:space="preserve"> לפי סעיף 348(ג) לחוק העונשין, התשל"ז-</w:t>
      </w:r>
      <w:r w:rsidR="009B2917">
        <w:rPr>
          <w:rFonts w:hint="cs"/>
          <w:rtl/>
        </w:rPr>
        <w:t>1977.</w:t>
      </w:r>
      <w:r>
        <w:rPr>
          <w:rFonts w:hint="cs"/>
          <w:rtl/>
        </w:rPr>
        <w:t xml:space="preserve"> </w:t>
      </w:r>
      <w:r w:rsidR="00023A60">
        <w:rPr>
          <w:rFonts w:hint="cs"/>
          <w:rtl/>
        </w:rPr>
        <w:t>בכתב האישום</w:t>
      </w:r>
      <w:r w:rsidR="00EE51E5">
        <w:rPr>
          <w:rFonts w:hint="cs"/>
          <w:rtl/>
        </w:rPr>
        <w:t xml:space="preserve"> נטען</w:t>
      </w:r>
      <w:r w:rsidR="009B2917">
        <w:rPr>
          <w:rFonts w:hint="cs"/>
          <w:rtl/>
        </w:rPr>
        <w:t>, כי</w:t>
      </w:r>
      <w:r w:rsidR="00023A60">
        <w:rPr>
          <w:rFonts w:hint="cs"/>
          <w:rtl/>
        </w:rPr>
        <w:t xml:space="preserve"> לאחר היכרות קצרה </w:t>
      </w:r>
      <w:r w:rsidR="00C4236C">
        <w:rPr>
          <w:rFonts w:hint="cs"/>
          <w:rtl/>
        </w:rPr>
        <w:t>ב</w:t>
      </w:r>
      <w:r w:rsidR="00632E0C">
        <w:rPr>
          <w:rFonts w:hint="cs"/>
          <w:rtl/>
        </w:rPr>
        <w:t xml:space="preserve">חודש מארס 2021, </w:t>
      </w:r>
      <w:r w:rsidR="00023A60">
        <w:rPr>
          <w:rFonts w:hint="cs"/>
          <w:rtl/>
        </w:rPr>
        <w:t xml:space="preserve">בין </w:t>
      </w:r>
      <w:r w:rsidR="00EE51E5">
        <w:rPr>
          <w:rFonts w:hint="cs"/>
          <w:rtl/>
        </w:rPr>
        <w:t>ה</w:t>
      </w:r>
      <w:r w:rsidR="00023A60">
        <w:rPr>
          <w:rFonts w:hint="cs"/>
          <w:rtl/>
        </w:rPr>
        <w:t xml:space="preserve">מערער </w:t>
      </w:r>
      <w:r w:rsidR="00EE51E5">
        <w:rPr>
          <w:rFonts w:hint="cs"/>
          <w:rtl/>
        </w:rPr>
        <w:t xml:space="preserve">למתלוננת, </w:t>
      </w:r>
      <w:r w:rsidR="00C4236C">
        <w:rPr>
          <w:rFonts w:hint="cs"/>
          <w:rtl/>
        </w:rPr>
        <w:t xml:space="preserve">אשר </w:t>
      </w:r>
      <w:r w:rsidR="00EE51E5">
        <w:rPr>
          <w:rFonts w:hint="cs"/>
          <w:rtl/>
        </w:rPr>
        <w:t xml:space="preserve">שירתו במועד האירוע בחיל המשטרה הצבאית, </w:t>
      </w:r>
      <w:r w:rsidR="008063AC">
        <w:rPr>
          <w:rFonts w:hint="cs"/>
          <w:rtl/>
        </w:rPr>
        <w:t xml:space="preserve">ניתק </w:t>
      </w:r>
      <w:r w:rsidR="00C4236C">
        <w:rPr>
          <w:rFonts w:hint="cs"/>
          <w:rtl/>
        </w:rPr>
        <w:t xml:space="preserve">ביניהם </w:t>
      </w:r>
      <w:r w:rsidR="008063AC">
        <w:rPr>
          <w:rFonts w:hint="cs"/>
          <w:rtl/>
        </w:rPr>
        <w:t>הקשר,</w:t>
      </w:r>
      <w:r w:rsidR="00632E0C">
        <w:rPr>
          <w:rFonts w:hint="cs"/>
          <w:rtl/>
        </w:rPr>
        <w:t xml:space="preserve"> עד שביום </w:t>
      </w:r>
      <w:r w:rsidR="00201C26">
        <w:rPr>
          <w:rFonts w:hint="cs"/>
          <w:rtl/>
        </w:rPr>
        <w:t>4</w:t>
      </w:r>
      <w:r w:rsidR="009B2917">
        <w:rPr>
          <w:rFonts w:hint="cs"/>
          <w:rtl/>
        </w:rPr>
        <w:t xml:space="preserve"> </w:t>
      </w:r>
      <w:r w:rsidR="00201C26">
        <w:rPr>
          <w:rFonts w:hint="cs"/>
          <w:rtl/>
        </w:rPr>
        <w:t>ביוני</w:t>
      </w:r>
      <w:r w:rsidR="009B2917">
        <w:rPr>
          <w:rFonts w:hint="cs"/>
          <w:rtl/>
        </w:rPr>
        <w:t xml:space="preserve"> 2021, </w:t>
      </w:r>
      <w:r w:rsidR="00632E0C">
        <w:rPr>
          <w:rFonts w:hint="cs"/>
          <w:rtl/>
        </w:rPr>
        <w:t>הגיבה המתלוננת על "סטורי" שפרסם המערער בחשבון ה</w:t>
      </w:r>
      <w:r w:rsidR="00243FE1">
        <w:rPr>
          <w:rFonts w:hint="cs"/>
          <w:rtl/>
        </w:rPr>
        <w:t>"</w:t>
      </w:r>
      <w:r w:rsidR="00632E0C">
        <w:rPr>
          <w:rFonts w:hint="cs"/>
          <w:rtl/>
        </w:rPr>
        <w:t>אינסטגרם</w:t>
      </w:r>
      <w:r w:rsidR="00243FE1">
        <w:rPr>
          <w:rFonts w:hint="cs"/>
          <w:rtl/>
        </w:rPr>
        <w:t>"</w:t>
      </w:r>
      <w:r w:rsidR="00632E0C">
        <w:rPr>
          <w:rFonts w:hint="cs"/>
          <w:rtl/>
        </w:rPr>
        <w:t xml:space="preserve"> שלו והשניים החלו להתכתב. </w:t>
      </w:r>
      <w:r w:rsidR="00023A60">
        <w:rPr>
          <w:rFonts w:hint="cs"/>
          <w:rtl/>
        </w:rPr>
        <w:t>במהלך התכתבותם שאל ה</w:t>
      </w:r>
      <w:r w:rsidR="00632E0C">
        <w:rPr>
          <w:rFonts w:hint="cs"/>
          <w:rtl/>
        </w:rPr>
        <w:t xml:space="preserve">מערער </w:t>
      </w:r>
      <w:r w:rsidR="00D250C6">
        <w:rPr>
          <w:rFonts w:hint="cs"/>
          <w:rtl/>
        </w:rPr>
        <w:t xml:space="preserve">את </w:t>
      </w:r>
      <w:r w:rsidR="00632E0C">
        <w:rPr>
          <w:rFonts w:hint="cs"/>
          <w:rtl/>
        </w:rPr>
        <w:lastRenderedPageBreak/>
        <w:t>המתלוננת על תחביב</w:t>
      </w:r>
      <w:r w:rsidR="008063AC">
        <w:rPr>
          <w:rFonts w:hint="cs"/>
          <w:rtl/>
        </w:rPr>
        <w:t>י</w:t>
      </w:r>
      <w:r w:rsidR="00632E0C">
        <w:rPr>
          <w:rFonts w:hint="cs"/>
          <w:rtl/>
        </w:rPr>
        <w:t>ה, והאם</w:t>
      </w:r>
      <w:r w:rsidR="00D250C6">
        <w:rPr>
          <w:rFonts w:hint="cs"/>
          <w:rtl/>
        </w:rPr>
        <w:t xml:space="preserve"> היא </w:t>
      </w:r>
      <w:r w:rsidR="008063AC">
        <w:rPr>
          <w:rFonts w:hint="cs"/>
          <w:rtl/>
        </w:rPr>
        <w:t>"</w:t>
      </w:r>
      <w:r w:rsidR="00D250C6">
        <w:rPr>
          <w:rFonts w:hint="cs"/>
          <w:rtl/>
        </w:rPr>
        <w:t>יודעת לנשק</w:t>
      </w:r>
      <w:r w:rsidR="008063AC">
        <w:rPr>
          <w:rFonts w:hint="cs"/>
          <w:rtl/>
        </w:rPr>
        <w:t>"</w:t>
      </w:r>
      <w:r w:rsidR="00D250C6">
        <w:rPr>
          <w:rFonts w:hint="cs"/>
          <w:rtl/>
        </w:rPr>
        <w:t xml:space="preserve">, </w:t>
      </w:r>
      <w:r w:rsidR="00632E0C">
        <w:rPr>
          <w:rFonts w:hint="cs"/>
          <w:rtl/>
        </w:rPr>
        <w:t xml:space="preserve">אך היא לא השיבה. </w:t>
      </w:r>
      <w:r w:rsidR="00D250C6">
        <w:rPr>
          <w:rFonts w:hint="cs"/>
          <w:rtl/>
        </w:rPr>
        <w:t xml:space="preserve">במהלך השיחה קבעו השניים להיפגש בעיר מגוריו של </w:t>
      </w:r>
      <w:r w:rsidR="00B31495">
        <w:rPr>
          <w:rFonts w:hint="cs"/>
          <w:rtl/>
        </w:rPr>
        <w:t>המערער</w:t>
      </w:r>
      <w:r w:rsidR="00632E0C">
        <w:rPr>
          <w:rFonts w:hint="cs"/>
          <w:rtl/>
        </w:rPr>
        <w:t xml:space="preserve"> והמתלוננת הגיעה אל המקום באוטובוס. על אף שהמתלוננת ציינה בפני המערער כי אינה מעוניינת להגיע אל ביתו, הרי שלאחר הליכה ברחובות העיר הוביל אותה המערער אל ביתו. </w:t>
      </w:r>
      <w:r w:rsidR="00B31495">
        <w:rPr>
          <w:rFonts w:hint="cs"/>
          <w:rtl/>
        </w:rPr>
        <w:t>בזמן שהשניים עלו במעלית</w:t>
      </w:r>
      <w:r w:rsidR="00632E0C">
        <w:rPr>
          <w:rFonts w:hint="cs"/>
          <w:rtl/>
        </w:rPr>
        <w:t>, הם התנשקו ו</w:t>
      </w:r>
      <w:r w:rsidR="00B31495">
        <w:rPr>
          <w:rFonts w:hint="cs"/>
          <w:rtl/>
        </w:rPr>
        <w:t>לאחר מכן נכנסו לבית המערער.</w:t>
      </w:r>
    </w:p>
    <w:p w14:paraId="1A144F0A" w14:textId="2B13E405" w:rsidR="00243FE1" w:rsidRDefault="008063AC" w:rsidP="00243FE1">
      <w:pPr>
        <w:tabs>
          <w:tab w:val="left" w:pos="418"/>
          <w:tab w:val="left" w:pos="992"/>
        </w:tabs>
        <w:spacing w:after="0" w:line="360" w:lineRule="auto"/>
        <w:ind w:left="-7"/>
        <w:jc w:val="both"/>
        <w:rPr>
          <w:rtl/>
        </w:rPr>
      </w:pPr>
      <w:r>
        <w:rPr>
          <w:rFonts w:hint="cs"/>
          <w:rtl/>
        </w:rPr>
        <w:t xml:space="preserve">נטען כי </w:t>
      </w:r>
      <w:r w:rsidR="00B31495">
        <w:rPr>
          <w:rFonts w:hint="cs"/>
          <w:rtl/>
        </w:rPr>
        <w:t xml:space="preserve">לאחר מכן, בעודם יושבים על מיטת המערער </w:t>
      </w:r>
      <w:r w:rsidR="00243FE1">
        <w:rPr>
          <w:rFonts w:hint="cs"/>
          <w:rtl/>
        </w:rPr>
        <w:t xml:space="preserve">בחדרו </w:t>
      </w:r>
      <w:r w:rsidR="00B31495">
        <w:rPr>
          <w:rFonts w:hint="cs"/>
          <w:rtl/>
        </w:rPr>
        <w:t>ומשוחחים, נישק המערער את המתלוננת בפיה מספר פעמים נוספות, ובשלב מסוים הרים את רגליה על המיטה והשכיב אותה</w:t>
      </w:r>
      <w:r>
        <w:rPr>
          <w:rFonts w:hint="cs"/>
          <w:rtl/>
        </w:rPr>
        <w:t>, פיסק את רגליה, ר</w:t>
      </w:r>
      <w:r w:rsidR="00B31495">
        <w:rPr>
          <w:rFonts w:hint="cs"/>
          <w:rtl/>
        </w:rPr>
        <w:t xml:space="preserve">כן מעליה, פשט את בגדיו </w:t>
      </w:r>
      <w:r>
        <w:rPr>
          <w:rFonts w:hint="cs"/>
          <w:rtl/>
        </w:rPr>
        <w:t>עד ש</w:t>
      </w:r>
      <w:r w:rsidR="00B31495">
        <w:rPr>
          <w:rFonts w:hint="cs"/>
          <w:rtl/>
        </w:rPr>
        <w:t xml:space="preserve">נשאר בתחתוניו, ונשכב מעל המתלוננת בעודה מרגישה את כובד משקל גופו. בתגובה למעשיו אלו, מסרה לו המתלוננת כי היא לא מעוניינת לקיים יחסי מין, כי היא לא רוצה להיכנס להיריון ושהיא בטראומה ובחרדות. </w:t>
      </w:r>
    </w:p>
    <w:p w14:paraId="2400C131" w14:textId="613EAAD9" w:rsidR="009B2917" w:rsidRDefault="00243FE1" w:rsidP="00243FE1">
      <w:pPr>
        <w:tabs>
          <w:tab w:val="left" w:pos="418"/>
          <w:tab w:val="left" w:pos="992"/>
        </w:tabs>
        <w:spacing w:after="0" w:line="360" w:lineRule="auto"/>
        <w:ind w:left="-7"/>
        <w:jc w:val="both"/>
        <w:rPr>
          <w:rtl/>
        </w:rPr>
      </w:pPr>
      <w:r>
        <w:rPr>
          <w:rFonts w:hint="cs"/>
          <w:rtl/>
        </w:rPr>
        <w:t xml:space="preserve">בהמשך לכך הרים </w:t>
      </w:r>
      <w:r w:rsidR="00551830">
        <w:rPr>
          <w:rFonts w:hint="cs"/>
          <w:rtl/>
        </w:rPr>
        <w:t>המערער את חולצת המתלוננת נישק את בטנה וצווארה, נגע בחזה</w:t>
      </w:r>
      <w:r w:rsidR="008063AC">
        <w:rPr>
          <w:rFonts w:hint="cs"/>
          <w:rtl/>
        </w:rPr>
        <w:t>ּ</w:t>
      </w:r>
      <w:r w:rsidR="00551830">
        <w:rPr>
          <w:rFonts w:hint="cs"/>
          <w:rtl/>
        </w:rPr>
        <w:t>, נישק את שדיה</w:t>
      </w:r>
      <w:r w:rsidR="00B31495">
        <w:rPr>
          <w:rFonts w:hint="cs"/>
          <w:rtl/>
        </w:rPr>
        <w:t xml:space="preserve"> </w:t>
      </w:r>
      <w:r w:rsidR="00551830">
        <w:rPr>
          <w:rFonts w:hint="cs"/>
          <w:rtl/>
        </w:rPr>
        <w:t xml:space="preserve">ומצץ את פטמותיה. במהלך דברים אלה, המתלוננת רעדה, התנשפה, </w:t>
      </w:r>
      <w:r>
        <w:rPr>
          <w:rFonts w:hint="cs"/>
          <w:rtl/>
        </w:rPr>
        <w:t>וביקשה מהמערער לחדול את מעשיו. כן סירבה</w:t>
      </w:r>
      <w:r w:rsidR="00551830">
        <w:rPr>
          <w:rFonts w:hint="cs"/>
          <w:rtl/>
        </w:rPr>
        <w:t xml:space="preserve"> לבקשת המערער </w:t>
      </w:r>
      <w:r w:rsidR="00C4236C">
        <w:rPr>
          <w:rFonts w:hint="cs"/>
          <w:rtl/>
        </w:rPr>
        <w:t>ל</w:t>
      </w:r>
      <w:r w:rsidR="00551830">
        <w:rPr>
          <w:rFonts w:hint="cs"/>
          <w:rtl/>
        </w:rPr>
        <w:t>פשוט את מכנסיה ו</w:t>
      </w:r>
      <w:r w:rsidR="00C4236C">
        <w:rPr>
          <w:rFonts w:hint="cs"/>
          <w:rtl/>
        </w:rPr>
        <w:t xml:space="preserve">לאפשר לו </w:t>
      </w:r>
      <w:r w:rsidR="00551830">
        <w:rPr>
          <w:rFonts w:hint="cs"/>
          <w:rtl/>
        </w:rPr>
        <w:t xml:space="preserve">לגעת באיבר מינה, </w:t>
      </w:r>
      <w:r>
        <w:rPr>
          <w:rFonts w:hint="cs"/>
          <w:rtl/>
        </w:rPr>
        <w:t xml:space="preserve">והוא נמנע מלעשות כן, אך מיד </w:t>
      </w:r>
      <w:r w:rsidR="00551830">
        <w:rPr>
          <w:rFonts w:hint="cs"/>
          <w:rtl/>
        </w:rPr>
        <w:t>לאחר מכן הסיר את תחתוניו באופן חלקי, חשף את איבר מינו למתלוננת ואמר לה: "אל תפחדי, תסתכלי"</w:t>
      </w:r>
      <w:r>
        <w:rPr>
          <w:rFonts w:hint="cs"/>
          <w:rtl/>
        </w:rPr>
        <w:t xml:space="preserve">. על אף שהמתלוננת </w:t>
      </w:r>
      <w:r w:rsidR="00551830">
        <w:rPr>
          <w:rFonts w:hint="cs"/>
          <w:rtl/>
        </w:rPr>
        <w:t xml:space="preserve">הסיטה את עיניה, עצמה אותן והסבירה למערער כי היא </w:t>
      </w:r>
      <w:r>
        <w:rPr>
          <w:rFonts w:hint="cs"/>
          <w:rtl/>
        </w:rPr>
        <w:t xml:space="preserve">נתונה </w:t>
      </w:r>
      <w:r w:rsidR="00551830">
        <w:rPr>
          <w:rFonts w:hint="cs"/>
          <w:rtl/>
        </w:rPr>
        <w:t>בחרדות</w:t>
      </w:r>
      <w:r>
        <w:rPr>
          <w:rFonts w:hint="cs"/>
          <w:rtl/>
        </w:rPr>
        <w:t>, נטל המערער את יד</w:t>
      </w:r>
      <w:r w:rsidR="00C4236C">
        <w:rPr>
          <w:rFonts w:hint="cs"/>
          <w:rtl/>
        </w:rPr>
        <w:t>י</w:t>
      </w:r>
      <w:r>
        <w:rPr>
          <w:rFonts w:hint="cs"/>
          <w:rtl/>
        </w:rPr>
        <w:t xml:space="preserve">ה, </w:t>
      </w:r>
      <w:r w:rsidR="00551830">
        <w:rPr>
          <w:rFonts w:hint="cs"/>
          <w:rtl/>
        </w:rPr>
        <w:t xml:space="preserve">וביקש ממנה לגעת באיבר מינו, אך היא סירבה ומשכה את ידיה. </w:t>
      </w:r>
      <w:r>
        <w:rPr>
          <w:rFonts w:hint="cs"/>
          <w:rtl/>
        </w:rPr>
        <w:t xml:space="preserve">פורט עוד, כי במהלך האירוע אמרה המתלוננת למערער מספר פעמים כי היא מעוניינת לעזוב ושעליה ללכת לביתה, אך הוא הוסיף לשכב מעליה ולגעת בה. לאחר מספר בקשות כאלה, אמרה המתלוננת למערער כי היא מוכרחה ללכת, קמה ועזבה את ביתו. </w:t>
      </w:r>
    </w:p>
    <w:p w14:paraId="5C13B2CE" w14:textId="2C5BD82A" w:rsidR="00CE1F2B" w:rsidRDefault="00243FE1" w:rsidP="009B2917">
      <w:pPr>
        <w:numPr>
          <w:ilvl w:val="0"/>
          <w:numId w:val="1"/>
        </w:numPr>
        <w:tabs>
          <w:tab w:val="left" w:pos="418"/>
          <w:tab w:val="left" w:pos="992"/>
        </w:tabs>
        <w:spacing w:after="0" w:line="360" w:lineRule="auto"/>
        <w:ind w:left="-7" w:firstLine="0"/>
        <w:jc w:val="both"/>
      </w:pPr>
      <w:r>
        <w:rPr>
          <w:rFonts w:hint="cs"/>
          <w:rtl/>
        </w:rPr>
        <w:t xml:space="preserve">המערער כפר כפירה כללית בכתב האישום, וטרם נמסר גדר כפירה מפורט. לטענת ההגנה, </w:t>
      </w:r>
      <w:r w:rsidR="008063AC">
        <w:rPr>
          <w:rFonts w:hint="cs"/>
          <w:rtl/>
        </w:rPr>
        <w:t>העיכוב ב</w:t>
      </w:r>
      <w:r>
        <w:rPr>
          <w:rFonts w:hint="cs"/>
          <w:rtl/>
        </w:rPr>
        <w:t xml:space="preserve">פירוט גדר הכפירה </w:t>
      </w:r>
      <w:r w:rsidR="008063AC">
        <w:rPr>
          <w:rFonts w:hint="cs"/>
          <w:rtl/>
        </w:rPr>
        <w:t xml:space="preserve">נעוץ בהיעדרם של </w:t>
      </w:r>
      <w:r>
        <w:rPr>
          <w:rFonts w:hint="cs"/>
          <w:rtl/>
        </w:rPr>
        <w:t>חומרי החקירה שהיא מבקשת להעביר לעיונה</w:t>
      </w:r>
      <w:r w:rsidR="00C4236C">
        <w:rPr>
          <w:rFonts w:hint="cs"/>
          <w:rtl/>
        </w:rPr>
        <w:t xml:space="preserve"> קודם לכן</w:t>
      </w:r>
      <w:r>
        <w:rPr>
          <w:rFonts w:hint="cs"/>
          <w:rtl/>
        </w:rPr>
        <w:t xml:space="preserve">, וזאת כפי שיוסבר להלן.  </w:t>
      </w:r>
    </w:p>
    <w:p w14:paraId="134B57AE" w14:textId="4C6F6775" w:rsidR="00183D41" w:rsidRPr="00C4236C" w:rsidRDefault="00183D41" w:rsidP="00183D41">
      <w:pPr>
        <w:tabs>
          <w:tab w:val="left" w:pos="418"/>
          <w:tab w:val="left" w:pos="992"/>
        </w:tabs>
        <w:spacing w:after="0" w:line="360" w:lineRule="auto"/>
        <w:ind w:left="-7"/>
        <w:jc w:val="both"/>
        <w:rPr>
          <w:rtl/>
        </w:rPr>
      </w:pPr>
    </w:p>
    <w:p w14:paraId="68E0C4A6" w14:textId="03F1C9B7" w:rsidR="00183D41" w:rsidRPr="00183D41" w:rsidRDefault="00183D41" w:rsidP="00183D41">
      <w:pPr>
        <w:tabs>
          <w:tab w:val="left" w:pos="418"/>
          <w:tab w:val="left" w:pos="992"/>
        </w:tabs>
        <w:spacing w:after="0" w:line="360" w:lineRule="auto"/>
        <w:ind w:left="-7"/>
        <w:jc w:val="both"/>
        <w:rPr>
          <w:b/>
          <w:bCs/>
          <w:u w:val="single"/>
          <w:rtl/>
        </w:rPr>
      </w:pPr>
      <w:r>
        <w:rPr>
          <w:rFonts w:hint="cs"/>
          <w:b/>
          <w:bCs/>
          <w:u w:val="single"/>
          <w:rtl/>
        </w:rPr>
        <w:t>בקשת ההגנה והחלטת בית הדין המחוזי</w:t>
      </w:r>
    </w:p>
    <w:p w14:paraId="7B8C55C9" w14:textId="3D5F70A0" w:rsidR="00183D41" w:rsidRDefault="00BD37C5" w:rsidP="00183D41">
      <w:pPr>
        <w:numPr>
          <w:ilvl w:val="0"/>
          <w:numId w:val="1"/>
        </w:numPr>
        <w:tabs>
          <w:tab w:val="left" w:pos="418"/>
          <w:tab w:val="left" w:pos="992"/>
        </w:tabs>
        <w:spacing w:after="0" w:line="360" w:lineRule="auto"/>
        <w:ind w:left="-7" w:firstLine="0"/>
        <w:jc w:val="both"/>
      </w:pPr>
      <w:r>
        <w:rPr>
          <w:rFonts w:hint="cs"/>
          <w:rtl/>
        </w:rPr>
        <w:t xml:space="preserve">ההגנה ביקשה מבית הדין קמא לקבל לידיה </w:t>
      </w:r>
      <w:r w:rsidR="009926BB">
        <w:rPr>
          <w:rFonts w:hint="cs"/>
          <w:rtl/>
        </w:rPr>
        <w:t>רשימה ארוכה של חומרי חקירה</w:t>
      </w:r>
      <w:r w:rsidR="008063AC">
        <w:rPr>
          <w:rFonts w:hint="cs"/>
          <w:rtl/>
        </w:rPr>
        <w:t>, בהתאם ל</w:t>
      </w:r>
      <w:r w:rsidR="009926BB" w:rsidRPr="00CD4225">
        <w:rPr>
          <w:rFonts w:hint="cs"/>
          <w:rtl/>
        </w:rPr>
        <w:t>סעיף 74 לחוק סדר הדין הפלילי [נוסח משולב]</w:t>
      </w:r>
      <w:r w:rsidR="00F76901">
        <w:rPr>
          <w:rFonts w:hint="cs"/>
          <w:rtl/>
        </w:rPr>
        <w:t>.</w:t>
      </w:r>
      <w:r w:rsidR="009926BB" w:rsidRPr="00CD4225">
        <w:rPr>
          <w:rFonts w:hint="cs"/>
          <w:rtl/>
        </w:rPr>
        <w:t xml:space="preserve"> </w:t>
      </w:r>
      <w:r>
        <w:rPr>
          <w:rFonts w:hint="cs"/>
          <w:rtl/>
        </w:rPr>
        <w:t xml:space="preserve">במהלך הדיון הושגו הסכמות </w:t>
      </w:r>
      <w:r w:rsidR="00183D41">
        <w:rPr>
          <w:rFonts w:hint="cs"/>
          <w:rtl/>
        </w:rPr>
        <w:t>באשר לחלק מ</w:t>
      </w:r>
      <w:r w:rsidR="00C4236C">
        <w:rPr>
          <w:rFonts w:hint="cs"/>
          <w:rtl/>
        </w:rPr>
        <w:t xml:space="preserve">ן </w:t>
      </w:r>
      <w:r w:rsidR="008063AC">
        <w:rPr>
          <w:rFonts w:hint="cs"/>
          <w:rtl/>
        </w:rPr>
        <w:t>המידע</w:t>
      </w:r>
      <w:r w:rsidR="00183D41">
        <w:rPr>
          <w:rFonts w:hint="cs"/>
          <w:rtl/>
        </w:rPr>
        <w:t xml:space="preserve"> שהתבקש. </w:t>
      </w:r>
      <w:r w:rsidR="008063AC">
        <w:rPr>
          <w:rFonts w:hint="cs"/>
          <w:rtl/>
        </w:rPr>
        <w:t xml:space="preserve">בהחלטתו דן בית הדין קמא בנושאים שנותרו במחלוקת בין הצדדים, ודחה </w:t>
      </w:r>
      <w:r w:rsidR="00183D41">
        <w:rPr>
          <w:rFonts w:hint="cs"/>
          <w:rtl/>
        </w:rPr>
        <w:t xml:space="preserve">את בקשת ההגנה לקבלת </w:t>
      </w:r>
      <w:r w:rsidR="008063AC">
        <w:rPr>
          <w:rFonts w:hint="cs"/>
          <w:rtl/>
        </w:rPr>
        <w:t>טפסי תלונה כנגד המ</w:t>
      </w:r>
      <w:r w:rsidR="00C4236C">
        <w:rPr>
          <w:rFonts w:hint="cs"/>
          <w:rtl/>
        </w:rPr>
        <w:t xml:space="preserve">תלוננת </w:t>
      </w:r>
      <w:r w:rsidR="008063AC">
        <w:rPr>
          <w:rFonts w:hint="cs"/>
          <w:rtl/>
        </w:rPr>
        <w:t xml:space="preserve">המתעדים את העמדתה לדין משמעתי ביחידתה וכן את בקשת ההגנה לקבל לידיה את </w:t>
      </w:r>
      <w:r w:rsidR="00183D41">
        <w:rPr>
          <w:rFonts w:hint="cs"/>
          <w:rtl/>
        </w:rPr>
        <w:t>האבחנה הרפואית</w:t>
      </w:r>
      <w:r w:rsidR="00C4236C">
        <w:rPr>
          <w:rFonts w:hint="cs"/>
          <w:rtl/>
        </w:rPr>
        <w:t xml:space="preserve"> (</w:t>
      </w:r>
      <w:r w:rsidR="008063AC">
        <w:rPr>
          <w:rFonts w:hint="cs"/>
          <w:rtl/>
        </w:rPr>
        <w:t>נפשית</w:t>
      </w:r>
      <w:r w:rsidR="00C4236C">
        <w:rPr>
          <w:rFonts w:hint="cs"/>
          <w:rtl/>
        </w:rPr>
        <w:t>)</w:t>
      </w:r>
      <w:r w:rsidR="008063AC">
        <w:rPr>
          <w:rFonts w:hint="cs"/>
          <w:rtl/>
        </w:rPr>
        <w:t xml:space="preserve"> </w:t>
      </w:r>
      <w:r w:rsidR="00183D41">
        <w:rPr>
          <w:rFonts w:hint="cs"/>
          <w:rtl/>
        </w:rPr>
        <w:t>של המ</w:t>
      </w:r>
      <w:r w:rsidR="00C4236C">
        <w:rPr>
          <w:rFonts w:hint="cs"/>
          <w:rtl/>
        </w:rPr>
        <w:t xml:space="preserve">תלוננת </w:t>
      </w:r>
      <w:r w:rsidR="00183D41">
        <w:rPr>
          <w:rFonts w:hint="cs"/>
          <w:rtl/>
        </w:rPr>
        <w:t xml:space="preserve">לרבות פירוט הפרופיל הרפואי, סעיפי הליקוי שהותאמו לה ופירוט </w:t>
      </w:r>
      <w:r w:rsidR="00C4236C">
        <w:rPr>
          <w:rFonts w:hint="cs"/>
          <w:rtl/>
        </w:rPr>
        <w:t xml:space="preserve">על </w:t>
      </w:r>
      <w:r w:rsidR="00183D41">
        <w:rPr>
          <w:rFonts w:hint="cs"/>
          <w:rtl/>
        </w:rPr>
        <w:t xml:space="preserve">תנאים </w:t>
      </w:r>
      <w:r w:rsidR="00183D41">
        <w:rPr>
          <w:rFonts w:hint="cs"/>
          <w:rtl/>
        </w:rPr>
        <w:lastRenderedPageBreak/>
        <w:t>מקלים ש</w:t>
      </w:r>
      <w:r w:rsidR="00C4236C">
        <w:rPr>
          <w:rFonts w:hint="cs"/>
          <w:rtl/>
        </w:rPr>
        <w:t>נקבעו לה</w:t>
      </w:r>
      <w:r w:rsidR="00183D41">
        <w:rPr>
          <w:rFonts w:hint="cs"/>
          <w:rtl/>
        </w:rPr>
        <w:t xml:space="preserve">. </w:t>
      </w:r>
      <w:r w:rsidR="008063AC">
        <w:rPr>
          <w:rFonts w:hint="cs"/>
          <w:rtl/>
        </w:rPr>
        <w:t xml:space="preserve">בבסיס </w:t>
      </w:r>
      <w:r w:rsidR="00C4236C">
        <w:rPr>
          <w:rFonts w:hint="cs"/>
          <w:rtl/>
        </w:rPr>
        <w:t>ה</w:t>
      </w:r>
      <w:r w:rsidR="00183D41">
        <w:rPr>
          <w:rFonts w:hint="cs"/>
          <w:rtl/>
        </w:rPr>
        <w:t>בקשה</w:t>
      </w:r>
      <w:r w:rsidR="008063AC">
        <w:rPr>
          <w:rFonts w:hint="cs"/>
          <w:rtl/>
        </w:rPr>
        <w:t xml:space="preserve">, עמדה </w:t>
      </w:r>
      <w:r w:rsidR="00183D41">
        <w:rPr>
          <w:rFonts w:hint="cs"/>
          <w:rtl/>
        </w:rPr>
        <w:t>טענת ההגנה</w:t>
      </w:r>
      <w:r w:rsidR="008063AC">
        <w:rPr>
          <w:rFonts w:hint="cs"/>
          <w:rtl/>
        </w:rPr>
        <w:t>,</w:t>
      </w:r>
      <w:r w:rsidR="00183D41">
        <w:rPr>
          <w:rFonts w:hint="cs"/>
          <w:rtl/>
        </w:rPr>
        <w:t xml:space="preserve"> </w:t>
      </w:r>
      <w:r w:rsidR="00C4236C">
        <w:rPr>
          <w:rFonts w:hint="cs"/>
          <w:rtl/>
        </w:rPr>
        <w:t>ש</w:t>
      </w:r>
      <w:r w:rsidR="00183D41">
        <w:rPr>
          <w:rFonts w:hint="cs"/>
          <w:rtl/>
        </w:rPr>
        <w:t xml:space="preserve">לפיה עולה </w:t>
      </w:r>
      <w:r w:rsidR="007F46C9">
        <w:rPr>
          <w:rFonts w:hint="cs"/>
          <w:rtl/>
        </w:rPr>
        <w:t>מעדות המפקדת של המתלוננת,</w:t>
      </w:r>
      <w:r w:rsidR="00183D41">
        <w:rPr>
          <w:rFonts w:hint="cs"/>
          <w:rtl/>
        </w:rPr>
        <w:t xml:space="preserve"> כי המתלוננת מתקשה בהבנת סיטו</w:t>
      </w:r>
      <w:r w:rsidR="008063AC">
        <w:rPr>
          <w:rFonts w:hint="cs"/>
          <w:rtl/>
        </w:rPr>
        <w:t>א</w:t>
      </w:r>
      <w:r w:rsidR="00183D41">
        <w:rPr>
          <w:rFonts w:hint="cs"/>
          <w:rtl/>
        </w:rPr>
        <w:t xml:space="preserve">ציות חברתיות, </w:t>
      </w:r>
      <w:r w:rsidR="008063AC">
        <w:rPr>
          <w:rFonts w:hint="cs"/>
          <w:rtl/>
        </w:rPr>
        <w:t xml:space="preserve">מצויה על "הספקטרום" </w:t>
      </w:r>
      <w:r w:rsidR="00183D41">
        <w:rPr>
          <w:rFonts w:hint="cs"/>
          <w:rtl/>
        </w:rPr>
        <w:t>ובשל כך גם למדה בחינוך מיוחד והותאמו לה תנאים מיוחדים ל</w:t>
      </w:r>
      <w:r w:rsidR="00C4236C">
        <w:rPr>
          <w:rFonts w:hint="cs"/>
          <w:rtl/>
        </w:rPr>
        <w:t>שירות הצבאי</w:t>
      </w:r>
      <w:r w:rsidR="00183D41">
        <w:rPr>
          <w:rFonts w:hint="cs"/>
          <w:rtl/>
        </w:rPr>
        <w:t xml:space="preserve">. </w:t>
      </w:r>
      <w:r w:rsidR="00F76901">
        <w:rPr>
          <w:rFonts w:hint="cs"/>
          <w:rtl/>
        </w:rPr>
        <w:t xml:space="preserve">כאמור </w:t>
      </w:r>
      <w:r w:rsidR="00183D41">
        <w:rPr>
          <w:rFonts w:hint="cs"/>
          <w:rtl/>
        </w:rPr>
        <w:t>החלט</w:t>
      </w:r>
      <w:r w:rsidR="00C4236C">
        <w:rPr>
          <w:rFonts w:hint="cs"/>
          <w:rtl/>
        </w:rPr>
        <w:t xml:space="preserve">תו של בית הדין קמא בבקשה </w:t>
      </w:r>
      <w:r w:rsidR="00183D41">
        <w:rPr>
          <w:rFonts w:hint="cs"/>
          <w:rtl/>
        </w:rPr>
        <w:t xml:space="preserve">זו היא זו שעומדת במוקד ערעור ההגנה כעת.   </w:t>
      </w:r>
    </w:p>
    <w:p w14:paraId="0CA2FFDD" w14:textId="5D2229C8" w:rsidR="00183D41" w:rsidRDefault="00183D41" w:rsidP="00183D41">
      <w:pPr>
        <w:numPr>
          <w:ilvl w:val="0"/>
          <w:numId w:val="1"/>
        </w:numPr>
        <w:tabs>
          <w:tab w:val="left" w:pos="418"/>
          <w:tab w:val="left" w:pos="992"/>
        </w:tabs>
        <w:spacing w:after="0" w:line="360" w:lineRule="auto"/>
        <w:ind w:left="-7" w:firstLine="0"/>
        <w:jc w:val="both"/>
      </w:pPr>
      <w:r>
        <w:rPr>
          <w:rFonts w:hint="cs"/>
          <w:rtl/>
        </w:rPr>
        <w:t xml:space="preserve"> אשר לטפסי התלונה </w:t>
      </w:r>
      <w:r w:rsidR="008063AC">
        <w:rPr>
          <w:rFonts w:hint="cs"/>
          <w:rtl/>
        </w:rPr>
        <w:t>בעניינה של המתלוננת,</w:t>
      </w:r>
      <w:r>
        <w:rPr>
          <w:rFonts w:hint="cs"/>
          <w:rtl/>
        </w:rPr>
        <w:t xml:space="preserve"> בית הדין קמא </w:t>
      </w:r>
      <w:r w:rsidR="00C4236C">
        <w:rPr>
          <w:rFonts w:hint="cs"/>
          <w:rtl/>
        </w:rPr>
        <w:t xml:space="preserve">דחה </w:t>
      </w:r>
      <w:r>
        <w:rPr>
          <w:rFonts w:hint="cs"/>
          <w:rtl/>
        </w:rPr>
        <w:t xml:space="preserve">את בקשת ההגנה </w:t>
      </w:r>
      <w:r w:rsidR="00C4236C">
        <w:rPr>
          <w:rFonts w:hint="cs"/>
          <w:rtl/>
        </w:rPr>
        <w:t>כי י</w:t>
      </w:r>
      <w:r>
        <w:rPr>
          <w:rFonts w:hint="cs"/>
          <w:rtl/>
        </w:rPr>
        <w:t>עיין בהם בטרם קבלת החלטה</w:t>
      </w:r>
      <w:r w:rsidR="00934276">
        <w:rPr>
          <w:rFonts w:hint="cs"/>
          <w:rtl/>
        </w:rPr>
        <w:t>,</w:t>
      </w:r>
      <w:r>
        <w:rPr>
          <w:rFonts w:hint="cs"/>
          <w:rtl/>
        </w:rPr>
        <w:t xml:space="preserve"> </w:t>
      </w:r>
      <w:r w:rsidR="00934276">
        <w:rPr>
          <w:rFonts w:hint="cs"/>
          <w:rtl/>
        </w:rPr>
        <w:t xml:space="preserve">על מנת להכריע האם הם מהווים חומר חקירה רלוונטי בנסיבות העניין. </w:t>
      </w:r>
      <w:r>
        <w:rPr>
          <w:rFonts w:hint="cs"/>
          <w:rtl/>
        </w:rPr>
        <w:t>צוין, כי לא הוכח הצורך בעיון בטפסים אלה, וכי ההגנה לא הצליחה ל</w:t>
      </w:r>
      <w:r w:rsidR="00934276">
        <w:rPr>
          <w:rFonts w:hint="cs"/>
          <w:rtl/>
        </w:rPr>
        <w:t>באר</w:t>
      </w:r>
      <w:r>
        <w:rPr>
          <w:rFonts w:hint="cs"/>
          <w:rtl/>
        </w:rPr>
        <w:t xml:space="preserve"> כיצד יש בהם כדי ל</w:t>
      </w:r>
      <w:r w:rsidR="00C4236C">
        <w:rPr>
          <w:rFonts w:hint="cs"/>
          <w:rtl/>
        </w:rPr>
        <w:t xml:space="preserve">בסס </w:t>
      </w:r>
      <w:r>
        <w:rPr>
          <w:rFonts w:hint="cs"/>
          <w:rtl/>
        </w:rPr>
        <w:t xml:space="preserve">את טענתה </w:t>
      </w:r>
      <w:r w:rsidR="00C4236C">
        <w:rPr>
          <w:rFonts w:hint="cs"/>
          <w:rtl/>
        </w:rPr>
        <w:t>ש</w:t>
      </w:r>
      <w:r>
        <w:rPr>
          <w:rFonts w:hint="cs"/>
          <w:rtl/>
        </w:rPr>
        <w:t>לפיה המתלוננת מתקשה בהבנת סיטואציות חברתיות</w:t>
      </w:r>
      <w:r w:rsidR="00934276">
        <w:rPr>
          <w:rFonts w:hint="cs"/>
          <w:rtl/>
        </w:rPr>
        <w:t xml:space="preserve">. על כן סבר בית הדין קמא </w:t>
      </w:r>
      <w:r w:rsidR="00824528">
        <w:rPr>
          <w:rFonts w:hint="cs"/>
          <w:rtl/>
        </w:rPr>
        <w:t xml:space="preserve">כי ראוי שטענה זו תתברר בפני המותב שידון בהליך העיקרי, אשר יכריע האם אכן יש צורך </w:t>
      </w:r>
      <w:r w:rsidR="00C4236C">
        <w:rPr>
          <w:rFonts w:hint="cs"/>
          <w:rtl/>
        </w:rPr>
        <w:t xml:space="preserve">לעיין </w:t>
      </w:r>
      <w:r w:rsidR="00824528">
        <w:rPr>
          <w:rFonts w:hint="cs"/>
          <w:rtl/>
        </w:rPr>
        <w:t xml:space="preserve">בטפסים האמורים, במסגרת דיון לפי סעיף 108 לחוק סדר הדין הפלילי. </w:t>
      </w:r>
    </w:p>
    <w:p w14:paraId="34A107FB" w14:textId="5AA141EB" w:rsidR="009B2917" w:rsidRDefault="00824528" w:rsidP="00824528">
      <w:pPr>
        <w:numPr>
          <w:ilvl w:val="0"/>
          <w:numId w:val="1"/>
        </w:numPr>
        <w:tabs>
          <w:tab w:val="left" w:pos="418"/>
          <w:tab w:val="left" w:pos="992"/>
        </w:tabs>
        <w:spacing w:after="0" w:line="360" w:lineRule="auto"/>
        <w:ind w:left="-7" w:firstLine="0"/>
        <w:jc w:val="both"/>
      </w:pPr>
      <w:r>
        <w:rPr>
          <w:rFonts w:hint="cs"/>
          <w:rtl/>
        </w:rPr>
        <w:t xml:space="preserve">אשר לבקשת ההגנה לקבל לידיה את </w:t>
      </w:r>
      <w:r w:rsidR="00FB46E6">
        <w:rPr>
          <w:rFonts w:hint="cs"/>
          <w:rtl/>
        </w:rPr>
        <w:t xml:space="preserve">האבחנה הרפואית בעניינה של המתלוננת ופירוט </w:t>
      </w:r>
      <w:r w:rsidR="00C4236C">
        <w:rPr>
          <w:rFonts w:hint="cs"/>
          <w:rtl/>
        </w:rPr>
        <w:t xml:space="preserve">על </w:t>
      </w:r>
      <w:r w:rsidR="00FB46E6">
        <w:rPr>
          <w:rFonts w:hint="cs"/>
          <w:rtl/>
        </w:rPr>
        <w:t>הפרופיל הרפואי שלה, בית הדין קמא</w:t>
      </w:r>
      <w:r w:rsidR="00C4236C">
        <w:rPr>
          <w:rFonts w:hint="cs"/>
          <w:rtl/>
        </w:rPr>
        <w:t xml:space="preserve"> ציין</w:t>
      </w:r>
      <w:r w:rsidR="00FB46E6">
        <w:rPr>
          <w:rFonts w:hint="cs"/>
          <w:rtl/>
        </w:rPr>
        <w:t>, כי לאחר שעיין ב</w:t>
      </w:r>
      <w:r>
        <w:rPr>
          <w:rFonts w:hint="cs"/>
          <w:rtl/>
        </w:rPr>
        <w:t>עדויו</w:t>
      </w:r>
      <w:r w:rsidR="00FB46E6">
        <w:rPr>
          <w:rFonts w:hint="cs"/>
          <w:rtl/>
        </w:rPr>
        <w:t>תיה של המתלוננת, בעדות המפקדת</w:t>
      </w:r>
      <w:r>
        <w:rPr>
          <w:rFonts w:hint="cs"/>
          <w:rtl/>
        </w:rPr>
        <w:t xml:space="preserve"> שלה</w:t>
      </w:r>
      <w:r w:rsidR="00FB46E6">
        <w:rPr>
          <w:rFonts w:hint="cs"/>
          <w:rtl/>
        </w:rPr>
        <w:t xml:space="preserve">, ובדברי </w:t>
      </w:r>
      <w:r w:rsidR="00C4236C">
        <w:rPr>
          <w:rFonts w:hint="cs"/>
          <w:rtl/>
        </w:rPr>
        <w:t xml:space="preserve">ממונת </w:t>
      </w:r>
      <w:r w:rsidR="00FB46E6">
        <w:rPr>
          <w:rFonts w:hint="cs"/>
          <w:rtl/>
        </w:rPr>
        <w:t>היוהל"ם</w:t>
      </w:r>
      <w:r w:rsidR="00C4236C">
        <w:rPr>
          <w:rFonts w:hint="cs"/>
          <w:rtl/>
        </w:rPr>
        <w:t xml:space="preserve"> ביחידה</w:t>
      </w:r>
      <w:r w:rsidR="00FB46E6">
        <w:rPr>
          <w:rFonts w:hint="cs"/>
          <w:rtl/>
        </w:rPr>
        <w:t xml:space="preserve">, לא מצא שיש בעדויות אלה, כדי לתמוך בטענת ההגנה באופן המצדיק את העברת </w:t>
      </w:r>
      <w:r w:rsidR="00934276">
        <w:rPr>
          <w:rFonts w:hint="cs"/>
          <w:rtl/>
        </w:rPr>
        <w:t xml:space="preserve">המידע המבוקש </w:t>
      </w:r>
      <w:r w:rsidR="00C4236C">
        <w:rPr>
          <w:rFonts w:hint="cs"/>
          <w:rtl/>
        </w:rPr>
        <w:t xml:space="preserve">לעיונה </w:t>
      </w:r>
      <w:r w:rsidR="00FB46E6">
        <w:rPr>
          <w:rFonts w:hint="cs"/>
          <w:rtl/>
        </w:rPr>
        <w:t xml:space="preserve">עוד קודם לשמיעת עדות המתלוננת </w:t>
      </w:r>
      <w:r>
        <w:rPr>
          <w:rFonts w:hint="cs"/>
          <w:rtl/>
        </w:rPr>
        <w:t xml:space="preserve">במסגרת ההליך העיקרי. הוטעם, כי </w:t>
      </w:r>
      <w:r w:rsidR="00C4236C">
        <w:rPr>
          <w:rFonts w:hint="cs"/>
          <w:rtl/>
        </w:rPr>
        <w:t xml:space="preserve">יש לקיים את </w:t>
      </w:r>
      <w:r>
        <w:rPr>
          <w:rFonts w:hint="cs"/>
          <w:rtl/>
        </w:rPr>
        <w:t xml:space="preserve">הדיון </w:t>
      </w:r>
      <w:r w:rsidR="00C4236C">
        <w:rPr>
          <w:rFonts w:hint="cs"/>
          <w:rtl/>
        </w:rPr>
        <w:t xml:space="preserve">בנושא </w:t>
      </w:r>
      <w:r>
        <w:rPr>
          <w:rFonts w:hint="cs"/>
          <w:rtl/>
        </w:rPr>
        <w:t>בהתאם לסעיף 108 לחוק סדר הדין הפלילי, כפי שנקבע בפסיקה לא אחת, באופן שיאפשר בחינה מהותית של התשתית הראייתית, של גדר המחלוקת בין הצדדים ו</w:t>
      </w:r>
      <w:r w:rsidR="00C4236C">
        <w:rPr>
          <w:rFonts w:hint="cs"/>
          <w:rtl/>
        </w:rPr>
        <w:t>ש</w:t>
      </w:r>
      <w:r>
        <w:rPr>
          <w:rFonts w:hint="cs"/>
          <w:rtl/>
        </w:rPr>
        <w:t>ל</w:t>
      </w:r>
      <w:r w:rsidR="00C4236C">
        <w:rPr>
          <w:rFonts w:hint="cs"/>
          <w:rtl/>
        </w:rPr>
        <w:t xml:space="preserve"> </w:t>
      </w:r>
      <w:r>
        <w:rPr>
          <w:rFonts w:hint="cs"/>
          <w:rtl/>
        </w:rPr>
        <w:t>מידת הפגיעה בפרטיות הכרוכה ב</w:t>
      </w:r>
      <w:r w:rsidR="00C4236C">
        <w:rPr>
          <w:rFonts w:hint="cs"/>
          <w:rtl/>
        </w:rPr>
        <w:t>חשיפת ה</w:t>
      </w:r>
      <w:r>
        <w:rPr>
          <w:rFonts w:hint="cs"/>
          <w:rtl/>
        </w:rPr>
        <w:t>מסמכים, תוך איזון בין זכותו של ה</w:t>
      </w:r>
      <w:r w:rsidR="00934276">
        <w:rPr>
          <w:rFonts w:hint="cs"/>
          <w:rtl/>
        </w:rPr>
        <w:t>מערער</w:t>
      </w:r>
      <w:r>
        <w:rPr>
          <w:rFonts w:hint="cs"/>
          <w:rtl/>
        </w:rPr>
        <w:t xml:space="preserve"> להליך הוגן אל מול זכותה של המתלוננת לפרטיות. </w:t>
      </w:r>
    </w:p>
    <w:p w14:paraId="20BBE4F4" w14:textId="77777777" w:rsidR="009B2917" w:rsidRDefault="009B2917" w:rsidP="009B2917">
      <w:pPr>
        <w:pStyle w:val="2"/>
        <w:numPr>
          <w:ilvl w:val="0"/>
          <w:numId w:val="0"/>
        </w:numPr>
        <w:tabs>
          <w:tab w:val="left" w:pos="418"/>
          <w:tab w:val="left" w:pos="992"/>
        </w:tabs>
        <w:ind w:left="-7"/>
        <w:rPr>
          <w:rtl/>
        </w:rPr>
      </w:pPr>
    </w:p>
    <w:p w14:paraId="4EB6670B" w14:textId="25CEEDCE" w:rsidR="009B2917" w:rsidRDefault="009B2917" w:rsidP="009B2917">
      <w:pPr>
        <w:pStyle w:val="2"/>
        <w:numPr>
          <w:ilvl w:val="0"/>
          <w:numId w:val="0"/>
        </w:numPr>
        <w:tabs>
          <w:tab w:val="left" w:pos="418"/>
          <w:tab w:val="left" w:pos="992"/>
        </w:tabs>
        <w:ind w:left="-7"/>
        <w:rPr>
          <w:b/>
          <w:bCs/>
          <w:u w:val="single"/>
          <w:rtl/>
        </w:rPr>
      </w:pPr>
      <w:r w:rsidRPr="00814022">
        <w:rPr>
          <w:rFonts w:hint="cs"/>
          <w:b/>
          <w:bCs/>
          <w:u w:val="single"/>
          <w:rtl/>
        </w:rPr>
        <w:t xml:space="preserve">טענות </w:t>
      </w:r>
      <w:r w:rsidR="009E2DC7">
        <w:rPr>
          <w:rFonts w:hint="cs"/>
          <w:b/>
          <w:bCs/>
          <w:u w:val="single"/>
          <w:rtl/>
        </w:rPr>
        <w:t>הצדדים</w:t>
      </w:r>
      <w:r>
        <w:rPr>
          <w:rFonts w:hint="cs"/>
          <w:b/>
          <w:bCs/>
          <w:u w:val="single"/>
          <w:rtl/>
        </w:rPr>
        <w:t xml:space="preserve"> </w:t>
      </w:r>
      <w:r w:rsidRPr="00814022">
        <w:rPr>
          <w:rFonts w:hint="cs"/>
          <w:b/>
          <w:bCs/>
          <w:u w:val="single"/>
          <w:rtl/>
        </w:rPr>
        <w:t xml:space="preserve">בערעור </w:t>
      </w:r>
    </w:p>
    <w:p w14:paraId="60DA2F18" w14:textId="1E66099D" w:rsidR="00E27BAB" w:rsidRDefault="00F76901" w:rsidP="00F76901">
      <w:pPr>
        <w:numPr>
          <w:ilvl w:val="0"/>
          <w:numId w:val="1"/>
        </w:numPr>
        <w:tabs>
          <w:tab w:val="left" w:pos="418"/>
          <w:tab w:val="left" w:pos="992"/>
        </w:tabs>
        <w:spacing w:after="0" w:line="360" w:lineRule="auto"/>
        <w:ind w:left="-7" w:firstLine="0"/>
        <w:jc w:val="both"/>
      </w:pPr>
      <w:r>
        <w:rPr>
          <w:rFonts w:hint="cs"/>
          <w:rtl/>
        </w:rPr>
        <w:t xml:space="preserve">לטענת ההגנה, עסקינן בתיק של "מילה נגד מילה", </w:t>
      </w:r>
      <w:r w:rsidR="00934276">
        <w:rPr>
          <w:rFonts w:hint="cs"/>
          <w:rtl/>
        </w:rPr>
        <w:t>שבו</w:t>
      </w:r>
      <w:r>
        <w:rPr>
          <w:rFonts w:hint="cs"/>
          <w:rtl/>
        </w:rPr>
        <w:t xml:space="preserve"> המערער אינו כופר בחלק משמעותי מעובדות כתב האישום, ועיקר המחלוקת בין הצדדים </w:t>
      </w:r>
      <w:r w:rsidR="00090B3F">
        <w:rPr>
          <w:rFonts w:hint="cs"/>
          <w:rtl/>
        </w:rPr>
        <w:t>קשור</w:t>
      </w:r>
      <w:r>
        <w:rPr>
          <w:rFonts w:hint="cs"/>
          <w:rtl/>
        </w:rPr>
        <w:t>, כ</w:t>
      </w:r>
      <w:r w:rsidR="00C4236C">
        <w:rPr>
          <w:rFonts w:hint="cs"/>
          <w:rtl/>
        </w:rPr>
        <w:t>נטען</w:t>
      </w:r>
      <w:r>
        <w:rPr>
          <w:rFonts w:hint="cs"/>
          <w:rtl/>
        </w:rPr>
        <w:t xml:space="preserve">  </w:t>
      </w:r>
      <w:r w:rsidR="007F46C9">
        <w:rPr>
          <w:rFonts w:hint="cs"/>
          <w:rtl/>
        </w:rPr>
        <w:t>"</w:t>
      </w:r>
      <w:r>
        <w:rPr>
          <w:rFonts w:hint="cs"/>
          <w:rtl/>
        </w:rPr>
        <w:t xml:space="preserve">לביטויי חוסר ההסכמה מצד המתלוננת ויכולת העורר להבין ביטוי זה. משסבורה ההגנה כי ההכרעה בתיק תקום ותיפול בהתאם לבחינת מהימנותה של המתלוננת, ויכולתה להבין סיטואציות חברתיות ולבטא חוסר הסכמה באופן ברור, נדרשת ההגנה באופן ממשי לכל מידע שיש בו כדי ללמד על יכולת קריאת המציאות שלה ויכולת ההבעה שלה של מסרים חברתיים". עוד נטען, כי משהניחה ההגנה </w:t>
      </w:r>
      <w:r w:rsidR="00C73AD3">
        <w:rPr>
          <w:rFonts w:hint="cs"/>
          <w:rtl/>
        </w:rPr>
        <w:t xml:space="preserve">בסיס ראשוני מספק להוכחת הרלוונטיות של המידע המבוקש להגנת המערער, </w:t>
      </w:r>
      <w:r>
        <w:rPr>
          <w:rFonts w:hint="cs"/>
          <w:rtl/>
        </w:rPr>
        <w:t>היה על בית הדין קמא לכל הפחות לבחון את המידע המבוקש ואת הרלוונטיות שלו בטרם קבלת החלטה, בדומה לאיזון שנערך ב</w:t>
      </w:r>
      <w:r w:rsidR="000A631C">
        <w:rPr>
          <w:rFonts w:hint="cs"/>
          <w:rtl/>
        </w:rPr>
        <w:t xml:space="preserve">עלב"ש 21,53/13 </w:t>
      </w:r>
      <w:r w:rsidR="000A631C" w:rsidRPr="00E27BAB">
        <w:rPr>
          <w:rFonts w:hint="cs"/>
          <w:b/>
          <w:bCs/>
          <w:rtl/>
        </w:rPr>
        <w:t>התובע הצבאי הראשי נ' טדסה</w:t>
      </w:r>
      <w:r w:rsidR="000A631C">
        <w:rPr>
          <w:rFonts w:hint="cs"/>
          <w:rtl/>
        </w:rPr>
        <w:t xml:space="preserve"> (</w:t>
      </w:r>
      <w:r>
        <w:rPr>
          <w:rFonts w:hint="cs"/>
          <w:rtl/>
        </w:rPr>
        <w:t>2013)</w:t>
      </w:r>
      <w:r w:rsidR="000A631C">
        <w:rPr>
          <w:rFonts w:hint="cs"/>
          <w:rtl/>
        </w:rPr>
        <w:t>)</w:t>
      </w:r>
      <w:r>
        <w:rPr>
          <w:rFonts w:hint="cs"/>
          <w:rtl/>
        </w:rPr>
        <w:t>.</w:t>
      </w:r>
      <w:r w:rsidR="000A631C">
        <w:rPr>
          <w:rFonts w:hint="cs"/>
          <w:rtl/>
        </w:rPr>
        <w:t xml:space="preserve"> </w:t>
      </w:r>
    </w:p>
    <w:p w14:paraId="6F3974D7" w14:textId="6A32CD47" w:rsidR="00F44501" w:rsidRDefault="00F76901" w:rsidP="005556F0">
      <w:pPr>
        <w:numPr>
          <w:ilvl w:val="0"/>
          <w:numId w:val="1"/>
        </w:numPr>
        <w:tabs>
          <w:tab w:val="left" w:pos="418"/>
          <w:tab w:val="left" w:pos="992"/>
        </w:tabs>
        <w:spacing w:after="0" w:line="360" w:lineRule="auto"/>
        <w:ind w:left="-7" w:firstLine="0"/>
        <w:jc w:val="both"/>
      </w:pPr>
      <w:r>
        <w:rPr>
          <w:rFonts w:hint="cs"/>
          <w:rtl/>
        </w:rPr>
        <w:lastRenderedPageBreak/>
        <w:t>ההגנה הפנתה לאמור ב</w:t>
      </w:r>
      <w:r w:rsidR="00090B3F">
        <w:rPr>
          <w:rFonts w:hint="cs"/>
          <w:rtl/>
        </w:rPr>
        <w:t xml:space="preserve">אמרתה של </w:t>
      </w:r>
      <w:r>
        <w:rPr>
          <w:rFonts w:hint="cs"/>
          <w:rtl/>
        </w:rPr>
        <w:t>מפקדת</w:t>
      </w:r>
      <w:r w:rsidR="00090B3F">
        <w:rPr>
          <w:rFonts w:hint="cs"/>
          <w:rtl/>
        </w:rPr>
        <w:t>ה</w:t>
      </w:r>
      <w:r>
        <w:rPr>
          <w:rFonts w:hint="cs"/>
          <w:rtl/>
        </w:rPr>
        <w:t xml:space="preserve"> </w:t>
      </w:r>
      <w:r w:rsidR="00090B3F">
        <w:rPr>
          <w:rFonts w:hint="cs"/>
          <w:rtl/>
        </w:rPr>
        <w:t xml:space="preserve">של </w:t>
      </w:r>
      <w:r>
        <w:rPr>
          <w:rFonts w:hint="cs"/>
          <w:rtl/>
        </w:rPr>
        <w:t>המתלוננת</w:t>
      </w:r>
      <w:r w:rsidR="00934276">
        <w:rPr>
          <w:rFonts w:hint="cs"/>
          <w:rtl/>
        </w:rPr>
        <w:t xml:space="preserve">, כמפורט בסעיף 4 לעיל </w:t>
      </w:r>
      <w:r w:rsidR="005556F0">
        <w:rPr>
          <w:rFonts w:hint="cs"/>
          <w:rtl/>
        </w:rPr>
        <w:t>וכן ל</w:t>
      </w:r>
      <w:r w:rsidR="00090B3F">
        <w:rPr>
          <w:rFonts w:hint="cs"/>
          <w:rtl/>
        </w:rPr>
        <w:t xml:space="preserve">הודעתה של ממונת </w:t>
      </w:r>
      <w:r w:rsidR="005556F0">
        <w:rPr>
          <w:rFonts w:hint="cs"/>
          <w:rtl/>
        </w:rPr>
        <w:t xml:space="preserve">היוהל"ם </w:t>
      </w:r>
      <w:r w:rsidR="00934276">
        <w:rPr>
          <w:rFonts w:hint="cs"/>
          <w:rtl/>
        </w:rPr>
        <w:t xml:space="preserve">היחידתית </w:t>
      </w:r>
      <w:r w:rsidR="005556F0">
        <w:rPr>
          <w:rFonts w:hint="cs"/>
          <w:rtl/>
        </w:rPr>
        <w:t xml:space="preserve">שתיארה את המתלוננת כ"חיילת שלא איתנו". נטען, כי </w:t>
      </w:r>
      <w:r w:rsidR="005A4764">
        <w:rPr>
          <w:rFonts w:hint="cs"/>
          <w:rtl/>
        </w:rPr>
        <w:t xml:space="preserve">טפסי התלונה עשויים לשקף את קשייה של המתלוננת בהבנת סיטואציות, אם בדרך </w:t>
      </w:r>
      <w:r w:rsidR="00090B3F">
        <w:rPr>
          <w:rFonts w:hint="cs"/>
          <w:rtl/>
        </w:rPr>
        <w:t>ש</w:t>
      </w:r>
      <w:r w:rsidR="005A4764">
        <w:rPr>
          <w:rFonts w:hint="cs"/>
          <w:rtl/>
        </w:rPr>
        <w:t xml:space="preserve">בה </w:t>
      </w:r>
      <w:r w:rsidR="00934276">
        <w:rPr>
          <w:rFonts w:hint="cs"/>
          <w:rtl/>
        </w:rPr>
        <w:t xml:space="preserve">היא </w:t>
      </w:r>
      <w:r w:rsidR="005A4764">
        <w:rPr>
          <w:rFonts w:hint="cs"/>
          <w:rtl/>
        </w:rPr>
        <w:t xml:space="preserve">מתארת אירועים, אם בדרך </w:t>
      </w:r>
      <w:r w:rsidR="00090B3F">
        <w:rPr>
          <w:rFonts w:hint="cs"/>
          <w:rtl/>
        </w:rPr>
        <w:t>ש</w:t>
      </w:r>
      <w:r w:rsidR="005A4764">
        <w:rPr>
          <w:rFonts w:hint="cs"/>
          <w:rtl/>
        </w:rPr>
        <w:t xml:space="preserve">בה </w:t>
      </w:r>
      <w:r w:rsidR="00934276">
        <w:rPr>
          <w:rFonts w:hint="cs"/>
          <w:rtl/>
        </w:rPr>
        <w:t xml:space="preserve">היא </w:t>
      </w:r>
      <w:r w:rsidR="005A4764">
        <w:rPr>
          <w:rFonts w:hint="cs"/>
          <w:rtl/>
        </w:rPr>
        <w:t>מתייחסת להתנהגותה, ואם בהיבטים אחרים הנוגעים לפרשנות המציאות.</w:t>
      </w:r>
    </w:p>
    <w:p w14:paraId="70EBF8FF" w14:textId="0AAE0DC7" w:rsidR="0007281B" w:rsidRDefault="00D40530" w:rsidP="00E27BAB">
      <w:pPr>
        <w:numPr>
          <w:ilvl w:val="0"/>
          <w:numId w:val="1"/>
        </w:numPr>
        <w:tabs>
          <w:tab w:val="left" w:pos="418"/>
          <w:tab w:val="left" w:pos="992"/>
        </w:tabs>
        <w:spacing w:after="0" w:line="360" w:lineRule="auto"/>
        <w:ind w:left="-7" w:firstLine="0"/>
        <w:jc w:val="both"/>
      </w:pPr>
      <w:r>
        <w:rPr>
          <w:rFonts w:hint="cs"/>
          <w:rtl/>
        </w:rPr>
        <w:t xml:space="preserve"> אשר ל</w:t>
      </w:r>
      <w:r w:rsidR="00934276">
        <w:rPr>
          <w:rFonts w:hint="cs"/>
          <w:rtl/>
        </w:rPr>
        <w:t xml:space="preserve">מסמכים הרפואיים המבוקשים, נטען כי נוכח </w:t>
      </w:r>
      <w:r w:rsidR="00C66A05">
        <w:rPr>
          <w:rFonts w:hint="cs"/>
          <w:rtl/>
        </w:rPr>
        <w:t xml:space="preserve">האינדיקציות הקיימות </w:t>
      </w:r>
      <w:r w:rsidR="002F3895">
        <w:rPr>
          <w:rFonts w:hint="cs"/>
          <w:rtl/>
        </w:rPr>
        <w:t>ב</w:t>
      </w:r>
      <w:r w:rsidR="00C66A05">
        <w:rPr>
          <w:rFonts w:hint="cs"/>
          <w:rtl/>
        </w:rPr>
        <w:t xml:space="preserve">חומר הראיות לקשייה </w:t>
      </w:r>
      <w:r w:rsidR="002F3895">
        <w:rPr>
          <w:rFonts w:hint="cs"/>
          <w:rtl/>
        </w:rPr>
        <w:t xml:space="preserve">של המתלוננת, יש להעביר להגנה מידע שכזה עוד בטרם תחילת </w:t>
      </w:r>
      <w:r w:rsidR="00090B3F">
        <w:rPr>
          <w:rFonts w:hint="cs"/>
          <w:rtl/>
        </w:rPr>
        <w:t>המשפט</w:t>
      </w:r>
      <w:r>
        <w:rPr>
          <w:rFonts w:hint="cs"/>
          <w:rtl/>
        </w:rPr>
        <w:t>, ולא לדחות את הדיון לשלב שמיעת הראיות</w:t>
      </w:r>
      <w:r w:rsidR="00934276">
        <w:rPr>
          <w:rFonts w:hint="cs"/>
          <w:rtl/>
        </w:rPr>
        <w:t>;</w:t>
      </w:r>
      <w:r w:rsidR="0007281B">
        <w:rPr>
          <w:rFonts w:hint="cs"/>
          <w:rtl/>
        </w:rPr>
        <w:t xml:space="preserve"> שכן על ההגנה לקבל את המידע עוד טרם חקירתה הנגדית של המתלוננת ובטרם שמיעת עדים אחרים הרלוונטיים לסוגיה זו</w:t>
      </w:r>
      <w:r w:rsidR="00934276">
        <w:rPr>
          <w:rFonts w:hint="cs"/>
          <w:rtl/>
        </w:rPr>
        <w:t xml:space="preserve">. ההגנה הטעימה, </w:t>
      </w:r>
      <w:r w:rsidR="0007281B">
        <w:rPr>
          <w:rFonts w:hint="cs"/>
          <w:rtl/>
        </w:rPr>
        <w:t>כי דווקא בתיקים שעניינם עבירות מין, המבוססים על עדות יחידה, כאשר הכלים העומדים בפני ההגנה מוגבלים, יש לתת לצוות ההגנה את מלוא ה</w:t>
      </w:r>
      <w:r w:rsidR="00090B3F">
        <w:rPr>
          <w:rFonts w:hint="cs"/>
          <w:rtl/>
        </w:rPr>
        <w:t xml:space="preserve">אמצעים </w:t>
      </w:r>
      <w:r w:rsidR="0007281B">
        <w:rPr>
          <w:rFonts w:hint="cs"/>
          <w:rtl/>
        </w:rPr>
        <w:t xml:space="preserve">להתמודד עם עדות יחידה ולהפריכה (עלב"ש 120/17 </w:t>
      </w:r>
      <w:r w:rsidR="0007281B">
        <w:rPr>
          <w:rFonts w:hint="cs"/>
          <w:b/>
          <w:bCs/>
          <w:rtl/>
        </w:rPr>
        <w:t>כהן</w:t>
      </w:r>
      <w:r w:rsidR="0007281B" w:rsidRPr="00DF052E">
        <w:rPr>
          <w:rFonts w:hint="cs"/>
          <w:b/>
          <w:bCs/>
          <w:rtl/>
        </w:rPr>
        <w:t xml:space="preserve"> נ' התובע הצבאי הראשי</w:t>
      </w:r>
      <w:r w:rsidR="0007281B">
        <w:rPr>
          <w:rFonts w:hint="cs"/>
          <w:rtl/>
        </w:rPr>
        <w:t xml:space="preserve"> (2017)). </w:t>
      </w:r>
    </w:p>
    <w:p w14:paraId="7E8B1B74" w14:textId="2F52714C" w:rsidR="0007281B" w:rsidRDefault="0007281B" w:rsidP="00E27BAB">
      <w:pPr>
        <w:numPr>
          <w:ilvl w:val="0"/>
          <w:numId w:val="1"/>
        </w:numPr>
        <w:tabs>
          <w:tab w:val="left" w:pos="418"/>
          <w:tab w:val="left" w:pos="992"/>
        </w:tabs>
        <w:spacing w:after="0" w:line="360" w:lineRule="auto"/>
        <w:ind w:left="-7" w:firstLine="0"/>
        <w:jc w:val="both"/>
      </w:pPr>
      <w:r>
        <w:rPr>
          <w:rFonts w:hint="cs"/>
          <w:rtl/>
        </w:rPr>
        <w:t xml:space="preserve">יתר על כן, נטען כי </w:t>
      </w:r>
      <w:r w:rsidR="00D40530">
        <w:rPr>
          <w:rFonts w:hint="cs"/>
          <w:rtl/>
        </w:rPr>
        <w:t xml:space="preserve">חומר החקירה </w:t>
      </w:r>
      <w:r w:rsidR="00934276">
        <w:rPr>
          <w:rFonts w:hint="cs"/>
          <w:rtl/>
        </w:rPr>
        <w:t>המבוקש עשוי ל</w:t>
      </w:r>
      <w:r w:rsidR="00D40530">
        <w:rPr>
          <w:rFonts w:hint="cs"/>
          <w:rtl/>
        </w:rPr>
        <w:t xml:space="preserve">השליך גם על </w:t>
      </w:r>
      <w:r w:rsidR="00934276">
        <w:rPr>
          <w:rFonts w:hint="cs"/>
          <w:rtl/>
        </w:rPr>
        <w:t>גיבוש</w:t>
      </w:r>
      <w:r w:rsidR="00D40530">
        <w:rPr>
          <w:rFonts w:hint="cs"/>
          <w:rtl/>
        </w:rPr>
        <w:t xml:space="preserve"> גדר הכפירה המפורט. כך למשל טענה ההגנה, כי ככל שיצביעו המסמכים על כך שהמתלוננת </w:t>
      </w:r>
      <w:r w:rsidR="00934276">
        <w:rPr>
          <w:rFonts w:hint="cs"/>
          <w:rtl/>
        </w:rPr>
        <w:t xml:space="preserve">אכן </w:t>
      </w:r>
      <w:r w:rsidR="00D40530">
        <w:rPr>
          <w:rFonts w:hint="cs"/>
          <w:rtl/>
        </w:rPr>
        <w:t xml:space="preserve">מצויה על הספקטרום האוטיסטי, יש בכך כדי להשליך על </w:t>
      </w:r>
      <w:r w:rsidR="00060A63">
        <w:rPr>
          <w:rFonts w:hint="cs"/>
          <w:rtl/>
        </w:rPr>
        <w:t xml:space="preserve">טיעונה בנוגע לקיומם של מחדלי חקירה, נוכח אי קיום הוראות חוק </w:t>
      </w:r>
      <w:r w:rsidR="00D40530">
        <w:rPr>
          <w:rFonts w:hint="cs"/>
          <w:rtl/>
        </w:rPr>
        <w:t>הליכי חקירה והעדה (התאמה לאנשים עם מוגבלות שכלית או נפשית), תשס"ו  2005</w:t>
      </w:r>
      <w:r w:rsidR="00060A63">
        <w:rPr>
          <w:rFonts w:hint="cs"/>
          <w:rtl/>
        </w:rPr>
        <w:t>; וכי חקיר</w:t>
      </w:r>
      <w:r w:rsidR="00934276">
        <w:rPr>
          <w:rFonts w:hint="cs"/>
          <w:rtl/>
        </w:rPr>
        <w:t>ת</w:t>
      </w:r>
      <w:r w:rsidR="00060A63">
        <w:rPr>
          <w:rFonts w:hint="cs"/>
          <w:rtl/>
        </w:rPr>
        <w:t>ה של המתלוננת בהתאם להוראות החוק יכולה ה</w:t>
      </w:r>
      <w:r w:rsidR="00934276">
        <w:rPr>
          <w:rFonts w:hint="cs"/>
          <w:rtl/>
        </w:rPr>
        <w:t>י</w:t>
      </w:r>
      <w:r w:rsidR="00060A63">
        <w:rPr>
          <w:rFonts w:hint="cs"/>
          <w:rtl/>
        </w:rPr>
        <w:t>יתה להוביל לבירור נכון ומותאם יותר של הסוגיות שבמחלוקת.</w:t>
      </w:r>
      <w:r w:rsidR="00D40530">
        <w:rPr>
          <w:rFonts w:hint="cs"/>
          <w:rtl/>
        </w:rPr>
        <w:t xml:space="preserve"> </w:t>
      </w:r>
    </w:p>
    <w:p w14:paraId="4A9386A6" w14:textId="25D69D25" w:rsidR="00D40530" w:rsidRDefault="00934276" w:rsidP="00E27BAB">
      <w:pPr>
        <w:numPr>
          <w:ilvl w:val="0"/>
          <w:numId w:val="1"/>
        </w:numPr>
        <w:tabs>
          <w:tab w:val="left" w:pos="418"/>
          <w:tab w:val="left" w:pos="992"/>
        </w:tabs>
        <w:spacing w:after="0" w:line="360" w:lineRule="auto"/>
        <w:ind w:left="-7" w:firstLine="0"/>
        <w:jc w:val="both"/>
      </w:pPr>
      <w:r>
        <w:rPr>
          <w:rFonts w:hint="cs"/>
          <w:rtl/>
        </w:rPr>
        <w:t>עוד טוענת ההגנה, כי עולה מהעדויות בתיק החקירה ש</w:t>
      </w:r>
      <w:r w:rsidR="0007281B">
        <w:rPr>
          <w:rFonts w:hint="cs"/>
          <w:rtl/>
        </w:rPr>
        <w:t xml:space="preserve">המערערת אינה מצליחה להבחין בין מצבים שבהם מבקשים ממנה לעשות דבר מה, מתי דורשים ממנה לעשות כן ומתי מכריחים אותה לעשות כן. </w:t>
      </w:r>
      <w:r w:rsidR="00250B37">
        <w:rPr>
          <w:rFonts w:hint="cs"/>
          <w:rtl/>
        </w:rPr>
        <w:t>נטען, כי לאור גרסת ה</w:t>
      </w:r>
      <w:r w:rsidR="00090B3F">
        <w:rPr>
          <w:rFonts w:hint="cs"/>
          <w:rtl/>
        </w:rPr>
        <w:t>מערער</w:t>
      </w:r>
      <w:r w:rsidR="00250B37">
        <w:rPr>
          <w:rFonts w:hint="cs"/>
          <w:rtl/>
        </w:rPr>
        <w:t xml:space="preserve">, </w:t>
      </w:r>
      <w:r w:rsidR="00090B3F">
        <w:rPr>
          <w:rFonts w:hint="cs"/>
          <w:rtl/>
        </w:rPr>
        <w:t>ש</w:t>
      </w:r>
      <w:r w:rsidR="00250B37">
        <w:rPr>
          <w:rFonts w:hint="cs"/>
          <w:rtl/>
        </w:rPr>
        <w:t xml:space="preserve">לפיה היא כלל לא הביעה התנגדות למעשים (עד לסוף האירוע </w:t>
      </w:r>
      <w:r w:rsidR="007F46C9">
        <w:rPr>
          <w:rFonts w:hint="cs"/>
          <w:rtl/>
        </w:rPr>
        <w:t>-</w:t>
      </w:r>
      <w:r w:rsidR="00250B37">
        <w:rPr>
          <w:rFonts w:hint="cs"/>
          <w:rtl/>
        </w:rPr>
        <w:t xml:space="preserve"> אז, לדבריו, משנתקל בביטוי ההתנגדות הראשון שלה חדל את מעשיו), הרי שיש רלוונטיות למידע שעשוי לשפוך אור על השאלה האם היה ביכולתה להתבטא ולאפשר </w:t>
      </w:r>
      <w:r w:rsidR="009E2DC7">
        <w:rPr>
          <w:rFonts w:hint="cs"/>
          <w:rtl/>
        </w:rPr>
        <w:t xml:space="preserve">למערער להבין </w:t>
      </w:r>
      <w:r w:rsidR="00250B37">
        <w:rPr>
          <w:rFonts w:hint="cs"/>
          <w:rtl/>
        </w:rPr>
        <w:t xml:space="preserve">את ביטויי ההתנגדות שלה. </w:t>
      </w:r>
      <w:r w:rsidR="009E2DC7">
        <w:rPr>
          <w:rFonts w:hint="cs"/>
          <w:rtl/>
        </w:rPr>
        <w:t>ההגנה הדגישה כי מדובר בבקשה מתוחמת על מנת להבין את טיב האבחנה של המתלוננת, וכי אינה מבקשת את כלל המסמכים הנפשיים בעניינה.</w:t>
      </w:r>
      <w:r w:rsidR="00060A63">
        <w:rPr>
          <w:rFonts w:hint="cs"/>
          <w:rtl/>
        </w:rPr>
        <w:t xml:space="preserve"> כן שבה על עתירתה, לפיה בטרם קבלת החלטה יעיין בית הדין במידע המבוקש ויבחן את הרלוונטיות שלו. </w:t>
      </w:r>
      <w:r w:rsidR="009E2DC7">
        <w:rPr>
          <w:rFonts w:hint="cs"/>
          <w:rtl/>
        </w:rPr>
        <w:t xml:space="preserve"> </w:t>
      </w:r>
    </w:p>
    <w:p w14:paraId="1853F680" w14:textId="600BCCAF" w:rsidR="00060A63" w:rsidRDefault="009E2DC7" w:rsidP="00E27BAB">
      <w:pPr>
        <w:numPr>
          <w:ilvl w:val="0"/>
          <w:numId w:val="1"/>
        </w:numPr>
        <w:tabs>
          <w:tab w:val="left" w:pos="418"/>
          <w:tab w:val="left" w:pos="992"/>
        </w:tabs>
        <w:spacing w:after="0" w:line="360" w:lineRule="auto"/>
        <w:ind w:left="-7" w:firstLine="0"/>
        <w:jc w:val="both"/>
      </w:pPr>
      <w:r>
        <w:rPr>
          <w:rFonts w:hint="cs"/>
          <w:rtl/>
        </w:rPr>
        <w:t>התביעה התנגדה לערעור</w:t>
      </w:r>
      <w:r w:rsidR="00090B3F">
        <w:rPr>
          <w:rFonts w:hint="cs"/>
          <w:rtl/>
        </w:rPr>
        <w:t xml:space="preserve"> ההגנה</w:t>
      </w:r>
      <w:r>
        <w:rPr>
          <w:rFonts w:hint="cs"/>
          <w:rtl/>
        </w:rPr>
        <w:t>. בתשובתה ה</w:t>
      </w:r>
      <w:r w:rsidR="00250B37">
        <w:rPr>
          <w:rFonts w:hint="cs"/>
          <w:rtl/>
        </w:rPr>
        <w:t>טעימה</w:t>
      </w:r>
      <w:r>
        <w:rPr>
          <w:rFonts w:hint="cs"/>
          <w:rtl/>
        </w:rPr>
        <w:t xml:space="preserve"> כי החומרים שהתבקשו על ידי ההגנה לא נאספו על יד</w:t>
      </w:r>
      <w:r w:rsidR="00250B37">
        <w:rPr>
          <w:rFonts w:hint="cs"/>
          <w:rtl/>
        </w:rPr>
        <w:t>י גורמי החקירה ואינם מצויים ביד</w:t>
      </w:r>
      <w:r w:rsidR="00090B3F">
        <w:rPr>
          <w:rFonts w:hint="cs"/>
          <w:rtl/>
        </w:rPr>
        <w:t>י</w:t>
      </w:r>
      <w:r w:rsidR="00250B37">
        <w:rPr>
          <w:rFonts w:hint="cs"/>
          <w:rtl/>
        </w:rPr>
        <w:t xml:space="preserve">ה; </w:t>
      </w:r>
      <w:r>
        <w:rPr>
          <w:rFonts w:hint="cs"/>
          <w:rtl/>
        </w:rPr>
        <w:t xml:space="preserve">וכי גם אין כל אינדיקציה לקיומו של אבחון </w:t>
      </w:r>
      <w:r w:rsidR="00250B37">
        <w:rPr>
          <w:rFonts w:hint="cs"/>
          <w:rtl/>
        </w:rPr>
        <w:t xml:space="preserve">רפואי </w:t>
      </w:r>
      <w:r>
        <w:rPr>
          <w:rFonts w:hint="cs"/>
          <w:rtl/>
        </w:rPr>
        <w:t xml:space="preserve">בעניינה של </w:t>
      </w:r>
      <w:r w:rsidR="00060A63">
        <w:rPr>
          <w:rFonts w:hint="cs"/>
          <w:rtl/>
        </w:rPr>
        <w:t xml:space="preserve">המתלוננת, למעט </w:t>
      </w:r>
      <w:r w:rsidR="00250B37">
        <w:rPr>
          <w:rFonts w:hint="cs"/>
          <w:rtl/>
        </w:rPr>
        <w:t>ב</w:t>
      </w:r>
      <w:r w:rsidR="00060A63">
        <w:rPr>
          <w:rFonts w:hint="cs"/>
          <w:rtl/>
        </w:rPr>
        <w:t>דבריה של המפקדת, הנסמכים על עדות שמועה</w:t>
      </w:r>
      <w:r w:rsidR="00250B37">
        <w:rPr>
          <w:rFonts w:hint="cs"/>
          <w:rtl/>
        </w:rPr>
        <w:t>,</w:t>
      </w:r>
      <w:r w:rsidR="00060A63">
        <w:rPr>
          <w:rFonts w:hint="cs"/>
          <w:rtl/>
        </w:rPr>
        <w:t xml:space="preserve"> ומכאן שאין בהם כדי להקים תשתית ראייתית ראשונית לתמיכה בבקשת ההגנה. התביעה טענה, כי מדברי המתלוננת עלה כי הביעה התנגדות למעשיו של המערער, </w:t>
      </w:r>
      <w:r w:rsidR="00250B37">
        <w:rPr>
          <w:rFonts w:hint="cs"/>
          <w:rtl/>
        </w:rPr>
        <w:t>ו</w:t>
      </w:r>
      <w:r w:rsidR="00060A63">
        <w:rPr>
          <w:rFonts w:hint="cs"/>
          <w:rtl/>
        </w:rPr>
        <w:t xml:space="preserve">כי </w:t>
      </w:r>
      <w:r w:rsidR="00060A63">
        <w:rPr>
          <w:rFonts w:hint="cs"/>
          <w:rtl/>
        </w:rPr>
        <w:lastRenderedPageBreak/>
        <w:t>המחלוקת ביניהם היא עובדתית באשר לעצם קיומם של גילויי התנגדות</w:t>
      </w:r>
      <w:r w:rsidR="00250B37">
        <w:rPr>
          <w:rFonts w:hint="cs"/>
          <w:rtl/>
        </w:rPr>
        <w:t>.</w:t>
      </w:r>
      <w:r w:rsidR="00060A63">
        <w:rPr>
          <w:rFonts w:hint="cs"/>
          <w:rtl/>
        </w:rPr>
        <w:t xml:space="preserve"> לכן השאלה כיצד היא מתנהלת בסיטואציות חברתיות אינה רלוונטית לבירור המחלוקת. לעניין זה הודגש עוד, כי מקום </w:t>
      </w:r>
      <w:r w:rsidR="00090B3F">
        <w:rPr>
          <w:rFonts w:hint="cs"/>
          <w:rtl/>
        </w:rPr>
        <w:t>ש</w:t>
      </w:r>
      <w:r w:rsidR="00060A63">
        <w:rPr>
          <w:rFonts w:hint="cs"/>
          <w:rtl/>
        </w:rPr>
        <w:t xml:space="preserve">בו טרם נמסר גדר כפירה מפורט יקשה לדעת באופן ברור מה קו ההגנה הנטען. </w:t>
      </w:r>
    </w:p>
    <w:p w14:paraId="5881B0B1" w14:textId="7EF4388D" w:rsidR="009E2DC7" w:rsidRDefault="00250B37" w:rsidP="00E27BAB">
      <w:pPr>
        <w:numPr>
          <w:ilvl w:val="0"/>
          <w:numId w:val="1"/>
        </w:numPr>
        <w:tabs>
          <w:tab w:val="left" w:pos="418"/>
          <w:tab w:val="left" w:pos="992"/>
        </w:tabs>
        <w:spacing w:after="0" w:line="360" w:lineRule="auto"/>
        <w:ind w:left="-7" w:firstLine="0"/>
        <w:jc w:val="both"/>
      </w:pPr>
      <w:r>
        <w:rPr>
          <w:rFonts w:hint="cs"/>
          <w:rtl/>
        </w:rPr>
        <w:t xml:space="preserve">בשל כל האמור, סבורה התביעה, כי </w:t>
      </w:r>
      <w:r w:rsidR="00060A63">
        <w:rPr>
          <w:rFonts w:hint="cs"/>
          <w:rtl/>
        </w:rPr>
        <w:t xml:space="preserve">הדרך הראויה לדון בבקשת ההגנה היא במסגרת דיון לפי סעיף 108 לחוק סדר הדין הפלילי, אז ניתן יהיה לדון גם במידת הפגיעה שיש בהעברת החומרים המבוקשים, אשר אף חוסים בחלקם תחת חיסיון סטטוטורי, בפרטיותה של המתלוננת. לאור האמור התנגדה התביעה גם לכך שבית הדין יעיין במידע המבוקש, משגם </w:t>
      </w:r>
      <w:r>
        <w:rPr>
          <w:rFonts w:hint="cs"/>
          <w:rtl/>
        </w:rPr>
        <w:t>ב</w:t>
      </w:r>
      <w:r w:rsidR="00060A63">
        <w:rPr>
          <w:rFonts w:hint="cs"/>
          <w:rtl/>
        </w:rPr>
        <w:t xml:space="preserve">עיון </w:t>
      </w:r>
      <w:r>
        <w:rPr>
          <w:rFonts w:hint="cs"/>
          <w:rtl/>
        </w:rPr>
        <w:t xml:space="preserve">זה </w:t>
      </w:r>
      <w:r w:rsidR="00060A63">
        <w:rPr>
          <w:rFonts w:hint="cs"/>
          <w:rtl/>
        </w:rPr>
        <w:t xml:space="preserve">יש כדי לפגוע בחיסיון הסטטוטורי ובאינטרסים של המתלוננת. </w:t>
      </w:r>
    </w:p>
    <w:p w14:paraId="3C9B0B98" w14:textId="7A2A71A1" w:rsidR="00F44501" w:rsidRDefault="00F44501" w:rsidP="00F44501">
      <w:pPr>
        <w:pStyle w:val="2"/>
        <w:numPr>
          <w:ilvl w:val="0"/>
          <w:numId w:val="0"/>
        </w:numPr>
        <w:tabs>
          <w:tab w:val="left" w:pos="418"/>
          <w:tab w:val="left" w:pos="992"/>
        </w:tabs>
        <w:ind w:left="353"/>
        <w:rPr>
          <w:rtl/>
        </w:rPr>
      </w:pPr>
    </w:p>
    <w:p w14:paraId="5F2655BA" w14:textId="77777777" w:rsidR="009B2917" w:rsidRDefault="009B2917" w:rsidP="009B2917">
      <w:pPr>
        <w:tabs>
          <w:tab w:val="left" w:pos="418"/>
          <w:tab w:val="left" w:pos="992"/>
        </w:tabs>
        <w:spacing w:after="0" w:line="360" w:lineRule="auto"/>
        <w:jc w:val="both"/>
        <w:rPr>
          <w:b/>
          <w:bCs/>
          <w:u w:val="single"/>
          <w:rtl/>
        </w:rPr>
      </w:pPr>
      <w:r w:rsidRPr="00CF5BBA">
        <w:rPr>
          <w:rFonts w:hint="cs"/>
          <w:b/>
          <w:bCs/>
          <w:u w:val="single"/>
          <w:rtl/>
        </w:rPr>
        <w:t>דיון והכרעה</w:t>
      </w:r>
    </w:p>
    <w:p w14:paraId="3D346F88" w14:textId="4F38B830" w:rsidR="00AD1900" w:rsidRDefault="00106EAC" w:rsidP="00776470">
      <w:pPr>
        <w:pStyle w:val="2"/>
        <w:tabs>
          <w:tab w:val="left" w:pos="418"/>
          <w:tab w:val="left" w:pos="992"/>
        </w:tabs>
        <w:ind w:left="-7" w:firstLine="0"/>
      </w:pPr>
      <w:r>
        <w:rPr>
          <w:rFonts w:hint="cs"/>
          <w:rtl/>
        </w:rPr>
        <w:t xml:space="preserve">אין צורך להכביר מילים בדבר חשיבותה של הזכות לעיון בחומר חקירה. יוזכר, כי </w:t>
      </w:r>
      <w:r w:rsidR="009B2917">
        <w:rPr>
          <w:rFonts w:hint="cs"/>
          <w:rtl/>
        </w:rPr>
        <w:t xml:space="preserve">הפרשנות שניתנה למונח "חומר חקירה" </w:t>
      </w:r>
      <w:r w:rsidR="00CD55C3">
        <w:rPr>
          <w:rFonts w:hint="cs"/>
          <w:rtl/>
        </w:rPr>
        <w:t>בפסיקתנו</w:t>
      </w:r>
      <w:r w:rsidR="009B2917">
        <w:rPr>
          <w:rFonts w:hint="cs"/>
          <w:rtl/>
        </w:rPr>
        <w:t xml:space="preserve"> היא רחבה, ונקבע כי יש לכלול בגדרי מונח זה כל חומר הנוגע במישרין או בעקיפין לאישום (בש"פ 6520/21 </w:t>
      </w:r>
      <w:r w:rsidR="009B2917" w:rsidRPr="00181DD6">
        <w:rPr>
          <w:rFonts w:hint="cs"/>
          <w:b/>
          <w:bCs/>
          <w:rtl/>
        </w:rPr>
        <w:t>פלוני נ' מדינת ישראל</w:t>
      </w:r>
      <w:r w:rsidR="009B2917" w:rsidRPr="00DA3FA8">
        <w:rPr>
          <w:rFonts w:hint="cs"/>
          <w:rtl/>
        </w:rPr>
        <w:t>,</w:t>
      </w:r>
      <w:r w:rsidR="009B2917" w:rsidRPr="00181DD6">
        <w:rPr>
          <w:rFonts w:hint="cs"/>
          <w:b/>
          <w:bCs/>
          <w:rtl/>
        </w:rPr>
        <w:t xml:space="preserve"> </w:t>
      </w:r>
      <w:r w:rsidR="009B2917">
        <w:rPr>
          <w:rFonts w:hint="cs"/>
          <w:rtl/>
        </w:rPr>
        <w:t>בפסקה 6 (2021)). ה</w:t>
      </w:r>
      <w:r w:rsidR="00181DD6">
        <w:rPr>
          <w:rFonts w:hint="cs"/>
          <w:rtl/>
        </w:rPr>
        <w:t xml:space="preserve">זכות לקבלת חומר חקירה </w:t>
      </w:r>
      <w:r w:rsidR="009B2917">
        <w:rPr>
          <w:rFonts w:hint="cs"/>
          <w:rtl/>
        </w:rPr>
        <w:t xml:space="preserve">מצויה בליבת הזכות להליך הוגן, במטרה לתת כלים בידי הנאשם להתגונן כראוי מפני האישומים נגדו, ומכאן שהיא משרתת גם אינטרס ציבורי רחב של שמירה על תקינות והוגנות ההליך הפלילי, לצד חשיפת האמת (ראה בש"פ 5763/21 </w:t>
      </w:r>
      <w:r w:rsidR="009B2917" w:rsidRPr="00181DD6">
        <w:rPr>
          <w:rFonts w:hint="cs"/>
          <w:b/>
          <w:bCs/>
          <w:rtl/>
        </w:rPr>
        <w:t xml:space="preserve">פלוני נ' מדינת ישראל </w:t>
      </w:r>
      <w:r w:rsidR="009B2917">
        <w:rPr>
          <w:rFonts w:hint="cs"/>
          <w:rtl/>
        </w:rPr>
        <w:t xml:space="preserve">בפסקה 5 (2021)). לפיכך אומץ בפסיקה מבחן גמיש יחסית, ובמסגרתו יש לבחון את מידת הרלוונטיות והזיקה בין החומר המבוקש לבין האישומים (בש"פ 8100/21 </w:t>
      </w:r>
      <w:r w:rsidR="009B2917" w:rsidRPr="00181DD6">
        <w:rPr>
          <w:rFonts w:hint="cs"/>
          <w:b/>
          <w:bCs/>
          <w:rtl/>
        </w:rPr>
        <w:t xml:space="preserve">טראבין נ' מדינת ישראל </w:t>
      </w:r>
      <w:r w:rsidR="009B2917">
        <w:rPr>
          <w:rFonts w:hint="cs"/>
          <w:rtl/>
        </w:rPr>
        <w:t xml:space="preserve">בפסקה 16 (2021)); אך זאת תוך שהובהר כי על הבקשה לחומר חקירה להישען על </w:t>
      </w:r>
      <w:r w:rsidR="009B2917" w:rsidRPr="005F5893">
        <w:rPr>
          <w:rFonts w:hint="cs"/>
          <w:rtl/>
        </w:rPr>
        <w:t xml:space="preserve">"נקודת אחיזה ממשית" </w:t>
      </w:r>
      <w:r w:rsidR="009B2917" w:rsidRPr="00CF4090">
        <w:rPr>
          <w:rFonts w:hint="cs"/>
          <w:rtl/>
        </w:rPr>
        <w:t xml:space="preserve">(בג"ץ 233/85 </w:t>
      </w:r>
      <w:r w:rsidR="009B2917" w:rsidRPr="00181DD6">
        <w:rPr>
          <w:rFonts w:hint="cs"/>
          <w:b/>
          <w:bCs/>
          <w:rtl/>
        </w:rPr>
        <w:t>אל הוזייל נ' משטרת ישראל</w:t>
      </w:r>
      <w:r w:rsidR="009B2917" w:rsidRPr="00E14064">
        <w:rPr>
          <w:rFonts w:hint="cs"/>
          <w:rtl/>
        </w:rPr>
        <w:t>,</w:t>
      </w:r>
      <w:r w:rsidR="009B2917" w:rsidRPr="00181DD6">
        <w:rPr>
          <w:rFonts w:hint="cs"/>
          <w:b/>
          <w:bCs/>
          <w:rtl/>
        </w:rPr>
        <w:t xml:space="preserve"> </w:t>
      </w:r>
      <w:r w:rsidR="009B2917" w:rsidRPr="00CF4090">
        <w:rPr>
          <w:rFonts w:hint="cs"/>
          <w:rtl/>
        </w:rPr>
        <w:t xml:space="preserve">פ"ד לט(4) </w:t>
      </w:r>
      <w:r w:rsidR="009B2917" w:rsidRPr="00895423">
        <w:rPr>
          <w:rFonts w:hint="cs"/>
          <w:rtl/>
        </w:rPr>
        <w:t>124,</w:t>
      </w:r>
      <w:r w:rsidR="009B2917">
        <w:rPr>
          <w:rFonts w:hint="cs"/>
          <w:rtl/>
        </w:rPr>
        <w:t xml:space="preserve"> </w:t>
      </w:r>
      <w:r w:rsidR="009B2917" w:rsidRPr="00895423">
        <w:rPr>
          <w:rFonts w:hint="cs"/>
          <w:rtl/>
        </w:rPr>
        <w:t>129 (1985)</w:t>
      </w:r>
      <w:r w:rsidR="00084A46">
        <w:rPr>
          <w:rFonts w:hint="cs"/>
          <w:rtl/>
        </w:rPr>
        <w:t>)</w:t>
      </w:r>
      <w:r w:rsidR="009B2917">
        <w:rPr>
          <w:rFonts w:hint="cs"/>
          <w:rtl/>
        </w:rPr>
        <w:t>.</w:t>
      </w:r>
      <w:r w:rsidR="00084A46">
        <w:rPr>
          <w:rFonts w:hint="cs"/>
          <w:rtl/>
        </w:rPr>
        <w:t xml:space="preserve"> </w:t>
      </w:r>
      <w:r w:rsidR="00181DD6">
        <w:rPr>
          <w:rFonts w:hint="cs"/>
          <w:rtl/>
        </w:rPr>
        <w:t xml:space="preserve">בהתאם לכך נבחן את </w:t>
      </w:r>
      <w:r w:rsidR="00CD55C3">
        <w:rPr>
          <w:rFonts w:hint="cs"/>
          <w:rtl/>
        </w:rPr>
        <w:t xml:space="preserve">בקשות ההגנה, כמובא להלן. </w:t>
      </w:r>
    </w:p>
    <w:p w14:paraId="3FD74135" w14:textId="3FED6CE3" w:rsidR="00181DD6" w:rsidRDefault="00181DD6" w:rsidP="00181DD6">
      <w:pPr>
        <w:pStyle w:val="2"/>
        <w:numPr>
          <w:ilvl w:val="0"/>
          <w:numId w:val="0"/>
        </w:numPr>
        <w:tabs>
          <w:tab w:val="left" w:pos="418"/>
          <w:tab w:val="left" w:pos="992"/>
        </w:tabs>
        <w:ind w:left="-7"/>
        <w:rPr>
          <w:rtl/>
        </w:rPr>
      </w:pPr>
    </w:p>
    <w:p w14:paraId="12772A1E" w14:textId="195E7768" w:rsidR="00181DD6" w:rsidRPr="00181DD6" w:rsidRDefault="00181DD6" w:rsidP="00181DD6">
      <w:pPr>
        <w:pStyle w:val="2"/>
        <w:numPr>
          <w:ilvl w:val="0"/>
          <w:numId w:val="0"/>
        </w:numPr>
        <w:tabs>
          <w:tab w:val="left" w:pos="418"/>
          <w:tab w:val="left" w:pos="992"/>
        </w:tabs>
        <w:ind w:left="-7"/>
        <w:rPr>
          <w:u w:val="single"/>
          <w:rtl/>
        </w:rPr>
      </w:pPr>
      <w:r>
        <w:rPr>
          <w:rFonts w:hint="cs"/>
          <w:u w:val="single"/>
          <w:rtl/>
        </w:rPr>
        <w:t xml:space="preserve">בקשת </w:t>
      </w:r>
      <w:r w:rsidR="0019512A">
        <w:rPr>
          <w:rFonts w:hint="cs"/>
          <w:u w:val="single"/>
          <w:rtl/>
        </w:rPr>
        <w:t>ההגנה</w:t>
      </w:r>
      <w:r>
        <w:rPr>
          <w:rFonts w:hint="cs"/>
          <w:u w:val="single"/>
          <w:rtl/>
        </w:rPr>
        <w:t xml:space="preserve"> לקבל טפסי תלונה </w:t>
      </w:r>
      <w:r w:rsidR="00090B3F">
        <w:rPr>
          <w:rFonts w:hint="cs"/>
          <w:u w:val="single"/>
          <w:rtl/>
        </w:rPr>
        <w:t xml:space="preserve">בעניינה </w:t>
      </w:r>
      <w:r>
        <w:rPr>
          <w:rFonts w:hint="cs"/>
          <w:u w:val="single"/>
          <w:rtl/>
        </w:rPr>
        <w:t xml:space="preserve">של המתלוננת </w:t>
      </w:r>
    </w:p>
    <w:p w14:paraId="05262232" w14:textId="427994B9" w:rsidR="007854D4" w:rsidRDefault="00181DD6" w:rsidP="0095346F">
      <w:pPr>
        <w:pStyle w:val="2"/>
        <w:tabs>
          <w:tab w:val="left" w:pos="418"/>
          <w:tab w:val="left" w:pos="992"/>
        </w:tabs>
        <w:ind w:left="-7" w:firstLine="0"/>
      </w:pPr>
      <w:r>
        <w:rPr>
          <w:rFonts w:hint="cs"/>
          <w:rtl/>
        </w:rPr>
        <w:t xml:space="preserve">את בקשתה לקבל </w:t>
      </w:r>
      <w:r w:rsidR="00090B3F">
        <w:rPr>
          <w:rFonts w:hint="cs"/>
          <w:rtl/>
        </w:rPr>
        <w:t xml:space="preserve">לעיונה </w:t>
      </w:r>
      <w:r>
        <w:rPr>
          <w:rFonts w:hint="cs"/>
          <w:rtl/>
        </w:rPr>
        <w:t>טפסי תלונה</w:t>
      </w:r>
      <w:r w:rsidR="00090B3F">
        <w:rPr>
          <w:rFonts w:hint="cs"/>
          <w:rtl/>
        </w:rPr>
        <w:t>,</w:t>
      </w:r>
      <w:r>
        <w:rPr>
          <w:rFonts w:hint="cs"/>
          <w:rtl/>
        </w:rPr>
        <w:t xml:space="preserve"> </w:t>
      </w:r>
      <w:r w:rsidR="00090B3F">
        <w:rPr>
          <w:rFonts w:hint="cs"/>
          <w:rtl/>
        </w:rPr>
        <w:t>ש</w:t>
      </w:r>
      <w:r w:rsidR="00CD55C3">
        <w:rPr>
          <w:rFonts w:hint="cs"/>
          <w:rtl/>
        </w:rPr>
        <w:t>במסגרתם עמדה המתלוננת לדין משמעתי,</w:t>
      </w:r>
      <w:r>
        <w:rPr>
          <w:rFonts w:hint="cs"/>
          <w:rtl/>
        </w:rPr>
        <w:t xml:space="preserve"> נימקה ההגנה כ</w:t>
      </w:r>
      <w:r w:rsidR="00090B3F">
        <w:rPr>
          <w:rFonts w:hint="cs"/>
          <w:rtl/>
        </w:rPr>
        <w:t>אמור</w:t>
      </w:r>
      <w:r>
        <w:rPr>
          <w:rFonts w:hint="cs"/>
          <w:rtl/>
        </w:rPr>
        <w:t>, ב</w:t>
      </w:r>
      <w:r w:rsidR="00084A46">
        <w:rPr>
          <w:rFonts w:hint="cs"/>
          <w:rtl/>
        </w:rPr>
        <w:t>התרשמות מ</w:t>
      </w:r>
      <w:r w:rsidR="00090B3F">
        <w:rPr>
          <w:rFonts w:hint="cs"/>
          <w:rtl/>
        </w:rPr>
        <w:t xml:space="preserve">ן </w:t>
      </w:r>
      <w:r w:rsidR="00084A46">
        <w:rPr>
          <w:rFonts w:hint="cs"/>
          <w:rtl/>
        </w:rPr>
        <w:t>המתלוננת, כפי שהיא עולה מעדויות הסובבים אותה (ובעיקר המפקדת שלה ו</w:t>
      </w:r>
      <w:r w:rsidR="00090B3F">
        <w:rPr>
          <w:rFonts w:hint="cs"/>
          <w:rtl/>
        </w:rPr>
        <w:t xml:space="preserve">ממונת </w:t>
      </w:r>
      <w:r w:rsidR="00084A46">
        <w:rPr>
          <w:rFonts w:hint="cs"/>
          <w:rtl/>
        </w:rPr>
        <w:t>היוהל"</w:t>
      </w:r>
      <w:r w:rsidR="007854D4">
        <w:rPr>
          <w:rFonts w:hint="cs"/>
          <w:rtl/>
        </w:rPr>
        <w:t>ם)</w:t>
      </w:r>
      <w:r w:rsidR="007854D4">
        <w:rPr>
          <w:rFonts w:hint="cs"/>
        </w:rPr>
        <w:t xml:space="preserve"> </w:t>
      </w:r>
      <w:r w:rsidR="007854D4">
        <w:rPr>
          <w:rFonts w:hint="cs"/>
          <w:rtl/>
        </w:rPr>
        <w:t xml:space="preserve">ובסברה </w:t>
      </w:r>
      <w:r w:rsidR="00090B3F">
        <w:rPr>
          <w:rFonts w:hint="cs"/>
          <w:rtl/>
        </w:rPr>
        <w:t>ש</w:t>
      </w:r>
      <w:r w:rsidR="007854D4">
        <w:rPr>
          <w:rFonts w:hint="cs"/>
          <w:rtl/>
        </w:rPr>
        <w:t xml:space="preserve">לפיה יש בטפסי התלונה האמורים כדי לאשש התרשמות זו. </w:t>
      </w:r>
    </w:p>
    <w:p w14:paraId="44E8407D" w14:textId="020AA41F" w:rsidR="00CD55C3" w:rsidRDefault="0056484B" w:rsidP="00CD55C3">
      <w:pPr>
        <w:pStyle w:val="2"/>
        <w:tabs>
          <w:tab w:val="left" w:pos="418"/>
          <w:tab w:val="left" w:pos="992"/>
        </w:tabs>
        <w:ind w:left="-7" w:firstLine="0"/>
      </w:pPr>
      <w:r>
        <w:rPr>
          <w:rFonts w:hint="cs"/>
          <w:rtl/>
        </w:rPr>
        <w:t xml:space="preserve">לא </w:t>
      </w:r>
      <w:r w:rsidR="00CD55C3">
        <w:rPr>
          <w:rFonts w:hint="cs"/>
          <w:rtl/>
        </w:rPr>
        <w:t xml:space="preserve">מצאתי ממש בערעורה של ההגנה, אשר כפי שקבע גם בית הדין קמא בהחלטתו, לא </w:t>
      </w:r>
      <w:r w:rsidR="00352128">
        <w:rPr>
          <w:rFonts w:hint="cs"/>
          <w:rtl/>
        </w:rPr>
        <w:t>הצליחה להבהיר מדוע יש בטפסי התלונה האמורים כדי להועיל להגנת המערער</w:t>
      </w:r>
      <w:r w:rsidR="00CD55C3">
        <w:rPr>
          <w:rFonts w:hint="cs"/>
          <w:rtl/>
        </w:rPr>
        <w:t>.</w:t>
      </w:r>
      <w:r w:rsidR="00352128">
        <w:rPr>
          <w:rFonts w:hint="cs"/>
          <w:rtl/>
        </w:rPr>
        <w:t xml:space="preserve"> </w:t>
      </w:r>
      <w:r w:rsidR="00CD55C3">
        <w:rPr>
          <w:rFonts w:hint="cs"/>
          <w:rtl/>
        </w:rPr>
        <w:t>ב</w:t>
      </w:r>
      <w:r w:rsidR="00352128">
        <w:rPr>
          <w:rFonts w:hint="cs"/>
          <w:rtl/>
        </w:rPr>
        <w:t xml:space="preserve">ע/120/17 </w:t>
      </w:r>
      <w:r w:rsidR="00466B1E">
        <w:rPr>
          <w:rFonts w:hint="cs"/>
          <w:rtl/>
        </w:rPr>
        <w:t xml:space="preserve">בעניין </w:t>
      </w:r>
      <w:r w:rsidR="00466B1E">
        <w:rPr>
          <w:rFonts w:hint="cs"/>
          <w:b/>
          <w:bCs/>
          <w:rtl/>
        </w:rPr>
        <w:t xml:space="preserve">כהן </w:t>
      </w:r>
      <w:r w:rsidR="00090B3F">
        <w:rPr>
          <w:rFonts w:hint="cs"/>
          <w:rtl/>
        </w:rPr>
        <w:t>ש</w:t>
      </w:r>
      <w:r w:rsidR="00352128">
        <w:rPr>
          <w:rFonts w:hint="cs"/>
          <w:rtl/>
        </w:rPr>
        <w:t xml:space="preserve">אליו הפנתה ההגנה, </w:t>
      </w:r>
      <w:r w:rsidR="00CD55C3">
        <w:rPr>
          <w:rFonts w:hint="cs"/>
          <w:rtl/>
        </w:rPr>
        <w:t>אמנם</w:t>
      </w:r>
      <w:r w:rsidR="00352128">
        <w:rPr>
          <w:rFonts w:hint="cs"/>
          <w:rtl/>
        </w:rPr>
        <w:t xml:space="preserve"> מצא בית דין זה לאשר העברת טופס תלונה בעניינה של המתלוננת, מקום </w:t>
      </w:r>
      <w:r w:rsidR="00090B3F">
        <w:rPr>
          <w:rFonts w:hint="cs"/>
          <w:rtl/>
        </w:rPr>
        <w:t>ש</w:t>
      </w:r>
      <w:r w:rsidR="00352128">
        <w:rPr>
          <w:rFonts w:hint="cs"/>
          <w:rtl/>
        </w:rPr>
        <w:t>בו היה ב</w:t>
      </w:r>
      <w:r w:rsidR="00090B3F">
        <w:rPr>
          <w:rFonts w:hint="cs"/>
          <w:rtl/>
        </w:rPr>
        <w:t>כך</w:t>
      </w:r>
      <w:r w:rsidR="00352128">
        <w:rPr>
          <w:rFonts w:hint="cs"/>
          <w:rtl/>
        </w:rPr>
        <w:t xml:space="preserve"> כדי לבסס פגיעה מסוימת במהימנותה נוכח דחיית גרסתה </w:t>
      </w:r>
      <w:r w:rsidR="00352128">
        <w:rPr>
          <w:rFonts w:hint="cs"/>
          <w:rtl/>
        </w:rPr>
        <w:lastRenderedPageBreak/>
        <w:t>ב</w:t>
      </w:r>
      <w:r w:rsidR="00090B3F">
        <w:rPr>
          <w:rFonts w:hint="cs"/>
          <w:rtl/>
        </w:rPr>
        <w:t xml:space="preserve">הליך </w:t>
      </w:r>
      <w:r w:rsidR="00352128">
        <w:rPr>
          <w:rFonts w:hint="cs"/>
          <w:rtl/>
        </w:rPr>
        <w:t xml:space="preserve">המשמעתי (אם כי תוך הבעת הסתייגות נוכח אופיו של ההליך המשמעתי, </w:t>
      </w:r>
      <w:r w:rsidR="00090B3F">
        <w:rPr>
          <w:rFonts w:hint="cs"/>
          <w:rtl/>
        </w:rPr>
        <w:t>ש</w:t>
      </w:r>
      <w:r w:rsidR="00352128">
        <w:rPr>
          <w:rFonts w:hint="cs"/>
          <w:rtl/>
        </w:rPr>
        <w:t>במסגרתו קצין השיפוט אינו כפוף לדיני הראיות)</w:t>
      </w:r>
      <w:r w:rsidR="00CD55C3">
        <w:rPr>
          <w:rFonts w:hint="cs"/>
          <w:rtl/>
        </w:rPr>
        <w:t xml:space="preserve">; לעומת זאת בענייננו, הטענה המרכזית אינה נוגעת לשאלת </w:t>
      </w:r>
      <w:r w:rsidR="00352128">
        <w:rPr>
          <w:rFonts w:hint="cs"/>
          <w:rtl/>
        </w:rPr>
        <w:t>מהימנותה של המתלוננת</w:t>
      </w:r>
      <w:r w:rsidR="00CD55C3">
        <w:rPr>
          <w:rFonts w:hint="cs"/>
          <w:rtl/>
        </w:rPr>
        <w:t xml:space="preserve"> דווקא</w:t>
      </w:r>
      <w:r w:rsidR="00352128">
        <w:rPr>
          <w:rFonts w:hint="cs"/>
          <w:rtl/>
        </w:rPr>
        <w:t xml:space="preserve">, </w:t>
      </w:r>
      <w:r w:rsidR="00CD55C3">
        <w:rPr>
          <w:rFonts w:hint="cs"/>
          <w:rtl/>
        </w:rPr>
        <w:t>אלא ל</w:t>
      </w:r>
      <w:r w:rsidR="00352128">
        <w:rPr>
          <w:rFonts w:hint="cs"/>
          <w:rtl/>
        </w:rPr>
        <w:t>קושי של</w:t>
      </w:r>
      <w:r w:rsidR="00CD55C3">
        <w:rPr>
          <w:rFonts w:hint="cs"/>
          <w:rtl/>
        </w:rPr>
        <w:t>ה</w:t>
      </w:r>
      <w:r w:rsidR="00352128">
        <w:rPr>
          <w:rFonts w:hint="cs"/>
          <w:rtl/>
        </w:rPr>
        <w:t xml:space="preserve"> </w:t>
      </w:r>
      <w:r w:rsidR="00CD55C3">
        <w:rPr>
          <w:rFonts w:hint="cs"/>
          <w:rtl/>
        </w:rPr>
        <w:t>בהבנת</w:t>
      </w:r>
      <w:r w:rsidR="00352128">
        <w:rPr>
          <w:rFonts w:hint="cs"/>
          <w:rtl/>
        </w:rPr>
        <w:t xml:space="preserve"> סיטואציות חברתיות ו</w:t>
      </w:r>
      <w:r w:rsidR="00CD55C3">
        <w:rPr>
          <w:rFonts w:hint="cs"/>
          <w:rtl/>
        </w:rPr>
        <w:t xml:space="preserve">ביטוי </w:t>
      </w:r>
      <w:r w:rsidR="00352128">
        <w:rPr>
          <w:rFonts w:hint="cs"/>
          <w:rtl/>
        </w:rPr>
        <w:t>רצונ</w:t>
      </w:r>
      <w:r w:rsidR="00CD55C3">
        <w:rPr>
          <w:rFonts w:hint="cs"/>
          <w:rtl/>
        </w:rPr>
        <w:t>ותי</w:t>
      </w:r>
      <w:r w:rsidR="00352128">
        <w:rPr>
          <w:rFonts w:hint="cs"/>
          <w:rtl/>
        </w:rPr>
        <w:t xml:space="preserve">ה </w:t>
      </w:r>
      <w:r w:rsidR="00CD55C3">
        <w:rPr>
          <w:rFonts w:hint="cs"/>
          <w:rtl/>
        </w:rPr>
        <w:t xml:space="preserve">כלפי חוץ </w:t>
      </w:r>
      <w:r w:rsidR="00466B1E">
        <w:rPr>
          <w:rFonts w:hint="cs"/>
          <w:rtl/>
        </w:rPr>
        <w:t>-</w:t>
      </w:r>
      <w:r w:rsidR="00352128">
        <w:rPr>
          <w:rFonts w:hint="cs"/>
          <w:rtl/>
        </w:rPr>
        <w:t xml:space="preserve"> גם בפני המערער</w:t>
      </w:r>
      <w:r w:rsidR="00CD55C3">
        <w:rPr>
          <w:rFonts w:hint="cs"/>
          <w:rtl/>
        </w:rPr>
        <w:t>, במהלך האירוע</w:t>
      </w:r>
      <w:r w:rsidR="00352128">
        <w:rPr>
          <w:rFonts w:hint="cs"/>
          <w:rtl/>
        </w:rPr>
        <w:t xml:space="preserve">. לפי הגיון זה, הרי </w:t>
      </w:r>
      <w:r w:rsidR="00CD55C3">
        <w:rPr>
          <w:rFonts w:hint="cs"/>
          <w:rtl/>
        </w:rPr>
        <w:t>שאירועים</w:t>
      </w:r>
      <w:r w:rsidR="00352128">
        <w:rPr>
          <w:rFonts w:hint="cs"/>
          <w:rtl/>
        </w:rPr>
        <w:t xml:space="preserve"> שבהם הועמדה המתלוננת לדין, הם רק חלק מאותו רצף התנהגותי</w:t>
      </w:r>
      <w:r w:rsidR="00CD55C3">
        <w:rPr>
          <w:rFonts w:hint="cs"/>
          <w:rtl/>
        </w:rPr>
        <w:t xml:space="preserve"> שלה</w:t>
      </w:r>
      <w:r w:rsidR="00352128">
        <w:rPr>
          <w:rFonts w:hint="cs"/>
          <w:rtl/>
        </w:rPr>
        <w:t xml:space="preserve">, שביחס אליו </w:t>
      </w:r>
      <w:r w:rsidR="00CD55C3">
        <w:rPr>
          <w:rFonts w:hint="cs"/>
          <w:rtl/>
        </w:rPr>
        <w:t>קיימות</w:t>
      </w:r>
      <w:r w:rsidR="00352128">
        <w:rPr>
          <w:rFonts w:hint="cs"/>
          <w:rtl/>
        </w:rPr>
        <w:t xml:space="preserve"> ראיות </w:t>
      </w:r>
      <w:r w:rsidR="00CD55C3">
        <w:rPr>
          <w:rFonts w:hint="cs"/>
          <w:rtl/>
        </w:rPr>
        <w:t xml:space="preserve">גלויות </w:t>
      </w:r>
      <w:r w:rsidR="00352128">
        <w:rPr>
          <w:rFonts w:hint="cs"/>
          <w:rtl/>
        </w:rPr>
        <w:t>בחומר החקירה הקיים</w:t>
      </w:r>
      <w:r w:rsidR="00CD55C3">
        <w:rPr>
          <w:rFonts w:hint="cs"/>
          <w:rtl/>
        </w:rPr>
        <w:t>.</w:t>
      </w:r>
      <w:r w:rsidR="00352128">
        <w:rPr>
          <w:rFonts w:hint="cs"/>
          <w:rtl/>
        </w:rPr>
        <w:t xml:space="preserve"> </w:t>
      </w:r>
    </w:p>
    <w:p w14:paraId="12C04C9A" w14:textId="5342D3DD" w:rsidR="00845C4F" w:rsidRDefault="00CD55C3" w:rsidP="00845C4F">
      <w:pPr>
        <w:pStyle w:val="2"/>
        <w:tabs>
          <w:tab w:val="left" w:pos="418"/>
          <w:tab w:val="left" w:pos="992"/>
        </w:tabs>
        <w:ind w:left="-7" w:firstLine="0"/>
      </w:pPr>
      <w:r>
        <w:rPr>
          <w:rFonts w:hint="cs"/>
          <w:rtl/>
        </w:rPr>
        <w:t>לכך יש להוסיף, כי טופסי התלונה האמורים</w:t>
      </w:r>
      <w:r w:rsidR="00577080">
        <w:rPr>
          <w:rFonts w:hint="cs"/>
          <w:rtl/>
        </w:rPr>
        <w:t xml:space="preserve"> אינם מצויים בידי התביעה ולא נ</w:t>
      </w:r>
      <w:r w:rsidR="00090B3F">
        <w:rPr>
          <w:rFonts w:hint="cs"/>
          <w:rtl/>
        </w:rPr>
        <w:t xml:space="preserve">אספו </w:t>
      </w:r>
      <w:r w:rsidR="00577080">
        <w:rPr>
          <w:rFonts w:hint="cs"/>
          <w:rtl/>
        </w:rPr>
        <w:t>כלל על ידי גורמי החקירה</w:t>
      </w:r>
      <w:r>
        <w:rPr>
          <w:rFonts w:hint="cs"/>
          <w:rtl/>
        </w:rPr>
        <w:t xml:space="preserve"> </w:t>
      </w:r>
      <w:r w:rsidR="00466B1E">
        <w:rPr>
          <w:rFonts w:hint="cs"/>
          <w:rtl/>
        </w:rPr>
        <w:t>-</w:t>
      </w:r>
      <w:r>
        <w:rPr>
          <w:rFonts w:hint="cs"/>
          <w:rtl/>
        </w:rPr>
        <w:t xml:space="preserve"> וגם אינם מהווים, מבחינת טיבם, מידע שצריך היה להי</w:t>
      </w:r>
      <w:r w:rsidR="00090B3F">
        <w:rPr>
          <w:rFonts w:hint="cs"/>
          <w:rtl/>
        </w:rPr>
        <w:t>אסף</w:t>
      </w:r>
      <w:r>
        <w:rPr>
          <w:rFonts w:hint="cs"/>
          <w:rtl/>
        </w:rPr>
        <w:t>.</w:t>
      </w:r>
      <w:r w:rsidR="00CF3822">
        <w:rPr>
          <w:rFonts w:hint="cs"/>
          <w:rtl/>
        </w:rPr>
        <w:t xml:space="preserve"> נפסק </w:t>
      </w:r>
      <w:r>
        <w:rPr>
          <w:rFonts w:hint="cs"/>
          <w:rtl/>
        </w:rPr>
        <w:t xml:space="preserve">לא אחת, </w:t>
      </w:r>
      <w:r w:rsidR="00CF3822">
        <w:rPr>
          <w:rFonts w:hint="cs"/>
          <w:rtl/>
        </w:rPr>
        <w:t xml:space="preserve">כי מקום </w:t>
      </w:r>
      <w:r w:rsidR="00090B3F">
        <w:rPr>
          <w:rFonts w:hint="cs"/>
          <w:rtl/>
        </w:rPr>
        <w:t>ש</w:t>
      </w:r>
      <w:r w:rsidR="00CF3822">
        <w:rPr>
          <w:rFonts w:hint="cs"/>
          <w:rtl/>
        </w:rPr>
        <w:t xml:space="preserve">בו החומר המבוקש אינו מצוי בידי התביעה יש להבחין בגדר השיקולים בין חומר שעל פי טיבו צריך היה להימצא בידי התביעה בשל זיקתו לחקירה, לבין חומר </w:t>
      </w:r>
      <w:r w:rsidR="00364C31">
        <w:rPr>
          <w:rFonts w:hint="cs"/>
          <w:rtl/>
        </w:rPr>
        <w:t xml:space="preserve">שאינו בליבת האישום, </w:t>
      </w:r>
      <w:r w:rsidR="00CF3822">
        <w:rPr>
          <w:rFonts w:hint="cs"/>
          <w:rtl/>
        </w:rPr>
        <w:t xml:space="preserve">אשר ביחס אליו אין להטיל על התביעה חובה להשיגו גם אם הנאשם או סנגורו מעוניינים בו לצורך הגנתם  (בג"ץ 9264/04 </w:t>
      </w:r>
      <w:r w:rsidR="00CF3822" w:rsidRPr="00845C4F">
        <w:rPr>
          <w:rFonts w:hint="cs"/>
          <w:b/>
          <w:bCs/>
          <w:rtl/>
        </w:rPr>
        <w:t>מדינת ישראל נ' בית המשפט השלום בירושלים</w:t>
      </w:r>
      <w:r w:rsidR="00CF3822">
        <w:rPr>
          <w:rFonts w:hint="cs"/>
          <w:rtl/>
        </w:rPr>
        <w:t>, פ"ד ס(1)</w:t>
      </w:r>
      <w:r w:rsidR="00CF3822">
        <w:rPr>
          <w:rFonts w:hint="cs"/>
        </w:rPr>
        <w:t xml:space="preserve"> </w:t>
      </w:r>
      <w:r w:rsidR="00CF3822">
        <w:rPr>
          <w:rFonts w:hint="cs"/>
          <w:rtl/>
        </w:rPr>
        <w:t>360, 372-373 (2005)</w:t>
      </w:r>
      <w:r w:rsidR="00006A4C">
        <w:rPr>
          <w:rFonts w:hint="cs"/>
          <w:rtl/>
        </w:rPr>
        <w:t xml:space="preserve">). </w:t>
      </w:r>
      <w:r w:rsidR="0019512A">
        <w:rPr>
          <w:rFonts w:hint="cs"/>
          <w:rtl/>
        </w:rPr>
        <w:t xml:space="preserve">כן ראוי להעיר, כי העברת המידע המבוקש יש בו משום פגיעה </w:t>
      </w:r>
      <w:r>
        <w:rPr>
          <w:rFonts w:hint="cs"/>
          <w:rtl/>
        </w:rPr>
        <w:t xml:space="preserve">מסוימת </w:t>
      </w:r>
      <w:r w:rsidR="0019512A">
        <w:rPr>
          <w:rFonts w:hint="cs"/>
          <w:rtl/>
        </w:rPr>
        <w:t xml:space="preserve">בפרטיותה של המתלוננת, </w:t>
      </w:r>
      <w:r>
        <w:rPr>
          <w:rFonts w:hint="cs"/>
          <w:rtl/>
        </w:rPr>
        <w:t xml:space="preserve">אף אם המידע אינו </w:t>
      </w:r>
      <w:r w:rsidR="0019512A">
        <w:rPr>
          <w:rFonts w:hint="cs"/>
          <w:rtl/>
        </w:rPr>
        <w:t xml:space="preserve">חוסה תחת חיסיון סטטוטורי. </w:t>
      </w:r>
    </w:p>
    <w:p w14:paraId="77854EDA" w14:textId="55FD337C" w:rsidR="00AD1900" w:rsidRDefault="0019512A" w:rsidP="00845C4F">
      <w:pPr>
        <w:pStyle w:val="2"/>
        <w:tabs>
          <w:tab w:val="left" w:pos="418"/>
          <w:tab w:val="left" w:pos="992"/>
        </w:tabs>
        <w:ind w:left="-7" w:firstLine="0"/>
      </w:pPr>
      <w:r>
        <w:rPr>
          <w:rFonts w:hint="cs"/>
          <w:rtl/>
        </w:rPr>
        <w:t xml:space="preserve">בשל מגוון שיקולים אלה, הדרך המתאימה לקבלת המידע האמור, ככל שתסבור ההגנה כי הוא נדרש לה במהלך שמיעת הראיות, היא באופן של הגשת </w:t>
      </w:r>
      <w:r w:rsidR="00364C31">
        <w:rPr>
          <w:rFonts w:hint="cs"/>
          <w:rtl/>
        </w:rPr>
        <w:t>בקשה מתאימה לפי סעיף 108 לחוק סדר הדין הפלילי</w:t>
      </w:r>
      <w:r w:rsidR="00845C4F">
        <w:rPr>
          <w:rFonts w:hint="cs"/>
          <w:rtl/>
        </w:rPr>
        <w:t xml:space="preserve">, </w:t>
      </w:r>
      <w:r w:rsidR="00090B3F">
        <w:rPr>
          <w:rFonts w:hint="cs"/>
          <w:rtl/>
        </w:rPr>
        <w:t>ש</w:t>
      </w:r>
      <w:r w:rsidR="00845C4F">
        <w:rPr>
          <w:rFonts w:hint="cs"/>
          <w:rtl/>
        </w:rPr>
        <w:t>בו נקבע כי: "בית המשפט רשאי, לבקשת בעל דין או מיזמת בית המשפט, לצוות על עד שהוזמן או על כל אדם אחר להמציא לבית המשפט במועד שיקבע בהזמנה או בצו, אותם מסמכים הנמצאים ברשותו ושפורטו בהזמנה או בצו". מדובר אפוא בדיון הנערך, בדרך כלל, בפני המותב הדן בתיק העיקרי, בשונה מהדיון הנערך בפני שופט הדן בבקשה לפי סעיף 74 לחוק</w:t>
      </w:r>
      <w:r w:rsidR="00CD55C3">
        <w:rPr>
          <w:rFonts w:hint="cs"/>
          <w:rtl/>
        </w:rPr>
        <w:t xml:space="preserve"> סדר הדין הפלילי</w:t>
      </w:r>
      <w:r w:rsidR="00845C4F">
        <w:rPr>
          <w:rFonts w:hint="cs"/>
          <w:rtl/>
        </w:rPr>
        <w:t xml:space="preserve">. ההנחה היא כי המותב שדן בתיק העיקרי כבר שמע חלק מהעדויות, בקיא בפרטי התיק ויתכן שגם קו ההגנה של הנאשם כבר נחשף בפניו - דהיינו המותב יכול להעריך טוב יותר את הרלוונטיות ואת משקל החומר </w:t>
      </w:r>
      <w:r w:rsidR="00090B3F">
        <w:rPr>
          <w:rFonts w:hint="cs"/>
          <w:rtl/>
        </w:rPr>
        <w:t xml:space="preserve">המבוקש </w:t>
      </w:r>
      <w:r w:rsidR="00845C4F">
        <w:rPr>
          <w:rFonts w:hint="cs"/>
          <w:rtl/>
        </w:rPr>
        <w:t xml:space="preserve">להגנת הנאשם (בש"פ 8252/13 </w:t>
      </w:r>
      <w:r w:rsidR="00845C4F" w:rsidRPr="00845C4F">
        <w:rPr>
          <w:rFonts w:hint="cs"/>
          <w:b/>
          <w:bCs/>
          <w:rtl/>
        </w:rPr>
        <w:t>מדינת ישראל נ' שיינר</w:t>
      </w:r>
      <w:r w:rsidR="00845C4F">
        <w:rPr>
          <w:rFonts w:hint="cs"/>
          <w:rtl/>
        </w:rPr>
        <w:t xml:space="preserve">, פסקה 15 (2014)). כן ר' </w:t>
      </w:r>
      <w:r w:rsidR="00364C31">
        <w:rPr>
          <w:rFonts w:hint="cs"/>
          <w:rtl/>
        </w:rPr>
        <w:t xml:space="preserve">בש"פ 9305/08 </w:t>
      </w:r>
      <w:r w:rsidR="00364C31" w:rsidRPr="00845C4F">
        <w:rPr>
          <w:rFonts w:hint="cs"/>
          <w:b/>
          <w:bCs/>
          <w:rtl/>
        </w:rPr>
        <w:t xml:space="preserve">פלוני נ' בית ספר אל מאמוניה לבנות, </w:t>
      </w:r>
      <w:r w:rsidR="00364C31">
        <w:rPr>
          <w:rFonts w:hint="cs"/>
          <w:rtl/>
        </w:rPr>
        <w:t xml:space="preserve">פסקה 12 (3.12.2008); ע"פ 2196/22 </w:t>
      </w:r>
      <w:r w:rsidR="00364C31" w:rsidRPr="00845C4F">
        <w:rPr>
          <w:rFonts w:hint="cs"/>
          <w:b/>
          <w:bCs/>
          <w:rtl/>
        </w:rPr>
        <w:t>פלונית נ' פרקליטות המדינה</w:t>
      </w:r>
      <w:r w:rsidR="00364C31">
        <w:rPr>
          <w:rFonts w:hint="cs"/>
          <w:rtl/>
        </w:rPr>
        <w:t>, פסקה 8 (3.5.2022)).</w:t>
      </w:r>
      <w:r w:rsidR="00CD55C3">
        <w:rPr>
          <w:rFonts w:hint="cs"/>
          <w:rtl/>
        </w:rPr>
        <w:t xml:space="preserve"> על כן בקשת ההגנה לעניין זה נדחית. </w:t>
      </w:r>
    </w:p>
    <w:p w14:paraId="32E1E4DA" w14:textId="6F519C3A" w:rsidR="0019512A" w:rsidRDefault="0019512A" w:rsidP="0019512A">
      <w:pPr>
        <w:pStyle w:val="2"/>
        <w:numPr>
          <w:ilvl w:val="0"/>
          <w:numId w:val="0"/>
        </w:numPr>
        <w:tabs>
          <w:tab w:val="left" w:pos="418"/>
          <w:tab w:val="left" w:pos="992"/>
        </w:tabs>
        <w:ind w:left="-7"/>
        <w:rPr>
          <w:rtl/>
        </w:rPr>
      </w:pPr>
    </w:p>
    <w:p w14:paraId="28E35FF9" w14:textId="6545AEF7" w:rsidR="0019512A" w:rsidRPr="0019512A" w:rsidRDefault="0019512A" w:rsidP="0019512A">
      <w:pPr>
        <w:pStyle w:val="2"/>
        <w:numPr>
          <w:ilvl w:val="0"/>
          <w:numId w:val="0"/>
        </w:numPr>
        <w:tabs>
          <w:tab w:val="left" w:pos="418"/>
          <w:tab w:val="left" w:pos="992"/>
        </w:tabs>
        <w:ind w:left="-7"/>
        <w:rPr>
          <w:u w:val="single"/>
          <w:rtl/>
        </w:rPr>
      </w:pPr>
      <w:r>
        <w:rPr>
          <w:rFonts w:hint="cs"/>
          <w:u w:val="single"/>
          <w:rtl/>
        </w:rPr>
        <w:t xml:space="preserve">בקשת ההגנה לקבל מידע בדבר אבחון המתלוננת </w:t>
      </w:r>
    </w:p>
    <w:p w14:paraId="3F9F096F" w14:textId="6DACF19D" w:rsidR="0019512A" w:rsidRDefault="0019512A" w:rsidP="004F292E">
      <w:pPr>
        <w:pStyle w:val="2"/>
        <w:tabs>
          <w:tab w:val="left" w:pos="418"/>
          <w:tab w:val="left" w:pos="992"/>
        </w:tabs>
        <w:ind w:left="-7" w:firstLine="0"/>
      </w:pPr>
      <w:r>
        <w:rPr>
          <w:rFonts w:hint="cs"/>
          <w:rtl/>
        </w:rPr>
        <w:t>הטעם אותו הציגה ההגנה לבקשתה לקבל לידיה את אבחונה הרפואי של המתלוננת, סעיפי הליקוי שלה וכיו"ב</w:t>
      </w:r>
      <w:r w:rsidR="00CD55C3">
        <w:rPr>
          <w:rFonts w:hint="cs"/>
          <w:rtl/>
        </w:rPr>
        <w:t>,</w:t>
      </w:r>
      <w:r>
        <w:rPr>
          <w:rFonts w:hint="cs"/>
          <w:rtl/>
        </w:rPr>
        <w:t xml:space="preserve"> </w:t>
      </w:r>
      <w:r w:rsidR="00CD55C3">
        <w:rPr>
          <w:rFonts w:hint="cs"/>
          <w:rtl/>
        </w:rPr>
        <w:t xml:space="preserve">נעוץ </w:t>
      </w:r>
      <w:r>
        <w:rPr>
          <w:rFonts w:hint="cs"/>
          <w:rtl/>
        </w:rPr>
        <w:t xml:space="preserve">אף הוא ברצונה לאשש את הטענה </w:t>
      </w:r>
      <w:r w:rsidR="00090B3F">
        <w:rPr>
          <w:rFonts w:hint="cs"/>
          <w:rtl/>
        </w:rPr>
        <w:t>ש</w:t>
      </w:r>
      <w:r>
        <w:rPr>
          <w:rFonts w:hint="cs"/>
          <w:rtl/>
        </w:rPr>
        <w:t xml:space="preserve">לפיה המתלוננת נעדרת </w:t>
      </w:r>
      <w:r w:rsidR="00845C4F">
        <w:rPr>
          <w:rFonts w:hint="cs"/>
          <w:rtl/>
        </w:rPr>
        <w:t>יכולת להבנת סיטואציות חברתיות</w:t>
      </w:r>
      <w:r w:rsidR="004F292E">
        <w:rPr>
          <w:rFonts w:hint="cs"/>
          <w:rtl/>
        </w:rPr>
        <w:t>. מכאן ש</w:t>
      </w:r>
      <w:r w:rsidR="00845C4F">
        <w:rPr>
          <w:rFonts w:hint="cs"/>
          <w:rtl/>
        </w:rPr>
        <w:t>לא הבינה נכונה את האינטראקציה עם המערער</w:t>
      </w:r>
      <w:r w:rsidR="004F292E">
        <w:rPr>
          <w:rFonts w:hint="cs"/>
          <w:rtl/>
        </w:rPr>
        <w:t xml:space="preserve"> </w:t>
      </w:r>
      <w:r w:rsidR="004F292E">
        <w:rPr>
          <w:rFonts w:hint="cs"/>
          <w:rtl/>
        </w:rPr>
        <w:lastRenderedPageBreak/>
        <w:t xml:space="preserve">ואת התנהגותו כלפיה, ואף לא הצליחה לבטא את התנגדותה, באופן שיוביל להתגבשות ההבנה אצלו כי היא אינה מעוניינת במעשים. </w:t>
      </w:r>
    </w:p>
    <w:p w14:paraId="4D2B0A22" w14:textId="32CD5FEE" w:rsidR="00DA5E66" w:rsidRDefault="00845C4F" w:rsidP="002004CD">
      <w:pPr>
        <w:pStyle w:val="2"/>
        <w:tabs>
          <w:tab w:val="left" w:pos="418"/>
          <w:tab w:val="left" w:pos="992"/>
        </w:tabs>
        <w:ind w:left="-7" w:firstLine="0"/>
      </w:pPr>
      <w:r>
        <w:rPr>
          <w:rFonts w:hint="cs"/>
          <w:rtl/>
        </w:rPr>
        <w:t xml:space="preserve">כוחם של השיקולים שנמנו לעיל, באשר להעברת טופסי התלונה, </w:t>
      </w:r>
      <w:r w:rsidR="00E920ED">
        <w:rPr>
          <w:rFonts w:hint="cs"/>
          <w:rtl/>
        </w:rPr>
        <w:t xml:space="preserve">רלוונטי </w:t>
      </w:r>
      <w:r>
        <w:rPr>
          <w:rFonts w:hint="cs"/>
          <w:rtl/>
        </w:rPr>
        <w:t xml:space="preserve">ואף משמעותי יותר, מקום </w:t>
      </w:r>
      <w:r w:rsidR="00E920ED">
        <w:rPr>
          <w:rFonts w:hint="cs"/>
          <w:rtl/>
        </w:rPr>
        <w:t>ש</w:t>
      </w:r>
      <w:r>
        <w:rPr>
          <w:rFonts w:hint="cs"/>
          <w:rtl/>
        </w:rPr>
        <w:t xml:space="preserve">בו המידע המבוקש הוא כזה שיש בו </w:t>
      </w:r>
      <w:r w:rsidR="00106EAC">
        <w:rPr>
          <w:rFonts w:hint="cs"/>
          <w:rtl/>
        </w:rPr>
        <w:t xml:space="preserve">פוטנציאל </w:t>
      </w:r>
      <w:r>
        <w:rPr>
          <w:rFonts w:hint="cs"/>
          <w:rtl/>
        </w:rPr>
        <w:t xml:space="preserve">ברור </w:t>
      </w:r>
      <w:r w:rsidR="00106EAC">
        <w:rPr>
          <w:rFonts w:hint="cs"/>
          <w:rtl/>
        </w:rPr>
        <w:t>לפגיעה בפרטיותה של המתלוננת</w:t>
      </w:r>
      <w:r>
        <w:rPr>
          <w:rFonts w:hint="cs"/>
          <w:rtl/>
        </w:rPr>
        <w:t xml:space="preserve"> ובחיסיון הרפואי הנתון לה על פי דין. גישתה העקבית של הפסיקה בשנים האחרונות, </w:t>
      </w:r>
      <w:r w:rsidR="00E920ED">
        <w:rPr>
          <w:rFonts w:hint="cs"/>
          <w:rtl/>
        </w:rPr>
        <w:t xml:space="preserve">היא כי </w:t>
      </w:r>
      <w:r w:rsidR="00106EAC">
        <w:rPr>
          <w:rFonts w:hint="cs"/>
          <w:rtl/>
        </w:rPr>
        <w:t xml:space="preserve">מקום שבו נדרשת בחינה של שיקולים הנוגעים לצדדים שלישיים, </w:t>
      </w:r>
      <w:r>
        <w:rPr>
          <w:rFonts w:hint="cs"/>
          <w:rtl/>
        </w:rPr>
        <w:t>ו</w:t>
      </w:r>
      <w:r w:rsidR="00106EAC">
        <w:rPr>
          <w:rFonts w:hint="cs"/>
          <w:rtl/>
        </w:rPr>
        <w:t>ודאי כאשר הבקשה היא לקבלת חומר החוסה תחת חיסיון</w:t>
      </w:r>
      <w:r w:rsidR="00E920ED">
        <w:rPr>
          <w:rFonts w:hint="cs"/>
          <w:rtl/>
        </w:rPr>
        <w:t xml:space="preserve"> - </w:t>
      </w:r>
      <w:r>
        <w:rPr>
          <w:rFonts w:hint="cs"/>
          <w:rtl/>
        </w:rPr>
        <w:t xml:space="preserve">יש </w:t>
      </w:r>
      <w:r w:rsidR="00106EAC">
        <w:rPr>
          <w:rFonts w:hint="cs"/>
          <w:rtl/>
        </w:rPr>
        <w:t>להעדיף את המסלול הדיוני הקבוע בסעיף 108 לחוק, על פני המסלול של גילוי חומר חקירה לפי סעיף 74 לחוק</w:t>
      </w:r>
      <w:r w:rsidR="004F292E">
        <w:rPr>
          <w:rFonts w:hint="cs"/>
          <w:rtl/>
        </w:rPr>
        <w:t xml:space="preserve"> (ר' עלב"ש 19/21 </w:t>
      </w:r>
      <w:r w:rsidR="004F292E">
        <w:rPr>
          <w:rFonts w:hint="cs"/>
          <w:b/>
          <w:bCs/>
          <w:rtl/>
        </w:rPr>
        <w:t>טור' קבסה נ' התובע הצבאי הראשי</w:t>
      </w:r>
      <w:r w:rsidR="004F292E">
        <w:rPr>
          <w:rFonts w:hint="cs"/>
          <w:rtl/>
        </w:rPr>
        <w:t xml:space="preserve">, פסקאות 13 </w:t>
      </w:r>
      <w:r w:rsidR="00144EA6">
        <w:rPr>
          <w:rFonts w:hint="cs"/>
          <w:rtl/>
        </w:rPr>
        <w:t>-</w:t>
      </w:r>
      <w:r w:rsidR="004F292E">
        <w:rPr>
          <w:rFonts w:hint="cs"/>
          <w:rtl/>
        </w:rPr>
        <w:t xml:space="preserve"> 14 והאסמכתאות המפורטות שם (2022))</w:t>
      </w:r>
      <w:r w:rsidR="00106EAC">
        <w:rPr>
          <w:rFonts w:hint="cs"/>
          <w:rtl/>
        </w:rPr>
        <w:t xml:space="preserve">. </w:t>
      </w:r>
    </w:p>
    <w:p w14:paraId="01BE7D8F" w14:textId="1568A8ED" w:rsidR="002004CD" w:rsidRDefault="00845C4F" w:rsidP="002004CD">
      <w:pPr>
        <w:pStyle w:val="2"/>
        <w:tabs>
          <w:tab w:val="left" w:pos="418"/>
          <w:tab w:val="left" w:pos="992"/>
        </w:tabs>
        <w:ind w:left="-7" w:firstLine="0"/>
      </w:pPr>
      <w:r>
        <w:rPr>
          <w:rFonts w:hint="cs"/>
          <w:rtl/>
        </w:rPr>
        <w:t>מעבר לשיקולים שנמנו לעיל, שעניינם יכולתו של המותב השומע את הראיות להעריך באופן נכון יותר את הרלוונטיות של החומר המבוקש, הרי ש</w:t>
      </w:r>
      <w:r w:rsidR="004F292E">
        <w:rPr>
          <w:rFonts w:hint="cs"/>
          <w:rtl/>
        </w:rPr>
        <w:t>לא כמו ב</w:t>
      </w:r>
      <w:r>
        <w:rPr>
          <w:rFonts w:hint="cs"/>
          <w:rtl/>
        </w:rPr>
        <w:t>הליך המתנהל לפי סעיף 74 הנ"ל, במשולש של תביעה - נאשם - בית משפט, מבלי שלבעל הדבר ניתנת אפשרות לה</w:t>
      </w:r>
      <w:r w:rsidR="004F292E">
        <w:rPr>
          <w:rFonts w:hint="cs"/>
          <w:rtl/>
        </w:rPr>
        <w:t>ביע את עמדתו</w:t>
      </w:r>
      <w:r>
        <w:rPr>
          <w:rFonts w:hint="cs"/>
          <w:rtl/>
        </w:rPr>
        <w:t xml:space="preserve">, הרי שכאשר המתלוננת ניצבת על דוכן העדים, יש ביכולתה להגיב ולהסביר את משמעותה של חשיפת התיעוד עבורה; ועצם מתן זכות הטיעון למתלוננת עולה בקנה אחד עם המגמה לשמוע את קולם של נפגעי העבירה, וגם מאפשר לתת משקל רב יותר לשיקולי החיסיון ולזכות המתלוננת לפרטיות ולכבוד (ראו עניין </w:t>
      </w:r>
      <w:r w:rsidRPr="00DA5E66">
        <w:rPr>
          <w:rFonts w:hint="cs"/>
          <w:b/>
          <w:bCs/>
          <w:rtl/>
        </w:rPr>
        <w:t xml:space="preserve">שיינר </w:t>
      </w:r>
      <w:r>
        <w:rPr>
          <w:rFonts w:hint="cs"/>
          <w:rtl/>
        </w:rPr>
        <w:t xml:space="preserve">לעיל, בפסקה 15; עלב"ש 24/19 </w:t>
      </w:r>
      <w:r w:rsidRPr="00DA5E66">
        <w:rPr>
          <w:rFonts w:hint="cs"/>
          <w:b/>
          <w:bCs/>
          <w:rtl/>
        </w:rPr>
        <w:t>סרן חיר נ' התובע הצבאי הראשי</w:t>
      </w:r>
      <w:r>
        <w:rPr>
          <w:rFonts w:hint="cs"/>
          <w:rtl/>
        </w:rPr>
        <w:t>, בפסקה 13 (2019))</w:t>
      </w:r>
      <w:r w:rsidR="00DA5E66">
        <w:rPr>
          <w:rFonts w:hint="cs"/>
          <w:rtl/>
        </w:rPr>
        <w:t xml:space="preserve">; </w:t>
      </w:r>
      <w:r w:rsidR="004F292E">
        <w:rPr>
          <w:rFonts w:hint="cs"/>
          <w:rtl/>
        </w:rPr>
        <w:t>מכאן ש</w:t>
      </w:r>
      <w:r w:rsidR="00DA5E66">
        <w:rPr>
          <w:rFonts w:hint="cs"/>
          <w:rtl/>
        </w:rPr>
        <w:t xml:space="preserve">רק במקרים חריגים יתקיים הדיון </w:t>
      </w:r>
      <w:r w:rsidR="00144EA6">
        <w:rPr>
          <w:rFonts w:hint="cs"/>
          <w:rtl/>
        </w:rPr>
        <w:t>בבקשה לעיון</w:t>
      </w:r>
      <w:r w:rsidR="00E920ED">
        <w:rPr>
          <w:rFonts w:hint="cs"/>
          <w:rtl/>
        </w:rPr>
        <w:t xml:space="preserve"> ב</w:t>
      </w:r>
      <w:r w:rsidR="00DA5E66">
        <w:rPr>
          <w:rFonts w:hint="cs"/>
          <w:rtl/>
        </w:rPr>
        <w:t xml:space="preserve">חומרים חסויים </w:t>
      </w:r>
      <w:r w:rsidR="00E920ED">
        <w:rPr>
          <w:rFonts w:hint="cs"/>
          <w:rtl/>
        </w:rPr>
        <w:t xml:space="preserve">במסגרת </w:t>
      </w:r>
      <w:r w:rsidR="00DA5E66">
        <w:rPr>
          <w:rFonts w:hint="cs"/>
          <w:rtl/>
        </w:rPr>
        <w:t>סעיף 74 לחוק סדר הדין הפלילי</w:t>
      </w:r>
      <w:r w:rsidR="00E920ED">
        <w:rPr>
          <w:rFonts w:hint="cs"/>
          <w:rtl/>
        </w:rPr>
        <w:t>. כך</w:t>
      </w:r>
      <w:r w:rsidR="00DA5E66">
        <w:rPr>
          <w:rFonts w:hint="cs"/>
          <w:rtl/>
        </w:rPr>
        <w:t>, למשל</w:t>
      </w:r>
      <w:r w:rsidR="00E920ED">
        <w:rPr>
          <w:rFonts w:hint="cs"/>
          <w:rtl/>
        </w:rPr>
        <w:t>,</w:t>
      </w:r>
      <w:r w:rsidR="00DA5E66">
        <w:rPr>
          <w:rFonts w:hint="cs"/>
          <w:rtl/>
        </w:rPr>
        <w:t xml:space="preserve"> מקום שבו נמסרה תלונתו של נפגע בעבירת מין, במהלך הטיפול הנפשי ובעקבותיו. בנסיבות אלה, לרוב גם נאסף החומר כבר בשלב החקירה, לאחר שנפגע העבירה </w:t>
      </w:r>
      <w:r w:rsidR="00E920ED">
        <w:rPr>
          <w:rFonts w:hint="cs"/>
          <w:rtl/>
        </w:rPr>
        <w:t>ה</w:t>
      </w:r>
      <w:r w:rsidR="00DA5E66">
        <w:rPr>
          <w:rFonts w:hint="cs"/>
          <w:rtl/>
        </w:rPr>
        <w:t xml:space="preserve">תבקש לוותר על סודיות רפואית (עלב"ש 14/19 </w:t>
      </w:r>
      <w:r w:rsidR="00DA5E66" w:rsidRPr="00DA5E66">
        <w:rPr>
          <w:rFonts w:hint="cs"/>
          <w:b/>
          <w:bCs/>
          <w:rtl/>
        </w:rPr>
        <w:t xml:space="preserve">סמ"ר יפרח נ' התובע הצבאי הראשי </w:t>
      </w:r>
      <w:r w:rsidR="00DA5E66">
        <w:rPr>
          <w:rFonts w:hint="cs"/>
          <w:rtl/>
        </w:rPr>
        <w:t xml:space="preserve">בפסקה 17 (2019); עלב"ש 39/17 </w:t>
      </w:r>
      <w:r w:rsidR="00DA5E66" w:rsidRPr="00DA5E66">
        <w:rPr>
          <w:rFonts w:hint="cs"/>
          <w:b/>
          <w:bCs/>
          <w:rtl/>
        </w:rPr>
        <w:t xml:space="preserve">רס"ל זנו נ' התובע הצבאי הראשי </w:t>
      </w:r>
      <w:r w:rsidR="00DA5E66">
        <w:rPr>
          <w:rFonts w:hint="cs"/>
          <w:rtl/>
        </w:rPr>
        <w:t xml:space="preserve">(2017)). ראוי לומר, כי אמנם </w:t>
      </w:r>
      <w:r>
        <w:rPr>
          <w:rFonts w:hint="cs"/>
          <w:rtl/>
        </w:rPr>
        <w:t xml:space="preserve">גם בהליכים לפי סעיף 74 לחוק ניתן לאפשר זכות טיעון למתלוננת, מקום שבו יש פוטנציאל לפגיעה בפרטיות; אך הובהר, כי אין זה מהלך הדברים הרגיל בדיון שנערך במסלול לפי סעיף זה (ר' עניין </w:t>
      </w:r>
      <w:r w:rsidRPr="00DA5E66">
        <w:rPr>
          <w:rFonts w:hint="cs"/>
          <w:b/>
          <w:bCs/>
          <w:rtl/>
        </w:rPr>
        <w:t>שיינר</w:t>
      </w:r>
      <w:r>
        <w:rPr>
          <w:rFonts w:hint="cs"/>
          <w:rtl/>
        </w:rPr>
        <w:t xml:space="preserve"> לעיל, בפסקה 15). </w:t>
      </w:r>
      <w:r w:rsidR="002004CD">
        <w:rPr>
          <w:rFonts w:hint="cs"/>
          <w:rtl/>
        </w:rPr>
        <w:t>כן נקבע כי גם ב</w:t>
      </w:r>
      <w:r w:rsidR="004F292E">
        <w:rPr>
          <w:rFonts w:hint="cs"/>
          <w:rtl/>
        </w:rPr>
        <w:t xml:space="preserve">עצם </w:t>
      </w:r>
      <w:r w:rsidR="002004CD">
        <w:rPr>
          <w:rFonts w:hint="cs"/>
          <w:rtl/>
        </w:rPr>
        <w:t xml:space="preserve">מסירת החומר </w:t>
      </w:r>
      <w:r w:rsidR="004F292E">
        <w:rPr>
          <w:rFonts w:hint="cs"/>
          <w:rtl/>
        </w:rPr>
        <w:t xml:space="preserve">המבוקש </w:t>
      </w:r>
      <w:r w:rsidR="002004CD">
        <w:rPr>
          <w:rFonts w:hint="cs"/>
          <w:rtl/>
        </w:rPr>
        <w:t xml:space="preserve">לעיון בית המשפט יש משום פגיעה בפרטיות המתלוננת וכבודה, גם אם היא קטנה יותר מאשר הפגיעה הנוצרת מהעברת החומר לעיון הנאשם וההגנה; ואף את הצורך בפגיעה זו יש לבחון בזהירות רבה, ורק מקום בו יש לכך הצדקה (עניין </w:t>
      </w:r>
      <w:r w:rsidR="002004CD" w:rsidRPr="00DA5E66">
        <w:rPr>
          <w:rFonts w:hint="cs"/>
          <w:b/>
          <w:bCs/>
          <w:rtl/>
        </w:rPr>
        <w:t xml:space="preserve">שיינר </w:t>
      </w:r>
      <w:r w:rsidR="002004CD">
        <w:rPr>
          <w:rFonts w:hint="cs"/>
          <w:rtl/>
        </w:rPr>
        <w:t>פסקה 22).</w:t>
      </w:r>
    </w:p>
    <w:p w14:paraId="081110B6" w14:textId="0B03A25C" w:rsidR="00AD1900" w:rsidRDefault="00845C4F" w:rsidP="00106EAC">
      <w:pPr>
        <w:pStyle w:val="2"/>
        <w:tabs>
          <w:tab w:val="left" w:pos="418"/>
          <w:tab w:val="left" w:pos="992"/>
        </w:tabs>
        <w:ind w:left="-7" w:firstLine="0"/>
      </w:pPr>
      <w:r>
        <w:rPr>
          <w:rFonts w:hint="cs"/>
          <w:rtl/>
        </w:rPr>
        <w:t xml:space="preserve">לכך יש להוסיף כי ביום </w:t>
      </w:r>
      <w:r w:rsidR="00106EAC">
        <w:rPr>
          <w:rFonts w:hint="cs"/>
          <w:rtl/>
        </w:rPr>
        <w:t>10 ביולי 2022 נפל דבר, עת התקבל חוק חסיון ראיות (טיפול נפשי בהליכים פליליים שעניינם עבירות מין או עבירות אלימות חמורה במשפחה)</w:t>
      </w:r>
      <w:r w:rsidR="004F292E">
        <w:rPr>
          <w:rFonts w:hint="cs"/>
          <w:rtl/>
        </w:rPr>
        <w:t xml:space="preserve"> </w:t>
      </w:r>
      <w:r w:rsidR="00106EAC">
        <w:rPr>
          <w:rFonts w:hint="cs"/>
          <w:rtl/>
        </w:rPr>
        <w:t xml:space="preserve">(תיקוני חקיקה), התשפ"ב </w:t>
      </w:r>
      <w:r w:rsidR="00144EA6">
        <w:rPr>
          <w:rFonts w:hint="cs"/>
          <w:rtl/>
        </w:rPr>
        <w:t>-</w:t>
      </w:r>
      <w:r w:rsidR="00106EAC">
        <w:rPr>
          <w:rFonts w:hint="cs"/>
          <w:rtl/>
        </w:rPr>
        <w:t xml:space="preserve"> 2022</w:t>
      </w:r>
      <w:r w:rsidR="004F292E">
        <w:rPr>
          <w:rFonts w:hint="cs"/>
          <w:rtl/>
        </w:rPr>
        <w:t xml:space="preserve">, </w:t>
      </w:r>
      <w:r w:rsidR="00E920ED">
        <w:rPr>
          <w:rFonts w:hint="cs"/>
          <w:rtl/>
        </w:rPr>
        <w:t>ש</w:t>
      </w:r>
      <w:r w:rsidR="004F292E">
        <w:rPr>
          <w:rFonts w:hint="cs"/>
          <w:rtl/>
        </w:rPr>
        <w:t xml:space="preserve">במסגרתו תוקנה </w:t>
      </w:r>
      <w:r w:rsidR="000516F3">
        <w:rPr>
          <w:rFonts w:hint="cs"/>
          <w:rtl/>
        </w:rPr>
        <w:t xml:space="preserve">פקודת הראיות [נוסח חדש], התשל"א </w:t>
      </w:r>
      <w:r w:rsidR="00144EA6">
        <w:rPr>
          <w:rFonts w:hint="cs"/>
          <w:rtl/>
        </w:rPr>
        <w:t>-</w:t>
      </w:r>
      <w:r w:rsidR="000516F3">
        <w:rPr>
          <w:rFonts w:hint="cs"/>
          <w:rtl/>
        </w:rPr>
        <w:t xml:space="preserve"> 1971, </w:t>
      </w:r>
      <w:r w:rsidR="004F292E">
        <w:rPr>
          <w:rFonts w:hint="cs"/>
          <w:rtl/>
        </w:rPr>
        <w:t xml:space="preserve">והותוותה לראשונה בחקיקה הדרך בה יש לילך, עת מתבקש מידע באשר לנפגע העבירה, הנתון לחיסיון </w:t>
      </w:r>
      <w:r w:rsidR="004F292E">
        <w:rPr>
          <w:rFonts w:hint="cs"/>
          <w:rtl/>
        </w:rPr>
        <w:lastRenderedPageBreak/>
        <w:t xml:space="preserve">בהיבט הנפשי או הטיפולי. </w:t>
      </w:r>
      <w:r>
        <w:rPr>
          <w:rFonts w:hint="cs"/>
          <w:rtl/>
        </w:rPr>
        <w:t xml:space="preserve">נקבע בו, כי לפקודת הראיות יתווסף </w:t>
      </w:r>
      <w:r w:rsidR="000516F3">
        <w:rPr>
          <w:rFonts w:hint="cs"/>
          <w:rtl/>
        </w:rPr>
        <w:t xml:space="preserve">סעיף 50ב', שבו נקבע המתווה לקבלת מידע כאמור, בדרך של עתירה לגילוי ראיה חסויה; תוך שבואר, כי </w:t>
      </w:r>
      <w:r w:rsidR="004F292E">
        <w:rPr>
          <w:rFonts w:hint="cs"/>
          <w:rtl/>
        </w:rPr>
        <w:t>גילוי הראיה י</w:t>
      </w:r>
      <w:r w:rsidR="00E920ED">
        <w:rPr>
          <w:rFonts w:hint="cs"/>
          <w:rtl/>
        </w:rPr>
        <w:t xml:space="preserve">יעשה </w:t>
      </w:r>
      <w:r w:rsidR="000516F3">
        <w:rPr>
          <w:rFonts w:hint="cs"/>
          <w:rtl/>
        </w:rPr>
        <w:t xml:space="preserve">רק </w:t>
      </w:r>
      <w:r w:rsidR="00E920ED">
        <w:rPr>
          <w:rFonts w:hint="cs"/>
          <w:rtl/>
        </w:rPr>
        <w:t>ב</w:t>
      </w:r>
      <w:r w:rsidR="000516F3">
        <w:rPr>
          <w:rFonts w:hint="cs"/>
          <w:rtl/>
        </w:rPr>
        <w:t xml:space="preserve">מקום </w:t>
      </w:r>
      <w:r w:rsidR="00E920ED">
        <w:rPr>
          <w:rFonts w:hint="cs"/>
          <w:rtl/>
        </w:rPr>
        <w:t>ש</w:t>
      </w:r>
      <w:r w:rsidR="000516F3">
        <w:rPr>
          <w:rFonts w:hint="cs"/>
          <w:rtl/>
        </w:rPr>
        <w:t xml:space="preserve">בו הראיה חיונית להוכחת האישום או שהיא עשויה להועיל להגנת הנאשם ומידת התועלת שבה להגנה עולה על העניין שלא לגלותה, ובכלל זה על הפגיעה שעלולה להיגרם מגילויה לנפגע העבירה או לשיקומה או שהיא חיונית להגנת הנאשם. כן נקבע, כי בטרם יחליט בית המשפט לגלות ראיה שכזו ייתן לנפגע העבירה זכות להביע את עמדתו, וגם לבעל המקצוע המטפל, וכן ישקול את הפגיעה שעלולה להיגרם מגילוי הראיה לנפגע העבירה ולשיקומו. </w:t>
      </w:r>
      <w:r>
        <w:rPr>
          <w:rFonts w:hint="cs"/>
          <w:rtl/>
        </w:rPr>
        <w:t>עוד</w:t>
      </w:r>
      <w:r w:rsidR="000516F3">
        <w:rPr>
          <w:rFonts w:hint="cs"/>
          <w:rtl/>
        </w:rPr>
        <w:t xml:space="preserve"> תוקן בהתאמה גם חוק זכויות נפגעי עבירה, התשס"א </w:t>
      </w:r>
      <w:r w:rsidR="00144EA6">
        <w:rPr>
          <w:rFonts w:hint="cs"/>
          <w:rtl/>
        </w:rPr>
        <w:t>-</w:t>
      </w:r>
      <w:r w:rsidR="000516F3">
        <w:rPr>
          <w:rFonts w:hint="cs"/>
          <w:rtl/>
        </w:rPr>
        <w:t xml:space="preserve"> 2001</w:t>
      </w:r>
      <w:r>
        <w:rPr>
          <w:rFonts w:hint="cs"/>
          <w:rtl/>
        </w:rPr>
        <w:t xml:space="preserve"> (ותיקון מקביל נערך גם </w:t>
      </w:r>
      <w:r w:rsidR="000516F3">
        <w:rPr>
          <w:rFonts w:hint="cs"/>
          <w:rtl/>
        </w:rPr>
        <w:t>ב</w:t>
      </w:r>
      <w:r w:rsidR="00AD1900">
        <w:rPr>
          <w:rFonts w:hint="cs"/>
          <w:rtl/>
        </w:rPr>
        <w:t>דרך הוספת סעיף 513יג1 ל</w:t>
      </w:r>
      <w:r w:rsidR="000516F3">
        <w:rPr>
          <w:rFonts w:hint="cs"/>
          <w:rtl/>
        </w:rPr>
        <w:t xml:space="preserve">חוק השיפוט הצבאי, תשט"ו </w:t>
      </w:r>
      <w:r w:rsidR="00144EA6">
        <w:rPr>
          <w:rFonts w:hint="cs"/>
          <w:rtl/>
        </w:rPr>
        <w:t>-</w:t>
      </w:r>
      <w:r w:rsidR="000516F3">
        <w:rPr>
          <w:rFonts w:hint="cs"/>
          <w:rtl/>
        </w:rPr>
        <w:t xml:space="preserve"> 1955</w:t>
      </w:r>
      <w:r>
        <w:rPr>
          <w:rFonts w:hint="cs"/>
          <w:rtl/>
        </w:rPr>
        <w:t>)</w:t>
      </w:r>
      <w:r w:rsidR="00AD1900">
        <w:rPr>
          <w:rFonts w:hint="cs"/>
          <w:rtl/>
        </w:rPr>
        <w:t xml:space="preserve">. </w:t>
      </w:r>
    </w:p>
    <w:p w14:paraId="1B808B4A" w14:textId="27CBAC61" w:rsidR="009E578A" w:rsidRDefault="009E578A" w:rsidP="00106EAC">
      <w:pPr>
        <w:pStyle w:val="2"/>
        <w:tabs>
          <w:tab w:val="left" w:pos="418"/>
          <w:tab w:val="left" w:pos="992"/>
        </w:tabs>
        <w:ind w:left="-7" w:firstLine="0"/>
      </w:pPr>
      <w:r>
        <w:rPr>
          <w:rFonts w:hint="cs"/>
          <w:rtl/>
        </w:rPr>
        <w:t>מטרת התיקון האמור ה</w:t>
      </w:r>
      <w:r w:rsidR="00144EA6">
        <w:rPr>
          <w:rFonts w:hint="cs"/>
          <w:rtl/>
        </w:rPr>
        <w:t>י</w:t>
      </w:r>
      <w:r>
        <w:rPr>
          <w:rFonts w:hint="cs"/>
          <w:rtl/>
        </w:rPr>
        <w:t>א לחזק את מעמד החיסיון על עדו</w:t>
      </w:r>
      <w:r w:rsidR="00E920ED">
        <w:rPr>
          <w:rFonts w:hint="cs"/>
          <w:rtl/>
        </w:rPr>
        <w:t>יו</w:t>
      </w:r>
      <w:r>
        <w:rPr>
          <w:rFonts w:hint="cs"/>
          <w:rtl/>
        </w:rPr>
        <w:t>ת</w:t>
      </w:r>
      <w:r w:rsidR="00E920ED">
        <w:rPr>
          <w:rFonts w:hint="cs"/>
          <w:rtl/>
        </w:rPr>
        <w:t>יה</w:t>
      </w:r>
      <w:r>
        <w:rPr>
          <w:rFonts w:hint="cs"/>
          <w:rtl/>
        </w:rPr>
        <w:t xml:space="preserve">ם של בעלי המקצוע מתחום הטיפול </w:t>
      </w:r>
      <w:r w:rsidR="00144EA6">
        <w:rPr>
          <w:rFonts w:hint="cs"/>
          <w:rtl/>
        </w:rPr>
        <w:t>-</w:t>
      </w:r>
      <w:r>
        <w:rPr>
          <w:rFonts w:hint="cs"/>
          <w:rtl/>
        </w:rPr>
        <w:t xml:space="preserve"> הרפואי או הנפשי, תוך שצוין בהצעת החוק כי: "ההצדקה לתיקון המוצע נעוצה בייחודיות של החסיונות הטיפוליים בעבירות אלו, שתוכ</w:t>
      </w:r>
      <w:r w:rsidR="00144EA6">
        <w:rPr>
          <w:rFonts w:hint="cs"/>
          <w:rtl/>
        </w:rPr>
        <w:t>נ</w:t>
      </w:r>
      <w:r>
        <w:rPr>
          <w:rFonts w:hint="cs"/>
          <w:rtl/>
        </w:rPr>
        <w:t xml:space="preserve">ם רגיש ביותר בשל פוטנציאל הפגיעה הרב בבעלי החיסיון ובפרטיותם אם יוסרו..." (הצעת חוק חסיון ראיות (טיפול נפשי בהליכים פליליים שעניינם עבירות מין או אלימות חמורה) (תיקוני חקיקה), התשפ"ב </w:t>
      </w:r>
      <w:r w:rsidR="00144EA6">
        <w:rPr>
          <w:rFonts w:hint="cs"/>
          <w:rtl/>
        </w:rPr>
        <w:t>-</w:t>
      </w:r>
      <w:r>
        <w:rPr>
          <w:rFonts w:hint="cs"/>
          <w:rtl/>
        </w:rPr>
        <w:t xml:space="preserve"> 2022, הצעות חוק 884 מיום 14 בפברואר 2022, עמ' 28). </w:t>
      </w:r>
    </w:p>
    <w:p w14:paraId="72477038" w14:textId="0A4EF21F" w:rsidR="00106EAC" w:rsidRDefault="009E578A" w:rsidP="00106EAC">
      <w:pPr>
        <w:pStyle w:val="2"/>
        <w:tabs>
          <w:tab w:val="left" w:pos="418"/>
          <w:tab w:val="left" w:pos="992"/>
        </w:tabs>
        <w:ind w:left="-7" w:firstLine="0"/>
      </w:pPr>
      <w:r>
        <w:rPr>
          <w:rFonts w:hint="cs"/>
          <w:rtl/>
        </w:rPr>
        <w:t xml:space="preserve">נוכח סעיף התחולה שנקבע לתיקון החוק האמור, הוא אינו חל על עניינו של המערער; </w:t>
      </w:r>
      <w:r w:rsidR="00AD1900">
        <w:rPr>
          <w:rFonts w:hint="cs"/>
          <w:rtl/>
        </w:rPr>
        <w:t xml:space="preserve">עם זאת, נראה כי יש </w:t>
      </w:r>
      <w:r w:rsidR="00144EA6">
        <w:rPr>
          <w:rFonts w:hint="cs"/>
          <w:rtl/>
        </w:rPr>
        <w:t>בו</w:t>
      </w:r>
      <w:r w:rsidR="00AD1900">
        <w:rPr>
          <w:rFonts w:hint="cs"/>
          <w:rtl/>
        </w:rPr>
        <w:t xml:space="preserve"> כדי להקרין גם על ענייננו וללמדנו ביתר שאת </w:t>
      </w:r>
      <w:r>
        <w:rPr>
          <w:rFonts w:hint="cs"/>
          <w:rtl/>
        </w:rPr>
        <w:t xml:space="preserve">על החשיבות שרואה המחוקק </w:t>
      </w:r>
      <w:r w:rsidR="00E920ED">
        <w:rPr>
          <w:rFonts w:hint="cs"/>
          <w:rtl/>
        </w:rPr>
        <w:t>ב</w:t>
      </w:r>
      <w:r>
        <w:rPr>
          <w:rFonts w:hint="cs"/>
          <w:rtl/>
        </w:rPr>
        <w:t>צורך לשמור על פרטיותם של נפגעי העבירה ו</w:t>
      </w:r>
      <w:r w:rsidR="00144EA6">
        <w:rPr>
          <w:rFonts w:hint="cs"/>
          <w:rtl/>
        </w:rPr>
        <w:t>ע</w:t>
      </w:r>
      <w:r>
        <w:rPr>
          <w:rFonts w:hint="cs"/>
          <w:rtl/>
        </w:rPr>
        <w:t>ל</w:t>
      </w:r>
      <w:r w:rsidR="00144EA6">
        <w:rPr>
          <w:rFonts w:hint="cs"/>
          <w:rtl/>
        </w:rPr>
        <w:t xml:space="preserve"> ה</w:t>
      </w:r>
      <w:r>
        <w:rPr>
          <w:rFonts w:hint="cs"/>
          <w:rtl/>
        </w:rPr>
        <w:t xml:space="preserve">אופן המדוקדק שבו יש לבחון כל פגיעה המתבקשת בחיסיון הנתון להם על פי דין. מכאן שנדרש כי כל בקשה שיש בה פוטנציאל לפגיעה כזו, תיבחן באופן מקיף על ידי המותב הדן בתיק, </w:t>
      </w:r>
      <w:r w:rsidR="00AD1900">
        <w:rPr>
          <w:rFonts w:hint="cs"/>
          <w:rtl/>
        </w:rPr>
        <w:t>תוך קבלת עמד</w:t>
      </w:r>
      <w:r>
        <w:rPr>
          <w:rFonts w:hint="cs"/>
          <w:rtl/>
        </w:rPr>
        <w:t>ה</w:t>
      </w:r>
      <w:r w:rsidR="00AD1900">
        <w:rPr>
          <w:rFonts w:hint="cs"/>
          <w:rtl/>
        </w:rPr>
        <w:t xml:space="preserve"> </w:t>
      </w:r>
      <w:r>
        <w:rPr>
          <w:rFonts w:hint="cs"/>
          <w:rtl/>
        </w:rPr>
        <w:t>מטעם נ</w:t>
      </w:r>
      <w:r w:rsidR="00AD1900">
        <w:rPr>
          <w:rFonts w:hint="cs"/>
          <w:rtl/>
        </w:rPr>
        <w:t>פגע העבירה ו</w:t>
      </w:r>
      <w:r>
        <w:rPr>
          <w:rFonts w:hint="cs"/>
          <w:rtl/>
        </w:rPr>
        <w:t xml:space="preserve">עריכת </w:t>
      </w:r>
      <w:r w:rsidR="00AD1900">
        <w:rPr>
          <w:rFonts w:hint="cs"/>
          <w:rtl/>
        </w:rPr>
        <w:t xml:space="preserve">בחינה מהותית שתאזן בין חיוניות המידע המבוקש להגנת הנאשם לבין מידת הפגיעה בפרטיותו של נפגע העבירה.  </w:t>
      </w:r>
      <w:r w:rsidR="000516F3">
        <w:rPr>
          <w:rFonts w:hint="cs"/>
          <w:rtl/>
        </w:rPr>
        <w:t xml:space="preserve"> </w:t>
      </w:r>
    </w:p>
    <w:p w14:paraId="62B078DB" w14:textId="7165C741" w:rsidR="00DA5E66" w:rsidRDefault="002004CD" w:rsidP="00106EAC">
      <w:pPr>
        <w:pStyle w:val="2"/>
        <w:tabs>
          <w:tab w:val="left" w:pos="418"/>
          <w:tab w:val="left" w:pos="992"/>
        </w:tabs>
        <w:ind w:left="-7" w:firstLine="0"/>
      </w:pPr>
      <w:r>
        <w:rPr>
          <w:rFonts w:hint="cs"/>
          <w:rtl/>
        </w:rPr>
        <w:t xml:space="preserve">ביישום לענייננו, ראוי להטעים, כי אכן עולה, בעיקר מעדות המפקדת של המתלוננת, אינדיקציה לקשיים כאלה ואחרים, שיתכן שהם נתמכים באבחון רפואי. עם זאת </w:t>
      </w:r>
      <w:r w:rsidR="009E578A">
        <w:rPr>
          <w:rFonts w:hint="cs"/>
          <w:rtl/>
        </w:rPr>
        <w:t>דבריה של המפקדת</w:t>
      </w:r>
      <w:r w:rsidR="00E920ED">
        <w:rPr>
          <w:rFonts w:hint="cs"/>
          <w:rtl/>
        </w:rPr>
        <w:t xml:space="preserve">, בשלב הזה, אינם אלא, </w:t>
      </w:r>
      <w:r w:rsidR="009E578A">
        <w:rPr>
          <w:rFonts w:hint="cs"/>
          <w:rtl/>
        </w:rPr>
        <w:t>עדות שמועה</w:t>
      </w:r>
      <w:r w:rsidR="00144EA6">
        <w:rPr>
          <w:rFonts w:hint="cs"/>
          <w:rtl/>
        </w:rPr>
        <w:t>;</w:t>
      </w:r>
      <w:r w:rsidR="00E920ED">
        <w:rPr>
          <w:rFonts w:hint="cs"/>
          <w:rtl/>
        </w:rPr>
        <w:t xml:space="preserve"> ומכל מקום, </w:t>
      </w:r>
      <w:r w:rsidR="00DA5E66">
        <w:rPr>
          <w:rFonts w:hint="cs"/>
          <w:rtl/>
        </w:rPr>
        <w:t>הימצאות ה</w:t>
      </w:r>
      <w:r w:rsidR="009E578A">
        <w:rPr>
          <w:rFonts w:hint="cs"/>
          <w:rtl/>
        </w:rPr>
        <w:t>מידע האמור</w:t>
      </w:r>
      <w:r w:rsidR="00DA5E66">
        <w:rPr>
          <w:rFonts w:hint="cs"/>
          <w:rtl/>
        </w:rPr>
        <w:t xml:space="preserve"> בחומר החקירה הגלוי, </w:t>
      </w:r>
      <w:r w:rsidR="00E920ED">
        <w:rPr>
          <w:rFonts w:hint="cs"/>
          <w:rtl/>
        </w:rPr>
        <w:t xml:space="preserve">כשלעצמו עשוי לסייע </w:t>
      </w:r>
      <w:r w:rsidR="009E578A">
        <w:rPr>
          <w:rFonts w:hint="cs"/>
          <w:rtl/>
        </w:rPr>
        <w:t xml:space="preserve">להגנה לעשות בו שימוש במהלך </w:t>
      </w:r>
      <w:r w:rsidR="00E920ED">
        <w:rPr>
          <w:rFonts w:hint="cs"/>
          <w:rtl/>
        </w:rPr>
        <w:t xml:space="preserve">המשפט, בשלבים המתאימים, </w:t>
      </w:r>
      <w:r>
        <w:rPr>
          <w:rFonts w:hint="cs"/>
          <w:rtl/>
        </w:rPr>
        <w:t xml:space="preserve">במסגרת </w:t>
      </w:r>
      <w:r w:rsidR="00E920ED">
        <w:rPr>
          <w:rFonts w:hint="cs"/>
          <w:rtl/>
        </w:rPr>
        <w:t xml:space="preserve">דיון לפי </w:t>
      </w:r>
      <w:r w:rsidR="00140557">
        <w:rPr>
          <w:rFonts w:hint="cs"/>
          <w:rtl/>
        </w:rPr>
        <w:t>סעיף 108 לחוק סדר הדין הפלילי</w:t>
      </w:r>
      <w:r w:rsidR="00E920ED">
        <w:rPr>
          <w:rFonts w:hint="cs"/>
          <w:rtl/>
        </w:rPr>
        <w:t xml:space="preserve">, </w:t>
      </w:r>
      <w:r>
        <w:rPr>
          <w:rFonts w:hint="cs"/>
          <w:rtl/>
        </w:rPr>
        <w:t>ש</w:t>
      </w:r>
      <w:r w:rsidR="00E920ED">
        <w:rPr>
          <w:rFonts w:hint="cs"/>
          <w:rtl/>
        </w:rPr>
        <w:t xml:space="preserve">אז </w:t>
      </w:r>
      <w:r>
        <w:rPr>
          <w:rFonts w:hint="cs"/>
          <w:rtl/>
        </w:rPr>
        <w:t xml:space="preserve">ניתן יהיה להעריך את הרלוונטיות של המידע המבוקש (ככל שהוא קיים), את עמדתה של המתלוננת ביחס לחשיפתו </w:t>
      </w:r>
      <w:r w:rsidR="00E920ED">
        <w:rPr>
          <w:rFonts w:hint="cs"/>
          <w:rtl/>
        </w:rPr>
        <w:t>ו</w:t>
      </w:r>
      <w:r>
        <w:rPr>
          <w:rFonts w:hint="cs"/>
          <w:rtl/>
        </w:rPr>
        <w:t xml:space="preserve">את מידת התועלת שלו להגנת המערער. </w:t>
      </w:r>
    </w:p>
    <w:p w14:paraId="04B4B4BF" w14:textId="47CBCC5D" w:rsidR="009E578A" w:rsidRDefault="00E920ED" w:rsidP="00106EAC">
      <w:pPr>
        <w:pStyle w:val="2"/>
        <w:tabs>
          <w:tab w:val="left" w:pos="418"/>
          <w:tab w:val="left" w:pos="992"/>
        </w:tabs>
        <w:ind w:left="-7" w:firstLine="0"/>
      </w:pPr>
      <w:r>
        <w:rPr>
          <w:rFonts w:hint="cs"/>
          <w:rtl/>
        </w:rPr>
        <w:t xml:space="preserve">יש לציין עוד כי </w:t>
      </w:r>
      <w:r w:rsidR="002004CD">
        <w:rPr>
          <w:rFonts w:hint="cs"/>
          <w:rtl/>
        </w:rPr>
        <w:t xml:space="preserve">מעיון בעדויות המתלוננת והמערער, עולה כי </w:t>
      </w:r>
      <w:r>
        <w:rPr>
          <w:rFonts w:hint="cs"/>
          <w:rtl/>
        </w:rPr>
        <w:t xml:space="preserve">קיים ביניהם </w:t>
      </w:r>
      <w:r w:rsidR="002004CD">
        <w:rPr>
          <w:rFonts w:hint="cs"/>
          <w:rtl/>
        </w:rPr>
        <w:t>פער עובדתי</w:t>
      </w:r>
      <w:r>
        <w:rPr>
          <w:rFonts w:hint="cs"/>
          <w:rtl/>
        </w:rPr>
        <w:t xml:space="preserve"> </w:t>
      </w:r>
      <w:r w:rsidR="002004CD">
        <w:rPr>
          <w:rFonts w:hint="cs"/>
          <w:rtl/>
        </w:rPr>
        <w:t>באשר ל</w:t>
      </w:r>
      <w:r>
        <w:rPr>
          <w:rFonts w:hint="cs"/>
          <w:rtl/>
        </w:rPr>
        <w:t>תיאור ה</w:t>
      </w:r>
      <w:r w:rsidR="002004CD">
        <w:rPr>
          <w:rFonts w:hint="cs"/>
          <w:rtl/>
        </w:rPr>
        <w:t xml:space="preserve">אירוע, </w:t>
      </w:r>
      <w:r w:rsidR="009E578A">
        <w:rPr>
          <w:rFonts w:hint="cs"/>
          <w:rtl/>
        </w:rPr>
        <w:t>שאינ</w:t>
      </w:r>
      <w:r>
        <w:rPr>
          <w:rFonts w:hint="cs"/>
          <w:rtl/>
        </w:rPr>
        <w:t>ו</w:t>
      </w:r>
      <w:r w:rsidR="009E578A">
        <w:rPr>
          <w:rFonts w:hint="cs"/>
          <w:rtl/>
        </w:rPr>
        <w:t xml:space="preserve"> מתיישב עם טענות ההגנה בדבר פער שמקורו אך בהבנת המתלוננת את הסיטואציה. </w:t>
      </w:r>
      <w:r w:rsidR="007F32A2">
        <w:rPr>
          <w:rFonts w:hint="cs"/>
          <w:rtl/>
        </w:rPr>
        <w:t>כך למשל באשר לשאלה של מי ה</w:t>
      </w:r>
      <w:r w:rsidR="009E578A">
        <w:rPr>
          <w:rFonts w:hint="cs"/>
          <w:rtl/>
        </w:rPr>
        <w:t>י</w:t>
      </w:r>
      <w:r w:rsidR="007F32A2">
        <w:rPr>
          <w:rFonts w:hint="cs"/>
          <w:rtl/>
        </w:rPr>
        <w:t xml:space="preserve">יתה היוזמה שהמתלוננת </w:t>
      </w:r>
      <w:r w:rsidR="007F32A2">
        <w:rPr>
          <w:rFonts w:hint="cs"/>
          <w:rtl/>
        </w:rPr>
        <w:lastRenderedPageBreak/>
        <w:t>תעבור מישיבה לשכיבה על מיטת המערער; ביחס לטענת המערער לפיה קיבל את הסכמת המתלוננת להורדת חולצת</w:t>
      </w:r>
      <w:r w:rsidR="009E578A">
        <w:rPr>
          <w:rFonts w:hint="cs"/>
          <w:rtl/>
        </w:rPr>
        <w:t>ו</w:t>
      </w:r>
      <w:r w:rsidR="007F32A2">
        <w:rPr>
          <w:rFonts w:hint="cs"/>
          <w:rtl/>
        </w:rPr>
        <w:t xml:space="preserve">; </w:t>
      </w:r>
      <w:r w:rsidR="00390425">
        <w:rPr>
          <w:rFonts w:hint="cs"/>
          <w:rtl/>
        </w:rPr>
        <w:t xml:space="preserve">באשר לטענת המתלוננת, המוכחשת על ידי המערער, כי נטל את ידה וביקש ממנה לגעת באיבר המין שלו; באשר לטענת המתלוננת כי המערער הוריד את חולצתה </w:t>
      </w:r>
      <w:r>
        <w:rPr>
          <w:rFonts w:hint="cs"/>
          <w:rtl/>
        </w:rPr>
        <w:t>ב</w:t>
      </w:r>
      <w:r w:rsidR="00390425">
        <w:rPr>
          <w:rFonts w:hint="cs"/>
          <w:rtl/>
        </w:rPr>
        <w:t>נ</w:t>
      </w:r>
      <w:r>
        <w:rPr>
          <w:rFonts w:hint="cs"/>
          <w:rtl/>
        </w:rPr>
        <w:t>יגוד ל</w:t>
      </w:r>
      <w:r w:rsidR="00390425">
        <w:rPr>
          <w:rFonts w:hint="cs"/>
          <w:rtl/>
        </w:rPr>
        <w:t>רצונה, בעוד שלטענתו היא אישרה כי הוא יכול לעשות כן</w:t>
      </w:r>
      <w:r w:rsidR="009E578A">
        <w:rPr>
          <w:rFonts w:hint="cs"/>
          <w:rtl/>
        </w:rPr>
        <w:t>;</w:t>
      </w:r>
      <w:r w:rsidR="00390425">
        <w:rPr>
          <w:rFonts w:hint="cs"/>
          <w:rtl/>
        </w:rPr>
        <w:t xml:space="preserve"> וביחס לסוגיה של הבעת התנגדות מצד המתלוננת </w:t>
      </w:r>
      <w:r>
        <w:rPr>
          <w:rFonts w:hint="cs"/>
          <w:rtl/>
        </w:rPr>
        <w:t>לאורך שלבים שונים ב</w:t>
      </w:r>
      <w:r w:rsidR="00390425">
        <w:rPr>
          <w:rFonts w:hint="cs"/>
          <w:rtl/>
        </w:rPr>
        <w:t xml:space="preserve">אירוע </w:t>
      </w:r>
      <w:r>
        <w:rPr>
          <w:rFonts w:hint="cs"/>
          <w:rtl/>
        </w:rPr>
        <w:t xml:space="preserve">(המתלוננת </w:t>
      </w:r>
      <w:r w:rsidR="00390425">
        <w:rPr>
          <w:rFonts w:hint="cs"/>
          <w:rtl/>
        </w:rPr>
        <w:t xml:space="preserve">מפרטת מספר </w:t>
      </w:r>
      <w:r>
        <w:rPr>
          <w:rFonts w:hint="cs"/>
          <w:rtl/>
        </w:rPr>
        <w:t>הזדמנויות ש</w:t>
      </w:r>
      <w:r w:rsidR="00390425">
        <w:rPr>
          <w:rFonts w:hint="cs"/>
          <w:rtl/>
        </w:rPr>
        <w:t>בה</w:t>
      </w:r>
      <w:r>
        <w:rPr>
          <w:rFonts w:hint="cs"/>
          <w:rtl/>
        </w:rPr>
        <w:t>ן</w:t>
      </w:r>
      <w:r w:rsidR="00390425">
        <w:rPr>
          <w:rFonts w:hint="cs"/>
          <w:rtl/>
        </w:rPr>
        <w:t xml:space="preserve"> ביקשה מהמערער להפסיק, בעוד הוא טוען כי גיל</w:t>
      </w:r>
      <w:r w:rsidR="009E578A">
        <w:rPr>
          <w:rFonts w:hint="cs"/>
          <w:rtl/>
        </w:rPr>
        <w:t>ת</w:t>
      </w:r>
      <w:r w:rsidR="00390425">
        <w:rPr>
          <w:rFonts w:hint="cs"/>
          <w:rtl/>
        </w:rPr>
        <w:t>ה התלהבות ואקטיביות לאורך הדרך, וכי הפסיק את המגע ביניהם ברגע שהתבקש על ידה לעשות כן</w:t>
      </w:r>
      <w:r>
        <w:rPr>
          <w:rFonts w:hint="cs"/>
          <w:rtl/>
        </w:rPr>
        <w:t>)</w:t>
      </w:r>
      <w:r w:rsidR="00DA5E66">
        <w:rPr>
          <w:rFonts w:hint="cs"/>
          <w:rtl/>
        </w:rPr>
        <w:t>.</w:t>
      </w:r>
      <w:r w:rsidR="002004CD">
        <w:rPr>
          <w:rFonts w:hint="cs"/>
          <w:rtl/>
        </w:rPr>
        <w:t xml:space="preserve"> </w:t>
      </w:r>
    </w:p>
    <w:p w14:paraId="056AC8E2" w14:textId="74DE934C" w:rsidR="002004CD" w:rsidRDefault="002004CD" w:rsidP="00106EAC">
      <w:pPr>
        <w:pStyle w:val="2"/>
        <w:tabs>
          <w:tab w:val="left" w:pos="418"/>
          <w:tab w:val="left" w:pos="992"/>
        </w:tabs>
        <w:ind w:left="-7" w:firstLine="0"/>
      </w:pPr>
      <w:r>
        <w:rPr>
          <w:rFonts w:hint="cs"/>
          <w:rtl/>
        </w:rPr>
        <w:t xml:space="preserve">מכאן שנדרש יהיה לבחון את הדברים גם ביחס לקו ההגנה של המערער </w:t>
      </w:r>
      <w:r w:rsidR="00144EA6">
        <w:rPr>
          <w:rFonts w:hint="cs"/>
          <w:rtl/>
        </w:rPr>
        <w:t>-</w:t>
      </w:r>
      <w:r>
        <w:rPr>
          <w:rFonts w:hint="cs"/>
          <w:rtl/>
        </w:rPr>
        <w:t xml:space="preserve"> אשר</w:t>
      </w:r>
      <w:r w:rsidR="00E920ED">
        <w:rPr>
          <w:rFonts w:hint="cs"/>
          <w:rtl/>
        </w:rPr>
        <w:t xml:space="preserve">, כאמור, </w:t>
      </w:r>
      <w:r>
        <w:rPr>
          <w:rFonts w:hint="cs"/>
          <w:rtl/>
        </w:rPr>
        <w:t xml:space="preserve">טרם </w:t>
      </w:r>
      <w:r w:rsidR="00E920ED">
        <w:rPr>
          <w:rFonts w:hint="cs"/>
          <w:rtl/>
        </w:rPr>
        <w:t xml:space="preserve">הובהר </w:t>
      </w:r>
      <w:r>
        <w:rPr>
          <w:rFonts w:hint="cs"/>
          <w:rtl/>
        </w:rPr>
        <w:t xml:space="preserve">דיו, </w:t>
      </w:r>
      <w:r w:rsidR="00E920ED">
        <w:rPr>
          <w:rFonts w:hint="cs"/>
          <w:rtl/>
        </w:rPr>
        <w:t>ב</w:t>
      </w:r>
      <w:r>
        <w:rPr>
          <w:rFonts w:hint="cs"/>
          <w:rtl/>
        </w:rPr>
        <w:t xml:space="preserve">העדר גדר כפירה מפורט בשלב זה. </w:t>
      </w:r>
      <w:r w:rsidR="00DA5E66">
        <w:rPr>
          <w:rFonts w:hint="cs"/>
          <w:rtl/>
        </w:rPr>
        <w:t xml:space="preserve">כך או כך, לאור מצב הדברים האמור, לא השתכנעתי כי עניין זה נמנה </w:t>
      </w:r>
      <w:r w:rsidR="00E920ED">
        <w:rPr>
          <w:rFonts w:hint="cs"/>
          <w:rtl/>
        </w:rPr>
        <w:t xml:space="preserve">עם </w:t>
      </w:r>
      <w:r w:rsidR="00DA5E66">
        <w:rPr>
          <w:rFonts w:hint="cs"/>
          <w:rtl/>
        </w:rPr>
        <w:t xml:space="preserve">אחד מאותם מקרים חריגים שבהם ראוי להידרש לסוגיית העיון בחומרים הנתונים לחיסיון, </w:t>
      </w:r>
      <w:r w:rsidR="00E920ED">
        <w:rPr>
          <w:rFonts w:hint="cs"/>
          <w:rtl/>
        </w:rPr>
        <w:t xml:space="preserve">כבר </w:t>
      </w:r>
      <w:r w:rsidR="00DA5E66">
        <w:rPr>
          <w:rFonts w:hint="cs"/>
          <w:rtl/>
        </w:rPr>
        <w:t xml:space="preserve">במסגרת דיון </w:t>
      </w:r>
      <w:r w:rsidR="00E920ED">
        <w:rPr>
          <w:rFonts w:hint="cs"/>
          <w:rtl/>
        </w:rPr>
        <w:t xml:space="preserve">לפי </w:t>
      </w:r>
      <w:r w:rsidR="00DA5E66">
        <w:rPr>
          <w:rFonts w:hint="cs"/>
          <w:rtl/>
        </w:rPr>
        <w:t xml:space="preserve">סעיף 74 לחוק סדר הדין הפלילי.  </w:t>
      </w:r>
    </w:p>
    <w:p w14:paraId="613A87B0" w14:textId="52B44B9B" w:rsidR="00DA5E66" w:rsidRDefault="00DA5E66" w:rsidP="00106EAC">
      <w:pPr>
        <w:pStyle w:val="2"/>
        <w:tabs>
          <w:tab w:val="left" w:pos="418"/>
          <w:tab w:val="left" w:pos="992"/>
        </w:tabs>
        <w:ind w:left="-7" w:firstLine="0"/>
      </w:pPr>
      <w:r>
        <w:rPr>
          <w:rFonts w:hint="cs"/>
          <w:rtl/>
        </w:rPr>
        <w:t xml:space="preserve"> לאור האמור, ערעור ההגנה נדחה</w:t>
      </w:r>
      <w:r w:rsidR="00D9047B">
        <w:rPr>
          <w:rFonts w:hint="cs"/>
          <w:rtl/>
        </w:rPr>
        <w:t xml:space="preserve">. </w:t>
      </w:r>
      <w:r>
        <w:rPr>
          <w:rFonts w:hint="cs"/>
          <w:rtl/>
        </w:rPr>
        <w:t xml:space="preserve"> </w:t>
      </w:r>
    </w:p>
    <w:p w14:paraId="69C56129" w14:textId="77777777" w:rsidR="00D9047B" w:rsidRDefault="00D9047B" w:rsidP="00D9047B">
      <w:pPr>
        <w:pStyle w:val="2"/>
        <w:numPr>
          <w:ilvl w:val="0"/>
          <w:numId w:val="0"/>
        </w:numPr>
        <w:tabs>
          <w:tab w:val="left" w:pos="418"/>
          <w:tab w:val="left" w:pos="992"/>
        </w:tabs>
        <w:ind w:left="-7"/>
      </w:pPr>
    </w:p>
    <w:p w14:paraId="300BB279" w14:textId="6CAB560A" w:rsidR="009B2917" w:rsidRDefault="009B2917" w:rsidP="0002774B">
      <w:pPr>
        <w:pStyle w:val="2"/>
        <w:numPr>
          <w:ilvl w:val="0"/>
          <w:numId w:val="0"/>
        </w:numPr>
        <w:spacing w:line="240" w:lineRule="auto"/>
        <w:ind w:left="-6"/>
        <w:rPr>
          <w:rtl/>
        </w:rPr>
      </w:pPr>
      <w:r w:rsidRPr="00A77FE2">
        <w:rPr>
          <w:rFonts w:hint="cs"/>
          <w:rtl/>
        </w:rPr>
        <w:t xml:space="preserve">ניתנה היום, </w:t>
      </w:r>
      <w:r w:rsidR="0002774B">
        <w:rPr>
          <w:rFonts w:hint="cs"/>
          <w:rtl/>
        </w:rPr>
        <w:t xml:space="preserve">י"ג </w:t>
      </w:r>
      <w:r w:rsidR="00106EAC">
        <w:rPr>
          <w:rFonts w:hint="cs"/>
          <w:rtl/>
        </w:rPr>
        <w:t>בניסן תשפ"ג</w:t>
      </w:r>
      <w:r w:rsidR="007F46C9">
        <w:rPr>
          <w:rFonts w:hint="cs"/>
          <w:rtl/>
        </w:rPr>
        <w:t>,</w:t>
      </w:r>
      <w:r w:rsidR="00106EAC">
        <w:rPr>
          <w:rFonts w:hint="cs"/>
          <w:rtl/>
        </w:rPr>
        <w:t xml:space="preserve"> </w:t>
      </w:r>
      <w:r w:rsidR="0002774B">
        <w:rPr>
          <w:rFonts w:hint="cs"/>
          <w:rtl/>
        </w:rPr>
        <w:t xml:space="preserve">4 </w:t>
      </w:r>
      <w:r w:rsidR="00106EAC">
        <w:rPr>
          <w:rFonts w:hint="cs"/>
          <w:rtl/>
        </w:rPr>
        <w:t>באפריל 2023</w:t>
      </w:r>
      <w:r>
        <w:rPr>
          <w:rFonts w:hint="cs"/>
          <w:rtl/>
        </w:rPr>
        <w:t xml:space="preserve">, </w:t>
      </w:r>
      <w:r w:rsidR="0002774B">
        <w:rPr>
          <w:rFonts w:hint="cs"/>
          <w:rtl/>
        </w:rPr>
        <w:t xml:space="preserve">בלשכה, </w:t>
      </w:r>
      <w:r>
        <w:rPr>
          <w:rFonts w:hint="cs"/>
          <w:rtl/>
        </w:rPr>
        <w:t>ותועבר לצדדים על-ידי</w:t>
      </w:r>
      <w:r w:rsidR="0002774B">
        <w:rPr>
          <w:rFonts w:hint="cs"/>
          <w:rtl/>
        </w:rPr>
        <w:t xml:space="preserve"> המזכירות. </w:t>
      </w:r>
    </w:p>
    <w:p w14:paraId="0410B6DF" w14:textId="10443898" w:rsidR="00824A99" w:rsidRDefault="00824A99" w:rsidP="0002774B">
      <w:pPr>
        <w:pStyle w:val="2"/>
        <w:numPr>
          <w:ilvl w:val="0"/>
          <w:numId w:val="0"/>
        </w:numPr>
        <w:spacing w:line="240" w:lineRule="auto"/>
        <w:ind w:left="-6"/>
        <w:rPr>
          <w:rtl/>
        </w:rPr>
      </w:pPr>
    </w:p>
    <w:p w14:paraId="243BDFCF" w14:textId="77777777" w:rsidR="00824A99" w:rsidRDefault="00824A99" w:rsidP="0002774B">
      <w:pPr>
        <w:pStyle w:val="2"/>
        <w:numPr>
          <w:ilvl w:val="0"/>
          <w:numId w:val="0"/>
        </w:numPr>
        <w:spacing w:line="240" w:lineRule="auto"/>
        <w:ind w:left="-6"/>
        <w:rPr>
          <w:rtl/>
        </w:rPr>
      </w:pPr>
    </w:p>
    <w:p w14:paraId="040D0EC1" w14:textId="77777777" w:rsidR="007F46C9" w:rsidRDefault="007F46C9" w:rsidP="009B2917">
      <w:pPr>
        <w:ind w:left="5066" w:right="-142"/>
        <w:rPr>
          <w:b/>
          <w:bCs/>
          <w:rtl/>
        </w:rPr>
      </w:pPr>
    </w:p>
    <w:p w14:paraId="040E67E0" w14:textId="13DAEB78" w:rsidR="00387FF2" w:rsidRPr="00F80CBF" w:rsidRDefault="00B70668" w:rsidP="00387FF2">
      <w:pPr>
        <w:tabs>
          <w:tab w:val="center" w:pos="1599"/>
          <w:tab w:val="center" w:pos="4150"/>
          <w:tab w:val="center" w:pos="6702"/>
        </w:tabs>
        <w:contextualSpacing/>
        <w:jc w:val="right"/>
        <w:rPr>
          <w:b/>
          <w:bCs/>
          <w:rtl/>
        </w:rPr>
      </w:pPr>
      <w:bookmarkStart w:id="0" w:name="_Hlk122599666"/>
      <w:r>
        <w:rPr>
          <w:rFonts w:hint="cs"/>
          <w:b/>
          <w:bCs/>
          <w:rtl/>
        </w:rPr>
        <w:t>_____</w:t>
      </w:r>
      <w:r w:rsidR="00387FF2">
        <w:rPr>
          <w:rFonts w:hint="cs"/>
          <w:b/>
          <w:bCs/>
          <w:rtl/>
        </w:rPr>
        <w:t>______</w:t>
      </w:r>
      <w:r w:rsidR="00387FF2" w:rsidRPr="00F80CBF">
        <w:rPr>
          <w:b/>
          <w:bCs/>
          <w:rtl/>
        </w:rPr>
        <w:t>______________</w:t>
      </w:r>
    </w:p>
    <w:p w14:paraId="37B3C056" w14:textId="58C437E5" w:rsidR="00387FF2" w:rsidRDefault="00387FF2" w:rsidP="00387FF2">
      <w:pPr>
        <w:tabs>
          <w:tab w:val="center" w:pos="1599"/>
          <w:tab w:val="center" w:pos="4150"/>
          <w:tab w:val="center" w:pos="6702"/>
        </w:tabs>
        <w:contextualSpacing/>
        <w:jc w:val="right"/>
        <w:rPr>
          <w:b/>
          <w:bCs/>
          <w:rtl/>
        </w:rPr>
      </w:pPr>
      <w:r>
        <w:rPr>
          <w:rFonts w:hint="cs"/>
          <w:b/>
          <w:bCs/>
          <w:rtl/>
        </w:rPr>
        <w:t xml:space="preserve">    אל"ם  </w:t>
      </w:r>
      <w:r w:rsidR="00B70668">
        <w:rPr>
          <w:rFonts w:hint="cs"/>
          <w:b/>
          <w:bCs/>
          <w:rtl/>
        </w:rPr>
        <w:t xml:space="preserve">     </w:t>
      </w:r>
      <w:r>
        <w:rPr>
          <w:rFonts w:hint="cs"/>
          <w:b/>
          <w:bCs/>
          <w:rtl/>
        </w:rPr>
        <w:t xml:space="preserve">  מאיה</w:t>
      </w:r>
      <w:r w:rsidR="00B70668">
        <w:rPr>
          <w:rFonts w:hint="cs"/>
          <w:b/>
          <w:bCs/>
          <w:rtl/>
        </w:rPr>
        <w:t xml:space="preserve">  </w:t>
      </w:r>
      <w:r>
        <w:rPr>
          <w:rFonts w:hint="cs"/>
          <w:b/>
          <w:bCs/>
          <w:rtl/>
        </w:rPr>
        <w:t xml:space="preserve">    </w:t>
      </w:r>
      <w:r w:rsidR="00B70668">
        <w:rPr>
          <w:rFonts w:hint="cs"/>
          <w:b/>
          <w:bCs/>
          <w:rtl/>
        </w:rPr>
        <w:t xml:space="preserve">    </w:t>
      </w:r>
      <w:r>
        <w:rPr>
          <w:rFonts w:hint="cs"/>
          <w:b/>
          <w:bCs/>
          <w:rtl/>
        </w:rPr>
        <w:t xml:space="preserve"> גולדשמידט</w:t>
      </w:r>
    </w:p>
    <w:p w14:paraId="05E6736B" w14:textId="6DAA04FA" w:rsidR="00387FF2" w:rsidRDefault="00387FF2" w:rsidP="00387FF2">
      <w:pPr>
        <w:tabs>
          <w:tab w:val="center" w:pos="1599"/>
          <w:tab w:val="center" w:pos="4150"/>
          <w:tab w:val="center" w:pos="6702"/>
        </w:tabs>
        <w:contextualSpacing/>
        <w:jc w:val="right"/>
        <w:rPr>
          <w:b/>
          <w:bCs/>
          <w:rtl/>
        </w:rPr>
      </w:pPr>
      <w:r>
        <w:rPr>
          <w:rFonts w:hint="cs"/>
          <w:b/>
          <w:bCs/>
          <w:rtl/>
        </w:rPr>
        <w:t xml:space="preserve">שופטת  </w:t>
      </w:r>
      <w:r w:rsidR="00B70668">
        <w:rPr>
          <w:rFonts w:hint="cs"/>
          <w:b/>
          <w:bCs/>
          <w:rtl/>
        </w:rPr>
        <w:t xml:space="preserve">   </w:t>
      </w:r>
      <w:r>
        <w:rPr>
          <w:rFonts w:hint="cs"/>
          <w:b/>
          <w:bCs/>
          <w:rtl/>
        </w:rPr>
        <w:t xml:space="preserve"> </w:t>
      </w:r>
      <w:r w:rsidR="00B70668">
        <w:rPr>
          <w:rFonts w:hint="cs"/>
          <w:b/>
          <w:bCs/>
          <w:rtl/>
        </w:rPr>
        <w:t xml:space="preserve">  </w:t>
      </w:r>
      <w:r>
        <w:rPr>
          <w:rFonts w:hint="cs"/>
          <w:b/>
          <w:bCs/>
          <w:rtl/>
        </w:rPr>
        <w:t xml:space="preserve"> בית</w:t>
      </w:r>
      <w:r w:rsidR="00B70668">
        <w:rPr>
          <w:rFonts w:hint="cs"/>
          <w:b/>
          <w:bCs/>
          <w:rtl/>
        </w:rPr>
        <w:t xml:space="preserve"> </w:t>
      </w:r>
      <w:r>
        <w:rPr>
          <w:rFonts w:hint="cs"/>
          <w:b/>
          <w:bCs/>
          <w:rtl/>
        </w:rPr>
        <w:t xml:space="preserve"> </w:t>
      </w:r>
      <w:r w:rsidR="00B70668">
        <w:rPr>
          <w:rFonts w:hint="cs"/>
          <w:b/>
          <w:bCs/>
          <w:rtl/>
        </w:rPr>
        <w:t xml:space="preserve">  </w:t>
      </w:r>
      <w:r>
        <w:rPr>
          <w:rFonts w:hint="cs"/>
          <w:b/>
          <w:bCs/>
          <w:rtl/>
        </w:rPr>
        <w:t xml:space="preserve"> </w:t>
      </w:r>
      <w:r w:rsidR="00B70668">
        <w:rPr>
          <w:rFonts w:hint="cs"/>
          <w:b/>
          <w:bCs/>
          <w:rtl/>
        </w:rPr>
        <w:t>ה</w:t>
      </w:r>
      <w:r>
        <w:rPr>
          <w:rFonts w:hint="cs"/>
          <w:b/>
          <w:bCs/>
          <w:rtl/>
        </w:rPr>
        <w:t>דין</w:t>
      </w:r>
      <w:r w:rsidR="00B70668">
        <w:rPr>
          <w:rFonts w:hint="cs"/>
          <w:b/>
          <w:bCs/>
          <w:rtl/>
        </w:rPr>
        <w:t xml:space="preserve"> </w:t>
      </w:r>
      <w:r>
        <w:rPr>
          <w:rFonts w:hint="cs"/>
          <w:b/>
          <w:bCs/>
          <w:rtl/>
        </w:rPr>
        <w:t xml:space="preserve"> </w:t>
      </w:r>
      <w:r w:rsidR="00B70668">
        <w:rPr>
          <w:rFonts w:hint="cs"/>
          <w:b/>
          <w:bCs/>
          <w:rtl/>
        </w:rPr>
        <w:t xml:space="preserve"> </w:t>
      </w:r>
      <w:r>
        <w:rPr>
          <w:rFonts w:hint="cs"/>
          <w:b/>
          <w:bCs/>
          <w:rtl/>
        </w:rPr>
        <w:t xml:space="preserve">    הצבאי</w:t>
      </w:r>
    </w:p>
    <w:p w14:paraId="74E690FB" w14:textId="6F07E77F" w:rsidR="00387FF2" w:rsidRDefault="00387FF2" w:rsidP="00387FF2">
      <w:pPr>
        <w:tabs>
          <w:tab w:val="center" w:pos="1599"/>
          <w:tab w:val="center" w:pos="4150"/>
          <w:tab w:val="center" w:pos="6702"/>
        </w:tabs>
        <w:contextualSpacing/>
        <w:jc w:val="right"/>
        <w:rPr>
          <w:b/>
          <w:bCs/>
          <w:rtl/>
        </w:rPr>
      </w:pPr>
      <w:r>
        <w:rPr>
          <w:rFonts w:hint="cs"/>
          <w:b/>
          <w:bCs/>
          <w:rtl/>
        </w:rPr>
        <w:t xml:space="preserve">ל     ע    </w:t>
      </w:r>
      <w:r w:rsidR="00B70668">
        <w:rPr>
          <w:rFonts w:hint="cs"/>
          <w:b/>
          <w:bCs/>
          <w:rtl/>
        </w:rPr>
        <w:t xml:space="preserve"> </w:t>
      </w:r>
      <w:r>
        <w:rPr>
          <w:rFonts w:hint="cs"/>
          <w:b/>
          <w:bCs/>
          <w:rtl/>
        </w:rPr>
        <w:t xml:space="preserve"> ר </w:t>
      </w:r>
      <w:r w:rsidR="00B70668">
        <w:rPr>
          <w:rFonts w:hint="cs"/>
          <w:b/>
          <w:bCs/>
          <w:rtl/>
        </w:rPr>
        <w:t xml:space="preserve">  </w:t>
      </w:r>
      <w:r>
        <w:rPr>
          <w:rFonts w:hint="cs"/>
          <w:b/>
          <w:bCs/>
          <w:rtl/>
        </w:rPr>
        <w:t xml:space="preserve">    ע  </w:t>
      </w:r>
      <w:r w:rsidR="00B70668">
        <w:rPr>
          <w:rFonts w:hint="cs"/>
          <w:b/>
          <w:bCs/>
          <w:rtl/>
        </w:rPr>
        <w:t xml:space="preserve"> </w:t>
      </w:r>
      <w:r>
        <w:rPr>
          <w:rFonts w:hint="cs"/>
          <w:b/>
          <w:bCs/>
          <w:rtl/>
        </w:rPr>
        <w:t xml:space="preserve">  </w:t>
      </w:r>
      <w:r w:rsidR="00B70668">
        <w:rPr>
          <w:rFonts w:hint="cs"/>
          <w:b/>
          <w:bCs/>
          <w:rtl/>
        </w:rPr>
        <w:t xml:space="preserve">  </w:t>
      </w:r>
      <w:r>
        <w:rPr>
          <w:rFonts w:hint="cs"/>
          <w:b/>
          <w:bCs/>
          <w:rtl/>
        </w:rPr>
        <w:t xml:space="preserve">ו    </w:t>
      </w:r>
      <w:r w:rsidR="00B70668">
        <w:rPr>
          <w:rFonts w:hint="cs"/>
          <w:b/>
          <w:bCs/>
          <w:rtl/>
        </w:rPr>
        <w:t xml:space="preserve"> </w:t>
      </w:r>
      <w:r>
        <w:rPr>
          <w:rFonts w:hint="cs"/>
          <w:b/>
          <w:bCs/>
          <w:rtl/>
        </w:rPr>
        <w:t xml:space="preserve">ר    </w:t>
      </w:r>
      <w:r w:rsidR="00B70668">
        <w:rPr>
          <w:rFonts w:hint="cs"/>
          <w:b/>
          <w:bCs/>
          <w:rtl/>
        </w:rPr>
        <w:t xml:space="preserve">  </w:t>
      </w:r>
      <w:r>
        <w:rPr>
          <w:rFonts w:hint="cs"/>
          <w:b/>
          <w:bCs/>
          <w:rtl/>
        </w:rPr>
        <w:t xml:space="preserve">י  </w:t>
      </w:r>
      <w:r w:rsidR="00B70668">
        <w:rPr>
          <w:rFonts w:hint="cs"/>
          <w:b/>
          <w:bCs/>
          <w:rtl/>
        </w:rPr>
        <w:t xml:space="preserve">  </w:t>
      </w:r>
      <w:r>
        <w:rPr>
          <w:rFonts w:hint="cs"/>
          <w:b/>
          <w:bCs/>
          <w:rtl/>
        </w:rPr>
        <w:t xml:space="preserve">  ם</w:t>
      </w:r>
    </w:p>
    <w:p w14:paraId="1D48E481" w14:textId="1072FBF6" w:rsidR="00824A99" w:rsidRDefault="00824A99" w:rsidP="00387FF2">
      <w:pPr>
        <w:tabs>
          <w:tab w:val="center" w:pos="1599"/>
          <w:tab w:val="center" w:pos="4150"/>
          <w:tab w:val="center" w:pos="6702"/>
        </w:tabs>
        <w:contextualSpacing/>
        <w:jc w:val="right"/>
        <w:rPr>
          <w:b/>
          <w:bCs/>
          <w:rtl/>
        </w:rPr>
      </w:pPr>
    </w:p>
    <w:p w14:paraId="2638D0B4" w14:textId="77777777" w:rsidR="00824A99" w:rsidRDefault="00824A99" w:rsidP="00387FF2">
      <w:pPr>
        <w:tabs>
          <w:tab w:val="center" w:pos="1599"/>
          <w:tab w:val="center" w:pos="4150"/>
          <w:tab w:val="center" w:pos="6702"/>
        </w:tabs>
        <w:contextualSpacing/>
        <w:jc w:val="right"/>
        <w:rPr>
          <w:b/>
          <w:bCs/>
          <w:rtl/>
        </w:rPr>
      </w:pPr>
    </w:p>
    <w:p w14:paraId="755776AA" w14:textId="77777777" w:rsidR="00387FF2" w:rsidRDefault="00387FF2" w:rsidP="00387FF2">
      <w:pPr>
        <w:tabs>
          <w:tab w:val="center" w:pos="1599"/>
          <w:tab w:val="center" w:pos="4150"/>
          <w:tab w:val="center" w:pos="6702"/>
        </w:tabs>
        <w:contextualSpacing/>
        <w:jc w:val="right"/>
        <w:rPr>
          <w:b/>
          <w:bCs/>
          <w:rtl/>
        </w:rPr>
      </w:pPr>
    </w:p>
    <w:p w14:paraId="2AE039DD" w14:textId="3516BA04" w:rsidR="00CE52F8" w:rsidRPr="00B53ED3" w:rsidRDefault="00CE52F8" w:rsidP="00CE52F8">
      <w:pPr>
        <w:ind w:left="-58" w:right="-142"/>
        <w:rPr>
          <w:rFonts w:ascii="David" w:hAnsi="David"/>
          <w:b/>
          <w:bCs/>
          <w:rtl/>
        </w:rPr>
      </w:pPr>
      <w:r w:rsidRPr="00B53ED3">
        <w:rPr>
          <w:rFonts w:ascii="David" w:hAnsi="David" w:hint="cs"/>
          <w:b/>
          <w:bCs/>
          <w:rtl/>
        </w:rPr>
        <w:t>חתימת המגיה: __________________</w:t>
      </w:r>
      <w:r>
        <w:rPr>
          <w:rFonts w:ascii="David" w:hAnsi="David" w:hint="cs"/>
          <w:b/>
          <w:bCs/>
          <w:rtl/>
        </w:rPr>
        <w:t>_</w:t>
      </w:r>
      <w:r w:rsidR="00B70668">
        <w:rPr>
          <w:rFonts w:ascii="David" w:hAnsi="David" w:hint="cs"/>
          <w:b/>
          <w:bCs/>
          <w:rtl/>
        </w:rPr>
        <w:t>_____</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העתק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נאמן </w:t>
      </w:r>
      <w:r>
        <w:rPr>
          <w:rFonts w:ascii="David" w:hAnsi="David" w:hint="cs"/>
          <w:b/>
          <w:bCs/>
          <w:rtl/>
        </w:rPr>
        <w:t xml:space="preserve">     </w:t>
      </w:r>
      <w:r w:rsidR="00B70668">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למקור</w:t>
      </w:r>
    </w:p>
    <w:p w14:paraId="77188EB3" w14:textId="43EAEBF7" w:rsidR="00CE52F8" w:rsidRPr="007D6E18" w:rsidRDefault="00CE52F8" w:rsidP="00CE52F8">
      <w:pPr>
        <w:ind w:left="-58" w:right="-142"/>
        <w:rPr>
          <w:rFonts w:ascii="David" w:hAnsi="David"/>
          <w:b/>
          <w:bCs/>
        </w:rPr>
      </w:pP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00B70668">
        <w:rPr>
          <w:rFonts w:ascii="David" w:hAnsi="David" w:hint="cs"/>
          <w:b/>
          <w:bCs/>
          <w:rtl/>
        </w:rPr>
        <w:t xml:space="preserve">             </w:t>
      </w:r>
      <w:r>
        <w:rPr>
          <w:rFonts w:ascii="David" w:hAnsi="David" w:hint="cs"/>
          <w:b/>
          <w:bCs/>
          <w:rtl/>
        </w:rPr>
        <w:t>סרן</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כפיר</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לב</w:t>
      </w:r>
      <w:r>
        <w:rPr>
          <w:rFonts w:ascii="David" w:hAnsi="David" w:hint="cs"/>
          <w:b/>
          <w:bCs/>
          <w:rtl/>
        </w:rPr>
        <w:t xml:space="preserve"> ת</w:t>
      </w:r>
      <w:r w:rsidRPr="00B53ED3">
        <w:rPr>
          <w:rFonts w:ascii="David" w:hAnsi="David" w:hint="cs"/>
          <w:b/>
          <w:bCs/>
          <w:rtl/>
        </w:rPr>
        <w:t>אריך: _______________________</w:t>
      </w:r>
      <w:r w:rsidR="00B70668">
        <w:rPr>
          <w:rFonts w:ascii="David" w:hAnsi="David" w:hint="cs"/>
          <w:b/>
          <w:bCs/>
          <w:rtl/>
        </w:rPr>
        <w:t>_____</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קצי</w:t>
      </w:r>
      <w:r>
        <w:rPr>
          <w:rFonts w:ascii="David" w:hAnsi="David" w:hint="cs"/>
          <w:b/>
          <w:bCs/>
          <w:rtl/>
        </w:rPr>
        <w:t>ן</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בית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הדין</w:t>
      </w:r>
    </w:p>
    <w:bookmarkEnd w:id="0"/>
    <w:p w14:paraId="720F4D5E" w14:textId="77777777" w:rsidR="000E38C6" w:rsidRPr="00CE52F8" w:rsidRDefault="000E38C6"/>
    <w:sectPr w:rsidR="000E38C6" w:rsidRPr="00CE52F8" w:rsidSect="00B70668">
      <w:headerReference w:type="even" r:id="rId9"/>
      <w:headerReference w:type="default" r:id="rId10"/>
      <w:footerReference w:type="default" r:id="rId11"/>
      <w:headerReference w:type="first" r:id="rId12"/>
      <w:pgSz w:w="11906" w:h="16838"/>
      <w:pgMar w:top="1418" w:right="1418" w:bottom="1418" w:left="1418" w:header="708" w:footer="708"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6AEEC" w14:textId="77777777" w:rsidR="00985BD4" w:rsidRDefault="00985BD4" w:rsidP="009B2917">
      <w:pPr>
        <w:spacing w:after="0" w:line="240" w:lineRule="auto"/>
      </w:pPr>
      <w:r>
        <w:separator/>
      </w:r>
    </w:p>
  </w:endnote>
  <w:endnote w:type="continuationSeparator" w:id="0">
    <w:p w14:paraId="3B354CB7" w14:textId="77777777" w:rsidR="00985BD4" w:rsidRDefault="00985BD4" w:rsidP="009B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50358844"/>
      <w:docPartObj>
        <w:docPartGallery w:val="Page Numbers (Bottom of Page)"/>
        <w:docPartUnique/>
      </w:docPartObj>
    </w:sdtPr>
    <w:sdtContent>
      <w:p w14:paraId="53170F89" w14:textId="60DABF31" w:rsidR="007F46C9" w:rsidRDefault="007F46C9">
        <w:pPr>
          <w:pStyle w:val="a6"/>
          <w:jc w:val="center"/>
        </w:pPr>
        <w:r>
          <w:fldChar w:fldCharType="begin"/>
        </w:r>
        <w:r>
          <w:instrText>PAGE</w:instrText>
        </w:r>
        <w:r>
          <w:fldChar w:fldCharType="separate"/>
        </w:r>
        <w:r>
          <w:rPr>
            <w:rtl/>
          </w:rPr>
          <w:t>2</w:t>
        </w:r>
        <w:r>
          <w:fldChar w:fldCharType="end"/>
        </w:r>
      </w:p>
    </w:sdtContent>
  </w:sdt>
  <w:p w14:paraId="21BF2D04" w14:textId="77777777" w:rsidR="007F46C9" w:rsidRDefault="007F46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6D115" w14:textId="77777777" w:rsidR="00985BD4" w:rsidRDefault="00985BD4" w:rsidP="009B2917">
      <w:pPr>
        <w:spacing w:after="0" w:line="240" w:lineRule="auto"/>
      </w:pPr>
      <w:r>
        <w:separator/>
      </w:r>
    </w:p>
  </w:footnote>
  <w:footnote w:type="continuationSeparator" w:id="0">
    <w:p w14:paraId="2A77F91E" w14:textId="77777777" w:rsidR="00985BD4" w:rsidRDefault="00985BD4" w:rsidP="009B2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563C" w14:textId="010EF882" w:rsidR="00C45B85" w:rsidRDefault="00C45B85">
    <w:pPr>
      <w:pStyle w:val="a4"/>
    </w:pPr>
    <w:r>
      <w:rPr>
        <w:noProof/>
      </w:rPr>
      <mc:AlternateContent>
        <mc:Choice Requires="wps">
          <w:drawing>
            <wp:anchor distT="0" distB="0" distL="0" distR="0" simplePos="0" relativeHeight="251659264" behindDoc="0" locked="0" layoutInCell="1" allowOverlap="1" wp14:anchorId="36604EB8" wp14:editId="335A6021">
              <wp:simplePos x="635" y="635"/>
              <wp:positionH relativeFrom="page">
                <wp:align>center</wp:align>
              </wp:positionH>
              <wp:positionV relativeFrom="page">
                <wp:align>top</wp:align>
              </wp:positionV>
              <wp:extent cx="443865" cy="443865"/>
              <wp:effectExtent l="0" t="0" r="6985" b="12065"/>
              <wp:wrapNone/>
              <wp:docPr id="2" name="תיבת טקסט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448F07" w14:textId="7F2FC167" w:rsidR="00C45B85" w:rsidRPr="00C45B85" w:rsidRDefault="00C45B85" w:rsidP="00C45B85">
                          <w:pPr>
                            <w:spacing w:after="0"/>
                            <w:rPr>
                              <w:rFonts w:cs="Calibri"/>
                              <w:noProof/>
                              <w:color w:val="000000"/>
                              <w:sz w:val="20"/>
                              <w:szCs w:val="20"/>
                            </w:rPr>
                          </w:pPr>
                          <w:r w:rsidRPr="00C45B85">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604EB8"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6448F07" w14:textId="7F2FC167" w:rsidR="00C45B85" w:rsidRPr="00C45B85" w:rsidRDefault="00C45B85" w:rsidP="00C45B85">
                    <w:pPr>
                      <w:spacing w:after="0"/>
                      <w:rPr>
                        <w:rFonts w:cs="Calibri"/>
                        <w:noProof/>
                        <w:color w:val="000000"/>
                        <w:sz w:val="20"/>
                        <w:szCs w:val="20"/>
                      </w:rPr>
                    </w:pPr>
                    <w:r w:rsidRPr="00C45B85">
                      <w:rPr>
                        <w:rFonts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D072" w14:textId="26CDC5C4" w:rsidR="009B2917" w:rsidRDefault="009B2917" w:rsidP="009B2917">
    <w:pPr>
      <w:pStyle w:val="a4"/>
      <w:spacing w:after="0" w:line="240" w:lineRule="auto"/>
      <w:jc w:val="right"/>
      <w:rPr>
        <w:rtl/>
      </w:rPr>
    </w:pPr>
    <w:r w:rsidRPr="00E12C67">
      <w:rPr>
        <w:rFonts w:hint="cs"/>
        <w:rtl/>
      </w:rPr>
      <w:t xml:space="preserve">                                     </w:t>
    </w:r>
    <w:r w:rsidR="00EA1D04">
      <w:rPr>
        <w:rFonts w:hint="cs"/>
        <w:rtl/>
      </w:rPr>
      <w:t xml:space="preserve">                 </w:t>
    </w:r>
    <w:r w:rsidR="000B1EA6">
      <w:rPr>
        <w:rFonts w:hint="cs"/>
        <w:rtl/>
      </w:rPr>
      <w:t>ב</w:t>
    </w:r>
    <w:r>
      <w:rPr>
        <w:rFonts w:hint="cs"/>
        <w:rtl/>
      </w:rPr>
      <w:t xml:space="preserve"> </w:t>
    </w:r>
    <w:r w:rsidR="000B1EA6">
      <w:rPr>
        <w:rFonts w:hint="cs"/>
        <w:rtl/>
      </w:rPr>
      <w:t>ל מ</w:t>
    </w:r>
    <w:r>
      <w:rPr>
        <w:rFonts w:hint="cs"/>
        <w:rtl/>
      </w:rPr>
      <w:t xml:space="preserve"> </w:t>
    </w:r>
    <w:r w:rsidR="000B1EA6">
      <w:rPr>
        <w:rFonts w:hint="cs"/>
        <w:rtl/>
      </w:rPr>
      <w:t>"</w:t>
    </w:r>
    <w:r>
      <w:rPr>
        <w:rFonts w:hint="cs"/>
        <w:rtl/>
      </w:rPr>
      <w:t xml:space="preserve"> </w:t>
    </w:r>
    <w:r w:rsidR="000B1EA6">
      <w:rPr>
        <w:rFonts w:hint="cs"/>
        <w:rtl/>
      </w:rPr>
      <w:t>ס</w:t>
    </w:r>
    <w:r w:rsidR="00EA1D04">
      <w:rPr>
        <w:rFonts w:hint="cs"/>
        <w:rtl/>
      </w:rPr>
      <w:t xml:space="preserve">                   </w:t>
    </w:r>
    <w:r>
      <w:rPr>
        <w:rFonts w:hint="cs"/>
        <w:rtl/>
      </w:rPr>
      <w:tab/>
      <w:t xml:space="preserve">     עלב"ש</w:t>
    </w:r>
    <w:r w:rsidRPr="00E12C67">
      <w:rPr>
        <w:rFonts w:hint="cs"/>
        <w:rtl/>
      </w:rPr>
      <w:t>/</w:t>
    </w:r>
    <w:r w:rsidR="00663C23">
      <w:rPr>
        <w:rFonts w:hint="cs"/>
        <w:rtl/>
      </w:rPr>
      <w:t>8</w:t>
    </w:r>
    <w:r w:rsidRPr="00E12C67">
      <w:rPr>
        <w:rFonts w:hint="cs"/>
        <w:rtl/>
      </w:rPr>
      <w:t>/</w:t>
    </w:r>
    <w:r w:rsidR="00663C23">
      <w:rPr>
        <w:rFonts w:hint="cs"/>
        <w:rtl/>
      </w:rPr>
      <w:t>23</w:t>
    </w:r>
  </w:p>
  <w:p w14:paraId="47C280FA" w14:textId="65F5A2BC" w:rsidR="009B2917" w:rsidRPr="00E12C67" w:rsidRDefault="009B2917" w:rsidP="009B2917">
    <w:pPr>
      <w:pStyle w:val="a4"/>
      <w:spacing w:after="0"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2026" w14:textId="3E1D0BD9" w:rsidR="00C45B85" w:rsidRDefault="00C45B85">
    <w:pPr>
      <w:pStyle w:val="a4"/>
    </w:pPr>
    <w:r>
      <w:rPr>
        <w:noProof/>
      </w:rPr>
      <mc:AlternateContent>
        <mc:Choice Requires="wps">
          <w:drawing>
            <wp:anchor distT="0" distB="0" distL="0" distR="0" simplePos="0" relativeHeight="251658240" behindDoc="0" locked="0" layoutInCell="1" allowOverlap="1" wp14:anchorId="7B5C61DD" wp14:editId="5512121A">
              <wp:simplePos x="635" y="635"/>
              <wp:positionH relativeFrom="page">
                <wp:align>center</wp:align>
              </wp:positionH>
              <wp:positionV relativeFrom="page">
                <wp:align>top</wp:align>
              </wp:positionV>
              <wp:extent cx="443865" cy="443865"/>
              <wp:effectExtent l="0" t="0" r="6985" b="12065"/>
              <wp:wrapNone/>
              <wp:docPr id="1" name="תיבת טקסט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A4BB0E" w14:textId="7BA8EC90" w:rsidR="00C45B85" w:rsidRPr="00C45B85" w:rsidRDefault="00C45B85" w:rsidP="00C45B85">
                          <w:pPr>
                            <w:spacing w:after="0"/>
                            <w:rPr>
                              <w:rFonts w:cs="Calibri"/>
                              <w:noProof/>
                              <w:color w:val="000000"/>
                              <w:sz w:val="20"/>
                              <w:szCs w:val="20"/>
                            </w:rPr>
                          </w:pPr>
                          <w:r w:rsidRPr="00C45B85">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5C61DD" id="_x0000_t202" coordsize="21600,21600" o:spt="202" path="m,l,21600r21600,l21600,xe">
              <v:stroke joinstyle="miter"/>
              <v:path gradientshapeok="t" o:connecttype="rect"/>
            </v:shapetype>
            <v:shape id="תיבת טקסט 1" o:spid="_x0000_s1027" type="#_x0000_t202" alt="- בלמ&quot;ס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5A4BB0E" w14:textId="7BA8EC90" w:rsidR="00C45B85" w:rsidRPr="00C45B85" w:rsidRDefault="00C45B85" w:rsidP="00C45B85">
                    <w:pPr>
                      <w:spacing w:after="0"/>
                      <w:rPr>
                        <w:rFonts w:cs="Calibri"/>
                        <w:noProof/>
                        <w:color w:val="000000"/>
                        <w:sz w:val="20"/>
                        <w:szCs w:val="20"/>
                      </w:rPr>
                    </w:pPr>
                    <w:r w:rsidRPr="00C45B85">
                      <w:rPr>
                        <w:rFonts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55268"/>
    <w:multiLevelType w:val="hybridMultilevel"/>
    <w:tmpl w:val="46DE1A4E"/>
    <w:lvl w:ilvl="0" w:tplc="58C2A24E">
      <w:start w:val="1"/>
      <w:numFmt w:val="decimal"/>
      <w:pStyle w:val="2"/>
      <w:suff w:val="nothing"/>
      <w:lvlText w:val="%1."/>
      <w:lvlJc w:val="left"/>
      <w:pPr>
        <w:ind w:left="2344"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57467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E6"/>
    <w:rsid w:val="00006A4C"/>
    <w:rsid w:val="00023A60"/>
    <w:rsid w:val="0002774B"/>
    <w:rsid w:val="000516F3"/>
    <w:rsid w:val="00060A63"/>
    <w:rsid w:val="0007281B"/>
    <w:rsid w:val="00084A46"/>
    <w:rsid w:val="00086078"/>
    <w:rsid w:val="00090B3F"/>
    <w:rsid w:val="000A631C"/>
    <w:rsid w:val="000B1EA6"/>
    <w:rsid w:val="000B5423"/>
    <w:rsid w:val="000E38C6"/>
    <w:rsid w:val="00106EAC"/>
    <w:rsid w:val="0013284F"/>
    <w:rsid w:val="00140557"/>
    <w:rsid w:val="00144EA6"/>
    <w:rsid w:val="00160647"/>
    <w:rsid w:val="001744E6"/>
    <w:rsid w:val="00181DD6"/>
    <w:rsid w:val="00183D41"/>
    <w:rsid w:val="0019512A"/>
    <w:rsid w:val="001E562E"/>
    <w:rsid w:val="002004CD"/>
    <w:rsid w:val="00201C26"/>
    <w:rsid w:val="00243FE1"/>
    <w:rsid w:val="00250650"/>
    <w:rsid w:val="00250B37"/>
    <w:rsid w:val="002F3895"/>
    <w:rsid w:val="00352128"/>
    <w:rsid w:val="00364C31"/>
    <w:rsid w:val="00387D24"/>
    <w:rsid w:val="00387FF2"/>
    <w:rsid w:val="00390425"/>
    <w:rsid w:val="00423018"/>
    <w:rsid w:val="00466B1E"/>
    <w:rsid w:val="00494B25"/>
    <w:rsid w:val="004C11A4"/>
    <w:rsid w:val="004F292E"/>
    <w:rsid w:val="00551830"/>
    <w:rsid w:val="005556F0"/>
    <w:rsid w:val="0056484B"/>
    <w:rsid w:val="00577080"/>
    <w:rsid w:val="005A4764"/>
    <w:rsid w:val="00632E0C"/>
    <w:rsid w:val="00645988"/>
    <w:rsid w:val="00647B7C"/>
    <w:rsid w:val="00662D53"/>
    <w:rsid w:val="00663C23"/>
    <w:rsid w:val="006A7620"/>
    <w:rsid w:val="006B659F"/>
    <w:rsid w:val="00733BAB"/>
    <w:rsid w:val="007452AA"/>
    <w:rsid w:val="0075119D"/>
    <w:rsid w:val="00776470"/>
    <w:rsid w:val="007854D4"/>
    <w:rsid w:val="007F0B85"/>
    <w:rsid w:val="007F32A2"/>
    <w:rsid w:val="007F3FD7"/>
    <w:rsid w:val="007F46C9"/>
    <w:rsid w:val="008063AC"/>
    <w:rsid w:val="00824528"/>
    <w:rsid w:val="00824A99"/>
    <w:rsid w:val="00845C4F"/>
    <w:rsid w:val="008C21BD"/>
    <w:rsid w:val="008F72E8"/>
    <w:rsid w:val="00934276"/>
    <w:rsid w:val="0095346F"/>
    <w:rsid w:val="00985BD4"/>
    <w:rsid w:val="009926BB"/>
    <w:rsid w:val="009B2917"/>
    <w:rsid w:val="009D77AC"/>
    <w:rsid w:val="009E2DC7"/>
    <w:rsid w:val="009E578A"/>
    <w:rsid w:val="00A10920"/>
    <w:rsid w:val="00A46B4B"/>
    <w:rsid w:val="00AA5FE7"/>
    <w:rsid w:val="00AD1900"/>
    <w:rsid w:val="00B31495"/>
    <w:rsid w:val="00B43238"/>
    <w:rsid w:val="00B70668"/>
    <w:rsid w:val="00BD37C5"/>
    <w:rsid w:val="00C4236C"/>
    <w:rsid w:val="00C45B85"/>
    <w:rsid w:val="00C66A05"/>
    <w:rsid w:val="00C73AD3"/>
    <w:rsid w:val="00C927E0"/>
    <w:rsid w:val="00CB3067"/>
    <w:rsid w:val="00CD55C3"/>
    <w:rsid w:val="00CE1F2B"/>
    <w:rsid w:val="00CE52F8"/>
    <w:rsid w:val="00CF3822"/>
    <w:rsid w:val="00D109EB"/>
    <w:rsid w:val="00D250C6"/>
    <w:rsid w:val="00D40530"/>
    <w:rsid w:val="00D9047B"/>
    <w:rsid w:val="00DA5E66"/>
    <w:rsid w:val="00DB3693"/>
    <w:rsid w:val="00DF052E"/>
    <w:rsid w:val="00E27BAB"/>
    <w:rsid w:val="00E868EF"/>
    <w:rsid w:val="00E920ED"/>
    <w:rsid w:val="00EA1D04"/>
    <w:rsid w:val="00EB0DE1"/>
    <w:rsid w:val="00EB2CF5"/>
    <w:rsid w:val="00EE51E5"/>
    <w:rsid w:val="00F44501"/>
    <w:rsid w:val="00F76901"/>
    <w:rsid w:val="00F93B58"/>
    <w:rsid w:val="00FA4A06"/>
    <w:rsid w:val="00FB46E6"/>
    <w:rsid w:val="00FD7F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DF2F7"/>
  <w15:chartTrackingRefBased/>
  <w15:docId w15:val="{64D535D1-141B-4B3B-8F8C-00CB5032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917"/>
    <w:pPr>
      <w:bidi/>
      <w:spacing w:after="200" w:line="276" w:lineRule="auto"/>
    </w:pPr>
    <w:rPr>
      <w:rFonts w:ascii="Calibri" w:eastAsia="Calibri" w:hAnsi="Calibri"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פיסקת רשימה תו"/>
    <w:link w:val="1"/>
    <w:uiPriority w:val="34"/>
    <w:locked/>
    <w:rsid w:val="009B2917"/>
    <w:rPr>
      <w:rFonts w:ascii="Times New Roman" w:eastAsia="Times New Roman" w:hAnsi="Times New Roman" w:cs="Times New Roman"/>
      <w:sz w:val="24"/>
      <w:szCs w:val="24"/>
    </w:rPr>
  </w:style>
  <w:style w:type="paragraph" w:customStyle="1" w:styleId="1">
    <w:name w:val="פיסקת רשימה1"/>
    <w:basedOn w:val="a"/>
    <w:link w:val="a3"/>
    <w:uiPriority w:val="34"/>
    <w:qFormat/>
    <w:rsid w:val="009B2917"/>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9B2917"/>
    <w:pPr>
      <w:numPr>
        <w:numId w:val="1"/>
      </w:numPr>
      <w:spacing w:line="360" w:lineRule="auto"/>
      <w:jc w:val="both"/>
    </w:pPr>
    <w:rPr>
      <w:rFonts w:cs="David"/>
      <w:sz w:val="28"/>
      <w:szCs w:val="28"/>
    </w:rPr>
  </w:style>
  <w:style w:type="paragraph" w:styleId="a4">
    <w:name w:val="header"/>
    <w:basedOn w:val="a"/>
    <w:link w:val="a5"/>
    <w:unhideWhenUsed/>
    <w:rsid w:val="009B2917"/>
    <w:pPr>
      <w:tabs>
        <w:tab w:val="center" w:pos="4153"/>
        <w:tab w:val="right" w:pos="8306"/>
      </w:tabs>
    </w:pPr>
  </w:style>
  <w:style w:type="character" w:customStyle="1" w:styleId="a5">
    <w:name w:val="כותרת עליונה תו"/>
    <w:basedOn w:val="a0"/>
    <w:link w:val="a4"/>
    <w:rsid w:val="009B2917"/>
    <w:rPr>
      <w:rFonts w:ascii="Calibri" w:eastAsia="Calibri" w:hAnsi="Calibri" w:cs="David"/>
      <w:sz w:val="28"/>
      <w:szCs w:val="28"/>
    </w:rPr>
  </w:style>
  <w:style w:type="paragraph" w:styleId="a6">
    <w:name w:val="footer"/>
    <w:basedOn w:val="a"/>
    <w:link w:val="a7"/>
    <w:uiPriority w:val="99"/>
    <w:unhideWhenUsed/>
    <w:rsid w:val="009B2917"/>
    <w:pPr>
      <w:tabs>
        <w:tab w:val="center" w:pos="4153"/>
        <w:tab w:val="right" w:pos="8306"/>
      </w:tabs>
    </w:pPr>
  </w:style>
  <w:style w:type="character" w:customStyle="1" w:styleId="a7">
    <w:name w:val="כותרת תחתונה תו"/>
    <w:basedOn w:val="a0"/>
    <w:link w:val="a6"/>
    <w:uiPriority w:val="99"/>
    <w:rsid w:val="009B2917"/>
    <w:rPr>
      <w:rFonts w:ascii="Calibri" w:eastAsia="Calibri" w:hAnsi="Calibri" w:cs="David"/>
      <w:sz w:val="28"/>
      <w:szCs w:val="28"/>
    </w:rPr>
  </w:style>
  <w:style w:type="character" w:customStyle="1" w:styleId="20">
    <w:name w:val="סגנון2 תו"/>
    <w:link w:val="2"/>
    <w:rsid w:val="009B2917"/>
    <w:rPr>
      <w:rFonts w:ascii="Times New Roman" w:eastAsia="Times New Roman" w:hAnsi="Times New Roman" w:cs="Dav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      Light"/>
        <a:font script="Hang" typeface="     "/>
        <a:font script="Hans" typeface="   Light"/>
        <a:font script="Hant" typeface="    "/>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   "/>
        <a:font script="Hang" typeface="     "/>
        <a:font script="Hans" typeface="  "/>
        <a:font script="Hant" typeface="    "/>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raClrScheme>
      <a:clrScheme name="extraLst0">
        <a:dk1>
          <a:srgbClr val="7C1F61"/>
        </a:dk1>
        <a:lt1>
          <a:srgbClr val="AC250C"/>
        </a:lt1>
        <a:dk2>
          <a:srgbClr val="01EF9C"/>
        </a:dk2>
        <a:lt2>
          <a:srgbClr val="F14730"/>
        </a:lt2>
        <a:accent1>
          <a:srgbClr val="FEE58E"/>
        </a:accent1>
        <a:accent2>
          <a:srgbClr val="71DA5E"/>
        </a:accent2>
        <a:accent3>
          <a:srgbClr val="2C14E6"/>
        </a:accent3>
        <a:accent4>
          <a:srgbClr val="3300A8"/>
        </a:accent4>
        <a:accent5>
          <a:srgbClr val="218B9F"/>
        </a:accent5>
        <a:accent6>
          <a:srgbClr val="64330D"/>
        </a:accent6>
        <a:hlink>
          <a:srgbClr val="CE4B38"/>
        </a:hlink>
        <a:folHlink>
          <a:srgbClr val="1F637D"/>
        </a:folHlink>
      </a:clrScheme>
    </a:extraClrScheme>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2721</Words>
  <Characters>15515</Characters>
  <Application>Microsoft Office Word</Application>
  <DocSecurity>0</DocSecurity>
  <Lines>129</Lines>
  <Paragraphs>36</Paragraphs>
  <ScaleCrop>false</ScaleCrop>
  <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אבי הראל</cp:lastModifiedBy>
  <cp:revision>6</cp:revision>
  <dcterms:created xsi:type="dcterms:W3CDTF">2023-04-17T14:10:00Z</dcterms:created>
  <dcterms:modified xsi:type="dcterms:W3CDTF">2023-04-18T07:59:00Z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2023-04-17T14:12:46Z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206f8172-e1bd-4b1b-8ff4-0a6d62de51c4</vt:lpwstr>
  </property>
  <property fmtid="{D5CDD505-2E9C-101B-9397-08002B2CF9AE}" pid="11" name="MSIP_Label_701b9bfc-c426-492e-a46c-1a922d5fe54b_ContentBits">
    <vt:lpwstr>1</vt:lpwstr>
  </property>
</Properties>
</file>