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43B1" w14:textId="24003BA3" w:rsidR="00E83AF4" w:rsidRPr="00E83AF4" w:rsidRDefault="00E83AF4" w:rsidP="00E83AF4">
      <w:pPr>
        <w:tabs>
          <w:tab w:val="right" w:pos="6860"/>
        </w:tabs>
        <w:spacing w:line="480" w:lineRule="auto"/>
        <w:ind w:left="2324" w:right="1985"/>
        <w:rPr>
          <w:rFonts w:hint="cs"/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7E59B9E9" wp14:editId="533E1D26">
            <wp:extent cx="866775" cy="790575"/>
            <wp:effectExtent l="0" t="0" r="9525" b="9525"/>
            <wp:docPr id="6" name="Picture 6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10F11E3D" wp14:editId="0D21BF10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C781" w14:textId="5409EC7C" w:rsidR="00AC5B08" w:rsidRPr="00FD2DDA" w:rsidRDefault="00AC5B08" w:rsidP="00E83AF4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10FB5537" w14:textId="77777777" w:rsidR="00AC5B08" w:rsidRPr="00FD2DDA" w:rsidRDefault="00AC5B08" w:rsidP="00AC5B08">
      <w:pPr>
        <w:spacing w:before="12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413A8228" w14:textId="3333989A" w:rsidR="00AC5B08" w:rsidRDefault="00AC5B08" w:rsidP="00AC5B08">
      <w:pPr>
        <w:spacing w:before="120" w:line="480" w:lineRule="auto"/>
        <w:ind w:left="2174" w:right="2268"/>
        <w:jc w:val="both"/>
        <w:rPr>
          <w:rFonts w:cs="David"/>
          <w:sz w:val="28"/>
          <w:szCs w:val="28"/>
          <w:rtl/>
        </w:rPr>
      </w:pPr>
      <w:r w:rsidRPr="005E2B5F">
        <w:rPr>
          <w:rFonts w:cs="David" w:hint="cs"/>
          <w:b/>
          <w:bCs/>
          <w:sz w:val="28"/>
          <w:szCs w:val="28"/>
          <w:rtl/>
        </w:rPr>
        <w:t xml:space="preserve">אלופה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אורלי מרקמן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-     </w:t>
      </w:r>
      <w:r w:rsidRPr="005E2B5F">
        <w:rPr>
          <w:rFonts w:cs="David" w:hint="cs"/>
          <w:sz w:val="28"/>
          <w:szCs w:val="28"/>
          <w:rtl/>
        </w:rPr>
        <w:t>הנשיאה</w:t>
      </w:r>
      <w:r w:rsidRPr="005E2B5F">
        <w:rPr>
          <w:rFonts w:cs="David"/>
          <w:sz w:val="28"/>
          <w:szCs w:val="28"/>
          <w:rtl/>
        </w:rPr>
        <w:br/>
      </w:r>
      <w:r w:rsidRPr="005E2B5F">
        <w:rPr>
          <w:rFonts w:cs="David" w:hint="cs"/>
          <w:b/>
          <w:bCs/>
          <w:sz w:val="28"/>
          <w:szCs w:val="28"/>
          <w:rtl/>
        </w:rPr>
        <w:t xml:space="preserve">תא"ל </w:t>
      </w:r>
      <w:r>
        <w:rPr>
          <w:rFonts w:cs="David" w:hint="cs"/>
          <w:b/>
          <w:bCs/>
          <w:sz w:val="28"/>
          <w:szCs w:val="28"/>
          <w:rtl/>
        </w:rPr>
        <w:t xml:space="preserve"> 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נועה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זומר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 -   </w:t>
      </w:r>
      <w:r w:rsidRPr="005E2B5F">
        <w:rPr>
          <w:rFonts w:cs="David" w:hint="cs"/>
          <w:sz w:val="28"/>
          <w:szCs w:val="28"/>
          <w:rtl/>
        </w:rPr>
        <w:t>המשנה לנשיאה</w:t>
      </w:r>
      <w:r w:rsidRPr="005E2B5F">
        <w:rPr>
          <w:rFonts w:cs="David"/>
          <w:sz w:val="28"/>
          <w:szCs w:val="28"/>
          <w:rtl/>
        </w:rPr>
        <w:br/>
      </w:r>
      <w:r w:rsidRPr="005E2B5F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rtl/>
        </w:rPr>
        <w:t xml:space="preserve">       </w:t>
      </w:r>
      <w:r w:rsidRPr="00264CBE">
        <w:rPr>
          <w:rFonts w:ascii="David" w:hAnsi="David" w:cs="David"/>
          <w:b/>
          <w:bCs/>
          <w:sz w:val="28"/>
          <w:szCs w:val="28"/>
          <w:rtl/>
        </w:rPr>
        <w:t>-</w:t>
      </w:r>
      <w:r>
        <w:rPr>
          <w:rFonts w:ascii="David" w:hAnsi="David" w:hint="cs"/>
          <w:rtl/>
        </w:rPr>
        <w:t xml:space="preserve">                   </w:t>
      </w:r>
      <w:r w:rsidRPr="005E2B5F">
        <w:rPr>
          <w:rFonts w:cs="David" w:hint="cs"/>
          <w:sz w:val="28"/>
          <w:szCs w:val="28"/>
          <w:rtl/>
        </w:rPr>
        <w:t>שופטת</w:t>
      </w:r>
    </w:p>
    <w:p w14:paraId="5D721ED1" w14:textId="77777777" w:rsidR="00597AC9" w:rsidRPr="005E2B5F" w:rsidRDefault="00597AC9" w:rsidP="00AC5B08">
      <w:pPr>
        <w:spacing w:before="120" w:line="480" w:lineRule="auto"/>
        <w:ind w:left="2174" w:right="2268"/>
        <w:jc w:val="both"/>
        <w:rPr>
          <w:rFonts w:cs="David"/>
          <w:sz w:val="28"/>
          <w:szCs w:val="28"/>
          <w:rtl/>
        </w:rPr>
      </w:pPr>
    </w:p>
    <w:p w14:paraId="5D798E73" w14:textId="6FBC458C" w:rsidR="00AC5B08" w:rsidRDefault="00AC5B08" w:rsidP="00AC5B08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24C4F68F" w14:textId="77777777" w:rsidR="00597AC9" w:rsidRPr="00FD2DDA" w:rsidRDefault="00597AC9" w:rsidP="00AC5B08">
      <w:pPr>
        <w:rPr>
          <w:rFonts w:ascii="David" w:hAnsi="David" w:cs="David"/>
          <w:sz w:val="28"/>
          <w:szCs w:val="28"/>
          <w:rtl/>
        </w:rPr>
      </w:pPr>
    </w:p>
    <w:p w14:paraId="1B5AA95F" w14:textId="52B075B7" w:rsidR="00AC5B08" w:rsidRPr="00FD2DDA" w:rsidRDefault="00AC5B08" w:rsidP="00172D42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ח/</w:t>
      </w:r>
      <w:r w:rsidR="00172D42">
        <w:rPr>
          <w:rFonts w:ascii="David" w:hAnsi="David" w:cs="David" w:hint="cs"/>
          <w:b/>
          <w:bCs/>
          <w:sz w:val="28"/>
          <w:szCs w:val="28"/>
        </w:rPr>
        <w:t>XXXXXXX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טור'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אאוטה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ווסיה</w:t>
      </w:r>
      <w:proofErr w:type="spellEnd"/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597AC9">
        <w:rPr>
          <w:rFonts w:ascii="David" w:hAnsi="David" w:cs="David" w:hint="cs"/>
          <w:sz w:val="28"/>
          <w:szCs w:val="28"/>
          <w:rtl/>
        </w:rPr>
        <w:t>רס"ן</w:t>
      </w:r>
      <w:r>
        <w:rPr>
          <w:rFonts w:ascii="David" w:hAnsi="David" w:cs="David" w:hint="cs"/>
          <w:sz w:val="28"/>
          <w:szCs w:val="28"/>
          <w:rtl/>
        </w:rPr>
        <w:t xml:space="preserve"> אלמוג מגל; סרן אהרן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פופקו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002061F4" w14:textId="77777777" w:rsidR="00AC5B08" w:rsidRPr="00FD2DDA" w:rsidRDefault="00AC5B08" w:rsidP="00AC5B08">
      <w:pPr>
        <w:jc w:val="center"/>
        <w:rPr>
          <w:rFonts w:ascii="David" w:hAnsi="David" w:cs="David"/>
          <w:sz w:val="28"/>
          <w:szCs w:val="28"/>
          <w:rtl/>
        </w:rPr>
      </w:pPr>
    </w:p>
    <w:p w14:paraId="755A8935" w14:textId="77777777" w:rsidR="00AC5B08" w:rsidRPr="00FD2DDA" w:rsidRDefault="00AC5B08" w:rsidP="00AC5B08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2D4E9F9B" w14:textId="4166A53A" w:rsidR="00AC5B08" w:rsidRPr="00FD2DDA" w:rsidRDefault="00AC5B08" w:rsidP="00AC5B08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cs="David" w:hint="cs"/>
          <w:b/>
          <w:bCs/>
          <w:sz w:val="32"/>
          <w:szCs w:val="28"/>
          <w:rtl/>
        </w:rPr>
        <w:t>התובע הצבאי הראשי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הודיה אביב; סגן יעל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יוסילביץ</w:t>
      </w:r>
      <w:proofErr w:type="spellEnd"/>
      <w:r>
        <w:rPr>
          <w:rFonts w:ascii="David" w:hAnsi="David" w:cs="David" w:hint="cs"/>
          <w:sz w:val="28"/>
          <w:szCs w:val="28"/>
          <w:rtl/>
        </w:rPr>
        <w:t>'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3C4DCE02" w14:textId="77777777" w:rsidR="00AC5B08" w:rsidRPr="00FD2DDA" w:rsidRDefault="00AC5B08" w:rsidP="00AC5B08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FE4EE42" w14:textId="51C8933B" w:rsidR="00AC5B08" w:rsidRDefault="00AC5B08" w:rsidP="00AC5B08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 xml:space="preserve">ערעור על </w:t>
      </w:r>
      <w:r>
        <w:rPr>
          <w:rFonts w:ascii="David" w:hAnsi="David" w:cs="David" w:hint="cs"/>
          <w:sz w:val="28"/>
          <w:szCs w:val="28"/>
          <w:rtl/>
        </w:rPr>
        <w:t>פסק דין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של בית הדין הצבאי המחוזי במחוז שיפוטי </w:t>
      </w:r>
      <w:r>
        <w:rPr>
          <w:rFonts w:ascii="David" w:hAnsi="David" w:cs="David" w:hint="cs"/>
          <w:sz w:val="28"/>
          <w:szCs w:val="28"/>
          <w:rtl/>
        </w:rPr>
        <w:t>המטכ"ל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שניתן בתיק </w:t>
      </w:r>
      <w:r>
        <w:rPr>
          <w:rFonts w:ascii="David" w:hAnsi="David" w:cs="David" w:hint="cs"/>
          <w:sz w:val="28"/>
          <w:szCs w:val="28"/>
          <w:rtl/>
        </w:rPr>
        <w:t>מטכ"ל</w:t>
      </w:r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Pr="00FE7B6F">
        <w:rPr>
          <w:rFonts w:ascii="David" w:hAnsi="David" w:cs="David" w:hint="cs"/>
          <w:sz w:val="28"/>
          <w:szCs w:val="28"/>
          <w:rtl/>
        </w:rPr>
        <w:t xml:space="preserve">(מחוזי) </w:t>
      </w:r>
      <w:r>
        <w:rPr>
          <w:rFonts w:ascii="David" w:hAnsi="David" w:cs="David" w:hint="cs"/>
          <w:sz w:val="28"/>
          <w:szCs w:val="28"/>
          <w:rtl/>
        </w:rPr>
        <w:t>323/24</w:t>
      </w:r>
      <w:r w:rsidRPr="00FE7B6F">
        <w:rPr>
          <w:rFonts w:ascii="David" w:hAnsi="David" w:cs="David" w:hint="cs"/>
          <w:sz w:val="28"/>
          <w:szCs w:val="28"/>
          <w:rtl/>
        </w:rPr>
        <w:t xml:space="preserve"> (סא"ל </w:t>
      </w:r>
      <w:r w:rsidR="00C239D9">
        <w:rPr>
          <w:rFonts w:ascii="David" w:hAnsi="David" w:cs="David" w:hint="cs"/>
          <w:sz w:val="28"/>
          <w:szCs w:val="28"/>
          <w:rtl/>
        </w:rPr>
        <w:t xml:space="preserve">סבסטיאן </w:t>
      </w:r>
      <w:proofErr w:type="spellStart"/>
      <w:r w:rsidR="00C239D9">
        <w:rPr>
          <w:rFonts w:ascii="David" w:hAnsi="David" w:cs="David" w:hint="cs"/>
          <w:sz w:val="28"/>
          <w:szCs w:val="28"/>
          <w:rtl/>
        </w:rPr>
        <w:t>אוסובסקי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אב"ד; </w:t>
      </w:r>
      <w:r w:rsidR="00C239D9">
        <w:rPr>
          <w:rFonts w:ascii="David" w:hAnsi="David" w:cs="David" w:hint="cs"/>
          <w:sz w:val="28"/>
          <w:szCs w:val="28"/>
          <w:rtl/>
        </w:rPr>
        <w:t>רס"ן תמיר קלפה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שופט; רס"ן </w:t>
      </w:r>
      <w:r w:rsidR="00C239D9">
        <w:rPr>
          <w:rFonts w:ascii="David" w:hAnsi="David" w:cs="David" w:hint="cs"/>
          <w:sz w:val="28"/>
          <w:szCs w:val="28"/>
          <w:rtl/>
        </w:rPr>
        <w:t xml:space="preserve">ליה </w:t>
      </w:r>
      <w:proofErr w:type="spellStart"/>
      <w:r w:rsidR="00C239D9">
        <w:rPr>
          <w:rFonts w:ascii="David" w:hAnsi="David" w:cs="David" w:hint="cs"/>
          <w:sz w:val="28"/>
          <w:szCs w:val="28"/>
          <w:rtl/>
        </w:rPr>
        <w:t>שרובסקי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שופטת</w:t>
      </w:r>
      <w:r w:rsidRPr="00FE7B6F">
        <w:rPr>
          <w:rFonts w:ascii="David" w:hAnsi="David" w:cs="David" w:hint="cs"/>
          <w:sz w:val="28"/>
          <w:szCs w:val="28"/>
          <w:rtl/>
        </w:rPr>
        <w:t xml:space="preserve">) ביום </w:t>
      </w:r>
      <w:r w:rsidR="00C239D9">
        <w:rPr>
          <w:rFonts w:ascii="David" w:hAnsi="David" w:cs="David" w:hint="cs"/>
          <w:sz w:val="28"/>
          <w:szCs w:val="28"/>
          <w:rtl/>
        </w:rPr>
        <w:t>26.12</w:t>
      </w:r>
      <w:r>
        <w:rPr>
          <w:rFonts w:ascii="David" w:hAnsi="David" w:cs="David" w:hint="cs"/>
          <w:sz w:val="28"/>
          <w:szCs w:val="28"/>
          <w:rtl/>
        </w:rPr>
        <w:t>.2024</w:t>
      </w:r>
      <w:r w:rsidRPr="00FE7B6F">
        <w:rPr>
          <w:rFonts w:ascii="David" w:hAnsi="David" w:cs="David" w:hint="cs"/>
          <w:sz w:val="28"/>
          <w:szCs w:val="28"/>
          <w:rtl/>
        </w:rPr>
        <w:t xml:space="preserve">.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FE7B6F">
        <w:rPr>
          <w:rFonts w:ascii="David" w:hAnsi="David" w:cs="David" w:hint="cs"/>
          <w:sz w:val="28"/>
          <w:szCs w:val="28"/>
          <w:rtl/>
        </w:rPr>
        <w:t>ערעור התקבל</w:t>
      </w:r>
      <w:bookmarkEnd w:id="0"/>
      <w:r>
        <w:rPr>
          <w:rFonts w:ascii="David" w:hAnsi="David" w:cs="David" w:hint="cs"/>
          <w:sz w:val="28"/>
          <w:szCs w:val="28"/>
          <w:rtl/>
        </w:rPr>
        <w:t>.</w:t>
      </w:r>
    </w:p>
    <w:p w14:paraId="47CA670E" w14:textId="4ADB90C0" w:rsidR="00AC5B08" w:rsidRDefault="00AC5B08" w:rsidP="00AC5B08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8E5CEE5" w14:textId="77777777" w:rsidR="00AC5B08" w:rsidRDefault="00AC5B08" w:rsidP="00AC5B08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</w:p>
    <w:bookmarkEnd w:id="1"/>
    <w:p w14:paraId="2E5B74D4" w14:textId="77777777" w:rsidR="00AC5B08" w:rsidRDefault="00AC5B08" w:rsidP="006132C0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8B9C191" w14:textId="1267ACC3" w:rsidR="006132C0" w:rsidRPr="005B6B0D" w:rsidRDefault="006132C0" w:rsidP="006132C0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B6B0D">
        <w:rPr>
          <w:rFonts w:cs="David" w:hint="cs"/>
          <w:b/>
          <w:bCs/>
          <w:sz w:val="28"/>
          <w:szCs w:val="28"/>
          <w:u w:val="single"/>
          <w:rtl/>
        </w:rPr>
        <w:t>פ ס ק - ד י ן</w:t>
      </w:r>
    </w:p>
    <w:p w14:paraId="6943C944" w14:textId="77777777" w:rsidR="006132C0" w:rsidRDefault="006132C0" w:rsidP="006132C0">
      <w:pPr>
        <w:spacing w:line="353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0A69FC1" w14:textId="4DDC00A2" w:rsidR="005C5EA7" w:rsidRDefault="005C5EA7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 w:rsidRPr="00856984">
        <w:rPr>
          <w:rFonts w:cs="David" w:hint="cs"/>
          <w:sz w:val="28"/>
          <w:szCs w:val="28"/>
          <w:rtl/>
        </w:rPr>
        <w:t>המ</w:t>
      </w:r>
      <w:r>
        <w:rPr>
          <w:rFonts w:cs="David" w:hint="cs"/>
          <w:sz w:val="28"/>
          <w:szCs w:val="28"/>
          <w:rtl/>
        </w:rPr>
        <w:t>ערער</w:t>
      </w:r>
      <w:r w:rsidRPr="00856984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טור' </w:t>
      </w:r>
      <w:proofErr w:type="spellStart"/>
      <w:r w:rsidR="0013478C">
        <w:rPr>
          <w:rFonts w:cs="David" w:hint="cs"/>
          <w:sz w:val="28"/>
          <w:szCs w:val="28"/>
          <w:rtl/>
        </w:rPr>
        <w:t>אאוטה</w:t>
      </w:r>
      <w:proofErr w:type="spellEnd"/>
      <w:r w:rsidR="0013478C">
        <w:rPr>
          <w:rFonts w:cs="David" w:hint="cs"/>
          <w:sz w:val="28"/>
          <w:szCs w:val="28"/>
          <w:rtl/>
        </w:rPr>
        <w:t xml:space="preserve"> </w:t>
      </w:r>
      <w:proofErr w:type="spellStart"/>
      <w:r w:rsidR="0013478C">
        <w:rPr>
          <w:rFonts w:cs="David" w:hint="cs"/>
          <w:sz w:val="28"/>
          <w:szCs w:val="28"/>
          <w:rtl/>
        </w:rPr>
        <w:t>ווסיה</w:t>
      </w:r>
      <w:proofErr w:type="spellEnd"/>
      <w:r w:rsidRPr="00856984">
        <w:rPr>
          <w:rFonts w:cs="David" w:hint="cs"/>
          <w:sz w:val="28"/>
          <w:szCs w:val="28"/>
          <w:rtl/>
        </w:rPr>
        <w:t xml:space="preserve">, הורשע על פי הודאתו, בעבירה של היעדר מן השירות שלא ברשות, לפי סעיף 94 לחוק השיפוט הצבאי, תשט"ו </w:t>
      </w:r>
      <w:r w:rsidR="00B91A5B">
        <w:rPr>
          <w:rFonts w:cs="David" w:hint="cs"/>
          <w:sz w:val="28"/>
          <w:szCs w:val="28"/>
          <w:rtl/>
        </w:rPr>
        <w:t>-</w:t>
      </w:r>
      <w:r w:rsidR="009A3C2A">
        <w:rPr>
          <w:rFonts w:cs="David" w:hint="cs"/>
          <w:sz w:val="28"/>
          <w:szCs w:val="28"/>
          <w:rtl/>
        </w:rPr>
        <w:t xml:space="preserve"> </w:t>
      </w:r>
      <w:r w:rsidRPr="00856984">
        <w:rPr>
          <w:rFonts w:cs="David" w:hint="cs"/>
          <w:sz w:val="28"/>
          <w:szCs w:val="28"/>
          <w:rtl/>
        </w:rPr>
        <w:t>1955</w:t>
      </w:r>
      <w:r>
        <w:rPr>
          <w:rFonts w:cs="David" w:hint="cs"/>
          <w:sz w:val="28"/>
          <w:szCs w:val="28"/>
          <w:rtl/>
        </w:rPr>
        <w:t>.</w:t>
      </w:r>
      <w:r w:rsidRPr="00856984">
        <w:rPr>
          <w:rFonts w:cs="David" w:hint="cs"/>
          <w:sz w:val="28"/>
          <w:szCs w:val="28"/>
          <w:rtl/>
        </w:rPr>
        <w:t xml:space="preserve"> </w:t>
      </w:r>
      <w:r w:rsidR="00CC2163">
        <w:rPr>
          <w:rFonts w:cs="David" w:hint="cs"/>
          <w:sz w:val="28"/>
          <w:szCs w:val="28"/>
          <w:rtl/>
        </w:rPr>
        <w:t>המערער</w:t>
      </w:r>
      <w:r>
        <w:rPr>
          <w:rFonts w:cs="David" w:hint="cs"/>
          <w:sz w:val="28"/>
          <w:szCs w:val="28"/>
          <w:rtl/>
        </w:rPr>
        <w:t xml:space="preserve"> נעדר</w:t>
      </w:r>
      <w:r w:rsidRPr="00856984">
        <w:rPr>
          <w:rFonts w:cs="David" w:hint="cs"/>
          <w:sz w:val="28"/>
          <w:szCs w:val="28"/>
          <w:rtl/>
        </w:rPr>
        <w:t xml:space="preserve"> מיחידתו</w:t>
      </w:r>
      <w:r w:rsidR="00CC2163">
        <w:rPr>
          <w:rFonts w:cs="David" w:hint="cs"/>
          <w:sz w:val="28"/>
          <w:szCs w:val="28"/>
          <w:rtl/>
        </w:rPr>
        <w:t>,</w:t>
      </w:r>
      <w:r w:rsidRPr="00856984">
        <w:rPr>
          <w:rFonts w:cs="David" w:hint="cs"/>
          <w:sz w:val="28"/>
          <w:szCs w:val="28"/>
          <w:rtl/>
        </w:rPr>
        <w:t xml:space="preserve"> </w:t>
      </w:r>
      <w:r w:rsidR="003706C3">
        <w:rPr>
          <w:rFonts w:cs="David"/>
          <w:sz w:val="28"/>
          <w:szCs w:val="28"/>
        </w:rPr>
        <w:t>XXX</w:t>
      </w:r>
      <w:r w:rsidR="00CC2163">
        <w:rPr>
          <w:rFonts w:cs="David" w:hint="cs"/>
          <w:sz w:val="28"/>
          <w:szCs w:val="28"/>
          <w:rtl/>
        </w:rPr>
        <w:t>,</w:t>
      </w:r>
      <w:r w:rsidRPr="00856984">
        <w:rPr>
          <w:rFonts w:cs="David" w:hint="cs"/>
          <w:sz w:val="28"/>
          <w:szCs w:val="28"/>
          <w:rtl/>
        </w:rPr>
        <w:t xml:space="preserve"> החל מיום </w:t>
      </w:r>
      <w:r>
        <w:rPr>
          <w:rFonts w:cs="David" w:hint="cs"/>
          <w:sz w:val="28"/>
          <w:szCs w:val="28"/>
          <w:rtl/>
        </w:rPr>
        <w:t>25</w:t>
      </w:r>
      <w:r w:rsidRPr="00856984">
        <w:rPr>
          <w:rFonts w:cs="David" w:hint="cs"/>
          <w:sz w:val="28"/>
          <w:szCs w:val="28"/>
          <w:rtl/>
        </w:rPr>
        <w:t xml:space="preserve"> ב</w:t>
      </w:r>
      <w:r>
        <w:rPr>
          <w:rFonts w:cs="David" w:hint="cs"/>
          <w:sz w:val="28"/>
          <w:szCs w:val="28"/>
          <w:rtl/>
        </w:rPr>
        <w:t>אפריל</w:t>
      </w:r>
      <w:r w:rsidRPr="00856984">
        <w:rPr>
          <w:rFonts w:cs="David" w:hint="cs"/>
          <w:sz w:val="28"/>
          <w:szCs w:val="28"/>
          <w:rtl/>
        </w:rPr>
        <w:t xml:space="preserve"> 202</w:t>
      </w:r>
      <w:r w:rsidR="00E55C75">
        <w:rPr>
          <w:rFonts w:cs="David" w:hint="cs"/>
          <w:sz w:val="28"/>
          <w:szCs w:val="28"/>
          <w:rtl/>
        </w:rPr>
        <w:t>1</w:t>
      </w:r>
      <w:r w:rsidRPr="00856984">
        <w:rPr>
          <w:rFonts w:cs="David" w:hint="cs"/>
          <w:sz w:val="28"/>
          <w:szCs w:val="28"/>
          <w:rtl/>
        </w:rPr>
        <w:t xml:space="preserve"> ועד </w:t>
      </w:r>
      <w:r>
        <w:rPr>
          <w:rFonts w:cs="David" w:hint="cs"/>
          <w:sz w:val="28"/>
          <w:szCs w:val="28"/>
          <w:rtl/>
        </w:rPr>
        <w:t>ל</w:t>
      </w:r>
      <w:r w:rsidRPr="00856984">
        <w:rPr>
          <w:rFonts w:cs="David" w:hint="cs"/>
          <w:sz w:val="28"/>
          <w:szCs w:val="28"/>
          <w:rtl/>
        </w:rPr>
        <w:t xml:space="preserve">יום </w:t>
      </w:r>
      <w:r>
        <w:rPr>
          <w:rFonts w:cs="David" w:hint="cs"/>
          <w:sz w:val="28"/>
          <w:szCs w:val="28"/>
          <w:rtl/>
        </w:rPr>
        <w:t>3</w:t>
      </w:r>
      <w:r w:rsidRPr="00856984">
        <w:rPr>
          <w:rFonts w:cs="David" w:hint="cs"/>
          <w:sz w:val="28"/>
          <w:szCs w:val="28"/>
          <w:rtl/>
        </w:rPr>
        <w:t xml:space="preserve"> ב</w:t>
      </w:r>
      <w:r w:rsidR="00E55C75">
        <w:rPr>
          <w:rFonts w:cs="David" w:hint="cs"/>
          <w:sz w:val="28"/>
          <w:szCs w:val="28"/>
          <w:rtl/>
        </w:rPr>
        <w:t>יולי</w:t>
      </w:r>
      <w:r w:rsidRPr="00856984">
        <w:rPr>
          <w:rFonts w:cs="David" w:hint="cs"/>
          <w:sz w:val="28"/>
          <w:szCs w:val="28"/>
          <w:rtl/>
        </w:rPr>
        <w:t xml:space="preserve"> 2024</w:t>
      </w:r>
      <w:r>
        <w:rPr>
          <w:rFonts w:cs="David" w:hint="cs"/>
          <w:sz w:val="28"/>
          <w:szCs w:val="28"/>
          <w:rtl/>
        </w:rPr>
        <w:t xml:space="preserve">, </w:t>
      </w:r>
      <w:r w:rsidR="00CC2163">
        <w:rPr>
          <w:rFonts w:cs="David" w:hint="cs"/>
          <w:sz w:val="28"/>
          <w:szCs w:val="28"/>
          <w:rtl/>
        </w:rPr>
        <w:t xml:space="preserve">למשך 1,166 ימים, </w:t>
      </w:r>
      <w:r>
        <w:rPr>
          <w:rFonts w:cs="David" w:hint="cs"/>
          <w:sz w:val="28"/>
          <w:szCs w:val="28"/>
          <w:rtl/>
        </w:rPr>
        <w:t>כאשר</w:t>
      </w:r>
      <w:r w:rsidR="00E55C75">
        <w:rPr>
          <w:rFonts w:cs="David" w:hint="cs"/>
          <w:sz w:val="28"/>
          <w:szCs w:val="28"/>
          <w:rtl/>
        </w:rPr>
        <w:t xml:space="preserve"> מתוכם</w:t>
      </w:r>
      <w:r>
        <w:rPr>
          <w:rFonts w:cs="David" w:hint="cs"/>
          <w:sz w:val="28"/>
          <w:szCs w:val="28"/>
          <w:rtl/>
        </w:rPr>
        <w:t xml:space="preserve"> 271 ימים </w:t>
      </w:r>
      <w:r w:rsidR="00E55C75">
        <w:rPr>
          <w:rFonts w:cs="David" w:hint="cs"/>
          <w:sz w:val="28"/>
          <w:szCs w:val="28"/>
          <w:rtl/>
        </w:rPr>
        <w:t>במהלך</w:t>
      </w:r>
      <w:r>
        <w:rPr>
          <w:rFonts w:cs="David" w:hint="cs"/>
          <w:sz w:val="28"/>
          <w:szCs w:val="28"/>
          <w:rtl/>
        </w:rPr>
        <w:t xml:space="preserve"> מלחמת "חרבות ברזל"</w:t>
      </w:r>
      <w:r w:rsidRPr="00856984">
        <w:rPr>
          <w:rFonts w:cs="David" w:hint="cs"/>
          <w:sz w:val="28"/>
          <w:szCs w:val="28"/>
          <w:rtl/>
        </w:rPr>
        <w:t xml:space="preserve">. בעקבות הרשעתו </w:t>
      </w:r>
      <w:r>
        <w:rPr>
          <w:rFonts w:cs="David" w:hint="cs"/>
          <w:sz w:val="28"/>
          <w:szCs w:val="28"/>
          <w:rtl/>
        </w:rPr>
        <w:t>הושת</w:t>
      </w:r>
      <w:r w:rsidR="00CC2163">
        <w:rPr>
          <w:rFonts w:cs="David" w:hint="cs"/>
          <w:sz w:val="28"/>
          <w:szCs w:val="28"/>
          <w:rtl/>
        </w:rPr>
        <w:t xml:space="preserve"> </w:t>
      </w:r>
      <w:r w:rsidRPr="00856984">
        <w:rPr>
          <w:rFonts w:cs="David" w:hint="cs"/>
          <w:sz w:val="28"/>
          <w:szCs w:val="28"/>
          <w:rtl/>
        </w:rPr>
        <w:t>עליו</w:t>
      </w:r>
      <w:r w:rsidR="00CC2163">
        <w:rPr>
          <w:rFonts w:cs="David" w:hint="cs"/>
          <w:sz w:val="28"/>
          <w:szCs w:val="28"/>
          <w:rtl/>
        </w:rPr>
        <w:t xml:space="preserve"> (בדעת רוב) עונש של </w:t>
      </w:r>
      <w:r w:rsidRPr="00856984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18</w:t>
      </w:r>
      <w:r w:rsidRPr="00856984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חודשי</w:t>
      </w:r>
      <w:r w:rsidRPr="00856984">
        <w:rPr>
          <w:rFonts w:cs="David" w:hint="cs"/>
          <w:sz w:val="28"/>
          <w:szCs w:val="28"/>
          <w:rtl/>
        </w:rPr>
        <w:t xml:space="preserve"> מאסר </w:t>
      </w:r>
      <w:r w:rsidRPr="00856984">
        <w:rPr>
          <w:rFonts w:cs="David" w:hint="cs"/>
          <w:sz w:val="28"/>
          <w:szCs w:val="28"/>
          <w:rtl/>
        </w:rPr>
        <w:lastRenderedPageBreak/>
        <w:t>בפועל</w:t>
      </w:r>
      <w:r w:rsidR="00D03CAE">
        <w:rPr>
          <w:rFonts w:cs="David" w:hint="cs"/>
          <w:sz w:val="28"/>
          <w:szCs w:val="28"/>
          <w:rtl/>
        </w:rPr>
        <w:t>.</w:t>
      </w:r>
      <w:r w:rsidR="00CC2163">
        <w:rPr>
          <w:rFonts w:cs="David" w:hint="cs"/>
          <w:sz w:val="28"/>
          <w:szCs w:val="28"/>
          <w:rtl/>
        </w:rPr>
        <w:t xml:space="preserve"> דעת המיעוט סברה כי היה מקום להשית עליו עונש של 15 חודשי מאסר</w:t>
      </w:r>
      <w:r w:rsidR="00D03CAE">
        <w:rPr>
          <w:rFonts w:cs="David" w:hint="cs"/>
          <w:sz w:val="28"/>
          <w:szCs w:val="28"/>
          <w:rtl/>
        </w:rPr>
        <w:t xml:space="preserve"> בפועל</w:t>
      </w:r>
      <w:r w:rsidR="00CC2163">
        <w:rPr>
          <w:rFonts w:cs="David" w:hint="cs"/>
          <w:sz w:val="28"/>
          <w:szCs w:val="28"/>
          <w:rtl/>
        </w:rPr>
        <w:t xml:space="preserve">. כלל השופטים מצאו לקבוע כי </w:t>
      </w:r>
      <w:r>
        <w:rPr>
          <w:rFonts w:cs="David" w:hint="cs"/>
          <w:sz w:val="28"/>
          <w:szCs w:val="28"/>
          <w:rtl/>
        </w:rPr>
        <w:t xml:space="preserve">עונש מחבוש </w:t>
      </w:r>
      <w:r w:rsidR="00CC2163">
        <w:rPr>
          <w:rFonts w:cs="David" w:hint="cs"/>
          <w:sz w:val="28"/>
          <w:szCs w:val="28"/>
          <w:rtl/>
        </w:rPr>
        <w:t xml:space="preserve">מותנה </w:t>
      </w:r>
      <w:r>
        <w:rPr>
          <w:rFonts w:cs="David" w:hint="cs"/>
          <w:sz w:val="28"/>
          <w:szCs w:val="28"/>
          <w:rtl/>
        </w:rPr>
        <w:t>ב</w:t>
      </w:r>
      <w:r w:rsidR="00CC2163">
        <w:rPr>
          <w:rFonts w:cs="David" w:hint="cs"/>
          <w:sz w:val="28"/>
          <w:szCs w:val="28"/>
          <w:rtl/>
        </w:rPr>
        <w:t>ן שבעה ימים ש</w:t>
      </w:r>
      <w:r w:rsidR="00364815">
        <w:rPr>
          <w:rFonts w:cs="David" w:hint="cs"/>
          <w:sz w:val="28"/>
          <w:szCs w:val="28"/>
          <w:rtl/>
        </w:rPr>
        <w:t xml:space="preserve">הוטל </w:t>
      </w:r>
      <w:r w:rsidR="00CC2163">
        <w:rPr>
          <w:rFonts w:cs="David" w:hint="cs"/>
          <w:sz w:val="28"/>
          <w:szCs w:val="28"/>
          <w:rtl/>
        </w:rPr>
        <w:t xml:space="preserve">על המערער </w:t>
      </w:r>
      <w:r w:rsidR="00A66535">
        <w:rPr>
          <w:rFonts w:cs="David" w:hint="cs"/>
          <w:sz w:val="28"/>
          <w:szCs w:val="28"/>
          <w:rtl/>
        </w:rPr>
        <w:t xml:space="preserve">בעבר, </w:t>
      </w:r>
      <w:r w:rsidR="00CC2163">
        <w:rPr>
          <w:rFonts w:cs="David" w:hint="cs"/>
          <w:sz w:val="28"/>
          <w:szCs w:val="28"/>
          <w:rtl/>
        </w:rPr>
        <w:t>בדין משמעתי ביחידתו</w:t>
      </w:r>
      <w:r w:rsidR="00364815">
        <w:rPr>
          <w:rFonts w:cs="David" w:hint="cs"/>
          <w:sz w:val="28"/>
          <w:szCs w:val="28"/>
          <w:rtl/>
        </w:rPr>
        <w:t xml:space="preserve">, </w:t>
      </w:r>
      <w:r w:rsidR="00CC2163">
        <w:rPr>
          <w:rFonts w:cs="David" w:hint="cs"/>
          <w:sz w:val="28"/>
          <w:szCs w:val="28"/>
          <w:rtl/>
        </w:rPr>
        <w:t xml:space="preserve">ירוצה במצטבר </w:t>
      </w:r>
      <w:r w:rsidR="00D03CAE">
        <w:rPr>
          <w:rFonts w:cs="David" w:hint="cs"/>
          <w:sz w:val="28"/>
          <w:szCs w:val="28"/>
          <w:rtl/>
        </w:rPr>
        <w:t xml:space="preserve">לעונש </w:t>
      </w:r>
      <w:r w:rsidR="00364815">
        <w:rPr>
          <w:rFonts w:cs="David" w:hint="cs"/>
          <w:sz w:val="28"/>
          <w:szCs w:val="28"/>
          <w:rtl/>
        </w:rPr>
        <w:t>המאסר</w:t>
      </w:r>
      <w:r w:rsidR="00A66535">
        <w:rPr>
          <w:rFonts w:cs="David" w:hint="cs"/>
          <w:sz w:val="28"/>
          <w:szCs w:val="28"/>
          <w:rtl/>
        </w:rPr>
        <w:t xml:space="preserve"> בפועל</w:t>
      </w:r>
      <w:r w:rsidR="00D03CAE">
        <w:rPr>
          <w:rFonts w:cs="David" w:hint="cs"/>
          <w:sz w:val="28"/>
          <w:szCs w:val="28"/>
          <w:rtl/>
        </w:rPr>
        <w:t xml:space="preserve">. כן הושת עליו </w:t>
      </w:r>
      <w:r w:rsidR="00CC2163">
        <w:rPr>
          <w:rFonts w:cs="David" w:hint="cs"/>
          <w:sz w:val="28"/>
          <w:szCs w:val="28"/>
          <w:rtl/>
        </w:rPr>
        <w:t xml:space="preserve"> עונש של </w:t>
      </w:r>
      <w:r w:rsidRPr="00856984">
        <w:rPr>
          <w:rFonts w:cs="David" w:hint="cs"/>
          <w:sz w:val="28"/>
          <w:szCs w:val="28"/>
          <w:rtl/>
        </w:rPr>
        <w:t xml:space="preserve">מאסר מותנה בן </w:t>
      </w:r>
      <w:r>
        <w:rPr>
          <w:rFonts w:cs="David" w:hint="cs"/>
          <w:sz w:val="28"/>
          <w:szCs w:val="28"/>
          <w:rtl/>
        </w:rPr>
        <w:t>30</w:t>
      </w:r>
      <w:r w:rsidRPr="00856984">
        <w:rPr>
          <w:rFonts w:cs="David" w:hint="cs"/>
          <w:sz w:val="28"/>
          <w:szCs w:val="28"/>
          <w:rtl/>
        </w:rPr>
        <w:t xml:space="preserve"> ימים למשך שנ</w:t>
      </w:r>
      <w:r>
        <w:rPr>
          <w:rFonts w:cs="David" w:hint="cs"/>
          <w:sz w:val="28"/>
          <w:szCs w:val="28"/>
          <w:rtl/>
        </w:rPr>
        <w:t>תיים</w:t>
      </w:r>
      <w:r w:rsidRPr="00856984">
        <w:rPr>
          <w:rFonts w:cs="David" w:hint="cs"/>
          <w:sz w:val="28"/>
          <w:szCs w:val="28"/>
          <w:rtl/>
        </w:rPr>
        <w:t xml:space="preserve">.  </w:t>
      </w:r>
    </w:p>
    <w:p w14:paraId="08B680DC" w14:textId="44EB9078" w:rsidR="006132C0" w:rsidRPr="00856984" w:rsidRDefault="005C5EA7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ההגנה </w:t>
      </w:r>
      <w:r w:rsidR="006132C0">
        <w:rPr>
          <w:rFonts w:ascii="David" w:hAnsi="David" w:cs="David" w:hint="cs"/>
          <w:sz w:val="28"/>
          <w:szCs w:val="28"/>
          <w:rtl/>
        </w:rPr>
        <w:t>לא השלימ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132C0">
        <w:rPr>
          <w:rFonts w:ascii="David" w:hAnsi="David" w:cs="David" w:hint="cs"/>
          <w:sz w:val="28"/>
          <w:szCs w:val="28"/>
          <w:rtl/>
        </w:rPr>
        <w:t xml:space="preserve"> עם </w:t>
      </w:r>
      <w:r w:rsidR="00614D69">
        <w:rPr>
          <w:rFonts w:ascii="David" w:hAnsi="David" w:cs="David" w:hint="cs"/>
          <w:sz w:val="28"/>
          <w:szCs w:val="28"/>
          <w:rtl/>
        </w:rPr>
        <w:t>פסק דינו של בית הדין קמא</w:t>
      </w:r>
      <w:r w:rsidR="00CC2163">
        <w:rPr>
          <w:rFonts w:ascii="David" w:hAnsi="David" w:cs="David" w:hint="cs"/>
          <w:sz w:val="28"/>
          <w:szCs w:val="28"/>
          <w:rtl/>
        </w:rPr>
        <w:t xml:space="preserve">, והיא מבקשת להקל בעונש המאסר </w:t>
      </w:r>
      <w:r w:rsidR="00D03CAE">
        <w:rPr>
          <w:rFonts w:ascii="David" w:hAnsi="David" w:cs="David" w:hint="cs"/>
          <w:sz w:val="28"/>
          <w:szCs w:val="28"/>
          <w:rtl/>
        </w:rPr>
        <w:t xml:space="preserve">בפועל </w:t>
      </w:r>
      <w:r w:rsidR="00CC2163">
        <w:rPr>
          <w:rFonts w:ascii="David" w:hAnsi="David" w:cs="David" w:hint="cs"/>
          <w:sz w:val="28"/>
          <w:szCs w:val="28"/>
          <w:rtl/>
        </w:rPr>
        <w:t xml:space="preserve">שנגזר על המערער. </w:t>
      </w:r>
      <w:r w:rsidR="006132C0">
        <w:rPr>
          <w:rFonts w:cs="David" w:hint="cs"/>
          <w:sz w:val="28"/>
          <w:szCs w:val="28"/>
          <w:rtl/>
        </w:rPr>
        <w:t xml:space="preserve">מכאן הערעור שלפנינו. </w:t>
      </w:r>
    </w:p>
    <w:p w14:paraId="5C7A2374" w14:textId="77777777" w:rsidR="006132C0" w:rsidRPr="00CC2163" w:rsidRDefault="006132C0" w:rsidP="00AC5B08">
      <w:pPr>
        <w:spacing w:line="353" w:lineRule="auto"/>
        <w:ind w:left="6" w:hanging="6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4AF076F" w14:textId="77777777" w:rsidR="006132C0" w:rsidRPr="008900CD" w:rsidRDefault="006132C0" w:rsidP="00AC5B08">
      <w:pPr>
        <w:spacing w:line="353" w:lineRule="auto"/>
        <w:ind w:left="6" w:hanging="6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המסד הראייתי ופסק דינו של בית דין המחוזי</w:t>
      </w:r>
    </w:p>
    <w:p w14:paraId="59BD158C" w14:textId="77777777" w:rsidR="006132C0" w:rsidRDefault="006132C0" w:rsidP="00AC5B08">
      <w:pPr>
        <w:spacing w:line="353" w:lineRule="auto"/>
        <w:ind w:left="6" w:hanging="6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573D1B85" w14:textId="7D70DEC8" w:rsidR="007B2D49" w:rsidRPr="00C4502F" w:rsidRDefault="00CC2163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rtl/>
        </w:rPr>
        <w:t xml:space="preserve">המערער לא העיד </w:t>
      </w:r>
      <w:r w:rsidR="007B2D49">
        <w:rPr>
          <w:rFonts w:cs="David" w:hint="cs"/>
          <w:sz w:val="28"/>
          <w:szCs w:val="28"/>
          <w:rtl/>
        </w:rPr>
        <w:t xml:space="preserve">בשלב הראיות </w:t>
      </w:r>
      <w:r>
        <w:rPr>
          <w:rFonts w:cs="David" w:hint="cs"/>
          <w:sz w:val="28"/>
          <w:szCs w:val="28"/>
          <w:rtl/>
        </w:rPr>
        <w:t>לעונש. מ</w:t>
      </w:r>
      <w:r w:rsidR="007B2D49">
        <w:rPr>
          <w:rFonts w:cs="David" w:hint="cs"/>
          <w:sz w:val="28"/>
          <w:szCs w:val="28"/>
          <w:rtl/>
        </w:rPr>
        <w:t xml:space="preserve">ן </w:t>
      </w:r>
      <w:r>
        <w:rPr>
          <w:rFonts w:cs="David" w:hint="cs"/>
          <w:sz w:val="28"/>
          <w:szCs w:val="28"/>
          <w:rtl/>
        </w:rPr>
        <w:t xml:space="preserve">הראיות שהובאו בפני בית הדין קמא עלה, כי </w:t>
      </w:r>
      <w:r w:rsidR="00E55C75">
        <w:rPr>
          <w:rFonts w:cs="David" w:hint="cs"/>
          <w:sz w:val="28"/>
          <w:szCs w:val="28"/>
          <w:rtl/>
        </w:rPr>
        <w:t>ה</w:t>
      </w:r>
      <w:r w:rsidR="007B2D49">
        <w:rPr>
          <w:rFonts w:cs="David" w:hint="cs"/>
          <w:sz w:val="28"/>
          <w:szCs w:val="28"/>
          <w:rtl/>
        </w:rPr>
        <w:t xml:space="preserve">וא </w:t>
      </w:r>
      <w:r w:rsidR="00E55C75">
        <w:rPr>
          <w:rFonts w:cs="David" w:hint="cs"/>
          <w:sz w:val="28"/>
          <w:szCs w:val="28"/>
          <w:rtl/>
        </w:rPr>
        <w:t>מתגורר עם הוריו, אשר עלו מאתיופיה, ו</w:t>
      </w:r>
      <w:r>
        <w:rPr>
          <w:rFonts w:cs="David" w:hint="cs"/>
          <w:sz w:val="28"/>
          <w:szCs w:val="28"/>
          <w:rtl/>
        </w:rPr>
        <w:t>יש לו 11 אחים</w:t>
      </w:r>
      <w:r w:rsidR="00E55C75">
        <w:rPr>
          <w:rFonts w:cs="David" w:hint="cs"/>
          <w:sz w:val="28"/>
          <w:szCs w:val="28"/>
          <w:rtl/>
        </w:rPr>
        <w:t xml:space="preserve">. </w:t>
      </w:r>
      <w:r w:rsidR="00D03CAE">
        <w:rPr>
          <w:rFonts w:cs="David" w:hint="cs"/>
          <w:sz w:val="28"/>
          <w:szCs w:val="28"/>
          <w:rtl/>
        </w:rPr>
        <w:t xml:space="preserve">המשפחה מסתייעת בשירותי הרווחה בשל קשיים כלכליים. </w:t>
      </w:r>
      <w:r w:rsidR="007B2D49">
        <w:rPr>
          <w:rFonts w:cs="David" w:hint="cs"/>
          <w:sz w:val="28"/>
          <w:szCs w:val="28"/>
          <w:rtl/>
        </w:rPr>
        <w:t xml:space="preserve">בהיותו נער, </w:t>
      </w:r>
      <w:r w:rsidR="00432233">
        <w:rPr>
          <w:rFonts w:cs="David" w:hint="cs"/>
          <w:sz w:val="28"/>
          <w:szCs w:val="28"/>
          <w:rtl/>
        </w:rPr>
        <w:t>לאחר הסתבכות פלילית</w:t>
      </w:r>
      <w:r>
        <w:rPr>
          <w:rFonts w:cs="David" w:hint="cs"/>
          <w:sz w:val="28"/>
          <w:szCs w:val="28"/>
          <w:rtl/>
        </w:rPr>
        <w:t xml:space="preserve">, </w:t>
      </w:r>
      <w:r w:rsidR="007B2D49">
        <w:rPr>
          <w:rFonts w:cs="David" w:hint="cs"/>
          <w:sz w:val="28"/>
          <w:szCs w:val="28"/>
          <w:rtl/>
        </w:rPr>
        <w:t xml:space="preserve">נשלח המערער </w:t>
      </w:r>
      <w:r w:rsidR="00432233">
        <w:rPr>
          <w:rFonts w:cs="David" w:hint="cs"/>
          <w:sz w:val="28"/>
          <w:szCs w:val="28"/>
          <w:rtl/>
        </w:rPr>
        <w:t>ל</w:t>
      </w:r>
      <w:r w:rsidR="00454ADF">
        <w:rPr>
          <w:rFonts w:cs="David" w:hint="cs"/>
          <w:sz w:val="28"/>
          <w:szCs w:val="28"/>
          <w:rtl/>
        </w:rPr>
        <w:t xml:space="preserve">מוסדות </w:t>
      </w:r>
      <w:r w:rsidR="00432233">
        <w:rPr>
          <w:rFonts w:cs="David" w:hint="cs"/>
          <w:sz w:val="28"/>
          <w:szCs w:val="28"/>
          <w:rtl/>
        </w:rPr>
        <w:t>טיפוליים</w:t>
      </w:r>
      <w:r w:rsidR="007B2D49">
        <w:rPr>
          <w:rFonts w:cs="David" w:hint="cs"/>
          <w:sz w:val="28"/>
          <w:szCs w:val="28"/>
          <w:rtl/>
        </w:rPr>
        <w:t xml:space="preserve">. המערער </w:t>
      </w:r>
      <w:r w:rsidR="00454ADF">
        <w:rPr>
          <w:rFonts w:cs="David" w:hint="cs"/>
          <w:sz w:val="28"/>
          <w:szCs w:val="28"/>
          <w:rtl/>
        </w:rPr>
        <w:t xml:space="preserve">לא השלים את לימודיו התיכוניים </w:t>
      </w:r>
      <w:r w:rsidR="00630DC7">
        <w:rPr>
          <w:rFonts w:cs="David" w:hint="cs"/>
          <w:sz w:val="28"/>
          <w:szCs w:val="28"/>
          <w:rtl/>
        </w:rPr>
        <w:t>והוגדר כ"נער בסיכון גבוה"</w:t>
      </w:r>
      <w:r>
        <w:rPr>
          <w:rFonts w:cs="David" w:hint="cs"/>
          <w:sz w:val="28"/>
          <w:szCs w:val="28"/>
          <w:rtl/>
        </w:rPr>
        <w:t xml:space="preserve">. </w:t>
      </w:r>
    </w:p>
    <w:p w14:paraId="792ACB1D" w14:textId="7C05B24E" w:rsidR="00F65F26" w:rsidRPr="00F65F26" w:rsidRDefault="00432233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המערער </w:t>
      </w:r>
      <w:r w:rsidR="007B2D49">
        <w:rPr>
          <w:rFonts w:cs="David" w:hint="cs"/>
          <w:sz w:val="28"/>
          <w:szCs w:val="28"/>
          <w:rtl/>
        </w:rPr>
        <w:t xml:space="preserve">הביע </w:t>
      </w:r>
      <w:r w:rsidR="00454ADF">
        <w:rPr>
          <w:rFonts w:cs="David" w:hint="cs"/>
          <w:sz w:val="28"/>
          <w:szCs w:val="28"/>
          <w:rtl/>
        </w:rPr>
        <w:t>רצון ל</w:t>
      </w:r>
      <w:r w:rsidR="007B2D49">
        <w:rPr>
          <w:rFonts w:cs="David" w:hint="cs"/>
          <w:sz w:val="28"/>
          <w:szCs w:val="28"/>
          <w:rtl/>
        </w:rPr>
        <w:t xml:space="preserve">התגייס לשירות צבאי, </w:t>
      </w:r>
      <w:r w:rsidR="00C4502F">
        <w:rPr>
          <w:rFonts w:cs="David" w:hint="cs"/>
          <w:sz w:val="28"/>
          <w:szCs w:val="28"/>
          <w:rtl/>
        </w:rPr>
        <w:t>א</w:t>
      </w:r>
      <w:r w:rsidR="007B2D49">
        <w:rPr>
          <w:rFonts w:cs="David" w:hint="cs"/>
          <w:sz w:val="28"/>
          <w:szCs w:val="28"/>
          <w:rtl/>
        </w:rPr>
        <w:t xml:space="preserve">ם כי בשלב מאוחר יותר, התוודה כי </w:t>
      </w:r>
      <w:r w:rsidR="00454ADF">
        <w:rPr>
          <w:rFonts w:cs="David" w:hint="cs"/>
          <w:sz w:val="28"/>
          <w:szCs w:val="28"/>
          <w:rtl/>
        </w:rPr>
        <w:t>עש</w:t>
      </w:r>
      <w:r w:rsidR="007B2D49">
        <w:rPr>
          <w:rFonts w:cs="David" w:hint="cs"/>
          <w:sz w:val="28"/>
          <w:szCs w:val="28"/>
          <w:rtl/>
        </w:rPr>
        <w:t>ה</w:t>
      </w:r>
      <w:r w:rsidR="00454ADF">
        <w:rPr>
          <w:rFonts w:cs="David" w:hint="cs"/>
          <w:sz w:val="28"/>
          <w:szCs w:val="28"/>
          <w:rtl/>
        </w:rPr>
        <w:t xml:space="preserve"> כן על מנת להשתחרר מ</w:t>
      </w:r>
      <w:r w:rsidR="007B2D49">
        <w:rPr>
          <w:rFonts w:cs="David" w:hint="cs"/>
          <w:sz w:val="28"/>
          <w:szCs w:val="28"/>
          <w:rtl/>
        </w:rPr>
        <w:t>ן ה</w:t>
      </w:r>
      <w:r w:rsidR="00454ADF">
        <w:rPr>
          <w:rFonts w:cs="David" w:hint="cs"/>
          <w:sz w:val="28"/>
          <w:szCs w:val="28"/>
          <w:rtl/>
        </w:rPr>
        <w:t xml:space="preserve">מסגרת </w:t>
      </w:r>
      <w:r w:rsidR="007B2D49">
        <w:rPr>
          <w:rFonts w:cs="David" w:hint="cs"/>
          <w:sz w:val="28"/>
          <w:szCs w:val="28"/>
          <w:rtl/>
        </w:rPr>
        <w:t>ב</w:t>
      </w:r>
      <w:r w:rsidR="00454ADF">
        <w:rPr>
          <w:rFonts w:cs="David" w:hint="cs"/>
          <w:sz w:val="28"/>
          <w:szCs w:val="28"/>
          <w:rtl/>
        </w:rPr>
        <w:t xml:space="preserve">טיפולית </w:t>
      </w:r>
      <w:r w:rsidR="007B2D49">
        <w:rPr>
          <w:rFonts w:cs="David" w:hint="cs"/>
          <w:sz w:val="28"/>
          <w:szCs w:val="28"/>
          <w:rtl/>
        </w:rPr>
        <w:t>ש</w:t>
      </w:r>
      <w:r w:rsidR="00454ADF">
        <w:rPr>
          <w:rFonts w:cs="David" w:hint="cs"/>
          <w:sz w:val="28"/>
          <w:szCs w:val="28"/>
          <w:rtl/>
        </w:rPr>
        <w:t>בה שהה</w:t>
      </w:r>
      <w:r w:rsidR="007B2D49">
        <w:rPr>
          <w:rFonts w:cs="David" w:hint="cs"/>
          <w:sz w:val="28"/>
          <w:szCs w:val="28"/>
          <w:rtl/>
        </w:rPr>
        <w:t xml:space="preserve"> עובר לשירות הצבאי</w:t>
      </w:r>
      <w:r>
        <w:rPr>
          <w:rFonts w:cs="David" w:hint="cs"/>
          <w:sz w:val="28"/>
          <w:szCs w:val="28"/>
          <w:rtl/>
        </w:rPr>
        <w:t xml:space="preserve">, </w:t>
      </w:r>
      <w:r w:rsidR="007B2D49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כי בפועל </w:t>
      </w:r>
      <w:r w:rsidR="007B2D49">
        <w:rPr>
          <w:rFonts w:cs="David" w:hint="cs"/>
          <w:sz w:val="28"/>
          <w:szCs w:val="28"/>
          <w:rtl/>
        </w:rPr>
        <w:t xml:space="preserve">לא היה בעל </w:t>
      </w:r>
      <w:r w:rsidR="00454ADF">
        <w:rPr>
          <w:rFonts w:cs="David" w:hint="cs"/>
          <w:sz w:val="28"/>
          <w:szCs w:val="28"/>
          <w:rtl/>
        </w:rPr>
        <w:t>מוטיבציה לשרת</w:t>
      </w:r>
      <w:r>
        <w:rPr>
          <w:rFonts w:cs="David" w:hint="cs"/>
          <w:sz w:val="28"/>
          <w:szCs w:val="28"/>
          <w:rtl/>
        </w:rPr>
        <w:t xml:space="preserve"> </w:t>
      </w:r>
      <w:r w:rsidR="007B2D49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>צבא</w:t>
      </w:r>
      <w:r w:rsidR="00454ADF">
        <w:rPr>
          <w:rFonts w:cs="David" w:hint="cs"/>
          <w:sz w:val="28"/>
          <w:szCs w:val="28"/>
          <w:rtl/>
        </w:rPr>
        <w:t xml:space="preserve">. </w:t>
      </w:r>
      <w:r w:rsidR="00F65F26">
        <w:rPr>
          <w:rFonts w:cs="David" w:hint="cs"/>
          <w:sz w:val="28"/>
          <w:szCs w:val="28"/>
          <w:rtl/>
        </w:rPr>
        <w:t xml:space="preserve">גורמי בריאות הנפש </w:t>
      </w:r>
      <w:r w:rsidR="007B2D49">
        <w:rPr>
          <w:rFonts w:cs="David" w:hint="cs"/>
          <w:sz w:val="28"/>
          <w:szCs w:val="28"/>
          <w:rtl/>
        </w:rPr>
        <w:t xml:space="preserve">במיטב התרשמו </w:t>
      </w:r>
      <w:r w:rsidR="00F65F26">
        <w:rPr>
          <w:rFonts w:cs="David" w:hint="cs"/>
          <w:sz w:val="28"/>
          <w:szCs w:val="28"/>
          <w:rtl/>
        </w:rPr>
        <w:t xml:space="preserve">כי </w:t>
      </w:r>
      <w:r w:rsidR="007B2D49">
        <w:rPr>
          <w:rFonts w:cs="David" w:hint="cs"/>
          <w:sz w:val="28"/>
          <w:szCs w:val="28"/>
          <w:rtl/>
        </w:rPr>
        <w:t xml:space="preserve">למערער </w:t>
      </w:r>
      <w:r>
        <w:rPr>
          <w:rFonts w:cs="David" w:hint="cs"/>
          <w:sz w:val="28"/>
          <w:szCs w:val="28"/>
          <w:rtl/>
        </w:rPr>
        <w:t>דפוסים של היעדר בשלות</w:t>
      </w:r>
      <w:r w:rsidR="007B2D49">
        <w:rPr>
          <w:rFonts w:cs="David" w:hint="cs"/>
          <w:sz w:val="28"/>
          <w:szCs w:val="28"/>
          <w:rtl/>
        </w:rPr>
        <w:t xml:space="preserve">, ולפיכך, הותאם </w:t>
      </w:r>
      <w:r>
        <w:rPr>
          <w:rFonts w:cs="David" w:hint="cs"/>
          <w:sz w:val="28"/>
          <w:szCs w:val="28"/>
          <w:rtl/>
        </w:rPr>
        <w:t xml:space="preserve">לו </w:t>
      </w:r>
      <w:r w:rsidR="007B2D49">
        <w:rPr>
          <w:rFonts w:cs="David" w:hint="cs"/>
          <w:sz w:val="28"/>
          <w:szCs w:val="28"/>
          <w:rtl/>
        </w:rPr>
        <w:t>"</w:t>
      </w:r>
      <w:r w:rsidR="00454ADF">
        <w:rPr>
          <w:rFonts w:cs="David" w:hint="cs"/>
          <w:sz w:val="28"/>
          <w:szCs w:val="28"/>
          <w:rtl/>
        </w:rPr>
        <w:t>ציון ק</w:t>
      </w:r>
      <w:r w:rsidR="007B2D49">
        <w:rPr>
          <w:rFonts w:cs="David" w:hint="cs"/>
          <w:sz w:val="28"/>
          <w:szCs w:val="28"/>
          <w:rtl/>
        </w:rPr>
        <w:t>שיי הסתגלות" (</w:t>
      </w:r>
      <w:proofErr w:type="spellStart"/>
      <w:r w:rsidR="007B2D49">
        <w:rPr>
          <w:rFonts w:cs="David" w:hint="cs"/>
          <w:sz w:val="28"/>
          <w:szCs w:val="28"/>
          <w:rtl/>
        </w:rPr>
        <w:t>ק</w:t>
      </w:r>
      <w:r w:rsidR="00454ADF">
        <w:rPr>
          <w:rFonts w:cs="David" w:hint="cs"/>
          <w:sz w:val="28"/>
          <w:szCs w:val="28"/>
          <w:rtl/>
        </w:rPr>
        <w:t>ה"ס</w:t>
      </w:r>
      <w:proofErr w:type="spellEnd"/>
      <w:r w:rsidR="007B2D49">
        <w:rPr>
          <w:rFonts w:cs="David" w:hint="cs"/>
          <w:sz w:val="28"/>
          <w:szCs w:val="28"/>
          <w:rtl/>
        </w:rPr>
        <w:t>)</w:t>
      </w:r>
      <w:r w:rsidR="00454ADF">
        <w:rPr>
          <w:rFonts w:cs="David" w:hint="cs"/>
          <w:sz w:val="28"/>
          <w:szCs w:val="28"/>
          <w:rtl/>
        </w:rPr>
        <w:t xml:space="preserve"> גבוה</w:t>
      </w:r>
      <w:r w:rsidR="007B2D49">
        <w:rPr>
          <w:rFonts w:cs="David" w:hint="cs"/>
          <w:sz w:val="28"/>
          <w:szCs w:val="28"/>
          <w:rtl/>
        </w:rPr>
        <w:t xml:space="preserve">. המערער </w:t>
      </w:r>
      <w:r>
        <w:rPr>
          <w:rFonts w:cs="David" w:hint="cs"/>
          <w:sz w:val="28"/>
          <w:szCs w:val="28"/>
          <w:rtl/>
        </w:rPr>
        <w:t>התגייס במסגרת "איתן" ו</w:t>
      </w:r>
      <w:r w:rsidR="00630DC7">
        <w:rPr>
          <w:rFonts w:cs="David" w:hint="cs"/>
          <w:sz w:val="28"/>
          <w:szCs w:val="28"/>
          <w:rtl/>
        </w:rPr>
        <w:t xml:space="preserve">החל את הכשרתו </w:t>
      </w:r>
      <w:r w:rsidR="007B2D49">
        <w:rPr>
          <w:rFonts w:cs="David" w:hint="cs"/>
          <w:sz w:val="28"/>
          <w:szCs w:val="28"/>
          <w:rtl/>
        </w:rPr>
        <w:t xml:space="preserve">הצבאית </w:t>
      </w:r>
      <w:r w:rsidR="00630DC7">
        <w:rPr>
          <w:rFonts w:cs="David" w:hint="cs"/>
          <w:sz w:val="28"/>
          <w:szCs w:val="28"/>
          <w:rtl/>
        </w:rPr>
        <w:t>הראשונית ב</w:t>
      </w:r>
      <w:r w:rsidR="007B2D49">
        <w:rPr>
          <w:rFonts w:cs="David" w:hint="cs"/>
          <w:sz w:val="28"/>
          <w:szCs w:val="28"/>
          <w:rtl/>
        </w:rPr>
        <w:t>בסיס</w:t>
      </w:r>
      <w:r w:rsidR="00630DC7">
        <w:rPr>
          <w:rFonts w:cs="David" w:hint="cs"/>
          <w:sz w:val="28"/>
          <w:szCs w:val="28"/>
          <w:rtl/>
        </w:rPr>
        <w:t xml:space="preserve"> חוות השומר. </w:t>
      </w:r>
    </w:p>
    <w:p w14:paraId="52D89E87" w14:textId="27A66439" w:rsidR="00B542B0" w:rsidRPr="00C4502F" w:rsidRDefault="00630DC7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F65F26">
        <w:rPr>
          <w:rFonts w:cs="David" w:hint="cs"/>
          <w:sz w:val="28"/>
          <w:szCs w:val="28"/>
          <w:rtl/>
        </w:rPr>
        <w:t>בפרק הזמן הקצר שבו שהה בשירות צבאי</w:t>
      </w:r>
      <w:r w:rsidR="007B2D49">
        <w:rPr>
          <w:rFonts w:cs="David" w:hint="cs"/>
          <w:sz w:val="28"/>
          <w:szCs w:val="28"/>
          <w:rtl/>
        </w:rPr>
        <w:t>,</w:t>
      </w:r>
      <w:r w:rsidR="00432233">
        <w:rPr>
          <w:rFonts w:cs="David" w:hint="cs"/>
          <w:sz w:val="28"/>
          <w:szCs w:val="28"/>
          <w:rtl/>
        </w:rPr>
        <w:t xml:space="preserve"> </w:t>
      </w:r>
      <w:r w:rsidR="007B2D49">
        <w:rPr>
          <w:rFonts w:cs="David" w:hint="cs"/>
          <w:sz w:val="28"/>
          <w:szCs w:val="28"/>
          <w:rtl/>
        </w:rPr>
        <w:t xml:space="preserve">עוד </w:t>
      </w:r>
      <w:r w:rsidR="00432233">
        <w:rPr>
          <w:rFonts w:cs="David" w:hint="cs"/>
          <w:sz w:val="28"/>
          <w:szCs w:val="28"/>
          <w:rtl/>
        </w:rPr>
        <w:t>בהכשרת הטירונות</w:t>
      </w:r>
      <w:r w:rsidRPr="00F65F26">
        <w:rPr>
          <w:rFonts w:cs="David" w:hint="cs"/>
          <w:sz w:val="28"/>
          <w:szCs w:val="28"/>
          <w:rtl/>
        </w:rPr>
        <w:t xml:space="preserve">, נעדר המערער </w:t>
      </w:r>
      <w:r w:rsidR="007B2D49">
        <w:rPr>
          <w:rFonts w:cs="David" w:hint="cs"/>
          <w:sz w:val="28"/>
          <w:szCs w:val="28"/>
          <w:rtl/>
        </w:rPr>
        <w:t xml:space="preserve">מיחידתו בשתי הזדמנויות ונשפט על כך </w:t>
      </w:r>
      <w:r w:rsidRPr="00F65F26">
        <w:rPr>
          <w:rFonts w:cs="David" w:hint="cs"/>
          <w:sz w:val="28"/>
          <w:szCs w:val="28"/>
          <w:rtl/>
        </w:rPr>
        <w:t>בדין משמעתי</w:t>
      </w:r>
      <w:r w:rsidR="007B2D49">
        <w:rPr>
          <w:rFonts w:cs="David" w:hint="cs"/>
          <w:sz w:val="28"/>
          <w:szCs w:val="28"/>
          <w:rtl/>
        </w:rPr>
        <w:t>, בין היתר,</w:t>
      </w:r>
      <w:r w:rsidRPr="00F65F26">
        <w:rPr>
          <w:rFonts w:cs="David" w:hint="cs"/>
          <w:sz w:val="28"/>
          <w:szCs w:val="28"/>
          <w:rtl/>
        </w:rPr>
        <w:t xml:space="preserve"> לעונש של מחבוש מותנה. </w:t>
      </w:r>
      <w:r w:rsidR="00F65F26" w:rsidRPr="00F65F26">
        <w:rPr>
          <w:rFonts w:cs="David" w:hint="cs"/>
          <w:sz w:val="28"/>
          <w:szCs w:val="28"/>
          <w:rtl/>
        </w:rPr>
        <w:t xml:space="preserve">מפקדיו מסרו כי גם </w:t>
      </w:r>
      <w:r w:rsidR="007B2D49">
        <w:rPr>
          <w:rFonts w:cs="David" w:hint="cs"/>
          <w:sz w:val="28"/>
          <w:szCs w:val="28"/>
          <w:rtl/>
        </w:rPr>
        <w:t>ב</w:t>
      </w:r>
      <w:r w:rsidR="00F65F26" w:rsidRPr="00F65F26">
        <w:rPr>
          <w:rFonts w:cs="David" w:hint="cs"/>
          <w:sz w:val="28"/>
          <w:szCs w:val="28"/>
          <w:rtl/>
        </w:rPr>
        <w:t xml:space="preserve">עת </w:t>
      </w:r>
      <w:r w:rsidR="007B2D49">
        <w:rPr>
          <w:rFonts w:cs="David" w:hint="cs"/>
          <w:sz w:val="28"/>
          <w:szCs w:val="28"/>
          <w:rtl/>
        </w:rPr>
        <w:t>ש</w:t>
      </w:r>
      <w:r w:rsidR="00F65F26" w:rsidRPr="00F65F26">
        <w:rPr>
          <w:rFonts w:cs="David" w:hint="cs"/>
          <w:sz w:val="28"/>
          <w:szCs w:val="28"/>
          <w:rtl/>
        </w:rPr>
        <w:t>שהה ביחידה</w:t>
      </w:r>
      <w:r w:rsidR="007B2D49">
        <w:rPr>
          <w:rFonts w:cs="David" w:hint="cs"/>
          <w:sz w:val="28"/>
          <w:szCs w:val="28"/>
          <w:rtl/>
        </w:rPr>
        <w:t>,</w:t>
      </w:r>
      <w:r w:rsidR="00F65F26" w:rsidRPr="00F65F26">
        <w:rPr>
          <w:rFonts w:cs="David" w:hint="cs"/>
          <w:sz w:val="28"/>
          <w:szCs w:val="28"/>
          <w:rtl/>
        </w:rPr>
        <w:t xml:space="preserve"> תפקודו </w:t>
      </w:r>
      <w:r w:rsidR="007B2D49">
        <w:rPr>
          <w:rFonts w:cs="David" w:hint="cs"/>
          <w:sz w:val="28"/>
          <w:szCs w:val="28"/>
          <w:rtl/>
        </w:rPr>
        <w:t xml:space="preserve">היה </w:t>
      </w:r>
      <w:r w:rsidR="00F65F26" w:rsidRPr="00F65F26">
        <w:rPr>
          <w:rFonts w:cs="David" w:hint="cs"/>
          <w:sz w:val="28"/>
          <w:szCs w:val="28"/>
          <w:rtl/>
        </w:rPr>
        <w:t>לקוי ורצוף ב</w:t>
      </w:r>
      <w:r w:rsidR="007B2D49">
        <w:rPr>
          <w:rFonts w:cs="David" w:hint="cs"/>
          <w:sz w:val="28"/>
          <w:szCs w:val="28"/>
          <w:rtl/>
        </w:rPr>
        <w:t>בעיות</w:t>
      </w:r>
      <w:r w:rsidR="00F65F26" w:rsidRPr="00F65F26">
        <w:rPr>
          <w:rFonts w:cs="David" w:hint="cs"/>
          <w:sz w:val="28"/>
          <w:szCs w:val="28"/>
          <w:rtl/>
        </w:rPr>
        <w:t xml:space="preserve"> משמעת. לאחר שהחל בהיעדרותו </w:t>
      </w:r>
      <w:r w:rsidR="007B2D49">
        <w:rPr>
          <w:rFonts w:cs="David" w:hint="cs"/>
          <w:sz w:val="28"/>
          <w:szCs w:val="28"/>
          <w:rtl/>
        </w:rPr>
        <w:t xml:space="preserve">הנוכחית, </w:t>
      </w:r>
      <w:r w:rsidR="00F65F26" w:rsidRPr="00F65F26">
        <w:rPr>
          <w:rFonts w:cs="David" w:hint="cs"/>
          <w:sz w:val="28"/>
          <w:szCs w:val="28"/>
          <w:rtl/>
        </w:rPr>
        <w:t xml:space="preserve">סירב המערער לפגוש את מפקדיו </w:t>
      </w:r>
      <w:r w:rsidR="00B542B0">
        <w:rPr>
          <w:rFonts w:cs="David" w:hint="cs"/>
          <w:sz w:val="28"/>
          <w:szCs w:val="28"/>
          <w:rtl/>
        </w:rPr>
        <w:t xml:space="preserve">שהגיעו לבקרו </w:t>
      </w:r>
      <w:r w:rsidR="00F65F26" w:rsidRPr="00F65F26">
        <w:rPr>
          <w:rFonts w:cs="David" w:hint="cs"/>
          <w:sz w:val="28"/>
          <w:szCs w:val="28"/>
          <w:rtl/>
        </w:rPr>
        <w:t xml:space="preserve">בביתו ואף </w:t>
      </w:r>
      <w:r w:rsidR="00E82090" w:rsidRPr="00F65F26">
        <w:rPr>
          <w:rFonts w:cs="David" w:hint="cs"/>
          <w:sz w:val="28"/>
          <w:szCs w:val="28"/>
          <w:rtl/>
        </w:rPr>
        <w:t>בסיום היעדרותו</w:t>
      </w:r>
      <w:r w:rsidR="00F65F26">
        <w:rPr>
          <w:rFonts w:cs="David" w:hint="cs"/>
          <w:sz w:val="28"/>
          <w:szCs w:val="28"/>
          <w:rtl/>
        </w:rPr>
        <w:t>, עת</w:t>
      </w:r>
      <w:r w:rsidR="00E82090" w:rsidRPr="00F65F26">
        <w:rPr>
          <w:rFonts w:cs="David" w:hint="cs"/>
          <w:sz w:val="28"/>
          <w:szCs w:val="28"/>
          <w:rtl/>
        </w:rPr>
        <w:t xml:space="preserve"> התייצב</w:t>
      </w:r>
      <w:r w:rsidR="00B542B0">
        <w:rPr>
          <w:rFonts w:cs="David" w:hint="cs"/>
          <w:sz w:val="28"/>
          <w:szCs w:val="28"/>
          <w:rtl/>
        </w:rPr>
        <w:t xml:space="preserve"> בבסיס הכליאה</w:t>
      </w:r>
      <w:r w:rsidR="00F65F26">
        <w:rPr>
          <w:rFonts w:cs="David" w:hint="cs"/>
          <w:sz w:val="28"/>
          <w:szCs w:val="28"/>
          <w:rtl/>
        </w:rPr>
        <w:t>,</w:t>
      </w:r>
      <w:r w:rsidR="00E82090" w:rsidRPr="00F65F26">
        <w:rPr>
          <w:rFonts w:cs="David" w:hint="cs"/>
          <w:sz w:val="28"/>
          <w:szCs w:val="28"/>
          <w:rtl/>
        </w:rPr>
        <w:t xml:space="preserve"> מסר כי: "</w:t>
      </w:r>
      <w:r w:rsidR="006674B1" w:rsidRPr="00F65F26">
        <w:rPr>
          <w:rFonts w:cs="David" w:hint="cs"/>
          <w:sz w:val="28"/>
          <w:szCs w:val="28"/>
          <w:rtl/>
        </w:rPr>
        <w:t>לא רציתי לעשות צבא, לא רוצה לעשות צבא"</w:t>
      </w:r>
      <w:r w:rsidR="00432233">
        <w:rPr>
          <w:rFonts w:cs="David" w:hint="cs"/>
          <w:sz w:val="28"/>
          <w:szCs w:val="28"/>
          <w:rtl/>
        </w:rPr>
        <w:t xml:space="preserve"> וכי התייצב </w:t>
      </w:r>
      <w:r w:rsidR="00B542B0">
        <w:rPr>
          <w:rFonts w:cs="David" w:hint="cs"/>
          <w:sz w:val="28"/>
          <w:szCs w:val="28"/>
          <w:rtl/>
        </w:rPr>
        <w:t xml:space="preserve">כדי </w:t>
      </w:r>
      <w:r w:rsidR="00432233">
        <w:rPr>
          <w:rFonts w:cs="David" w:hint="cs"/>
          <w:sz w:val="28"/>
          <w:szCs w:val="28"/>
          <w:rtl/>
        </w:rPr>
        <w:t>"לסיים עם זה".</w:t>
      </w:r>
      <w:r w:rsidR="006674B1" w:rsidRPr="00F65F26">
        <w:rPr>
          <w:rFonts w:cs="David" w:hint="cs"/>
          <w:sz w:val="28"/>
          <w:szCs w:val="28"/>
          <w:rtl/>
        </w:rPr>
        <w:t xml:space="preserve"> </w:t>
      </w:r>
    </w:p>
    <w:p w14:paraId="29619773" w14:textId="3191430E" w:rsidR="006674B1" w:rsidRPr="00F65F26" w:rsidRDefault="00432233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על אף ש</w:t>
      </w:r>
      <w:r w:rsidR="00B542B0">
        <w:rPr>
          <w:rFonts w:cs="David" w:hint="cs"/>
          <w:sz w:val="28"/>
          <w:szCs w:val="28"/>
          <w:rtl/>
        </w:rPr>
        <w:t xml:space="preserve">המערער טען כי ברקע היעדרותו מצויים </w:t>
      </w:r>
      <w:r>
        <w:rPr>
          <w:rFonts w:cs="David" w:hint="cs"/>
          <w:sz w:val="28"/>
          <w:szCs w:val="28"/>
          <w:rtl/>
        </w:rPr>
        <w:t>קשיים כלכליים, הרי שבפועל</w:t>
      </w:r>
      <w:r w:rsidR="00B542B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עלה מ</w:t>
      </w:r>
      <w:r w:rsidR="00B542B0">
        <w:rPr>
          <w:rFonts w:cs="David" w:hint="cs"/>
          <w:sz w:val="28"/>
          <w:szCs w:val="28"/>
          <w:rtl/>
        </w:rPr>
        <w:t xml:space="preserve">ן </w:t>
      </w:r>
      <w:r>
        <w:rPr>
          <w:rFonts w:cs="David" w:hint="cs"/>
          <w:sz w:val="28"/>
          <w:szCs w:val="28"/>
          <w:rtl/>
        </w:rPr>
        <w:t xml:space="preserve">הראיות שהוצגו כי המערער </w:t>
      </w:r>
      <w:r w:rsidR="00F65F26">
        <w:rPr>
          <w:rFonts w:cs="David" w:hint="cs"/>
          <w:sz w:val="28"/>
          <w:szCs w:val="28"/>
          <w:rtl/>
        </w:rPr>
        <w:t xml:space="preserve">לא עבד ולא סייע לפרנסת משפחתו, ואף לווה כספים מאחיו </w:t>
      </w:r>
      <w:r w:rsidR="00B542B0">
        <w:rPr>
          <w:rFonts w:cs="David" w:hint="cs"/>
          <w:sz w:val="28"/>
          <w:szCs w:val="28"/>
          <w:rtl/>
        </w:rPr>
        <w:t xml:space="preserve">לכיסוי </w:t>
      </w:r>
      <w:r w:rsidR="00F65F26">
        <w:rPr>
          <w:rFonts w:cs="David" w:hint="cs"/>
          <w:sz w:val="28"/>
          <w:szCs w:val="28"/>
          <w:rtl/>
        </w:rPr>
        <w:t xml:space="preserve">חובות שצבר. במהלך כליאתו פוטר המערער משירות בשל </w:t>
      </w:r>
      <w:r w:rsidR="00B542B0">
        <w:rPr>
          <w:rFonts w:cs="David" w:hint="cs"/>
          <w:sz w:val="28"/>
          <w:szCs w:val="28"/>
          <w:rtl/>
        </w:rPr>
        <w:t>"</w:t>
      </w:r>
      <w:r w:rsidR="00F65F26">
        <w:rPr>
          <w:rFonts w:cs="David" w:hint="cs"/>
          <w:sz w:val="28"/>
          <w:szCs w:val="28"/>
          <w:rtl/>
        </w:rPr>
        <w:t>התנהגות רעה וחמורה</w:t>
      </w:r>
      <w:r w:rsidR="00B542B0">
        <w:rPr>
          <w:rFonts w:cs="David" w:hint="cs"/>
          <w:sz w:val="28"/>
          <w:szCs w:val="28"/>
          <w:rtl/>
        </w:rPr>
        <w:t>"</w:t>
      </w:r>
      <w:r w:rsidR="00F65F26">
        <w:rPr>
          <w:rFonts w:cs="David" w:hint="cs"/>
          <w:sz w:val="28"/>
          <w:szCs w:val="28"/>
          <w:rtl/>
        </w:rPr>
        <w:t xml:space="preserve">. </w:t>
      </w:r>
    </w:p>
    <w:p w14:paraId="11700948" w14:textId="63921C99" w:rsidR="003475A2" w:rsidRDefault="00E55C75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 w:rsidRPr="006B700B">
        <w:rPr>
          <w:rFonts w:cs="David" w:hint="cs"/>
          <w:sz w:val="28"/>
          <w:szCs w:val="28"/>
          <w:rtl/>
        </w:rPr>
        <w:t>בית הדין קמא הנכבד</w:t>
      </w:r>
      <w:r w:rsidR="00022B59" w:rsidRPr="006B700B">
        <w:rPr>
          <w:rFonts w:cs="David" w:hint="cs"/>
          <w:sz w:val="28"/>
          <w:szCs w:val="28"/>
          <w:rtl/>
        </w:rPr>
        <w:t xml:space="preserve">, </w:t>
      </w:r>
      <w:r w:rsidR="00F65F26">
        <w:rPr>
          <w:rFonts w:cs="David" w:hint="cs"/>
          <w:sz w:val="28"/>
          <w:szCs w:val="28"/>
          <w:rtl/>
        </w:rPr>
        <w:t xml:space="preserve">שקל את כלל הנסיבות </w:t>
      </w:r>
      <w:r w:rsidR="006A16ED">
        <w:rPr>
          <w:rFonts w:cs="David" w:hint="cs"/>
          <w:sz w:val="28"/>
          <w:szCs w:val="28"/>
          <w:rtl/>
        </w:rPr>
        <w:t>דלעיל</w:t>
      </w:r>
      <w:r w:rsidR="00F65F26">
        <w:rPr>
          <w:rFonts w:cs="David" w:hint="cs"/>
          <w:sz w:val="28"/>
          <w:szCs w:val="28"/>
          <w:rtl/>
        </w:rPr>
        <w:t xml:space="preserve">, בראי משך היעדרותו של המערער, </w:t>
      </w:r>
      <w:r w:rsidR="00B542B0">
        <w:rPr>
          <w:rFonts w:cs="David" w:hint="cs"/>
          <w:sz w:val="28"/>
          <w:szCs w:val="28"/>
          <w:rtl/>
        </w:rPr>
        <w:t xml:space="preserve">אשר נמשכה גם </w:t>
      </w:r>
      <w:r w:rsidR="00F65F26">
        <w:rPr>
          <w:rFonts w:cs="David" w:hint="cs"/>
          <w:sz w:val="28"/>
          <w:szCs w:val="28"/>
          <w:rtl/>
        </w:rPr>
        <w:t xml:space="preserve">לאחר פרוץ מלחמת </w:t>
      </w:r>
      <w:r w:rsidR="00B542B0">
        <w:rPr>
          <w:rFonts w:cs="David" w:hint="cs"/>
          <w:sz w:val="28"/>
          <w:szCs w:val="28"/>
          <w:rtl/>
        </w:rPr>
        <w:t>"</w:t>
      </w:r>
      <w:r w:rsidR="00F65F26">
        <w:rPr>
          <w:rFonts w:cs="David" w:hint="cs"/>
          <w:sz w:val="28"/>
          <w:szCs w:val="28"/>
          <w:rtl/>
        </w:rPr>
        <w:t>חרבות ברזל</w:t>
      </w:r>
      <w:r w:rsidR="00B542B0">
        <w:rPr>
          <w:rFonts w:cs="David" w:hint="cs"/>
          <w:sz w:val="28"/>
          <w:szCs w:val="28"/>
          <w:rtl/>
        </w:rPr>
        <w:t>"</w:t>
      </w:r>
      <w:r w:rsidR="00F65F26">
        <w:rPr>
          <w:rFonts w:cs="David" w:hint="cs"/>
          <w:sz w:val="28"/>
          <w:szCs w:val="28"/>
          <w:rtl/>
        </w:rPr>
        <w:t xml:space="preserve">. </w:t>
      </w:r>
      <w:r w:rsidR="006A16ED">
        <w:rPr>
          <w:rFonts w:cs="David" w:hint="cs"/>
          <w:sz w:val="28"/>
          <w:szCs w:val="28"/>
          <w:rtl/>
        </w:rPr>
        <w:t xml:space="preserve">לאור נסיבות ביצוע העבירה, </w:t>
      </w:r>
      <w:r w:rsidR="00F65F26">
        <w:rPr>
          <w:rFonts w:cs="David" w:hint="cs"/>
          <w:sz w:val="28"/>
          <w:szCs w:val="28"/>
          <w:rtl/>
        </w:rPr>
        <w:t>נוכח היקף הפגיעה בערכים המוגנים ו</w:t>
      </w:r>
      <w:r w:rsidR="006A16ED">
        <w:rPr>
          <w:rFonts w:cs="David" w:hint="cs"/>
          <w:sz w:val="28"/>
          <w:szCs w:val="28"/>
          <w:rtl/>
        </w:rPr>
        <w:t>בשים לב ל</w:t>
      </w:r>
      <w:r w:rsidR="00F65F26">
        <w:rPr>
          <w:rFonts w:cs="David" w:hint="cs"/>
          <w:sz w:val="28"/>
          <w:szCs w:val="28"/>
          <w:rtl/>
        </w:rPr>
        <w:t xml:space="preserve">מדיניות הענישה המחמירה שנקבעה לאחר פרוץ המלחמה </w:t>
      </w:r>
      <w:r w:rsidR="00B542B0">
        <w:rPr>
          <w:rFonts w:cs="David" w:hint="cs"/>
          <w:sz w:val="28"/>
          <w:szCs w:val="28"/>
          <w:rtl/>
        </w:rPr>
        <w:t xml:space="preserve">בפסיקת </w:t>
      </w:r>
      <w:r w:rsidR="00F65F26">
        <w:rPr>
          <w:rFonts w:cs="David" w:hint="cs"/>
          <w:sz w:val="28"/>
          <w:szCs w:val="28"/>
          <w:rtl/>
        </w:rPr>
        <w:t xml:space="preserve">בית דין זה (ע/57/24 </w:t>
      </w:r>
      <w:r w:rsidR="00F65F26">
        <w:rPr>
          <w:rFonts w:cs="David" w:hint="cs"/>
          <w:b/>
          <w:bCs/>
          <w:sz w:val="28"/>
          <w:szCs w:val="28"/>
          <w:rtl/>
        </w:rPr>
        <w:t xml:space="preserve">טור' נקש נ' התובע הצבאי הראשי </w:t>
      </w:r>
      <w:r w:rsidR="00F65F26">
        <w:rPr>
          <w:rFonts w:cs="David" w:hint="cs"/>
          <w:sz w:val="28"/>
          <w:szCs w:val="28"/>
          <w:rtl/>
        </w:rPr>
        <w:t xml:space="preserve">(2024); ע/35,38/24 </w:t>
      </w:r>
      <w:r w:rsidR="00F65F26">
        <w:rPr>
          <w:rFonts w:cs="David" w:hint="cs"/>
          <w:b/>
          <w:bCs/>
          <w:sz w:val="28"/>
          <w:szCs w:val="28"/>
          <w:rtl/>
        </w:rPr>
        <w:t xml:space="preserve">התובע הצבאי הראשי נ' טור' </w:t>
      </w:r>
      <w:proofErr w:type="spellStart"/>
      <w:r w:rsidR="00F65F26">
        <w:rPr>
          <w:rFonts w:cs="David" w:hint="cs"/>
          <w:b/>
          <w:bCs/>
          <w:sz w:val="28"/>
          <w:szCs w:val="28"/>
          <w:rtl/>
        </w:rPr>
        <w:t>טאדלה</w:t>
      </w:r>
      <w:proofErr w:type="spellEnd"/>
      <w:r w:rsidR="00F65F26">
        <w:rPr>
          <w:rFonts w:cs="David" w:hint="cs"/>
          <w:sz w:val="28"/>
          <w:szCs w:val="28"/>
          <w:rtl/>
        </w:rPr>
        <w:t xml:space="preserve"> (2024); ע/23/24 </w:t>
      </w:r>
      <w:r w:rsidR="00F65F26">
        <w:rPr>
          <w:rFonts w:cs="David" w:hint="cs"/>
          <w:b/>
          <w:bCs/>
          <w:sz w:val="28"/>
          <w:szCs w:val="28"/>
          <w:rtl/>
        </w:rPr>
        <w:t xml:space="preserve">התובע הצבאי הראשי נ' טור' כהן </w:t>
      </w:r>
      <w:r w:rsidR="00F65F26">
        <w:rPr>
          <w:rFonts w:cs="David" w:hint="cs"/>
          <w:sz w:val="28"/>
          <w:szCs w:val="28"/>
          <w:rtl/>
        </w:rPr>
        <w:t>(2024)</w:t>
      </w:r>
      <w:r w:rsidR="00B542B0">
        <w:rPr>
          <w:rFonts w:cs="David" w:hint="cs"/>
          <w:sz w:val="28"/>
          <w:szCs w:val="28"/>
          <w:rtl/>
        </w:rPr>
        <w:t xml:space="preserve">) - </w:t>
      </w:r>
      <w:r w:rsidR="00F65F26">
        <w:rPr>
          <w:rFonts w:cs="David" w:hint="cs"/>
          <w:sz w:val="28"/>
          <w:szCs w:val="28"/>
          <w:rtl/>
        </w:rPr>
        <w:t xml:space="preserve">נקבע מתחם עונש </w:t>
      </w:r>
      <w:r w:rsidRPr="006B700B">
        <w:rPr>
          <w:rFonts w:cs="David" w:hint="cs"/>
          <w:sz w:val="28"/>
          <w:szCs w:val="28"/>
          <w:rtl/>
        </w:rPr>
        <w:t>הולם</w:t>
      </w:r>
      <w:r w:rsidR="00B542B0">
        <w:rPr>
          <w:rFonts w:cs="David" w:hint="cs"/>
          <w:sz w:val="28"/>
          <w:szCs w:val="28"/>
          <w:rtl/>
        </w:rPr>
        <w:t>,</w:t>
      </w:r>
      <w:r w:rsidRPr="006B700B">
        <w:rPr>
          <w:rFonts w:cs="David" w:hint="cs"/>
          <w:sz w:val="28"/>
          <w:szCs w:val="28"/>
          <w:rtl/>
        </w:rPr>
        <w:t xml:space="preserve"> הנע בין </w:t>
      </w:r>
      <w:r w:rsidR="006B700B" w:rsidRPr="006B700B">
        <w:rPr>
          <w:rFonts w:cs="David" w:hint="cs"/>
          <w:sz w:val="28"/>
          <w:szCs w:val="28"/>
          <w:rtl/>
        </w:rPr>
        <w:t>13 ל-21</w:t>
      </w:r>
      <w:r w:rsidRPr="006B700B">
        <w:rPr>
          <w:rFonts w:cs="David" w:hint="cs"/>
          <w:sz w:val="28"/>
          <w:szCs w:val="28"/>
          <w:rtl/>
        </w:rPr>
        <w:t xml:space="preserve"> </w:t>
      </w:r>
      <w:r w:rsidR="006B700B" w:rsidRPr="006B700B">
        <w:rPr>
          <w:rFonts w:cs="David" w:hint="cs"/>
          <w:sz w:val="28"/>
          <w:szCs w:val="28"/>
          <w:rtl/>
        </w:rPr>
        <w:t>חודשי</w:t>
      </w:r>
      <w:r w:rsidRPr="006B700B">
        <w:rPr>
          <w:rFonts w:cs="David" w:hint="cs"/>
          <w:sz w:val="28"/>
          <w:szCs w:val="28"/>
          <w:rtl/>
        </w:rPr>
        <w:t xml:space="preserve"> מאסר בפועל</w:t>
      </w:r>
      <w:r w:rsidR="00B542B0">
        <w:rPr>
          <w:rFonts w:cs="David" w:hint="cs"/>
          <w:sz w:val="28"/>
          <w:szCs w:val="28"/>
          <w:rtl/>
        </w:rPr>
        <w:t>.</w:t>
      </w:r>
      <w:r w:rsidR="003475A2">
        <w:rPr>
          <w:rFonts w:cs="David" w:hint="cs"/>
          <w:sz w:val="28"/>
          <w:szCs w:val="28"/>
          <w:rtl/>
        </w:rPr>
        <w:t xml:space="preserve"> </w:t>
      </w:r>
    </w:p>
    <w:p w14:paraId="1C8C1EB4" w14:textId="01965A2B" w:rsidR="006A16ED" w:rsidRDefault="003475A2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בעת קביעת עונשו בתוך </w:t>
      </w:r>
      <w:r w:rsidR="006A16ED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מתחם</w:t>
      </w:r>
      <w:r w:rsidR="006A16ED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B542B0">
        <w:rPr>
          <w:rFonts w:cs="David" w:hint="cs"/>
          <w:sz w:val="28"/>
          <w:szCs w:val="28"/>
          <w:rtl/>
        </w:rPr>
        <w:t xml:space="preserve">שב בית </w:t>
      </w:r>
      <w:r>
        <w:rPr>
          <w:rFonts w:cs="David" w:hint="cs"/>
          <w:sz w:val="28"/>
          <w:szCs w:val="28"/>
          <w:rtl/>
        </w:rPr>
        <w:t xml:space="preserve">הדין </w:t>
      </w:r>
      <w:r w:rsidR="006A16ED">
        <w:rPr>
          <w:rFonts w:cs="David" w:hint="cs"/>
          <w:sz w:val="28"/>
          <w:szCs w:val="28"/>
          <w:rtl/>
        </w:rPr>
        <w:t xml:space="preserve">קמא </w:t>
      </w:r>
      <w:r w:rsidR="00B542B0">
        <w:rPr>
          <w:rFonts w:cs="David" w:hint="cs"/>
          <w:sz w:val="28"/>
          <w:szCs w:val="28"/>
          <w:rtl/>
        </w:rPr>
        <w:t xml:space="preserve">ועמד על </w:t>
      </w:r>
      <w:r>
        <w:rPr>
          <w:rFonts w:cs="David" w:hint="cs"/>
          <w:sz w:val="28"/>
          <w:szCs w:val="28"/>
          <w:rtl/>
        </w:rPr>
        <w:t>חוסר המוטיבציה של המערער לשירות צבאי ו</w:t>
      </w:r>
      <w:r w:rsidR="00B542B0">
        <w:rPr>
          <w:rFonts w:cs="David" w:hint="cs"/>
          <w:sz w:val="28"/>
          <w:szCs w:val="28"/>
          <w:rtl/>
        </w:rPr>
        <w:t xml:space="preserve">על </w:t>
      </w:r>
      <w:r>
        <w:rPr>
          <w:rFonts w:cs="David" w:hint="cs"/>
          <w:sz w:val="28"/>
          <w:szCs w:val="28"/>
          <w:rtl/>
        </w:rPr>
        <w:t>"היחס השלילי והמזלזל כלפי הגורמים שניסו לסייע לו להשלים שירות תקין"</w:t>
      </w:r>
      <w:r w:rsidR="00B542B0">
        <w:rPr>
          <w:rFonts w:cs="David" w:hint="cs"/>
          <w:sz w:val="28"/>
          <w:szCs w:val="28"/>
          <w:rtl/>
        </w:rPr>
        <w:t xml:space="preserve">. </w:t>
      </w:r>
      <w:r w:rsidR="006A16ED">
        <w:rPr>
          <w:rFonts w:cs="David" w:hint="cs"/>
          <w:sz w:val="28"/>
          <w:szCs w:val="28"/>
          <w:rtl/>
        </w:rPr>
        <w:t>בואר</w:t>
      </w:r>
      <w:r>
        <w:rPr>
          <w:rFonts w:cs="David" w:hint="cs"/>
          <w:sz w:val="28"/>
          <w:szCs w:val="28"/>
          <w:rtl/>
        </w:rPr>
        <w:t xml:space="preserve"> כי התייצבותו בסיום ההיעדרות אינה מלמדת על חרטה אלא על רצון תועלתני לסיים את תקופת </w:t>
      </w:r>
      <w:r w:rsidR="00C4502F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היעדרות</w:t>
      </w:r>
      <w:r w:rsidR="00B542B0">
        <w:rPr>
          <w:rFonts w:cs="David" w:hint="cs"/>
          <w:sz w:val="28"/>
          <w:szCs w:val="28"/>
          <w:rtl/>
        </w:rPr>
        <w:t xml:space="preserve">, וכי </w:t>
      </w:r>
      <w:r w:rsidR="006A16ED">
        <w:rPr>
          <w:rFonts w:cs="David" w:hint="cs"/>
          <w:sz w:val="28"/>
          <w:szCs w:val="28"/>
          <w:rtl/>
        </w:rPr>
        <w:t xml:space="preserve">למצבו הכלכלי יש ליתן </w:t>
      </w:r>
      <w:r>
        <w:rPr>
          <w:rFonts w:cs="David" w:hint="cs"/>
          <w:sz w:val="28"/>
          <w:szCs w:val="28"/>
          <w:rtl/>
        </w:rPr>
        <w:t>"משקל מוגבל"</w:t>
      </w:r>
      <w:r w:rsidR="006A16ED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בשים לב לכך שלא תרם לפרנסת משפחתו</w:t>
      </w:r>
      <w:r w:rsidR="00B542B0">
        <w:rPr>
          <w:rFonts w:cs="David" w:hint="cs"/>
          <w:sz w:val="28"/>
          <w:szCs w:val="28"/>
          <w:rtl/>
        </w:rPr>
        <w:t xml:space="preserve">. נקבע גם, </w:t>
      </w:r>
      <w:r>
        <w:rPr>
          <w:rFonts w:cs="David" w:hint="cs"/>
          <w:sz w:val="28"/>
          <w:szCs w:val="28"/>
          <w:rtl/>
        </w:rPr>
        <w:t>כי יש להתחשב בעברו המכביד</w:t>
      </w:r>
      <w:r w:rsidR="00B542B0">
        <w:rPr>
          <w:rFonts w:cs="David" w:hint="cs"/>
          <w:sz w:val="28"/>
          <w:szCs w:val="28"/>
          <w:rtl/>
        </w:rPr>
        <w:t xml:space="preserve"> של המערער</w:t>
      </w:r>
      <w:r>
        <w:rPr>
          <w:rFonts w:cs="David" w:hint="cs"/>
          <w:sz w:val="28"/>
          <w:szCs w:val="28"/>
          <w:rtl/>
        </w:rPr>
        <w:t xml:space="preserve">. </w:t>
      </w:r>
    </w:p>
    <w:p w14:paraId="1872A08D" w14:textId="6093CB24" w:rsidR="006B700B" w:rsidRDefault="003475A2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לצד זאת</w:t>
      </w:r>
      <w:r w:rsidR="00B542B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נחלקו דעות השופטים ביחס ל</w:t>
      </w:r>
      <w:r w:rsidR="006A16ED">
        <w:rPr>
          <w:rFonts w:cs="David" w:hint="cs"/>
          <w:sz w:val="28"/>
          <w:szCs w:val="28"/>
          <w:rtl/>
        </w:rPr>
        <w:t xml:space="preserve">עונש הראוי בנסיבות העניין. שופטי </w:t>
      </w:r>
      <w:r>
        <w:rPr>
          <w:rFonts w:cs="David" w:hint="cs"/>
          <w:sz w:val="28"/>
          <w:szCs w:val="28"/>
          <w:rtl/>
        </w:rPr>
        <w:t>הרוב סבר</w:t>
      </w:r>
      <w:r w:rsidR="006A16ED">
        <w:rPr>
          <w:rFonts w:cs="David" w:hint="cs"/>
          <w:sz w:val="28"/>
          <w:szCs w:val="28"/>
          <w:rtl/>
        </w:rPr>
        <w:t>ו כי שיקולי החומרה מ</w:t>
      </w:r>
      <w:r w:rsidR="00B542B0">
        <w:rPr>
          <w:rFonts w:cs="David" w:hint="cs"/>
          <w:sz w:val="28"/>
          <w:szCs w:val="28"/>
          <w:rtl/>
        </w:rPr>
        <w:t xml:space="preserve">חייבים להעמיד את </w:t>
      </w:r>
      <w:r>
        <w:rPr>
          <w:rFonts w:cs="David" w:hint="cs"/>
          <w:sz w:val="28"/>
          <w:szCs w:val="28"/>
          <w:rtl/>
        </w:rPr>
        <w:t xml:space="preserve">עונשו של המערער מעל מחציתו של מתחם העונש ההולם כך שירצה 18 חודשי מאסר בפועל. </w:t>
      </w:r>
      <w:r w:rsidR="00B542B0">
        <w:rPr>
          <w:rFonts w:cs="David" w:hint="cs"/>
          <w:sz w:val="28"/>
          <w:szCs w:val="28"/>
          <w:rtl/>
        </w:rPr>
        <w:t xml:space="preserve">לעומת זאת, </w:t>
      </w:r>
      <w:r w:rsidR="006A16ED">
        <w:rPr>
          <w:rFonts w:cs="David" w:hint="cs"/>
          <w:sz w:val="28"/>
          <w:szCs w:val="28"/>
          <w:rtl/>
        </w:rPr>
        <w:t xml:space="preserve">שופט המיעוט </w:t>
      </w:r>
      <w:r w:rsidR="00B542B0">
        <w:rPr>
          <w:rFonts w:cs="David" w:hint="cs"/>
          <w:sz w:val="28"/>
          <w:szCs w:val="28"/>
          <w:rtl/>
        </w:rPr>
        <w:t xml:space="preserve">סבר כי יש ליתן משקל </w:t>
      </w:r>
      <w:r w:rsidR="007366BC">
        <w:rPr>
          <w:rFonts w:cs="David" w:hint="cs"/>
          <w:sz w:val="28"/>
          <w:szCs w:val="28"/>
          <w:rtl/>
        </w:rPr>
        <w:t>רב</w:t>
      </w:r>
      <w:r w:rsidR="00B542B0">
        <w:rPr>
          <w:rFonts w:cs="David" w:hint="cs"/>
          <w:sz w:val="28"/>
          <w:szCs w:val="28"/>
          <w:rtl/>
        </w:rPr>
        <w:t xml:space="preserve"> ל</w:t>
      </w:r>
      <w:r w:rsidR="006B700B" w:rsidRPr="006B700B">
        <w:rPr>
          <w:rFonts w:cs="David" w:hint="cs"/>
          <w:sz w:val="28"/>
          <w:szCs w:val="28"/>
          <w:rtl/>
        </w:rPr>
        <w:t xml:space="preserve">קשיי ההסתגלות </w:t>
      </w:r>
      <w:r w:rsidR="00B542B0">
        <w:rPr>
          <w:rFonts w:cs="David" w:hint="cs"/>
          <w:sz w:val="28"/>
          <w:szCs w:val="28"/>
          <w:rtl/>
        </w:rPr>
        <w:t xml:space="preserve">של המערער, המלווים אותו לאורך שנים ועוד לפני </w:t>
      </w:r>
      <w:r w:rsidR="006A16ED">
        <w:rPr>
          <w:rFonts w:cs="David" w:hint="cs"/>
          <w:sz w:val="28"/>
          <w:szCs w:val="28"/>
          <w:rtl/>
        </w:rPr>
        <w:t>גיוסו, ול</w:t>
      </w:r>
      <w:r w:rsidR="00B542B0">
        <w:rPr>
          <w:rFonts w:cs="David" w:hint="cs"/>
          <w:sz w:val="28"/>
          <w:szCs w:val="28"/>
          <w:rtl/>
        </w:rPr>
        <w:t xml:space="preserve">השלכותיהם על יכולתו של המערער </w:t>
      </w:r>
      <w:r w:rsidR="006A16ED">
        <w:rPr>
          <w:rFonts w:cs="David" w:hint="cs"/>
          <w:sz w:val="28"/>
          <w:szCs w:val="28"/>
          <w:rtl/>
        </w:rPr>
        <w:t xml:space="preserve">לשרת שירות תקין. לאור האמור, ומתוך התחשבות </w:t>
      </w:r>
      <w:r>
        <w:rPr>
          <w:rFonts w:cs="David" w:hint="cs"/>
          <w:sz w:val="28"/>
          <w:szCs w:val="28"/>
          <w:rtl/>
        </w:rPr>
        <w:t>ברקע שממנו מגיע המערער והקשיים שחווה במהלך חייו</w:t>
      </w:r>
      <w:r w:rsidR="006A16ED">
        <w:rPr>
          <w:rFonts w:cs="David" w:hint="cs"/>
          <w:sz w:val="28"/>
          <w:szCs w:val="28"/>
          <w:rtl/>
        </w:rPr>
        <w:t xml:space="preserve">, סבר </w:t>
      </w:r>
      <w:r w:rsidR="00B542B0">
        <w:rPr>
          <w:rFonts w:cs="David" w:hint="cs"/>
          <w:sz w:val="28"/>
          <w:szCs w:val="28"/>
          <w:rtl/>
        </w:rPr>
        <w:t xml:space="preserve">שופט המיעוט </w:t>
      </w:r>
      <w:r w:rsidR="006A16ED">
        <w:rPr>
          <w:rFonts w:cs="David" w:hint="cs"/>
          <w:sz w:val="28"/>
          <w:szCs w:val="28"/>
          <w:rtl/>
        </w:rPr>
        <w:t xml:space="preserve">כי יש להעמיד את </w:t>
      </w:r>
      <w:r>
        <w:rPr>
          <w:rFonts w:cs="David" w:hint="cs"/>
          <w:sz w:val="28"/>
          <w:szCs w:val="28"/>
          <w:rtl/>
        </w:rPr>
        <w:t xml:space="preserve">עונשו על 15 חודשי מאסר בפועל. </w:t>
      </w:r>
    </w:p>
    <w:p w14:paraId="4AB04C8B" w14:textId="77777777" w:rsidR="006B700B" w:rsidRPr="003475A2" w:rsidRDefault="006B700B" w:rsidP="00AC5B08">
      <w:pPr>
        <w:spacing w:line="353" w:lineRule="auto"/>
        <w:ind w:left="6" w:hanging="6"/>
        <w:jc w:val="both"/>
        <w:rPr>
          <w:rFonts w:cs="David"/>
          <w:sz w:val="28"/>
          <w:szCs w:val="28"/>
          <w:rtl/>
        </w:rPr>
      </w:pPr>
    </w:p>
    <w:p w14:paraId="17DC9CED" w14:textId="77777777" w:rsidR="006132C0" w:rsidRDefault="006132C0" w:rsidP="00AC5B08">
      <w:pPr>
        <w:spacing w:line="353" w:lineRule="auto"/>
        <w:ind w:left="6" w:hanging="6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טיעוני </w:t>
      </w:r>
      <w:r w:rsidRPr="0067506D">
        <w:rPr>
          <w:rFonts w:cs="David"/>
          <w:b/>
          <w:bCs/>
          <w:sz w:val="28"/>
          <w:szCs w:val="28"/>
          <w:u w:val="single"/>
          <w:rtl/>
        </w:rPr>
        <w:t xml:space="preserve">הצדדים </w:t>
      </w:r>
      <w:r>
        <w:rPr>
          <w:rFonts w:cs="David" w:hint="cs"/>
          <w:b/>
          <w:bCs/>
          <w:sz w:val="28"/>
          <w:szCs w:val="28"/>
          <w:u w:val="single"/>
          <w:rtl/>
        </w:rPr>
        <w:t>בערעור</w:t>
      </w:r>
      <w:r w:rsidRPr="0067506D">
        <w:rPr>
          <w:rFonts w:cs="David"/>
          <w:b/>
          <w:bCs/>
          <w:sz w:val="28"/>
          <w:szCs w:val="28"/>
          <w:u w:val="single"/>
          <w:rtl/>
        </w:rPr>
        <w:t xml:space="preserve">  </w:t>
      </w:r>
    </w:p>
    <w:p w14:paraId="057CF902" w14:textId="77777777" w:rsidR="006132C0" w:rsidRPr="0067506D" w:rsidRDefault="006132C0" w:rsidP="00AC5B08">
      <w:pPr>
        <w:spacing w:line="353" w:lineRule="auto"/>
        <w:ind w:left="6" w:hanging="6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4BDA2B28" w14:textId="3AE80A00" w:rsidR="008129EE" w:rsidRDefault="006132C0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 w:rsidRPr="005D53BC">
        <w:rPr>
          <w:rFonts w:cs="David" w:hint="cs"/>
          <w:sz w:val="28"/>
          <w:szCs w:val="28"/>
          <w:rtl/>
        </w:rPr>
        <w:t xml:space="preserve">ההגנה </w:t>
      </w:r>
      <w:r w:rsidR="008129EE">
        <w:rPr>
          <w:rFonts w:cs="David" w:hint="cs"/>
          <w:sz w:val="28"/>
          <w:szCs w:val="28"/>
          <w:rtl/>
        </w:rPr>
        <w:t xml:space="preserve">טענה בערעורה כי בית הדין קמא </w:t>
      </w:r>
      <w:r w:rsidR="00B542B0">
        <w:rPr>
          <w:rFonts w:cs="David" w:hint="cs"/>
          <w:sz w:val="28"/>
          <w:szCs w:val="28"/>
          <w:rtl/>
        </w:rPr>
        <w:t xml:space="preserve">שגה הן </w:t>
      </w:r>
      <w:r>
        <w:rPr>
          <w:rFonts w:cs="David" w:hint="cs"/>
          <w:sz w:val="28"/>
          <w:szCs w:val="28"/>
          <w:rtl/>
        </w:rPr>
        <w:t>בקביעת מתחם העונש ההולם</w:t>
      </w:r>
      <w:r w:rsidR="00A75807">
        <w:rPr>
          <w:rFonts w:cs="David" w:hint="cs"/>
          <w:sz w:val="28"/>
          <w:szCs w:val="28"/>
          <w:rtl/>
        </w:rPr>
        <w:t xml:space="preserve"> ו</w:t>
      </w:r>
      <w:r w:rsidR="00B542B0">
        <w:rPr>
          <w:rFonts w:cs="David" w:hint="cs"/>
          <w:sz w:val="28"/>
          <w:szCs w:val="28"/>
          <w:rtl/>
        </w:rPr>
        <w:t xml:space="preserve">הן </w:t>
      </w:r>
      <w:r w:rsidR="006A16ED">
        <w:rPr>
          <w:rFonts w:cs="David" w:hint="cs"/>
          <w:sz w:val="28"/>
          <w:szCs w:val="28"/>
          <w:rtl/>
        </w:rPr>
        <w:t xml:space="preserve">ביחס למיקום העונש בתוך המתחם שנקבע. </w:t>
      </w:r>
      <w:r w:rsidR="00B542B0">
        <w:rPr>
          <w:rFonts w:cs="David" w:hint="cs"/>
          <w:sz w:val="28"/>
          <w:szCs w:val="28"/>
          <w:rtl/>
        </w:rPr>
        <w:t xml:space="preserve">ההגנה </w:t>
      </w:r>
      <w:r w:rsidR="00A75807">
        <w:rPr>
          <w:rFonts w:cs="David" w:hint="cs"/>
          <w:sz w:val="28"/>
          <w:szCs w:val="28"/>
          <w:rtl/>
        </w:rPr>
        <w:t xml:space="preserve">עתרה </w:t>
      </w:r>
      <w:r w:rsidR="008129EE">
        <w:rPr>
          <w:rFonts w:cs="David" w:hint="cs"/>
          <w:sz w:val="28"/>
          <w:szCs w:val="28"/>
          <w:rtl/>
        </w:rPr>
        <w:t>לקבוע מתחם עונש הולם הנע בין 10 ל-14 חודשי מאסר בפוע</w:t>
      </w:r>
      <w:r w:rsidR="00A75807">
        <w:rPr>
          <w:rFonts w:cs="David" w:hint="cs"/>
          <w:sz w:val="28"/>
          <w:szCs w:val="28"/>
          <w:rtl/>
        </w:rPr>
        <w:t>ל, ולהשית על</w:t>
      </w:r>
      <w:r w:rsidR="004552FE">
        <w:rPr>
          <w:rFonts w:cs="David" w:hint="cs"/>
          <w:sz w:val="28"/>
          <w:szCs w:val="28"/>
          <w:rtl/>
        </w:rPr>
        <w:t xml:space="preserve"> המערער </w:t>
      </w:r>
      <w:r w:rsidR="00A75807">
        <w:rPr>
          <w:rFonts w:cs="David" w:hint="cs"/>
          <w:sz w:val="28"/>
          <w:szCs w:val="28"/>
          <w:rtl/>
        </w:rPr>
        <w:t xml:space="preserve">עונש בן 10 חודשים, </w:t>
      </w:r>
      <w:r w:rsidR="00B542B0">
        <w:rPr>
          <w:rFonts w:cs="David" w:hint="cs"/>
          <w:sz w:val="28"/>
          <w:szCs w:val="28"/>
          <w:rtl/>
        </w:rPr>
        <w:t xml:space="preserve">היינו, </w:t>
      </w:r>
      <w:r w:rsidR="00A75807">
        <w:rPr>
          <w:rFonts w:cs="David" w:hint="cs"/>
          <w:sz w:val="28"/>
          <w:szCs w:val="28"/>
          <w:rtl/>
        </w:rPr>
        <w:t xml:space="preserve">ברף </w:t>
      </w:r>
      <w:r w:rsidR="008129EE">
        <w:rPr>
          <w:rFonts w:cs="David" w:hint="cs"/>
          <w:sz w:val="28"/>
          <w:szCs w:val="28"/>
          <w:rtl/>
        </w:rPr>
        <w:t>התחתון של המתחם</w:t>
      </w:r>
      <w:r w:rsidR="00B542B0">
        <w:rPr>
          <w:rFonts w:cs="David" w:hint="cs"/>
          <w:sz w:val="28"/>
          <w:szCs w:val="28"/>
          <w:rtl/>
        </w:rPr>
        <w:t xml:space="preserve"> המבוקש</w:t>
      </w:r>
      <w:r w:rsidR="008129EE">
        <w:rPr>
          <w:rFonts w:cs="David" w:hint="cs"/>
          <w:sz w:val="28"/>
          <w:szCs w:val="28"/>
          <w:rtl/>
        </w:rPr>
        <w:t>. ל</w:t>
      </w:r>
      <w:r w:rsidR="004552FE">
        <w:rPr>
          <w:rFonts w:cs="David" w:hint="cs"/>
          <w:sz w:val="28"/>
          <w:szCs w:val="28"/>
          <w:rtl/>
        </w:rPr>
        <w:t>טענת</w:t>
      </w:r>
      <w:r w:rsidR="008129EE">
        <w:rPr>
          <w:rFonts w:cs="David" w:hint="cs"/>
          <w:sz w:val="28"/>
          <w:szCs w:val="28"/>
          <w:rtl/>
        </w:rPr>
        <w:t xml:space="preserve"> ההגנה, רקעו של המערער, נסיבותיו האישיות</w:t>
      </w:r>
      <w:r w:rsidR="006D3D66">
        <w:rPr>
          <w:rFonts w:cs="David" w:hint="cs"/>
          <w:sz w:val="28"/>
          <w:szCs w:val="28"/>
          <w:rtl/>
        </w:rPr>
        <w:t>, נתוניו הדלים</w:t>
      </w:r>
      <w:r w:rsidR="008129EE">
        <w:rPr>
          <w:rFonts w:cs="David" w:hint="cs"/>
          <w:sz w:val="28"/>
          <w:szCs w:val="28"/>
          <w:rtl/>
        </w:rPr>
        <w:t xml:space="preserve"> וקשיי ההסתגלות שלו למסגרות, הם בעלי קשר ישיר ל</w:t>
      </w:r>
      <w:r w:rsidR="006D3D66">
        <w:rPr>
          <w:rFonts w:cs="David" w:hint="cs"/>
          <w:sz w:val="28"/>
          <w:szCs w:val="28"/>
          <w:rtl/>
        </w:rPr>
        <w:t xml:space="preserve">קושי שלו </w:t>
      </w:r>
      <w:r w:rsidR="008129EE">
        <w:rPr>
          <w:rFonts w:cs="David" w:hint="cs"/>
          <w:sz w:val="28"/>
          <w:szCs w:val="28"/>
          <w:rtl/>
        </w:rPr>
        <w:t>להסתגל לשירות הצבאי ו</w:t>
      </w:r>
      <w:r w:rsidR="006D3D66">
        <w:rPr>
          <w:rFonts w:cs="David" w:hint="cs"/>
          <w:sz w:val="28"/>
          <w:szCs w:val="28"/>
          <w:rtl/>
        </w:rPr>
        <w:t xml:space="preserve">לפיכך, מצויים ברקע </w:t>
      </w:r>
      <w:r w:rsidR="008129EE">
        <w:rPr>
          <w:rFonts w:cs="David" w:hint="cs"/>
          <w:sz w:val="28"/>
          <w:szCs w:val="28"/>
          <w:rtl/>
        </w:rPr>
        <w:t>היעדרותו משירות</w:t>
      </w:r>
      <w:r w:rsidR="006D3D66">
        <w:rPr>
          <w:rFonts w:cs="David" w:hint="cs"/>
          <w:sz w:val="28"/>
          <w:szCs w:val="28"/>
          <w:rtl/>
        </w:rPr>
        <w:t xml:space="preserve">. נטען, כי יש לתת </w:t>
      </w:r>
      <w:r w:rsidR="008129EE">
        <w:rPr>
          <w:rFonts w:cs="David" w:hint="cs"/>
          <w:sz w:val="28"/>
          <w:szCs w:val="28"/>
          <w:rtl/>
        </w:rPr>
        <w:t xml:space="preserve">לנסיבות אלה משקל משמעותי </w:t>
      </w:r>
      <w:r w:rsidR="00844C9B">
        <w:rPr>
          <w:rFonts w:cs="David" w:hint="cs"/>
          <w:sz w:val="28"/>
          <w:szCs w:val="28"/>
          <w:rtl/>
        </w:rPr>
        <w:t xml:space="preserve">בעת קביעת מתחם העונש ההולם, </w:t>
      </w:r>
      <w:r w:rsidR="006D3D66">
        <w:rPr>
          <w:rFonts w:cs="David" w:hint="cs"/>
          <w:sz w:val="28"/>
          <w:szCs w:val="28"/>
          <w:rtl/>
        </w:rPr>
        <w:t xml:space="preserve">וכי </w:t>
      </w:r>
      <w:r w:rsidR="00844C9B">
        <w:rPr>
          <w:rFonts w:cs="David" w:hint="cs"/>
          <w:sz w:val="28"/>
          <w:szCs w:val="28"/>
          <w:rtl/>
        </w:rPr>
        <w:t xml:space="preserve">יש בהן כדי להפחית מחומרת המעשים ולמתן </w:t>
      </w:r>
      <w:r w:rsidR="007366BC">
        <w:rPr>
          <w:rFonts w:cs="David" w:hint="cs"/>
          <w:sz w:val="28"/>
          <w:szCs w:val="28"/>
          <w:rtl/>
        </w:rPr>
        <w:t>מ</w:t>
      </w:r>
      <w:r w:rsidR="00844C9B">
        <w:rPr>
          <w:rFonts w:cs="David" w:hint="cs"/>
          <w:sz w:val="28"/>
          <w:szCs w:val="28"/>
          <w:rtl/>
        </w:rPr>
        <w:t>עוצמת שיקולי ההלימה</w:t>
      </w:r>
      <w:r>
        <w:rPr>
          <w:rFonts w:cs="David" w:hint="cs"/>
          <w:sz w:val="28"/>
          <w:szCs w:val="28"/>
          <w:rtl/>
        </w:rPr>
        <w:t xml:space="preserve">. </w:t>
      </w:r>
    </w:p>
    <w:p w14:paraId="28D31F77" w14:textId="20322E0C" w:rsidR="006132C0" w:rsidRPr="005D53BC" w:rsidRDefault="008129EE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אשר לקביעת העונש בתוך המתחם נטען, כי בית הדין </w:t>
      </w:r>
      <w:r w:rsidR="004552FE">
        <w:rPr>
          <w:rFonts w:cs="David" w:hint="cs"/>
          <w:sz w:val="28"/>
          <w:szCs w:val="28"/>
          <w:rtl/>
        </w:rPr>
        <w:t xml:space="preserve">קמא </w:t>
      </w:r>
      <w:r>
        <w:rPr>
          <w:rFonts w:cs="David" w:hint="cs"/>
          <w:sz w:val="28"/>
          <w:szCs w:val="28"/>
          <w:rtl/>
        </w:rPr>
        <w:t xml:space="preserve">שגה כאשר </w:t>
      </w:r>
      <w:r w:rsidR="006D3D66">
        <w:rPr>
          <w:rFonts w:cs="David" w:hint="cs"/>
          <w:sz w:val="28"/>
          <w:szCs w:val="28"/>
          <w:rtl/>
        </w:rPr>
        <w:t>שב ו</w:t>
      </w:r>
      <w:r>
        <w:rPr>
          <w:rFonts w:cs="David" w:hint="cs"/>
          <w:sz w:val="28"/>
          <w:szCs w:val="28"/>
          <w:rtl/>
        </w:rPr>
        <w:t xml:space="preserve">שקל בעת קביעת העונש בתוך המתחם, שיקולים הקשורים לנסיבות ביצוע העבירה, כגון חוסר המוטיבציה של המערער לשירות, </w:t>
      </w:r>
      <w:r w:rsidR="006D3D66">
        <w:rPr>
          <w:rFonts w:cs="David" w:hint="cs"/>
          <w:sz w:val="28"/>
          <w:szCs w:val="28"/>
          <w:rtl/>
        </w:rPr>
        <w:t xml:space="preserve">וכי בחינת העונש כאמור, אינה עולה בקנה אחד עם הוראת </w:t>
      </w:r>
      <w:r>
        <w:rPr>
          <w:rFonts w:cs="David" w:hint="cs"/>
          <w:sz w:val="28"/>
          <w:szCs w:val="28"/>
          <w:rtl/>
        </w:rPr>
        <w:t xml:space="preserve">סעיף 40יא לחוק העונשין, תשל"ז </w:t>
      </w:r>
      <w:r w:rsidR="004552FE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1977</w:t>
      </w:r>
      <w:r w:rsidR="004552FE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כן נטען, כי קביעת העונש במחצית העליונה של המתחם אינה מוצדקת בנסיבות העניין, בשים לב לנסיבותיו האישיות</w:t>
      </w:r>
      <w:r w:rsidR="004552FE">
        <w:rPr>
          <w:rFonts w:cs="David" w:hint="cs"/>
          <w:sz w:val="28"/>
          <w:szCs w:val="28"/>
          <w:rtl/>
        </w:rPr>
        <w:t xml:space="preserve"> של המערער</w:t>
      </w:r>
      <w:r>
        <w:rPr>
          <w:rFonts w:cs="David" w:hint="cs"/>
          <w:sz w:val="28"/>
          <w:szCs w:val="28"/>
          <w:rtl/>
        </w:rPr>
        <w:t>, לפיטוריו משירות (באופן המאיין את שיקולי הרתעת היחיד) ול</w:t>
      </w:r>
      <w:r w:rsidR="007366BC">
        <w:rPr>
          <w:rFonts w:cs="David" w:hint="cs"/>
          <w:sz w:val="28"/>
          <w:szCs w:val="28"/>
          <w:rtl/>
        </w:rPr>
        <w:t xml:space="preserve">פסיקה שלפיה </w:t>
      </w:r>
      <w:r w:rsidR="006D3D66">
        <w:rPr>
          <w:rFonts w:cs="David" w:hint="cs"/>
          <w:sz w:val="28"/>
          <w:szCs w:val="28"/>
          <w:rtl/>
        </w:rPr>
        <w:t xml:space="preserve">בהעדר נסיבות חומרה חריגות, </w:t>
      </w:r>
      <w:r>
        <w:rPr>
          <w:rFonts w:cs="David" w:hint="cs"/>
          <w:sz w:val="28"/>
          <w:szCs w:val="28"/>
          <w:rtl/>
        </w:rPr>
        <w:t xml:space="preserve">הנטייה </w:t>
      </w:r>
      <w:r w:rsidR="006D3D66">
        <w:rPr>
          <w:rFonts w:cs="David" w:hint="cs"/>
          <w:sz w:val="28"/>
          <w:szCs w:val="28"/>
          <w:rtl/>
        </w:rPr>
        <w:t xml:space="preserve">תהיה </w:t>
      </w:r>
      <w:r>
        <w:rPr>
          <w:rFonts w:cs="David" w:hint="cs"/>
          <w:sz w:val="28"/>
          <w:szCs w:val="28"/>
          <w:rtl/>
        </w:rPr>
        <w:t>ל</w:t>
      </w:r>
      <w:r w:rsidR="006D3D66">
        <w:rPr>
          <w:rFonts w:cs="David" w:hint="cs"/>
          <w:sz w:val="28"/>
          <w:szCs w:val="28"/>
          <w:rtl/>
        </w:rPr>
        <w:t xml:space="preserve">מקם </w:t>
      </w:r>
      <w:r>
        <w:rPr>
          <w:rFonts w:cs="David" w:hint="cs"/>
          <w:sz w:val="28"/>
          <w:szCs w:val="28"/>
          <w:rtl/>
        </w:rPr>
        <w:t xml:space="preserve">את העונש בסמוך לרף התחתון של מתחם העונש ההולם (ע/48/24 </w:t>
      </w:r>
      <w:r>
        <w:rPr>
          <w:rFonts w:cs="David" w:hint="cs"/>
          <w:b/>
          <w:bCs/>
          <w:sz w:val="28"/>
          <w:szCs w:val="28"/>
          <w:rtl/>
        </w:rPr>
        <w:t xml:space="preserve">התובע הצבאי הראשי נ' טור'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סוויד</w:t>
      </w:r>
      <w:proofErr w:type="spellEnd"/>
      <w:r>
        <w:rPr>
          <w:rFonts w:cs="David" w:hint="cs"/>
          <w:sz w:val="28"/>
          <w:szCs w:val="28"/>
          <w:rtl/>
        </w:rPr>
        <w:t xml:space="preserve"> (2024); ע/41,42/24 </w:t>
      </w:r>
      <w:r>
        <w:rPr>
          <w:rFonts w:cs="David" w:hint="cs"/>
          <w:b/>
          <w:bCs/>
          <w:sz w:val="28"/>
          <w:szCs w:val="28"/>
          <w:rtl/>
        </w:rPr>
        <w:t xml:space="preserve">טור' לוי נ' התובע הצבאי הראשי </w:t>
      </w:r>
      <w:r>
        <w:rPr>
          <w:rFonts w:cs="David" w:hint="cs"/>
          <w:sz w:val="28"/>
          <w:szCs w:val="28"/>
          <w:rtl/>
        </w:rPr>
        <w:t xml:space="preserve">(2024); ע/20,21/24 </w:t>
      </w:r>
      <w:r>
        <w:rPr>
          <w:rFonts w:cs="David" w:hint="cs"/>
          <w:b/>
          <w:bCs/>
          <w:sz w:val="28"/>
          <w:szCs w:val="28"/>
          <w:rtl/>
        </w:rPr>
        <w:t xml:space="preserve">טור'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טולדנו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>
        <w:rPr>
          <w:rFonts w:cs="David" w:hint="cs"/>
          <w:sz w:val="28"/>
          <w:szCs w:val="28"/>
          <w:rtl/>
        </w:rPr>
        <w:t xml:space="preserve">(2024); ע/16,17/24 </w:t>
      </w:r>
      <w:r>
        <w:rPr>
          <w:rFonts w:cs="David" w:hint="cs"/>
          <w:b/>
          <w:bCs/>
          <w:sz w:val="28"/>
          <w:szCs w:val="28"/>
          <w:rtl/>
        </w:rPr>
        <w:t xml:space="preserve">טור' אלבז נ' התובע הצבאי הראשי </w:t>
      </w:r>
      <w:r>
        <w:rPr>
          <w:rFonts w:cs="David" w:hint="cs"/>
          <w:sz w:val="28"/>
          <w:szCs w:val="28"/>
          <w:rtl/>
        </w:rPr>
        <w:t xml:space="preserve">(2024)). </w:t>
      </w:r>
    </w:p>
    <w:p w14:paraId="005A1695" w14:textId="29C9EB49" w:rsidR="004552FE" w:rsidRPr="00184147" w:rsidRDefault="005300C6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 w:rsidRPr="00184147">
        <w:rPr>
          <w:rFonts w:cs="David" w:hint="cs"/>
          <w:sz w:val="28"/>
          <w:szCs w:val="28"/>
          <w:rtl/>
        </w:rPr>
        <w:t>התביעה</w:t>
      </w:r>
      <w:r w:rsidR="006D3D66" w:rsidRPr="00184147">
        <w:rPr>
          <w:rFonts w:cs="David" w:hint="cs"/>
          <w:sz w:val="28"/>
          <w:szCs w:val="28"/>
          <w:rtl/>
        </w:rPr>
        <w:t>, מנגד,</w:t>
      </w:r>
      <w:r w:rsidRPr="00184147">
        <w:rPr>
          <w:rFonts w:cs="David" w:hint="cs"/>
          <w:sz w:val="28"/>
          <w:szCs w:val="28"/>
          <w:rtl/>
        </w:rPr>
        <w:t xml:space="preserve"> </w:t>
      </w:r>
      <w:r w:rsidR="00645691" w:rsidRPr="00184147">
        <w:rPr>
          <w:rFonts w:cs="David" w:hint="cs"/>
          <w:sz w:val="28"/>
          <w:szCs w:val="28"/>
          <w:rtl/>
        </w:rPr>
        <w:t xml:space="preserve">ביקשה לסמוך ידיה על פסק הדין </w:t>
      </w:r>
      <w:r w:rsidR="004552FE" w:rsidRPr="00184147">
        <w:rPr>
          <w:rFonts w:cs="David" w:hint="cs"/>
          <w:sz w:val="28"/>
          <w:szCs w:val="28"/>
          <w:rtl/>
        </w:rPr>
        <w:t>של</w:t>
      </w:r>
      <w:r w:rsidR="00645691" w:rsidRPr="00184147">
        <w:rPr>
          <w:rFonts w:cs="David" w:hint="cs"/>
          <w:sz w:val="28"/>
          <w:szCs w:val="28"/>
          <w:rtl/>
        </w:rPr>
        <w:t xml:space="preserve"> דעת הרוב בבית הדין קמא. נטען כי תוצאת פסק הדין ראויה, וכי מתחם העונש ההולם </w:t>
      </w:r>
      <w:r w:rsidR="006D3D66" w:rsidRPr="00184147">
        <w:rPr>
          <w:rFonts w:cs="David" w:hint="cs"/>
          <w:sz w:val="28"/>
          <w:szCs w:val="28"/>
          <w:rtl/>
        </w:rPr>
        <w:t>ש</w:t>
      </w:r>
      <w:r w:rsidR="007366BC">
        <w:rPr>
          <w:rFonts w:cs="David" w:hint="cs"/>
          <w:sz w:val="28"/>
          <w:szCs w:val="28"/>
          <w:rtl/>
        </w:rPr>
        <w:t>נ</w:t>
      </w:r>
      <w:r w:rsidR="006D3D66" w:rsidRPr="00184147">
        <w:rPr>
          <w:rFonts w:cs="David" w:hint="cs"/>
          <w:sz w:val="28"/>
          <w:szCs w:val="28"/>
          <w:rtl/>
        </w:rPr>
        <w:t xml:space="preserve">קבע </w:t>
      </w:r>
      <w:r w:rsidR="007366BC">
        <w:rPr>
          <w:rFonts w:cs="David" w:hint="cs"/>
          <w:sz w:val="28"/>
          <w:szCs w:val="28"/>
          <w:rtl/>
        </w:rPr>
        <w:t xml:space="preserve">מתיישב </w:t>
      </w:r>
      <w:r w:rsidR="00645691" w:rsidRPr="00184147">
        <w:rPr>
          <w:rFonts w:cs="David" w:hint="cs"/>
          <w:sz w:val="28"/>
          <w:szCs w:val="28"/>
          <w:rtl/>
        </w:rPr>
        <w:t xml:space="preserve">עם מדיניות הענישה שנקבעה בבית דין זה לאחר פרוץ מלחמת </w:t>
      </w:r>
      <w:r w:rsidR="006D3D66" w:rsidRPr="00184147">
        <w:rPr>
          <w:rFonts w:cs="David" w:hint="cs"/>
          <w:sz w:val="28"/>
          <w:szCs w:val="28"/>
          <w:rtl/>
        </w:rPr>
        <w:t>"</w:t>
      </w:r>
      <w:r w:rsidR="00645691" w:rsidRPr="00184147">
        <w:rPr>
          <w:rFonts w:cs="David" w:hint="cs"/>
          <w:sz w:val="28"/>
          <w:szCs w:val="28"/>
          <w:rtl/>
        </w:rPr>
        <w:t>חרבות ברזל</w:t>
      </w:r>
      <w:r w:rsidR="006D3D66" w:rsidRPr="00184147">
        <w:rPr>
          <w:rFonts w:cs="David" w:hint="cs"/>
          <w:sz w:val="28"/>
          <w:szCs w:val="28"/>
          <w:rtl/>
        </w:rPr>
        <w:t>"</w:t>
      </w:r>
      <w:r w:rsidR="00645691" w:rsidRPr="00184147">
        <w:rPr>
          <w:rFonts w:cs="David" w:hint="cs"/>
          <w:sz w:val="28"/>
          <w:szCs w:val="28"/>
          <w:rtl/>
        </w:rPr>
        <w:t xml:space="preserve">, </w:t>
      </w:r>
      <w:r w:rsidR="006D3D66" w:rsidRPr="00184147">
        <w:rPr>
          <w:rFonts w:cs="David" w:hint="cs"/>
          <w:sz w:val="28"/>
          <w:szCs w:val="28"/>
          <w:rtl/>
        </w:rPr>
        <w:t xml:space="preserve">ומבטא נכונה את </w:t>
      </w:r>
      <w:r w:rsidR="00645691" w:rsidRPr="00184147">
        <w:rPr>
          <w:rFonts w:cs="David" w:hint="cs"/>
          <w:sz w:val="28"/>
          <w:szCs w:val="28"/>
          <w:rtl/>
        </w:rPr>
        <w:t>נסיבות ביצוע העבירה ו</w:t>
      </w:r>
      <w:r w:rsidR="00960DC9" w:rsidRPr="00184147">
        <w:rPr>
          <w:rFonts w:cs="David" w:hint="cs"/>
          <w:sz w:val="28"/>
          <w:szCs w:val="28"/>
          <w:rtl/>
        </w:rPr>
        <w:t xml:space="preserve">את </w:t>
      </w:r>
      <w:r w:rsidR="00645691" w:rsidRPr="00184147">
        <w:rPr>
          <w:rFonts w:cs="David" w:hint="cs"/>
          <w:sz w:val="28"/>
          <w:szCs w:val="28"/>
          <w:rtl/>
        </w:rPr>
        <w:t>מידת הפגיעה בערכים המוגנים</w:t>
      </w:r>
      <w:r w:rsidR="006D3D66" w:rsidRPr="00184147">
        <w:rPr>
          <w:rFonts w:cs="David" w:hint="cs"/>
          <w:sz w:val="28"/>
          <w:szCs w:val="28"/>
          <w:rtl/>
        </w:rPr>
        <w:t xml:space="preserve"> ה</w:t>
      </w:r>
      <w:r w:rsidR="00960DC9" w:rsidRPr="00184147">
        <w:rPr>
          <w:rFonts w:cs="David" w:hint="cs"/>
          <w:sz w:val="28"/>
          <w:szCs w:val="28"/>
          <w:rtl/>
        </w:rPr>
        <w:t>נלווית להן</w:t>
      </w:r>
      <w:r w:rsidR="00C4502F" w:rsidRPr="00184147">
        <w:rPr>
          <w:rFonts w:cs="David" w:hint="cs"/>
          <w:sz w:val="28"/>
          <w:szCs w:val="28"/>
          <w:rtl/>
        </w:rPr>
        <w:t xml:space="preserve"> </w:t>
      </w:r>
      <w:r w:rsidR="007366BC">
        <w:rPr>
          <w:rFonts w:cs="David" w:hint="cs"/>
          <w:sz w:val="28"/>
          <w:szCs w:val="28"/>
          <w:rtl/>
        </w:rPr>
        <w:t>(</w:t>
      </w:r>
      <w:r w:rsidR="00C4502F" w:rsidRPr="00184147">
        <w:rPr>
          <w:rFonts w:cs="David" w:hint="cs"/>
          <w:sz w:val="28"/>
          <w:szCs w:val="28"/>
          <w:rtl/>
        </w:rPr>
        <w:t xml:space="preserve">הגם שהתביעה סבורה כי </w:t>
      </w:r>
      <w:r w:rsidR="00960DC9" w:rsidRPr="00184147">
        <w:rPr>
          <w:rFonts w:cs="David" w:hint="cs"/>
          <w:sz w:val="28"/>
          <w:szCs w:val="28"/>
          <w:rtl/>
        </w:rPr>
        <w:t xml:space="preserve">הרף התחתון במתחם </w:t>
      </w:r>
      <w:r w:rsidR="00960DC9" w:rsidRPr="00184147">
        <w:rPr>
          <w:rFonts w:cs="David" w:hint="cs"/>
          <w:sz w:val="28"/>
          <w:szCs w:val="28"/>
          <w:rtl/>
        </w:rPr>
        <w:lastRenderedPageBreak/>
        <w:t xml:space="preserve">צריך </w:t>
      </w:r>
      <w:r w:rsidR="007366BC">
        <w:rPr>
          <w:rFonts w:cs="David" w:hint="cs"/>
          <w:sz w:val="28"/>
          <w:szCs w:val="28"/>
          <w:rtl/>
        </w:rPr>
        <w:t xml:space="preserve">היה </w:t>
      </w:r>
      <w:r w:rsidR="00960DC9" w:rsidRPr="00184147">
        <w:rPr>
          <w:rFonts w:cs="David" w:hint="cs"/>
          <w:sz w:val="28"/>
          <w:szCs w:val="28"/>
          <w:rtl/>
        </w:rPr>
        <w:t>להיות חמור יותר</w:t>
      </w:r>
      <w:r w:rsidR="007366BC">
        <w:rPr>
          <w:rFonts w:cs="David" w:hint="cs"/>
          <w:sz w:val="28"/>
          <w:szCs w:val="28"/>
          <w:rtl/>
        </w:rPr>
        <w:t>)</w:t>
      </w:r>
      <w:r w:rsidR="00960DC9" w:rsidRPr="00184147">
        <w:rPr>
          <w:rFonts w:cs="David" w:hint="cs"/>
          <w:sz w:val="28"/>
          <w:szCs w:val="28"/>
          <w:rtl/>
        </w:rPr>
        <w:t xml:space="preserve">. </w:t>
      </w:r>
      <w:r w:rsidR="004552FE" w:rsidRPr="00184147">
        <w:rPr>
          <w:rFonts w:cs="David" w:hint="cs"/>
          <w:sz w:val="28"/>
          <w:szCs w:val="28"/>
          <w:rtl/>
        </w:rPr>
        <w:t>אשר לקביעת העונש בתוך המתחם נטען,</w:t>
      </w:r>
      <w:r w:rsidR="00645691" w:rsidRPr="00184147">
        <w:rPr>
          <w:rFonts w:cs="David" w:hint="cs"/>
          <w:sz w:val="28"/>
          <w:szCs w:val="28"/>
          <w:rtl/>
        </w:rPr>
        <w:t xml:space="preserve"> כי משהתברר שהמערער אינו תורם בפועל לפרנסת ביתו, </w:t>
      </w:r>
      <w:r w:rsidR="00960DC9" w:rsidRPr="00184147">
        <w:rPr>
          <w:rFonts w:cs="David" w:hint="cs"/>
          <w:sz w:val="28"/>
          <w:szCs w:val="28"/>
          <w:rtl/>
        </w:rPr>
        <w:t>לאחר שלא עשה כל מאמץ לשרת בצבא ומלכתחילה נעדר מוטיבציה לשירות צבאי</w:t>
      </w:r>
      <w:r w:rsidR="00CF6EDF" w:rsidRPr="00184147">
        <w:rPr>
          <w:rFonts w:cs="David" w:hint="cs"/>
          <w:sz w:val="28"/>
          <w:szCs w:val="28"/>
          <w:rtl/>
        </w:rPr>
        <w:t>, לנוכח פיטוריו משירות צבאי בעקבות היעדרותו</w:t>
      </w:r>
      <w:r w:rsidR="00960DC9" w:rsidRPr="00184147">
        <w:rPr>
          <w:rFonts w:cs="David" w:hint="cs"/>
          <w:sz w:val="28"/>
          <w:szCs w:val="28"/>
          <w:rtl/>
        </w:rPr>
        <w:t xml:space="preserve"> </w:t>
      </w:r>
      <w:r w:rsidR="00CF6EDF" w:rsidRPr="00184147">
        <w:rPr>
          <w:rFonts w:cs="David" w:hint="cs"/>
          <w:sz w:val="28"/>
          <w:szCs w:val="28"/>
          <w:rtl/>
        </w:rPr>
        <w:t>-</w:t>
      </w:r>
      <w:r w:rsidR="00960DC9" w:rsidRPr="00184147">
        <w:rPr>
          <w:rFonts w:cs="David" w:hint="cs"/>
          <w:sz w:val="28"/>
          <w:szCs w:val="28"/>
          <w:rtl/>
        </w:rPr>
        <w:t xml:space="preserve"> אין להתערב בהכרעת הרוב, גם בעניין זה. </w:t>
      </w:r>
    </w:p>
    <w:p w14:paraId="0C435757" w14:textId="413DF12D" w:rsidR="006132C0" w:rsidRPr="00BE1ECF" w:rsidRDefault="006132C0" w:rsidP="00AC5B08">
      <w:pPr>
        <w:spacing w:line="353" w:lineRule="auto"/>
        <w:ind w:left="6" w:hanging="6"/>
        <w:jc w:val="both"/>
        <w:rPr>
          <w:rFonts w:cs="David"/>
          <w:sz w:val="28"/>
          <w:szCs w:val="28"/>
          <w:rtl/>
        </w:rPr>
      </w:pPr>
      <w:r w:rsidRPr="00BE1ECF">
        <w:rPr>
          <w:rFonts w:cs="David" w:hint="cs"/>
          <w:b/>
          <w:bCs/>
          <w:sz w:val="28"/>
          <w:szCs w:val="28"/>
          <w:u w:val="single"/>
          <w:rtl/>
        </w:rPr>
        <w:t xml:space="preserve">      </w:t>
      </w:r>
    </w:p>
    <w:p w14:paraId="0E7A5DC7" w14:textId="77777777" w:rsidR="006132C0" w:rsidRPr="0067506D" w:rsidRDefault="006132C0" w:rsidP="00AC5B08">
      <w:pPr>
        <w:spacing w:line="353" w:lineRule="auto"/>
        <w:ind w:left="6" w:hanging="6"/>
        <w:outlineLvl w:val="0"/>
        <w:rPr>
          <w:rFonts w:cs="David"/>
          <w:b/>
          <w:bCs/>
          <w:sz w:val="28"/>
          <w:szCs w:val="28"/>
          <w:u w:val="single"/>
          <w:rtl/>
        </w:rPr>
      </w:pPr>
      <w:r w:rsidRPr="0067506D">
        <w:rPr>
          <w:rFonts w:cs="David"/>
          <w:b/>
          <w:bCs/>
          <w:sz w:val="28"/>
          <w:szCs w:val="28"/>
          <w:u w:val="single"/>
          <w:rtl/>
        </w:rPr>
        <w:t xml:space="preserve">דיון והכרעה   </w:t>
      </w:r>
    </w:p>
    <w:p w14:paraId="076C657A" w14:textId="1199CA88" w:rsidR="006132C0" w:rsidRDefault="006132C0" w:rsidP="00AC5B08">
      <w:pPr>
        <w:spacing w:line="353" w:lineRule="auto"/>
        <w:ind w:left="6" w:hanging="6"/>
        <w:jc w:val="both"/>
        <w:rPr>
          <w:rFonts w:cs="David"/>
          <w:b/>
          <w:bCs/>
          <w:sz w:val="28"/>
          <w:szCs w:val="28"/>
          <w:rtl/>
        </w:rPr>
      </w:pPr>
    </w:p>
    <w:p w14:paraId="73CCCE16" w14:textId="6F8F26EA" w:rsidR="00A75807" w:rsidRDefault="00A75807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לאחר בחינת טיעוני הצדדים, סברנו כי לא נפל פגם במתחם העונש ההולם</w:t>
      </w:r>
      <w:r w:rsidR="009D6911">
        <w:rPr>
          <w:rFonts w:cs="David" w:hint="cs"/>
          <w:sz w:val="28"/>
          <w:szCs w:val="28"/>
          <w:rtl/>
        </w:rPr>
        <w:t xml:space="preserve">, כפי שקבע </w:t>
      </w:r>
      <w:r>
        <w:rPr>
          <w:rFonts w:cs="David" w:hint="cs"/>
          <w:sz w:val="28"/>
          <w:szCs w:val="28"/>
          <w:rtl/>
        </w:rPr>
        <w:t>בית הדין קמא</w:t>
      </w:r>
      <w:r w:rsidR="009D6911">
        <w:rPr>
          <w:rFonts w:cs="David" w:hint="cs"/>
          <w:sz w:val="28"/>
          <w:szCs w:val="28"/>
          <w:rtl/>
        </w:rPr>
        <w:t xml:space="preserve">. מתחם זה משקף נכונה את </w:t>
      </w:r>
      <w:r>
        <w:rPr>
          <w:rFonts w:cs="David" w:hint="cs"/>
          <w:sz w:val="28"/>
          <w:szCs w:val="28"/>
          <w:rtl/>
        </w:rPr>
        <w:t>מדיניות הענישה המחמירה שנקבעה בבית דין זה</w:t>
      </w:r>
      <w:r w:rsidR="009D6911">
        <w:rPr>
          <w:rFonts w:cs="David" w:hint="cs"/>
          <w:sz w:val="28"/>
          <w:szCs w:val="28"/>
          <w:rtl/>
        </w:rPr>
        <w:t xml:space="preserve"> לאחר פרוץ מלחמת "חרבות ברזל", </w:t>
      </w:r>
      <w:r>
        <w:rPr>
          <w:rFonts w:cs="David" w:hint="cs"/>
          <w:sz w:val="28"/>
          <w:szCs w:val="28"/>
          <w:rtl/>
        </w:rPr>
        <w:t xml:space="preserve">בהתאם לעיקרון ההלימה, </w:t>
      </w:r>
      <w:r w:rsidRPr="002D7792">
        <w:rPr>
          <w:rFonts w:cs="David" w:hint="cs"/>
          <w:sz w:val="28"/>
          <w:szCs w:val="28"/>
          <w:rtl/>
        </w:rPr>
        <w:t xml:space="preserve">נוכח מחירה הכואב, בגוף ובנפש, </w:t>
      </w:r>
      <w:r w:rsidR="009D6911">
        <w:rPr>
          <w:rFonts w:cs="David" w:hint="cs"/>
          <w:sz w:val="28"/>
          <w:szCs w:val="28"/>
          <w:rtl/>
        </w:rPr>
        <w:t xml:space="preserve">משכה הארוך, </w:t>
      </w:r>
      <w:r w:rsidRPr="002D7792">
        <w:rPr>
          <w:rFonts w:cs="David"/>
          <w:sz w:val="28"/>
          <w:szCs w:val="28"/>
          <w:rtl/>
        </w:rPr>
        <w:t xml:space="preserve">היקפה </w:t>
      </w:r>
      <w:r w:rsidRPr="002D7792">
        <w:rPr>
          <w:rFonts w:cs="David" w:hint="cs"/>
          <w:sz w:val="28"/>
          <w:szCs w:val="28"/>
          <w:rtl/>
        </w:rPr>
        <w:t xml:space="preserve">הרחב </w:t>
      </w:r>
      <w:r w:rsidRPr="002D7792">
        <w:rPr>
          <w:rFonts w:cs="David"/>
          <w:sz w:val="28"/>
          <w:szCs w:val="28"/>
          <w:rtl/>
        </w:rPr>
        <w:t>ועצימותה</w:t>
      </w:r>
      <w:r w:rsidR="009D6911">
        <w:rPr>
          <w:rFonts w:cs="David" w:hint="cs"/>
          <w:sz w:val="28"/>
          <w:szCs w:val="28"/>
          <w:rtl/>
        </w:rPr>
        <w:t xml:space="preserve"> </w:t>
      </w:r>
      <w:r w:rsidRPr="002D7792">
        <w:rPr>
          <w:rFonts w:cs="David" w:hint="cs"/>
          <w:sz w:val="28"/>
          <w:szCs w:val="28"/>
          <w:rtl/>
        </w:rPr>
        <w:t>(</w:t>
      </w:r>
      <w:r w:rsidRPr="002D7792">
        <w:rPr>
          <w:rFonts w:cs="David"/>
          <w:sz w:val="28"/>
          <w:szCs w:val="28"/>
          <w:rtl/>
        </w:rPr>
        <w:t xml:space="preserve">ע/3/24 </w:t>
      </w:r>
      <w:r w:rsidRPr="002D7792">
        <w:rPr>
          <w:rFonts w:cs="David"/>
          <w:b/>
          <w:bCs/>
          <w:sz w:val="28"/>
          <w:szCs w:val="28"/>
          <w:rtl/>
        </w:rPr>
        <w:t xml:space="preserve">התובע הצבאי הראשי נ' סמ"ר </w:t>
      </w:r>
      <w:proofErr w:type="spellStart"/>
      <w:r w:rsidRPr="002D7792">
        <w:rPr>
          <w:rFonts w:cs="David"/>
          <w:b/>
          <w:bCs/>
          <w:sz w:val="28"/>
          <w:szCs w:val="28"/>
          <w:rtl/>
        </w:rPr>
        <w:t>וורקה</w:t>
      </w:r>
      <w:proofErr w:type="spellEnd"/>
      <w:r w:rsidRPr="002D7792">
        <w:rPr>
          <w:rFonts w:cs="David"/>
          <w:sz w:val="28"/>
          <w:szCs w:val="28"/>
          <w:rtl/>
        </w:rPr>
        <w:t>, פסקה 24 (2024))</w:t>
      </w:r>
      <w:r w:rsidR="007366BC">
        <w:rPr>
          <w:rFonts w:cs="David" w:hint="cs"/>
          <w:sz w:val="28"/>
          <w:szCs w:val="28"/>
          <w:rtl/>
        </w:rPr>
        <w:t>. כפי ש</w:t>
      </w:r>
      <w:r w:rsidR="00184147">
        <w:rPr>
          <w:rFonts w:cs="David" w:hint="cs"/>
          <w:sz w:val="28"/>
          <w:szCs w:val="28"/>
          <w:rtl/>
        </w:rPr>
        <w:t>ה</w:t>
      </w:r>
      <w:r w:rsidR="009D6911">
        <w:rPr>
          <w:rFonts w:cs="David" w:hint="cs"/>
          <w:sz w:val="28"/>
          <w:szCs w:val="28"/>
          <w:rtl/>
        </w:rPr>
        <w:t>וטעם</w:t>
      </w:r>
      <w:r w:rsidR="007366BC">
        <w:rPr>
          <w:rFonts w:cs="David" w:hint="cs"/>
          <w:sz w:val="28"/>
          <w:szCs w:val="28"/>
          <w:rtl/>
        </w:rPr>
        <w:t>,</w:t>
      </w:r>
      <w:r w:rsidRPr="002D7792">
        <w:rPr>
          <w:rFonts w:cs="David" w:hint="cs"/>
          <w:sz w:val="28"/>
          <w:szCs w:val="28"/>
          <w:rtl/>
        </w:rPr>
        <w:t xml:space="preserve"> </w:t>
      </w:r>
      <w:r w:rsidRPr="002D7792">
        <w:rPr>
          <w:rFonts w:cs="David"/>
          <w:sz w:val="28"/>
          <w:szCs w:val="28"/>
          <w:rtl/>
        </w:rPr>
        <w:t>הפגיעה בערכים המוגנים שעניינם שמירה על החוסן הצבאי, המשמעת הצבאית, התכנון והמוכנות הצבאיים, הלכידות החברתית וקידום השוויון בנטל השירות הצבאי -</w:t>
      </w:r>
      <w:r w:rsidRPr="002D7792">
        <w:rPr>
          <w:rFonts w:cs="David" w:hint="cs"/>
          <w:sz w:val="28"/>
          <w:szCs w:val="28"/>
          <w:rtl/>
        </w:rPr>
        <w:t xml:space="preserve"> </w:t>
      </w:r>
      <w:r w:rsidRPr="002D7792">
        <w:rPr>
          <w:rFonts w:cs="David"/>
          <w:sz w:val="28"/>
          <w:szCs w:val="28"/>
          <w:rtl/>
        </w:rPr>
        <w:t>עמ</w:t>
      </w:r>
      <w:r w:rsidRPr="002D7792">
        <w:rPr>
          <w:rFonts w:cs="David" w:hint="cs"/>
          <w:sz w:val="28"/>
          <w:szCs w:val="28"/>
          <w:rtl/>
        </w:rPr>
        <w:t>ו</w:t>
      </w:r>
      <w:r w:rsidRPr="002D7792">
        <w:rPr>
          <w:rFonts w:cs="David"/>
          <w:sz w:val="28"/>
          <w:szCs w:val="28"/>
          <w:rtl/>
        </w:rPr>
        <w:t xml:space="preserve">קה באופן </w:t>
      </w:r>
      <w:r w:rsidRPr="002D7792">
        <w:rPr>
          <w:rFonts w:cs="David" w:hint="cs"/>
          <w:sz w:val="28"/>
          <w:szCs w:val="28"/>
          <w:rtl/>
        </w:rPr>
        <w:t>ניכר ו</w:t>
      </w:r>
      <w:r w:rsidRPr="002D7792">
        <w:rPr>
          <w:rFonts w:cs="David"/>
          <w:sz w:val="28"/>
          <w:szCs w:val="28"/>
          <w:rtl/>
        </w:rPr>
        <w:t>משמעותי בתקופ</w:t>
      </w:r>
      <w:r w:rsidRPr="002D7792">
        <w:rPr>
          <w:rFonts w:cs="David" w:hint="cs"/>
          <w:sz w:val="28"/>
          <w:szCs w:val="28"/>
          <w:rtl/>
        </w:rPr>
        <w:t xml:space="preserve">ה זו </w:t>
      </w:r>
      <w:r w:rsidRPr="002D7792">
        <w:rPr>
          <w:rFonts w:cs="David"/>
          <w:sz w:val="28"/>
          <w:szCs w:val="28"/>
          <w:rtl/>
        </w:rPr>
        <w:t xml:space="preserve">(ע/47/24 </w:t>
      </w:r>
      <w:r w:rsidRPr="002D7792">
        <w:rPr>
          <w:rFonts w:cs="David"/>
          <w:b/>
          <w:bCs/>
          <w:sz w:val="28"/>
          <w:szCs w:val="28"/>
          <w:rtl/>
        </w:rPr>
        <w:t xml:space="preserve">התובע הצבאי הראשי נ' טור' </w:t>
      </w:r>
      <w:proofErr w:type="spellStart"/>
      <w:r w:rsidRPr="002D7792">
        <w:rPr>
          <w:rFonts w:cs="David"/>
          <w:b/>
          <w:bCs/>
          <w:sz w:val="28"/>
          <w:szCs w:val="28"/>
          <w:rtl/>
        </w:rPr>
        <w:t>גולברג</w:t>
      </w:r>
      <w:proofErr w:type="spellEnd"/>
      <w:r w:rsidRPr="002D7792">
        <w:rPr>
          <w:rFonts w:cs="David"/>
          <w:sz w:val="28"/>
          <w:szCs w:val="28"/>
          <w:rtl/>
        </w:rPr>
        <w:t xml:space="preserve"> (2024); ע/35/24 </w:t>
      </w:r>
      <w:r w:rsidRPr="002D7792">
        <w:rPr>
          <w:rFonts w:cs="David"/>
          <w:b/>
          <w:bCs/>
          <w:sz w:val="28"/>
          <w:szCs w:val="28"/>
          <w:rtl/>
        </w:rPr>
        <w:t xml:space="preserve">טור' </w:t>
      </w:r>
      <w:proofErr w:type="spellStart"/>
      <w:r w:rsidRPr="002D7792">
        <w:rPr>
          <w:rFonts w:cs="David"/>
          <w:b/>
          <w:bCs/>
          <w:sz w:val="28"/>
          <w:szCs w:val="28"/>
          <w:rtl/>
        </w:rPr>
        <w:t>טאדלה</w:t>
      </w:r>
      <w:proofErr w:type="spellEnd"/>
      <w:r w:rsidRPr="002D7792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הנ"ל</w:t>
      </w:r>
      <w:r w:rsidRPr="002D7792">
        <w:rPr>
          <w:rFonts w:cs="David"/>
          <w:sz w:val="28"/>
          <w:szCs w:val="28"/>
          <w:rtl/>
        </w:rPr>
        <w:t xml:space="preserve">; ע/26/24 </w:t>
      </w:r>
      <w:r w:rsidRPr="002D7792">
        <w:rPr>
          <w:rFonts w:cs="David"/>
          <w:b/>
          <w:bCs/>
          <w:sz w:val="28"/>
          <w:szCs w:val="28"/>
          <w:rtl/>
        </w:rPr>
        <w:t xml:space="preserve">התובע הצבאי הראשי נ' טור' עידן </w:t>
      </w:r>
      <w:proofErr w:type="spellStart"/>
      <w:r w:rsidRPr="002D7792">
        <w:rPr>
          <w:rFonts w:cs="David"/>
          <w:b/>
          <w:bCs/>
          <w:sz w:val="28"/>
          <w:szCs w:val="28"/>
          <w:rtl/>
        </w:rPr>
        <w:t>מרגוליס</w:t>
      </w:r>
      <w:proofErr w:type="spellEnd"/>
      <w:r w:rsidRPr="002D7792">
        <w:rPr>
          <w:rFonts w:cs="David"/>
          <w:sz w:val="28"/>
          <w:szCs w:val="28"/>
          <w:rtl/>
        </w:rPr>
        <w:t xml:space="preserve"> (2024); ע/16,17/24 </w:t>
      </w:r>
      <w:r w:rsidRPr="002D7792">
        <w:rPr>
          <w:rFonts w:cs="David"/>
          <w:b/>
          <w:bCs/>
          <w:sz w:val="28"/>
          <w:szCs w:val="28"/>
          <w:rtl/>
        </w:rPr>
        <w:t>אלבז</w:t>
      </w:r>
      <w:r w:rsidRPr="002D7792">
        <w:rPr>
          <w:rFonts w:cs="David"/>
          <w:sz w:val="28"/>
          <w:szCs w:val="28"/>
          <w:rtl/>
        </w:rPr>
        <w:t xml:space="preserve"> הנ"ל; ע/12,13/14 </w:t>
      </w:r>
      <w:r w:rsidRPr="002D7792">
        <w:rPr>
          <w:rFonts w:cs="David"/>
          <w:b/>
          <w:bCs/>
          <w:sz w:val="28"/>
          <w:szCs w:val="28"/>
          <w:rtl/>
        </w:rPr>
        <w:t>טור' מלקו נ' התובע הצבאי הראשי</w:t>
      </w:r>
      <w:r w:rsidRPr="002D7792">
        <w:rPr>
          <w:rFonts w:cs="David"/>
          <w:sz w:val="28"/>
          <w:szCs w:val="28"/>
          <w:rtl/>
        </w:rPr>
        <w:t xml:space="preserve"> (2024); ע/10/24 </w:t>
      </w:r>
      <w:r w:rsidRPr="002D7792">
        <w:rPr>
          <w:rFonts w:cs="David"/>
          <w:b/>
          <w:bCs/>
          <w:sz w:val="28"/>
          <w:szCs w:val="28"/>
          <w:rtl/>
        </w:rPr>
        <w:t xml:space="preserve">רב"ט </w:t>
      </w:r>
      <w:proofErr w:type="spellStart"/>
      <w:r w:rsidRPr="002D7792">
        <w:rPr>
          <w:rFonts w:cs="David"/>
          <w:b/>
          <w:bCs/>
          <w:sz w:val="28"/>
          <w:szCs w:val="28"/>
          <w:rtl/>
        </w:rPr>
        <w:t>וולקוביץ</w:t>
      </w:r>
      <w:proofErr w:type="spellEnd"/>
      <w:r w:rsidRPr="002D7792">
        <w:rPr>
          <w:rFonts w:cs="David"/>
          <w:b/>
          <w:bCs/>
          <w:sz w:val="28"/>
          <w:szCs w:val="28"/>
          <w:rtl/>
        </w:rPr>
        <w:t xml:space="preserve"> נ' התובע הצבאי הראשי</w:t>
      </w:r>
      <w:r w:rsidRPr="002D7792">
        <w:rPr>
          <w:rFonts w:cs="David"/>
          <w:sz w:val="28"/>
          <w:szCs w:val="28"/>
          <w:rtl/>
        </w:rPr>
        <w:t xml:space="preserve"> (2024); ע/8/24 </w:t>
      </w:r>
      <w:r w:rsidRPr="002D7792">
        <w:rPr>
          <w:rFonts w:cs="David"/>
          <w:b/>
          <w:bCs/>
          <w:sz w:val="28"/>
          <w:szCs w:val="28"/>
          <w:rtl/>
        </w:rPr>
        <w:t>טור' כהן נ' התובע הצבאי הראשי</w:t>
      </w:r>
      <w:r w:rsidRPr="002D7792">
        <w:rPr>
          <w:rFonts w:cs="David"/>
          <w:sz w:val="28"/>
          <w:szCs w:val="28"/>
          <w:rtl/>
        </w:rPr>
        <w:t xml:space="preserve"> (2024</w:t>
      </w:r>
      <w:r w:rsidR="00433662">
        <w:rPr>
          <w:rFonts w:cs="David" w:hint="cs"/>
          <w:sz w:val="28"/>
          <w:szCs w:val="28"/>
          <w:rtl/>
        </w:rPr>
        <w:t>)).</w:t>
      </w:r>
    </w:p>
    <w:p w14:paraId="453539CE" w14:textId="1D11EA41" w:rsidR="00DA1738" w:rsidRDefault="009D6911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אשר ל</w:t>
      </w:r>
      <w:r w:rsidR="004552FE">
        <w:rPr>
          <w:rFonts w:cs="David" w:hint="cs"/>
          <w:sz w:val="28"/>
          <w:szCs w:val="28"/>
          <w:rtl/>
        </w:rPr>
        <w:t>נס</w:t>
      </w:r>
      <w:r w:rsidR="00433662" w:rsidRPr="00433662">
        <w:rPr>
          <w:rFonts w:cs="David" w:hint="cs"/>
          <w:sz w:val="28"/>
          <w:szCs w:val="28"/>
          <w:rtl/>
        </w:rPr>
        <w:t>יבות ביצוע העבירה</w:t>
      </w:r>
      <w:r>
        <w:rPr>
          <w:rFonts w:cs="David" w:hint="cs"/>
          <w:sz w:val="28"/>
          <w:szCs w:val="28"/>
          <w:rtl/>
        </w:rPr>
        <w:t xml:space="preserve"> - </w:t>
      </w:r>
      <w:r w:rsidR="00DA1738">
        <w:rPr>
          <w:rFonts w:cs="David" w:hint="cs"/>
          <w:sz w:val="28"/>
          <w:szCs w:val="28"/>
          <w:rtl/>
        </w:rPr>
        <w:t xml:space="preserve">אורכה של ההיעדרות והעובדה כי נמשכה גם במהלך </w:t>
      </w:r>
      <w:r w:rsidR="00433662" w:rsidRPr="00433662">
        <w:rPr>
          <w:rFonts w:cs="David" w:hint="cs"/>
          <w:sz w:val="28"/>
          <w:szCs w:val="28"/>
          <w:rtl/>
        </w:rPr>
        <w:t xml:space="preserve">המלחמה, </w:t>
      </w:r>
      <w:r w:rsidR="00DA1738">
        <w:rPr>
          <w:rFonts w:cs="David" w:hint="cs"/>
          <w:sz w:val="28"/>
          <w:szCs w:val="28"/>
          <w:rtl/>
        </w:rPr>
        <w:t xml:space="preserve">מבטאות את חומרתן. </w:t>
      </w:r>
      <w:proofErr w:type="spellStart"/>
      <w:r w:rsidR="00DA1738">
        <w:rPr>
          <w:rFonts w:cs="David" w:hint="cs"/>
          <w:sz w:val="28"/>
          <w:szCs w:val="28"/>
          <w:rtl/>
        </w:rPr>
        <w:t>ודוקו</w:t>
      </w:r>
      <w:proofErr w:type="spellEnd"/>
      <w:r w:rsidR="00DA1738">
        <w:rPr>
          <w:rFonts w:cs="David" w:hint="cs"/>
          <w:sz w:val="28"/>
          <w:szCs w:val="28"/>
          <w:rtl/>
        </w:rPr>
        <w:t>:</w:t>
      </w:r>
      <w:r w:rsidR="00DA1738">
        <w:rPr>
          <w:rFonts w:cs="David" w:hint="cs"/>
          <w:sz w:val="28"/>
          <w:szCs w:val="28"/>
        </w:rPr>
        <w:t xml:space="preserve"> </w:t>
      </w:r>
      <w:r w:rsidR="00DA1738">
        <w:rPr>
          <w:rFonts w:cs="David" w:hint="cs"/>
          <w:sz w:val="28"/>
          <w:szCs w:val="28"/>
          <w:rtl/>
        </w:rPr>
        <w:t xml:space="preserve">אף כאשר </w:t>
      </w:r>
      <w:r w:rsidR="00433662" w:rsidRPr="00433662">
        <w:rPr>
          <w:rFonts w:cs="David" w:hint="cs"/>
          <w:sz w:val="28"/>
          <w:szCs w:val="28"/>
          <w:rtl/>
        </w:rPr>
        <w:t xml:space="preserve">היעדרות </w:t>
      </w:r>
      <w:r w:rsidR="00DA1738">
        <w:rPr>
          <w:rFonts w:cs="David" w:hint="cs"/>
          <w:sz w:val="28"/>
          <w:szCs w:val="28"/>
          <w:rtl/>
        </w:rPr>
        <w:t>החלה עוד קודם ל</w:t>
      </w:r>
      <w:r w:rsidR="00433662" w:rsidRPr="00433662">
        <w:rPr>
          <w:rFonts w:cs="David" w:hint="cs"/>
          <w:sz w:val="28"/>
          <w:szCs w:val="28"/>
          <w:rtl/>
        </w:rPr>
        <w:t>מלחמה</w:t>
      </w:r>
      <w:r w:rsidR="00DA1738">
        <w:rPr>
          <w:rFonts w:cs="David" w:hint="cs"/>
          <w:sz w:val="28"/>
          <w:szCs w:val="28"/>
          <w:rtl/>
        </w:rPr>
        <w:t xml:space="preserve">, מקום שבו נמשכה </w:t>
      </w:r>
      <w:r w:rsidR="00433662" w:rsidRPr="00433662">
        <w:rPr>
          <w:rFonts w:cs="David" w:hint="cs"/>
          <w:sz w:val="28"/>
          <w:szCs w:val="28"/>
          <w:rtl/>
        </w:rPr>
        <w:t>במהלכה, יש לבחון ב</w:t>
      </w:r>
      <w:r w:rsidR="00DA1738">
        <w:rPr>
          <w:rFonts w:cs="David" w:hint="cs"/>
          <w:sz w:val="28"/>
          <w:szCs w:val="28"/>
          <w:rtl/>
        </w:rPr>
        <w:t xml:space="preserve">ראי האמור </w:t>
      </w:r>
      <w:r w:rsidR="00433662" w:rsidRPr="00433662">
        <w:rPr>
          <w:rFonts w:cs="David" w:hint="cs"/>
          <w:sz w:val="28"/>
          <w:szCs w:val="28"/>
          <w:rtl/>
        </w:rPr>
        <w:t xml:space="preserve">את מידת הפגיעה בערכים המוגנים </w:t>
      </w:r>
      <w:r w:rsidR="00433662" w:rsidRPr="00433662">
        <w:rPr>
          <w:rFonts w:cs="David"/>
          <w:sz w:val="28"/>
          <w:szCs w:val="28"/>
          <w:rtl/>
        </w:rPr>
        <w:t>(ע/</w:t>
      </w:r>
      <w:r w:rsidR="00433662" w:rsidRPr="00433662">
        <w:rPr>
          <w:rFonts w:cs="David" w:hint="cs"/>
          <w:sz w:val="28"/>
          <w:szCs w:val="28"/>
          <w:rtl/>
        </w:rPr>
        <w:t>57</w:t>
      </w:r>
      <w:r w:rsidR="00433662" w:rsidRPr="00433662">
        <w:rPr>
          <w:rFonts w:cs="David"/>
          <w:sz w:val="28"/>
          <w:szCs w:val="28"/>
          <w:rtl/>
        </w:rPr>
        <w:t>/24</w:t>
      </w:r>
      <w:r w:rsidR="00433662" w:rsidRPr="00433662">
        <w:rPr>
          <w:rFonts w:cs="David" w:hint="cs"/>
          <w:b/>
          <w:bCs/>
          <w:sz w:val="28"/>
          <w:szCs w:val="28"/>
          <w:rtl/>
        </w:rPr>
        <w:t xml:space="preserve"> טור' נקש </w:t>
      </w:r>
      <w:r w:rsidR="00433662" w:rsidRPr="00433662">
        <w:rPr>
          <w:rFonts w:cs="David" w:hint="cs"/>
          <w:sz w:val="28"/>
          <w:szCs w:val="28"/>
          <w:rtl/>
        </w:rPr>
        <w:t>לעיל</w:t>
      </w:r>
      <w:r w:rsidR="00433662" w:rsidRPr="00433662">
        <w:rPr>
          <w:rFonts w:cs="David"/>
          <w:sz w:val="28"/>
          <w:szCs w:val="28"/>
          <w:rtl/>
        </w:rPr>
        <w:t xml:space="preserve">, פסקה </w:t>
      </w:r>
      <w:r w:rsidR="00433662" w:rsidRPr="00433662">
        <w:rPr>
          <w:rFonts w:cs="David" w:hint="cs"/>
          <w:sz w:val="28"/>
          <w:szCs w:val="28"/>
          <w:rtl/>
        </w:rPr>
        <w:t>21</w:t>
      </w:r>
      <w:r w:rsidR="00433662" w:rsidRPr="00433662">
        <w:rPr>
          <w:rFonts w:cs="David"/>
          <w:sz w:val="28"/>
          <w:szCs w:val="28"/>
          <w:rtl/>
        </w:rPr>
        <w:t xml:space="preserve"> (2024))</w:t>
      </w:r>
      <w:r w:rsidR="00DA1738">
        <w:rPr>
          <w:rFonts w:cs="David" w:hint="cs"/>
          <w:sz w:val="28"/>
          <w:szCs w:val="28"/>
          <w:rtl/>
        </w:rPr>
        <w:t xml:space="preserve">. </w:t>
      </w:r>
      <w:r w:rsidR="00433662" w:rsidRPr="00433662">
        <w:rPr>
          <w:rFonts w:cs="David" w:hint="cs"/>
          <w:sz w:val="28"/>
          <w:szCs w:val="28"/>
          <w:rtl/>
        </w:rPr>
        <w:t xml:space="preserve">היעדרותו </w:t>
      </w:r>
      <w:r w:rsidR="00433662">
        <w:rPr>
          <w:rFonts w:cs="David" w:hint="cs"/>
          <w:sz w:val="28"/>
          <w:szCs w:val="28"/>
          <w:rtl/>
        </w:rPr>
        <w:t xml:space="preserve">של המערער </w:t>
      </w:r>
      <w:r w:rsidR="00433662" w:rsidRPr="00433662">
        <w:rPr>
          <w:rFonts w:cs="David" w:hint="cs"/>
          <w:sz w:val="28"/>
          <w:szCs w:val="28"/>
          <w:rtl/>
        </w:rPr>
        <w:t>נמשכה קרוב לשמונה חודשים לאחר שפרצה</w:t>
      </w:r>
      <w:r w:rsidR="00433662">
        <w:rPr>
          <w:rFonts w:cs="David" w:hint="cs"/>
          <w:sz w:val="28"/>
          <w:szCs w:val="28"/>
          <w:rtl/>
        </w:rPr>
        <w:t xml:space="preserve"> המלחמה</w:t>
      </w:r>
      <w:r>
        <w:rPr>
          <w:rFonts w:cs="David" w:hint="cs"/>
          <w:sz w:val="28"/>
          <w:szCs w:val="28"/>
          <w:rtl/>
        </w:rPr>
        <w:t xml:space="preserve"> (ובסך </w:t>
      </w:r>
      <w:proofErr w:type="spellStart"/>
      <w:r>
        <w:rPr>
          <w:rFonts w:cs="David" w:hint="cs"/>
          <w:sz w:val="28"/>
          <w:szCs w:val="28"/>
          <w:rtl/>
        </w:rPr>
        <w:t>הכל</w:t>
      </w:r>
      <w:proofErr w:type="spellEnd"/>
      <w:r>
        <w:rPr>
          <w:rFonts w:cs="David" w:hint="cs"/>
          <w:sz w:val="28"/>
          <w:szCs w:val="28"/>
          <w:rtl/>
        </w:rPr>
        <w:t xml:space="preserve"> למעלה משלוש שנות היעדרות)</w:t>
      </w:r>
      <w:r w:rsidR="00C70C5A">
        <w:rPr>
          <w:rFonts w:cs="David" w:hint="cs"/>
          <w:sz w:val="28"/>
          <w:szCs w:val="28"/>
          <w:rtl/>
        </w:rPr>
        <w:t xml:space="preserve">. </w:t>
      </w:r>
    </w:p>
    <w:p w14:paraId="62CD3B1A" w14:textId="69077A0A" w:rsidR="00433662" w:rsidRDefault="00C70C5A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זאת, ועוד, </w:t>
      </w:r>
      <w:r w:rsidR="00433662" w:rsidRPr="00433662">
        <w:rPr>
          <w:rFonts w:cs="David" w:hint="cs"/>
          <w:sz w:val="28"/>
          <w:szCs w:val="28"/>
          <w:rtl/>
        </w:rPr>
        <w:t xml:space="preserve">גם לאחר </w:t>
      </w:r>
      <w:r>
        <w:rPr>
          <w:rFonts w:cs="David" w:hint="cs"/>
          <w:sz w:val="28"/>
          <w:szCs w:val="28"/>
          <w:rtl/>
        </w:rPr>
        <w:t xml:space="preserve">שהמערער התייצב, </w:t>
      </w:r>
      <w:r w:rsidR="00433662" w:rsidRPr="00433662">
        <w:rPr>
          <w:rFonts w:cs="David" w:hint="cs"/>
          <w:sz w:val="28"/>
          <w:szCs w:val="28"/>
          <w:rtl/>
        </w:rPr>
        <w:t xml:space="preserve">הבהיר </w:t>
      </w:r>
      <w:r>
        <w:rPr>
          <w:rFonts w:cs="David" w:hint="cs"/>
          <w:sz w:val="28"/>
          <w:szCs w:val="28"/>
          <w:rtl/>
        </w:rPr>
        <w:t xml:space="preserve">האחרון </w:t>
      </w:r>
      <w:r w:rsidR="00433662" w:rsidRPr="00433662">
        <w:rPr>
          <w:rFonts w:cs="David" w:hint="cs"/>
          <w:sz w:val="28"/>
          <w:szCs w:val="28"/>
          <w:rtl/>
        </w:rPr>
        <w:t xml:space="preserve">כי </w:t>
      </w:r>
      <w:r w:rsidR="004552FE">
        <w:rPr>
          <w:rFonts w:cs="David" w:hint="cs"/>
          <w:sz w:val="28"/>
          <w:szCs w:val="28"/>
          <w:rtl/>
        </w:rPr>
        <w:t xml:space="preserve">עשה כן על מנת לסיים את ההליכים בעניינו, וכי </w:t>
      </w:r>
      <w:r w:rsidR="00433662" w:rsidRPr="00433662">
        <w:rPr>
          <w:rFonts w:cs="David" w:hint="cs"/>
          <w:sz w:val="28"/>
          <w:szCs w:val="28"/>
          <w:rtl/>
        </w:rPr>
        <w:t>אין בכוונתו לשרת בצה"ל</w:t>
      </w:r>
      <w:r>
        <w:rPr>
          <w:rFonts w:cs="David" w:hint="cs"/>
          <w:sz w:val="28"/>
          <w:szCs w:val="28"/>
          <w:rtl/>
        </w:rPr>
        <w:t>. בהקשר זה, נ</w:t>
      </w:r>
      <w:r w:rsidR="00B5694F">
        <w:rPr>
          <w:rFonts w:cs="David" w:hint="cs"/>
          <w:sz w:val="28"/>
          <w:szCs w:val="28"/>
          <w:rtl/>
        </w:rPr>
        <w:t>שוב ונזכיר</w:t>
      </w:r>
      <w:r w:rsidR="00DA1738">
        <w:rPr>
          <w:rFonts w:cs="David" w:hint="cs"/>
          <w:sz w:val="28"/>
          <w:szCs w:val="28"/>
          <w:rtl/>
        </w:rPr>
        <w:t xml:space="preserve">, כי </w:t>
      </w:r>
      <w:r>
        <w:rPr>
          <w:rFonts w:cs="David" w:hint="cs"/>
          <w:sz w:val="28"/>
          <w:szCs w:val="28"/>
          <w:rtl/>
        </w:rPr>
        <w:t xml:space="preserve">המערער </w:t>
      </w:r>
      <w:r w:rsidR="003E76F1">
        <w:rPr>
          <w:rFonts w:cs="David" w:hint="cs"/>
          <w:sz w:val="28"/>
          <w:szCs w:val="28"/>
          <w:rtl/>
        </w:rPr>
        <w:t xml:space="preserve">אף </w:t>
      </w:r>
      <w:r w:rsidR="00433662">
        <w:rPr>
          <w:rFonts w:cs="David" w:hint="cs"/>
          <w:sz w:val="28"/>
          <w:szCs w:val="28"/>
          <w:rtl/>
        </w:rPr>
        <w:t xml:space="preserve">פוטר </w:t>
      </w:r>
      <w:r w:rsidR="00B5694F">
        <w:rPr>
          <w:rFonts w:cs="David" w:hint="cs"/>
          <w:sz w:val="28"/>
          <w:szCs w:val="28"/>
          <w:rtl/>
        </w:rPr>
        <w:t xml:space="preserve">בסופו של דבר </w:t>
      </w:r>
      <w:r w:rsidR="004552FE">
        <w:rPr>
          <w:rFonts w:cs="David" w:hint="cs"/>
          <w:sz w:val="28"/>
          <w:szCs w:val="28"/>
          <w:rtl/>
        </w:rPr>
        <w:t xml:space="preserve">משירות </w:t>
      </w:r>
      <w:r w:rsidR="00DA1738">
        <w:rPr>
          <w:rFonts w:cs="David" w:hint="cs"/>
          <w:sz w:val="28"/>
          <w:szCs w:val="28"/>
          <w:rtl/>
        </w:rPr>
        <w:t>צבאי בגין "</w:t>
      </w:r>
      <w:r w:rsidR="00433662">
        <w:rPr>
          <w:rFonts w:cs="David" w:hint="cs"/>
          <w:sz w:val="28"/>
          <w:szCs w:val="28"/>
          <w:rtl/>
        </w:rPr>
        <w:t>התנהגות רעה וחמורה</w:t>
      </w:r>
      <w:r w:rsidR="00DA1738">
        <w:rPr>
          <w:rFonts w:cs="David" w:hint="cs"/>
          <w:sz w:val="28"/>
          <w:szCs w:val="28"/>
          <w:rtl/>
        </w:rPr>
        <w:t>"</w:t>
      </w:r>
      <w:r w:rsidR="00433662">
        <w:rPr>
          <w:rFonts w:cs="David" w:hint="cs"/>
          <w:sz w:val="28"/>
          <w:szCs w:val="28"/>
          <w:rtl/>
        </w:rPr>
        <w:t xml:space="preserve">. התנהלותו </w:t>
      </w:r>
      <w:r w:rsidR="00DA1738">
        <w:rPr>
          <w:rFonts w:cs="David" w:hint="cs"/>
          <w:sz w:val="28"/>
          <w:szCs w:val="28"/>
          <w:rtl/>
        </w:rPr>
        <w:t xml:space="preserve">לכל אורך הדרך </w:t>
      </w:r>
      <w:r w:rsidR="00433662">
        <w:rPr>
          <w:rFonts w:cs="David" w:hint="cs"/>
          <w:sz w:val="28"/>
          <w:szCs w:val="28"/>
          <w:rtl/>
        </w:rPr>
        <w:t>שיקפה חוסר מוטיבציה לשירות צבאי</w:t>
      </w:r>
      <w:r w:rsidR="004552FE">
        <w:rPr>
          <w:rFonts w:cs="David" w:hint="cs"/>
          <w:sz w:val="28"/>
          <w:szCs w:val="28"/>
          <w:rtl/>
        </w:rPr>
        <w:t xml:space="preserve">, </w:t>
      </w:r>
      <w:r w:rsidR="00DA1738">
        <w:rPr>
          <w:rFonts w:cs="David" w:hint="cs"/>
          <w:sz w:val="28"/>
          <w:szCs w:val="28"/>
          <w:rtl/>
        </w:rPr>
        <w:t xml:space="preserve">ולא נמצא </w:t>
      </w:r>
      <w:r w:rsidR="00433662">
        <w:rPr>
          <w:rFonts w:cs="David" w:hint="cs"/>
          <w:sz w:val="28"/>
          <w:szCs w:val="28"/>
          <w:rtl/>
        </w:rPr>
        <w:t>כי נבעה מאילוצים משפחתיים</w:t>
      </w:r>
      <w:r w:rsidR="00DA1738">
        <w:rPr>
          <w:rFonts w:cs="David" w:hint="cs"/>
          <w:sz w:val="28"/>
          <w:szCs w:val="28"/>
          <w:rtl/>
        </w:rPr>
        <w:t xml:space="preserve">. עוד יש לציין, כי </w:t>
      </w:r>
      <w:r w:rsidR="00433662">
        <w:rPr>
          <w:rFonts w:cs="David" w:hint="cs"/>
          <w:sz w:val="28"/>
          <w:szCs w:val="28"/>
          <w:rtl/>
        </w:rPr>
        <w:t>בבדיקתו על ידי גורמי בריאות הנפש במתקן הכליאה</w:t>
      </w:r>
      <w:r w:rsidR="00DA1738">
        <w:rPr>
          <w:rFonts w:cs="David" w:hint="cs"/>
          <w:sz w:val="28"/>
          <w:szCs w:val="28"/>
          <w:rtl/>
        </w:rPr>
        <w:t>,</w:t>
      </w:r>
      <w:r w:rsidR="00433662">
        <w:rPr>
          <w:rFonts w:cs="David" w:hint="cs"/>
          <w:sz w:val="28"/>
          <w:szCs w:val="28"/>
          <w:rtl/>
        </w:rPr>
        <w:t xml:space="preserve"> לאחר מעצרו, נמצא, כי </w:t>
      </w:r>
      <w:r w:rsidR="004552FE">
        <w:rPr>
          <w:rFonts w:cs="David" w:hint="cs"/>
          <w:sz w:val="28"/>
          <w:szCs w:val="28"/>
          <w:rtl/>
        </w:rPr>
        <w:t xml:space="preserve">על אף קיומם של קשיי הסתגלות משמעותיים (כפי שיבואר בהמשך), </w:t>
      </w:r>
      <w:r w:rsidR="00B5694F">
        <w:rPr>
          <w:rFonts w:cs="David" w:hint="cs"/>
          <w:sz w:val="28"/>
          <w:szCs w:val="28"/>
          <w:rtl/>
        </w:rPr>
        <w:t xml:space="preserve">המערער </w:t>
      </w:r>
      <w:r w:rsidR="00433662">
        <w:rPr>
          <w:rFonts w:cs="David" w:hint="cs"/>
          <w:sz w:val="28"/>
          <w:szCs w:val="28"/>
          <w:rtl/>
        </w:rPr>
        <w:t>כשיר לשירות</w:t>
      </w:r>
      <w:r w:rsidR="004552FE">
        <w:rPr>
          <w:rFonts w:cs="David" w:hint="cs"/>
          <w:sz w:val="28"/>
          <w:szCs w:val="28"/>
          <w:rtl/>
        </w:rPr>
        <w:t xml:space="preserve"> צבאי</w:t>
      </w:r>
      <w:r w:rsidR="00B5694F">
        <w:rPr>
          <w:rFonts w:cs="David" w:hint="cs"/>
          <w:sz w:val="28"/>
          <w:szCs w:val="28"/>
          <w:rtl/>
        </w:rPr>
        <w:t xml:space="preserve"> תוך נקיטת הגנות מתאימות (</w:t>
      </w:r>
      <w:proofErr w:type="spellStart"/>
      <w:r w:rsidR="00B5694F">
        <w:rPr>
          <w:rFonts w:cs="David" w:hint="cs"/>
          <w:sz w:val="28"/>
          <w:szCs w:val="28"/>
          <w:rtl/>
        </w:rPr>
        <w:t>קה"ס</w:t>
      </w:r>
      <w:proofErr w:type="spellEnd"/>
      <w:r w:rsidR="00B5694F">
        <w:rPr>
          <w:rFonts w:cs="David" w:hint="cs"/>
          <w:sz w:val="28"/>
          <w:szCs w:val="28"/>
          <w:rtl/>
        </w:rPr>
        <w:t xml:space="preserve"> 50)</w:t>
      </w:r>
      <w:r w:rsidR="00433662">
        <w:rPr>
          <w:rFonts w:cs="David" w:hint="cs"/>
          <w:sz w:val="28"/>
          <w:szCs w:val="28"/>
          <w:rtl/>
        </w:rPr>
        <w:t xml:space="preserve">. </w:t>
      </w:r>
      <w:r w:rsidR="00B5694F">
        <w:rPr>
          <w:rFonts w:cs="David" w:hint="cs"/>
          <w:sz w:val="28"/>
          <w:szCs w:val="28"/>
          <w:rtl/>
        </w:rPr>
        <w:t xml:space="preserve">בהתאם, </w:t>
      </w:r>
      <w:r w:rsidR="00433662">
        <w:rPr>
          <w:rFonts w:cs="David" w:hint="cs"/>
          <w:sz w:val="28"/>
          <w:szCs w:val="28"/>
          <w:rtl/>
        </w:rPr>
        <w:t>לאור האמור, לא מצאנו להתערב ב</w:t>
      </w:r>
      <w:r w:rsidR="00B5694F">
        <w:rPr>
          <w:rFonts w:cs="David" w:hint="cs"/>
          <w:sz w:val="28"/>
          <w:szCs w:val="28"/>
          <w:rtl/>
        </w:rPr>
        <w:t>מתחם העונש ההולם שנקבע, ולא סברנו כי הוא חמור יתר על המידה.</w:t>
      </w:r>
      <w:r w:rsidR="00433662">
        <w:rPr>
          <w:rFonts w:cs="David" w:hint="cs"/>
          <w:sz w:val="28"/>
          <w:szCs w:val="28"/>
          <w:rtl/>
        </w:rPr>
        <w:t xml:space="preserve"> </w:t>
      </w:r>
    </w:p>
    <w:p w14:paraId="28C5D45D" w14:textId="670B6CDE" w:rsidR="00B97634" w:rsidRDefault="00433662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שונים הם פני הדברים באשר לקביעת עונשו של המערער </w:t>
      </w:r>
      <w:r w:rsidRPr="004552FE">
        <w:rPr>
          <w:rFonts w:cs="David" w:hint="cs"/>
          <w:b/>
          <w:bCs/>
          <w:sz w:val="28"/>
          <w:szCs w:val="28"/>
          <w:rtl/>
        </w:rPr>
        <w:t>בתוך</w:t>
      </w:r>
      <w:r>
        <w:rPr>
          <w:rFonts w:cs="David" w:hint="cs"/>
          <w:sz w:val="28"/>
          <w:szCs w:val="28"/>
          <w:rtl/>
        </w:rPr>
        <w:t xml:space="preserve"> מתחם העונש ההולם</w:t>
      </w:r>
      <w:r w:rsidR="00B97634">
        <w:rPr>
          <w:rFonts w:cs="David" w:hint="cs"/>
          <w:sz w:val="28"/>
          <w:szCs w:val="28"/>
          <w:rtl/>
        </w:rPr>
        <w:t xml:space="preserve">. </w:t>
      </w:r>
      <w:r w:rsidR="00B5694F">
        <w:rPr>
          <w:rFonts w:cs="David" w:hint="cs"/>
          <w:sz w:val="28"/>
          <w:szCs w:val="28"/>
          <w:rtl/>
        </w:rPr>
        <w:t xml:space="preserve">עיון בהנמקת </w:t>
      </w:r>
      <w:r w:rsidR="00B97634">
        <w:rPr>
          <w:rFonts w:cs="David" w:hint="cs"/>
          <w:sz w:val="28"/>
          <w:szCs w:val="28"/>
          <w:rtl/>
        </w:rPr>
        <w:t xml:space="preserve">שופטי הרוב </w:t>
      </w:r>
      <w:r w:rsidR="00B5694F">
        <w:rPr>
          <w:rFonts w:cs="David" w:hint="cs"/>
          <w:sz w:val="28"/>
          <w:szCs w:val="28"/>
          <w:rtl/>
        </w:rPr>
        <w:t>מ</w:t>
      </w:r>
      <w:r w:rsidR="004552FE">
        <w:rPr>
          <w:rFonts w:cs="David" w:hint="cs"/>
          <w:sz w:val="28"/>
          <w:szCs w:val="28"/>
          <w:rtl/>
        </w:rPr>
        <w:t>עלה</w:t>
      </w:r>
      <w:r w:rsidR="00B5694F">
        <w:rPr>
          <w:rFonts w:cs="David" w:hint="cs"/>
          <w:sz w:val="28"/>
          <w:szCs w:val="28"/>
          <w:rtl/>
        </w:rPr>
        <w:t>,</w:t>
      </w:r>
      <w:r w:rsidR="004552FE">
        <w:rPr>
          <w:rFonts w:cs="David" w:hint="cs"/>
          <w:sz w:val="28"/>
          <w:szCs w:val="28"/>
          <w:rtl/>
        </w:rPr>
        <w:t xml:space="preserve"> כי </w:t>
      </w:r>
      <w:r w:rsidR="00B97634">
        <w:rPr>
          <w:rFonts w:cs="David" w:hint="cs"/>
          <w:sz w:val="28"/>
          <w:szCs w:val="28"/>
          <w:rtl/>
        </w:rPr>
        <w:t xml:space="preserve">חוסר המוטיבציה של המערער </w:t>
      </w:r>
      <w:r w:rsidR="00B5694F">
        <w:rPr>
          <w:rFonts w:cs="David" w:hint="cs"/>
          <w:sz w:val="28"/>
          <w:szCs w:val="28"/>
          <w:rtl/>
        </w:rPr>
        <w:t xml:space="preserve">לשירות צבאי </w:t>
      </w:r>
      <w:r w:rsidR="00B97634">
        <w:rPr>
          <w:rFonts w:cs="David" w:hint="cs"/>
          <w:sz w:val="28"/>
          <w:szCs w:val="28"/>
          <w:rtl/>
        </w:rPr>
        <w:t xml:space="preserve">ויחסו </w:t>
      </w:r>
      <w:r w:rsidR="00B5694F">
        <w:rPr>
          <w:rFonts w:cs="David" w:hint="cs"/>
          <w:sz w:val="28"/>
          <w:szCs w:val="28"/>
          <w:rtl/>
        </w:rPr>
        <w:t xml:space="preserve">השלילי </w:t>
      </w:r>
      <w:r w:rsidR="00B97634">
        <w:rPr>
          <w:rFonts w:cs="David" w:hint="cs"/>
          <w:sz w:val="28"/>
          <w:szCs w:val="28"/>
          <w:rtl/>
        </w:rPr>
        <w:t>לשירות</w:t>
      </w:r>
      <w:r w:rsidR="00B5694F">
        <w:rPr>
          <w:rFonts w:cs="David" w:hint="cs"/>
          <w:sz w:val="28"/>
          <w:szCs w:val="28"/>
          <w:rtl/>
        </w:rPr>
        <w:t xml:space="preserve">, נשקלו לחומרה, פעמיים - הן בשלב קביעת מתחם העונש ההולם והן בבחינת מידת העונש בתוכו. בנסיבות העניין דכאן, ראוי היה לבחון </w:t>
      </w:r>
      <w:r w:rsidR="00B97634">
        <w:rPr>
          <w:rFonts w:cs="David" w:hint="cs"/>
          <w:sz w:val="28"/>
          <w:szCs w:val="28"/>
          <w:rtl/>
        </w:rPr>
        <w:t xml:space="preserve">שיקולים אלה, הנוגעים </w:t>
      </w:r>
      <w:r w:rsidR="00B5694F">
        <w:rPr>
          <w:rFonts w:cs="David" w:hint="cs"/>
          <w:sz w:val="28"/>
          <w:szCs w:val="28"/>
          <w:rtl/>
        </w:rPr>
        <w:t xml:space="preserve">במישרין </w:t>
      </w:r>
      <w:r w:rsidR="00B97634">
        <w:rPr>
          <w:rFonts w:cs="David" w:hint="cs"/>
          <w:sz w:val="28"/>
          <w:szCs w:val="28"/>
          <w:rtl/>
        </w:rPr>
        <w:t xml:space="preserve">לנסיבות </w:t>
      </w:r>
      <w:r w:rsidR="00B97634">
        <w:rPr>
          <w:rFonts w:cs="David" w:hint="cs"/>
          <w:sz w:val="28"/>
          <w:szCs w:val="28"/>
          <w:rtl/>
        </w:rPr>
        <w:lastRenderedPageBreak/>
        <w:t>ביצוע העבירה, בעת קביעת המתחם ולא בעת קביעת מידת העונש בתוכו (ראו סעיפים 40ט' ו-40יא לחוק העונשין)</w:t>
      </w:r>
      <w:r w:rsidR="004552FE">
        <w:rPr>
          <w:rFonts w:cs="David" w:hint="cs"/>
          <w:sz w:val="28"/>
          <w:szCs w:val="28"/>
          <w:rtl/>
        </w:rPr>
        <w:t xml:space="preserve">. </w:t>
      </w:r>
      <w:r w:rsidR="00B5694F">
        <w:rPr>
          <w:rFonts w:cs="David" w:hint="cs"/>
          <w:sz w:val="28"/>
          <w:szCs w:val="28"/>
          <w:rtl/>
        </w:rPr>
        <w:t>מכל מקום, מש</w:t>
      </w:r>
      <w:r w:rsidR="004552FE">
        <w:rPr>
          <w:rFonts w:cs="David" w:hint="cs"/>
          <w:sz w:val="28"/>
          <w:szCs w:val="28"/>
          <w:rtl/>
        </w:rPr>
        <w:t>שיקולים אלה</w:t>
      </w:r>
      <w:r w:rsidR="00C4502F">
        <w:rPr>
          <w:rFonts w:cs="David" w:hint="cs"/>
          <w:sz w:val="28"/>
          <w:szCs w:val="28"/>
          <w:rtl/>
        </w:rPr>
        <w:t xml:space="preserve"> </w:t>
      </w:r>
      <w:r w:rsidR="00B5694F">
        <w:rPr>
          <w:rFonts w:cs="David" w:hint="cs"/>
          <w:sz w:val="28"/>
          <w:szCs w:val="28"/>
          <w:rtl/>
        </w:rPr>
        <w:t xml:space="preserve">אכן שמשו לקביעת </w:t>
      </w:r>
      <w:r w:rsidR="00B97634">
        <w:rPr>
          <w:rFonts w:cs="David" w:hint="cs"/>
          <w:sz w:val="28"/>
          <w:szCs w:val="28"/>
          <w:rtl/>
        </w:rPr>
        <w:t>מתחם העונש ההולם</w:t>
      </w:r>
      <w:r w:rsidR="00B5694F">
        <w:rPr>
          <w:rFonts w:cs="David" w:hint="cs"/>
          <w:sz w:val="28"/>
          <w:szCs w:val="28"/>
          <w:rtl/>
        </w:rPr>
        <w:t>,</w:t>
      </w:r>
      <w:r w:rsidR="00B97634">
        <w:rPr>
          <w:rFonts w:cs="David" w:hint="cs"/>
          <w:sz w:val="28"/>
          <w:szCs w:val="28"/>
          <w:rtl/>
        </w:rPr>
        <w:t xml:space="preserve"> כ</w:t>
      </w:r>
      <w:r w:rsidR="00B5694F">
        <w:rPr>
          <w:rFonts w:cs="David" w:hint="cs"/>
          <w:sz w:val="28"/>
          <w:szCs w:val="28"/>
          <w:rtl/>
        </w:rPr>
        <w:t>מ</w:t>
      </w:r>
      <w:r w:rsidR="00B97634">
        <w:rPr>
          <w:rFonts w:cs="David" w:hint="cs"/>
          <w:sz w:val="28"/>
          <w:szCs w:val="28"/>
          <w:rtl/>
        </w:rPr>
        <w:t xml:space="preserve">בואר לעיל, </w:t>
      </w:r>
      <w:r w:rsidR="004552FE">
        <w:rPr>
          <w:rFonts w:cs="David" w:hint="cs"/>
          <w:sz w:val="28"/>
          <w:szCs w:val="28"/>
          <w:rtl/>
        </w:rPr>
        <w:t>לא</w:t>
      </w:r>
      <w:r w:rsidR="00B97634">
        <w:rPr>
          <w:rFonts w:cs="David" w:hint="cs"/>
          <w:sz w:val="28"/>
          <w:szCs w:val="28"/>
          <w:rtl/>
        </w:rPr>
        <w:t xml:space="preserve"> היה מקום לשוב ולהתחשב בהם ל</w:t>
      </w:r>
      <w:r w:rsidR="003E76F1">
        <w:rPr>
          <w:rFonts w:cs="David" w:hint="cs"/>
          <w:sz w:val="28"/>
          <w:szCs w:val="28"/>
          <w:rtl/>
        </w:rPr>
        <w:t xml:space="preserve">חומרה </w:t>
      </w:r>
      <w:r w:rsidR="00B97634">
        <w:rPr>
          <w:rFonts w:cs="David" w:hint="cs"/>
          <w:sz w:val="28"/>
          <w:szCs w:val="28"/>
          <w:rtl/>
        </w:rPr>
        <w:t>בתוך המתחם</w:t>
      </w:r>
      <w:r w:rsidR="00184147">
        <w:rPr>
          <w:rFonts w:cs="David" w:hint="cs"/>
          <w:sz w:val="28"/>
          <w:szCs w:val="28"/>
          <w:rtl/>
        </w:rPr>
        <w:t xml:space="preserve"> (על ההבחנה שערך תיקון 113 לחוק העונשין בין בחינת הנסיבות הקשורות לביצוע העבירה שיש בהן כדי לגבש את מתחם העונש ההולם לעומת  הנסיבות שיש לבחון בתוך המתחם שנקבע, ראו למשל </w:t>
      </w:r>
      <w:proofErr w:type="spellStart"/>
      <w:r w:rsidR="00184147">
        <w:rPr>
          <w:rFonts w:cs="David" w:hint="cs"/>
          <w:sz w:val="28"/>
          <w:szCs w:val="28"/>
          <w:rtl/>
        </w:rPr>
        <w:t>רע"פ</w:t>
      </w:r>
      <w:proofErr w:type="spellEnd"/>
      <w:r w:rsidR="00184147">
        <w:rPr>
          <w:rFonts w:cs="David" w:hint="cs"/>
          <w:sz w:val="28"/>
          <w:szCs w:val="28"/>
          <w:rtl/>
        </w:rPr>
        <w:t xml:space="preserve"> 1195/22 </w:t>
      </w:r>
      <w:proofErr w:type="spellStart"/>
      <w:r w:rsidR="00184147">
        <w:rPr>
          <w:rFonts w:cs="David" w:hint="cs"/>
          <w:b/>
          <w:bCs/>
          <w:sz w:val="28"/>
          <w:szCs w:val="28"/>
          <w:rtl/>
        </w:rPr>
        <w:t>אשחאדאת</w:t>
      </w:r>
      <w:proofErr w:type="spellEnd"/>
      <w:r w:rsidR="00184147">
        <w:rPr>
          <w:rFonts w:cs="David" w:hint="cs"/>
          <w:b/>
          <w:bCs/>
          <w:sz w:val="28"/>
          <w:szCs w:val="28"/>
          <w:rtl/>
        </w:rPr>
        <w:t xml:space="preserve"> נ' מדינת ישראל</w:t>
      </w:r>
      <w:r w:rsidR="00184147">
        <w:rPr>
          <w:rFonts w:cs="David" w:hint="cs"/>
          <w:sz w:val="28"/>
          <w:szCs w:val="28"/>
          <w:rtl/>
        </w:rPr>
        <w:t>, פסקאות 1</w:t>
      </w:r>
      <w:r w:rsidR="003E76F1">
        <w:rPr>
          <w:rFonts w:cs="David" w:hint="cs"/>
          <w:sz w:val="28"/>
          <w:szCs w:val="28"/>
          <w:rtl/>
        </w:rPr>
        <w:t>5</w:t>
      </w:r>
      <w:r w:rsidR="00184147">
        <w:rPr>
          <w:rFonts w:cs="David" w:hint="cs"/>
          <w:sz w:val="28"/>
          <w:szCs w:val="28"/>
          <w:rtl/>
        </w:rPr>
        <w:t>-1</w:t>
      </w:r>
      <w:r w:rsidR="003E76F1">
        <w:rPr>
          <w:rFonts w:cs="David" w:hint="cs"/>
          <w:sz w:val="28"/>
          <w:szCs w:val="28"/>
          <w:rtl/>
        </w:rPr>
        <w:t>4</w:t>
      </w:r>
      <w:r w:rsidR="00184147">
        <w:rPr>
          <w:rFonts w:cs="David" w:hint="cs"/>
          <w:sz w:val="28"/>
          <w:szCs w:val="28"/>
          <w:rtl/>
        </w:rPr>
        <w:t xml:space="preserve"> (27.12.2022)). </w:t>
      </w:r>
    </w:p>
    <w:p w14:paraId="2B6A728E" w14:textId="277DCA3C" w:rsidR="00F31743" w:rsidRDefault="00B97634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 w:rsidRPr="00F31743">
        <w:rPr>
          <w:rFonts w:cs="David" w:hint="cs"/>
          <w:sz w:val="28"/>
          <w:szCs w:val="28"/>
          <w:rtl/>
        </w:rPr>
        <w:t xml:space="preserve">יתר על כן, </w:t>
      </w:r>
      <w:r w:rsidR="00DC17D8">
        <w:rPr>
          <w:rFonts w:cs="David" w:hint="cs"/>
          <w:sz w:val="28"/>
          <w:szCs w:val="28"/>
          <w:rtl/>
        </w:rPr>
        <w:t>בעניינו של המערער, ראוי היה להתחשב במידה רבה יותר בנתוניו הדלים, בהיעדר תמיכה אפקטיבית בו ובקשיי ההסתגלות למסגרות, שליוו אותו לאורך כל השנים</w:t>
      </w:r>
      <w:r w:rsidR="00C4502F">
        <w:rPr>
          <w:rFonts w:cs="David" w:hint="cs"/>
          <w:sz w:val="28"/>
          <w:szCs w:val="28"/>
          <w:rtl/>
        </w:rPr>
        <w:t xml:space="preserve"> (ראו סעיף 40יא(8) לחוק העונשין)</w:t>
      </w:r>
      <w:r w:rsidR="00DC17D8">
        <w:rPr>
          <w:rFonts w:cs="David" w:hint="cs"/>
          <w:sz w:val="28"/>
          <w:szCs w:val="28"/>
          <w:rtl/>
        </w:rPr>
        <w:t xml:space="preserve">. לפיכך, לנוכח נסיבותיו האישיות החריגות, נכון היה למקם את עונשו בסמוך לרף התחתון. אכן, אין </w:t>
      </w:r>
      <w:r w:rsidR="00F31743" w:rsidRPr="00F31743">
        <w:rPr>
          <w:rFonts w:cs="David" w:hint="cs"/>
          <w:sz w:val="28"/>
          <w:szCs w:val="28"/>
          <w:rtl/>
        </w:rPr>
        <w:t>להעמיד את עונשו של המערער ברף התחתון של מתחם העונש ההולם, ל</w:t>
      </w:r>
      <w:r w:rsidR="00DC17D8">
        <w:rPr>
          <w:rFonts w:cs="David" w:hint="cs"/>
          <w:sz w:val="28"/>
          <w:szCs w:val="28"/>
          <w:rtl/>
        </w:rPr>
        <w:t xml:space="preserve">נוכח </w:t>
      </w:r>
      <w:r w:rsidR="00F31743" w:rsidRPr="00F31743">
        <w:rPr>
          <w:rFonts w:cs="David" w:hint="cs"/>
          <w:sz w:val="28"/>
          <w:szCs w:val="28"/>
          <w:rtl/>
        </w:rPr>
        <w:t>עברו המכביד (ביחס לתקופת שירותו), בשים לב לשיקולי הרתעת הרבים ו</w:t>
      </w:r>
      <w:r w:rsidR="003E76F1">
        <w:rPr>
          <w:rFonts w:cs="David" w:hint="cs"/>
          <w:sz w:val="28"/>
          <w:szCs w:val="28"/>
          <w:rtl/>
        </w:rPr>
        <w:t xml:space="preserve">כן, </w:t>
      </w:r>
      <w:proofErr w:type="spellStart"/>
      <w:r w:rsidR="00F31743" w:rsidRPr="00F31743">
        <w:rPr>
          <w:rFonts w:cs="David" w:hint="cs"/>
          <w:sz w:val="28"/>
          <w:szCs w:val="28"/>
          <w:rtl/>
        </w:rPr>
        <w:t>משלא</w:t>
      </w:r>
      <w:proofErr w:type="spellEnd"/>
      <w:r w:rsidR="00F31743" w:rsidRPr="00F31743">
        <w:rPr>
          <w:rFonts w:cs="David" w:hint="cs"/>
          <w:sz w:val="28"/>
          <w:szCs w:val="28"/>
          <w:rtl/>
        </w:rPr>
        <w:t xml:space="preserve"> </w:t>
      </w:r>
      <w:r w:rsidR="00DC17D8">
        <w:rPr>
          <w:rFonts w:cs="David" w:hint="cs"/>
          <w:sz w:val="28"/>
          <w:szCs w:val="28"/>
          <w:rtl/>
        </w:rPr>
        <w:t xml:space="preserve">בוססו טענותיו </w:t>
      </w:r>
      <w:r w:rsidR="00010FA3">
        <w:rPr>
          <w:rFonts w:cs="David" w:hint="cs"/>
          <w:sz w:val="28"/>
          <w:szCs w:val="28"/>
          <w:rtl/>
        </w:rPr>
        <w:t>כי היעדרות</w:t>
      </w:r>
      <w:r w:rsidR="00DC17D8">
        <w:rPr>
          <w:rFonts w:cs="David" w:hint="cs"/>
          <w:sz w:val="28"/>
          <w:szCs w:val="28"/>
          <w:rtl/>
        </w:rPr>
        <w:t>ו</w:t>
      </w:r>
      <w:r w:rsidR="00010FA3">
        <w:rPr>
          <w:rFonts w:cs="David" w:hint="cs"/>
          <w:sz w:val="28"/>
          <w:szCs w:val="28"/>
          <w:rtl/>
        </w:rPr>
        <w:t xml:space="preserve"> נבעה מרצון לסייע למשפחתו</w:t>
      </w:r>
      <w:r w:rsidR="003E76F1">
        <w:rPr>
          <w:rFonts w:cs="David" w:hint="cs"/>
          <w:sz w:val="28"/>
          <w:szCs w:val="28"/>
          <w:rtl/>
        </w:rPr>
        <w:t xml:space="preserve">. עם זאת, </w:t>
      </w:r>
      <w:r w:rsidR="00DC17D8">
        <w:rPr>
          <w:rFonts w:cs="David" w:hint="cs"/>
          <w:sz w:val="28"/>
          <w:szCs w:val="28"/>
          <w:rtl/>
        </w:rPr>
        <w:t>בהתחשב ב</w:t>
      </w:r>
      <w:r w:rsidR="00F31743" w:rsidRPr="00F31743">
        <w:rPr>
          <w:rFonts w:cs="David" w:hint="cs"/>
          <w:sz w:val="28"/>
          <w:szCs w:val="28"/>
          <w:rtl/>
        </w:rPr>
        <w:t>קשיי ה</w:t>
      </w:r>
      <w:r w:rsidR="00DC17D8">
        <w:rPr>
          <w:rFonts w:cs="David" w:hint="cs"/>
          <w:sz w:val="28"/>
          <w:szCs w:val="28"/>
          <w:rtl/>
        </w:rPr>
        <w:t>ה</w:t>
      </w:r>
      <w:r w:rsidR="00F31743" w:rsidRPr="00F31743">
        <w:rPr>
          <w:rFonts w:cs="David" w:hint="cs"/>
          <w:sz w:val="28"/>
          <w:szCs w:val="28"/>
          <w:rtl/>
        </w:rPr>
        <w:t xml:space="preserve">סתגלות </w:t>
      </w:r>
      <w:r w:rsidR="00DC17D8">
        <w:rPr>
          <w:rFonts w:cs="David" w:hint="cs"/>
          <w:sz w:val="28"/>
          <w:szCs w:val="28"/>
          <w:rtl/>
        </w:rPr>
        <w:t xml:space="preserve">הניכרים של המערער, המלווים אותו שנים ארוכות </w:t>
      </w:r>
      <w:r w:rsidR="003E76F1">
        <w:rPr>
          <w:rFonts w:cs="David" w:hint="cs"/>
          <w:sz w:val="28"/>
          <w:szCs w:val="28"/>
          <w:rtl/>
        </w:rPr>
        <w:t xml:space="preserve">ולנוכח </w:t>
      </w:r>
      <w:r w:rsidR="00DC17D8">
        <w:rPr>
          <w:rFonts w:cs="David" w:hint="cs"/>
          <w:sz w:val="28"/>
          <w:szCs w:val="28"/>
          <w:rtl/>
        </w:rPr>
        <w:t>הודאתו באשמה - סברנו, בדומה לדעת המיעוט, כי יש למקמו בקירוב לרף התחתון ולהעמידו על 15 חודשי מאסר בפועל</w:t>
      </w:r>
      <w:r w:rsidR="00010FA3">
        <w:rPr>
          <w:rFonts w:cs="David" w:hint="cs"/>
          <w:sz w:val="28"/>
          <w:szCs w:val="28"/>
          <w:rtl/>
        </w:rPr>
        <w:t xml:space="preserve">. </w:t>
      </w:r>
    </w:p>
    <w:p w14:paraId="7CC17CFB" w14:textId="452BFC2A" w:rsidR="00A75807" w:rsidRDefault="00C41A52" w:rsidP="00AC5B08">
      <w:pPr>
        <w:numPr>
          <w:ilvl w:val="0"/>
          <w:numId w:val="1"/>
        </w:numPr>
        <w:spacing w:line="353" w:lineRule="auto"/>
        <w:ind w:left="6" w:hanging="6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סוף דבר, ערעור ההגנה מתקבל</w:t>
      </w:r>
      <w:r w:rsidR="00F31743">
        <w:rPr>
          <w:rFonts w:cs="David" w:hint="cs"/>
          <w:sz w:val="28"/>
          <w:szCs w:val="28"/>
          <w:rtl/>
        </w:rPr>
        <w:t xml:space="preserve">, כך שעל המערער יושתו </w:t>
      </w:r>
      <w:r w:rsidR="00F31743">
        <w:rPr>
          <w:rFonts w:cs="David" w:hint="cs"/>
          <w:b/>
          <w:bCs/>
          <w:sz w:val="28"/>
          <w:szCs w:val="28"/>
          <w:rtl/>
        </w:rPr>
        <w:t xml:space="preserve">15 </w:t>
      </w:r>
      <w:r w:rsidR="00F31743">
        <w:rPr>
          <w:rFonts w:cs="David" w:hint="cs"/>
          <w:sz w:val="28"/>
          <w:szCs w:val="28"/>
          <w:rtl/>
        </w:rPr>
        <w:t>חודשי מאסר בפועל</w:t>
      </w:r>
      <w:r w:rsidR="00DC17D8">
        <w:rPr>
          <w:rFonts w:cs="David" w:hint="cs"/>
          <w:sz w:val="28"/>
          <w:szCs w:val="28"/>
          <w:rtl/>
        </w:rPr>
        <w:t xml:space="preserve">, שאליהם יצטבר </w:t>
      </w:r>
      <w:r w:rsidR="00F31743">
        <w:rPr>
          <w:rFonts w:cs="David" w:hint="cs"/>
          <w:sz w:val="28"/>
          <w:szCs w:val="28"/>
          <w:rtl/>
        </w:rPr>
        <w:t>עונש המחבוש המותנה</w:t>
      </w:r>
      <w:r w:rsidR="00C4502F">
        <w:rPr>
          <w:rFonts w:cs="David" w:hint="cs"/>
          <w:sz w:val="28"/>
          <w:szCs w:val="28"/>
          <w:rtl/>
        </w:rPr>
        <w:t xml:space="preserve"> </w:t>
      </w:r>
      <w:r w:rsidR="003E76F1">
        <w:rPr>
          <w:rFonts w:cs="David" w:hint="cs"/>
          <w:sz w:val="28"/>
          <w:szCs w:val="28"/>
          <w:rtl/>
        </w:rPr>
        <w:t>ש</w:t>
      </w:r>
      <w:r w:rsidR="00C4502F">
        <w:rPr>
          <w:rFonts w:cs="David" w:hint="cs"/>
          <w:sz w:val="28"/>
          <w:szCs w:val="28"/>
          <w:rtl/>
        </w:rPr>
        <w:t>הופעל</w:t>
      </w:r>
      <w:r w:rsidR="00DC17D8">
        <w:rPr>
          <w:rFonts w:cs="David" w:hint="cs"/>
          <w:sz w:val="28"/>
          <w:szCs w:val="28"/>
          <w:rtl/>
        </w:rPr>
        <w:t>,</w:t>
      </w:r>
      <w:r w:rsidR="00F31743">
        <w:rPr>
          <w:rFonts w:cs="David" w:hint="cs"/>
          <w:sz w:val="28"/>
          <w:szCs w:val="28"/>
          <w:rtl/>
        </w:rPr>
        <w:t xml:space="preserve"> בן שבעה ימים</w:t>
      </w:r>
      <w:r w:rsidR="00DC17D8">
        <w:rPr>
          <w:rFonts w:cs="David" w:hint="cs"/>
          <w:sz w:val="28"/>
          <w:szCs w:val="28"/>
          <w:rtl/>
        </w:rPr>
        <w:t>, כמפורט לעיל</w:t>
      </w:r>
      <w:r w:rsidR="00F31743">
        <w:rPr>
          <w:rFonts w:cs="David" w:hint="cs"/>
          <w:sz w:val="28"/>
          <w:szCs w:val="28"/>
          <w:rtl/>
        </w:rPr>
        <w:t>. אין</w:t>
      </w:r>
      <w:r>
        <w:rPr>
          <w:rFonts w:cs="David" w:hint="cs"/>
          <w:sz w:val="28"/>
          <w:szCs w:val="28"/>
          <w:rtl/>
        </w:rPr>
        <w:t xml:space="preserve"> שינוי ביתר רכיבי העונש. </w:t>
      </w:r>
      <w:r w:rsidR="00F31743">
        <w:rPr>
          <w:rFonts w:cs="David" w:hint="cs"/>
          <w:sz w:val="28"/>
          <w:szCs w:val="28"/>
          <w:rtl/>
        </w:rPr>
        <w:t xml:space="preserve"> </w:t>
      </w:r>
    </w:p>
    <w:p w14:paraId="53FB893D" w14:textId="77777777" w:rsidR="00A75807" w:rsidRPr="00393DA7" w:rsidRDefault="00A75807" w:rsidP="006132C0">
      <w:pPr>
        <w:spacing w:line="353" w:lineRule="auto"/>
        <w:jc w:val="both"/>
        <w:rPr>
          <w:rFonts w:cs="David"/>
          <w:b/>
          <w:bCs/>
          <w:sz w:val="28"/>
          <w:szCs w:val="28"/>
        </w:rPr>
      </w:pPr>
    </w:p>
    <w:p w14:paraId="5B5972E6" w14:textId="77777777" w:rsidR="00A75807" w:rsidRDefault="00A75807" w:rsidP="00A75807">
      <w:pPr>
        <w:spacing w:line="353" w:lineRule="auto"/>
        <w:jc w:val="both"/>
        <w:rPr>
          <w:rFonts w:cs="David"/>
          <w:sz w:val="28"/>
          <w:szCs w:val="28"/>
        </w:rPr>
      </w:pPr>
    </w:p>
    <w:p w14:paraId="0668BE0A" w14:textId="0EC47C0D" w:rsidR="006132C0" w:rsidRDefault="006132C0" w:rsidP="006132C0">
      <w:pPr>
        <w:spacing w:line="353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  <w:r w:rsidRPr="00D52B24">
        <w:rPr>
          <w:rFonts w:cs="David"/>
          <w:sz w:val="28"/>
          <w:szCs w:val="28"/>
          <w:rtl/>
        </w:rPr>
        <w:t>ניתן והודע היום</w:t>
      </w:r>
      <w:r w:rsidR="00597AC9">
        <w:rPr>
          <w:rFonts w:cs="David" w:hint="cs"/>
          <w:sz w:val="28"/>
          <w:szCs w:val="28"/>
          <w:rtl/>
        </w:rPr>
        <w:t>,</w:t>
      </w:r>
      <w:r w:rsidR="00DC17D8">
        <w:rPr>
          <w:rFonts w:cs="David" w:hint="cs"/>
          <w:sz w:val="28"/>
          <w:szCs w:val="28"/>
          <w:rtl/>
        </w:rPr>
        <w:t xml:space="preserve"> </w:t>
      </w:r>
      <w:r w:rsidR="00C4502F">
        <w:rPr>
          <w:rFonts w:cs="David" w:hint="cs"/>
          <w:sz w:val="28"/>
          <w:szCs w:val="28"/>
          <w:rtl/>
        </w:rPr>
        <w:t>כ"</w:t>
      </w:r>
      <w:r w:rsidR="003E76F1">
        <w:rPr>
          <w:rFonts w:cs="David" w:hint="cs"/>
          <w:sz w:val="28"/>
          <w:szCs w:val="28"/>
          <w:rtl/>
        </w:rPr>
        <w:t>ג</w:t>
      </w:r>
      <w:r w:rsidRPr="00D52B24">
        <w:rPr>
          <w:rFonts w:cs="David"/>
          <w:sz w:val="28"/>
          <w:szCs w:val="28"/>
          <w:rtl/>
        </w:rPr>
        <w:t xml:space="preserve"> </w:t>
      </w:r>
      <w:r w:rsidR="008B7A3E">
        <w:rPr>
          <w:rFonts w:cs="David" w:hint="cs"/>
          <w:sz w:val="28"/>
          <w:szCs w:val="28"/>
          <w:rtl/>
        </w:rPr>
        <w:t>באדר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התשפ"</w:t>
      </w:r>
      <w:r w:rsidR="008B7A3E">
        <w:rPr>
          <w:rFonts w:cs="David" w:hint="cs"/>
          <w:sz w:val="28"/>
          <w:szCs w:val="28"/>
          <w:rtl/>
        </w:rPr>
        <w:t>ה</w:t>
      </w:r>
      <w:proofErr w:type="spellEnd"/>
      <w:r>
        <w:rPr>
          <w:rFonts w:cs="David" w:hint="cs"/>
          <w:sz w:val="28"/>
          <w:szCs w:val="28"/>
          <w:rtl/>
        </w:rPr>
        <w:t xml:space="preserve">, </w:t>
      </w:r>
      <w:r w:rsidR="00C4502F">
        <w:rPr>
          <w:rFonts w:cs="David" w:hint="cs"/>
          <w:sz w:val="28"/>
          <w:szCs w:val="28"/>
          <w:rtl/>
        </w:rPr>
        <w:t>2</w:t>
      </w:r>
      <w:r w:rsidR="003E76F1">
        <w:rPr>
          <w:rFonts w:cs="David" w:hint="cs"/>
          <w:sz w:val="28"/>
          <w:szCs w:val="28"/>
          <w:rtl/>
        </w:rPr>
        <w:t>3</w:t>
      </w:r>
      <w:r w:rsidR="00DC17D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</w:t>
      </w:r>
      <w:r w:rsidR="008B7A3E">
        <w:rPr>
          <w:rFonts w:cs="David" w:hint="cs"/>
          <w:sz w:val="28"/>
          <w:szCs w:val="28"/>
          <w:rtl/>
        </w:rPr>
        <w:t>מארס</w:t>
      </w:r>
      <w:r>
        <w:rPr>
          <w:rFonts w:cs="David" w:hint="cs"/>
          <w:sz w:val="28"/>
          <w:szCs w:val="28"/>
          <w:rtl/>
        </w:rPr>
        <w:t xml:space="preserve"> 2025,</w:t>
      </w:r>
      <w:r w:rsidRPr="00D52B24">
        <w:rPr>
          <w:rFonts w:cs="David"/>
          <w:sz w:val="28"/>
          <w:szCs w:val="28"/>
          <w:rtl/>
        </w:rPr>
        <w:t xml:space="preserve"> בפומבי ובמעמד הצדדים. </w:t>
      </w:r>
    </w:p>
    <w:p w14:paraId="7B4F3848" w14:textId="77777777" w:rsidR="006132C0" w:rsidRDefault="006132C0" w:rsidP="006132C0">
      <w:pPr>
        <w:spacing w:line="353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</w:p>
    <w:p w14:paraId="292F1A45" w14:textId="77777777" w:rsidR="006132C0" w:rsidRDefault="006132C0" w:rsidP="006132C0">
      <w:pPr>
        <w:spacing w:line="353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</w:p>
    <w:p w14:paraId="63DB119D" w14:textId="77777777" w:rsidR="00AC5B08" w:rsidRDefault="00AC5B08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6126A6C9" w14:textId="05081ECF" w:rsidR="006132C0" w:rsidRPr="00B44DB6" w:rsidRDefault="006132C0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Pr="00B44DB6">
        <w:rPr>
          <w:rFonts w:cs="David"/>
          <w:sz w:val="28"/>
          <w:szCs w:val="28"/>
          <w:rtl/>
        </w:rPr>
        <w:t>______________</w:t>
      </w:r>
      <w:r w:rsidRPr="00B44DB6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</w:t>
      </w:r>
      <w:r w:rsidR="00AC5B08">
        <w:rPr>
          <w:rFonts w:cs="David" w:hint="cs"/>
          <w:sz w:val="28"/>
          <w:szCs w:val="28"/>
          <w:rtl/>
        </w:rPr>
        <w:t xml:space="preserve">                   </w:t>
      </w:r>
      <w:r>
        <w:rPr>
          <w:rFonts w:cs="David" w:hint="cs"/>
          <w:sz w:val="28"/>
          <w:szCs w:val="28"/>
          <w:rtl/>
        </w:rPr>
        <w:t xml:space="preserve">  </w:t>
      </w:r>
      <w:r w:rsidRPr="00B44DB6">
        <w:rPr>
          <w:rFonts w:cs="David"/>
          <w:sz w:val="28"/>
          <w:szCs w:val="28"/>
          <w:rtl/>
        </w:rPr>
        <w:t>______________</w:t>
      </w:r>
      <w:r w:rsidRPr="00B44DB6">
        <w:rPr>
          <w:rFonts w:cs="David"/>
          <w:sz w:val="28"/>
          <w:szCs w:val="28"/>
          <w:rtl/>
        </w:rPr>
        <w:tab/>
      </w:r>
      <w:r w:rsidR="00AC5B08">
        <w:rPr>
          <w:rFonts w:cs="David" w:hint="cs"/>
          <w:sz w:val="28"/>
          <w:szCs w:val="28"/>
          <w:rtl/>
        </w:rPr>
        <w:t xml:space="preserve">                        </w:t>
      </w:r>
      <w:r>
        <w:rPr>
          <w:rFonts w:cs="David" w:hint="cs"/>
          <w:sz w:val="28"/>
          <w:szCs w:val="28"/>
          <w:rtl/>
        </w:rPr>
        <w:t xml:space="preserve"> </w:t>
      </w:r>
      <w:r w:rsidRPr="00B44DB6">
        <w:rPr>
          <w:rFonts w:cs="David"/>
          <w:sz w:val="28"/>
          <w:szCs w:val="28"/>
          <w:rtl/>
        </w:rPr>
        <w:t>______________</w:t>
      </w:r>
    </w:p>
    <w:p w14:paraId="22D95B64" w14:textId="0FCB6BC4" w:rsidR="006132C0" w:rsidRDefault="006132C0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  <w:r w:rsidRPr="00B44DB6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הנשיאה                     </w:t>
      </w:r>
      <w:r w:rsidR="00AC5B08">
        <w:rPr>
          <w:rFonts w:cs="David" w:hint="cs"/>
          <w:sz w:val="28"/>
          <w:szCs w:val="28"/>
          <w:rtl/>
        </w:rPr>
        <w:t xml:space="preserve">        </w:t>
      </w:r>
      <w:r>
        <w:rPr>
          <w:rFonts w:cs="David" w:hint="cs"/>
          <w:sz w:val="28"/>
          <w:szCs w:val="28"/>
          <w:rtl/>
        </w:rPr>
        <w:t xml:space="preserve">       המשנה לנשיאה</w:t>
      </w:r>
      <w:r w:rsidRPr="00B44DB6">
        <w:rPr>
          <w:rFonts w:cs="David"/>
          <w:sz w:val="28"/>
          <w:szCs w:val="28"/>
          <w:rtl/>
        </w:rPr>
        <w:t xml:space="preserve">  </w:t>
      </w:r>
      <w:r w:rsidRPr="00B44DB6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               </w:t>
      </w:r>
      <w:r w:rsidR="00AC5B08">
        <w:rPr>
          <w:rFonts w:cs="David" w:hint="cs"/>
          <w:sz w:val="28"/>
          <w:szCs w:val="28"/>
          <w:rtl/>
        </w:rPr>
        <w:t xml:space="preserve">         </w:t>
      </w:r>
      <w:r>
        <w:rPr>
          <w:rFonts w:cs="David" w:hint="cs"/>
          <w:sz w:val="28"/>
          <w:szCs w:val="28"/>
          <w:rtl/>
        </w:rPr>
        <w:t xml:space="preserve">        </w:t>
      </w:r>
      <w:r w:rsidRPr="00B44DB6">
        <w:rPr>
          <w:rFonts w:cs="David"/>
          <w:sz w:val="28"/>
          <w:szCs w:val="28"/>
          <w:rtl/>
        </w:rPr>
        <w:t>שופט</w:t>
      </w:r>
      <w:r>
        <w:rPr>
          <w:rFonts w:cs="David" w:hint="cs"/>
          <w:sz w:val="28"/>
          <w:szCs w:val="28"/>
          <w:rtl/>
        </w:rPr>
        <w:t>ת</w:t>
      </w:r>
    </w:p>
    <w:p w14:paraId="09F1F2CE" w14:textId="21FC8FF2" w:rsidR="00AC5B08" w:rsidRDefault="00AC5B08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19939CBF" w14:textId="77777777" w:rsidR="00AC5B08" w:rsidRPr="00AC5B08" w:rsidRDefault="00AC5B08" w:rsidP="00AC5B08">
      <w:pPr>
        <w:spacing w:line="353" w:lineRule="auto"/>
        <w:outlineLvl w:val="0"/>
        <w:rPr>
          <w:rFonts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AC5B08">
        <w:rPr>
          <w:rFonts w:cs="David"/>
          <w:b/>
          <w:bCs/>
          <w:sz w:val="28"/>
          <w:szCs w:val="28"/>
          <w:rtl/>
        </w:rPr>
        <w:t xml:space="preserve">חתימת המגיה: _______________________________      העתק          נאמן         למקור             </w:t>
      </w:r>
    </w:p>
    <w:p w14:paraId="4EF0FAAA" w14:textId="77777777" w:rsidR="00AC5B08" w:rsidRPr="00AC5B08" w:rsidRDefault="00AC5B08" w:rsidP="00AC5B08">
      <w:pPr>
        <w:spacing w:line="353" w:lineRule="auto"/>
        <w:outlineLvl w:val="0"/>
        <w:rPr>
          <w:rFonts w:cs="David"/>
          <w:b/>
          <w:bCs/>
          <w:sz w:val="28"/>
          <w:szCs w:val="28"/>
          <w:rtl/>
        </w:rPr>
      </w:pPr>
      <w:r w:rsidRPr="00AC5B08">
        <w:rPr>
          <w:rFonts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סרן </w:t>
      </w:r>
      <w:r w:rsidRPr="00AC5B08">
        <w:rPr>
          <w:rFonts w:cs="David" w:hint="cs"/>
          <w:b/>
          <w:bCs/>
          <w:sz w:val="28"/>
          <w:szCs w:val="28"/>
          <w:rtl/>
        </w:rPr>
        <w:t xml:space="preserve">             נועם </w:t>
      </w:r>
      <w:r w:rsidRPr="00AC5B08">
        <w:rPr>
          <w:rFonts w:cs="David"/>
          <w:b/>
          <w:bCs/>
          <w:sz w:val="28"/>
          <w:szCs w:val="28"/>
          <w:rtl/>
        </w:rPr>
        <w:t xml:space="preserve"> </w:t>
      </w:r>
      <w:r w:rsidRPr="00AC5B08">
        <w:rPr>
          <w:rFonts w:cs="David" w:hint="cs"/>
          <w:b/>
          <w:bCs/>
          <w:sz w:val="28"/>
          <w:szCs w:val="28"/>
          <w:rtl/>
        </w:rPr>
        <w:t xml:space="preserve">       </w:t>
      </w:r>
      <w:r w:rsidRPr="00AC5B08">
        <w:rPr>
          <w:rFonts w:cs="David"/>
          <w:b/>
          <w:bCs/>
          <w:sz w:val="28"/>
          <w:szCs w:val="28"/>
          <w:rtl/>
        </w:rPr>
        <w:t xml:space="preserve"> </w:t>
      </w:r>
      <w:r w:rsidRPr="00AC5B08">
        <w:rPr>
          <w:rFonts w:cs="David" w:hint="cs"/>
          <w:b/>
          <w:bCs/>
          <w:sz w:val="28"/>
          <w:szCs w:val="28"/>
          <w:rtl/>
        </w:rPr>
        <w:t>בזיזה</w:t>
      </w:r>
    </w:p>
    <w:p w14:paraId="0DCD3D34" w14:textId="77777777" w:rsidR="00AC5B08" w:rsidRPr="00AC5B08" w:rsidRDefault="00AC5B08" w:rsidP="00AC5B08">
      <w:pPr>
        <w:spacing w:line="353" w:lineRule="auto"/>
        <w:outlineLvl w:val="0"/>
        <w:rPr>
          <w:rFonts w:cs="David"/>
          <w:b/>
          <w:bCs/>
          <w:sz w:val="28"/>
          <w:szCs w:val="28"/>
          <w:rtl/>
        </w:rPr>
      </w:pPr>
      <w:r w:rsidRPr="00AC5B08">
        <w:rPr>
          <w:rFonts w:cs="David"/>
          <w:b/>
          <w:bCs/>
          <w:sz w:val="28"/>
          <w:szCs w:val="28"/>
          <w:rtl/>
        </w:rPr>
        <w:t>תאריך: ____________________________________        קצי</w:t>
      </w:r>
      <w:r w:rsidRPr="00AC5B08">
        <w:rPr>
          <w:rFonts w:cs="David" w:hint="cs"/>
          <w:b/>
          <w:bCs/>
          <w:sz w:val="28"/>
          <w:szCs w:val="28"/>
          <w:rtl/>
        </w:rPr>
        <w:t>נת</w:t>
      </w:r>
      <w:r w:rsidRPr="00AC5B08">
        <w:rPr>
          <w:rFonts w:cs="David"/>
          <w:b/>
          <w:bCs/>
          <w:sz w:val="28"/>
          <w:szCs w:val="28"/>
          <w:rtl/>
        </w:rPr>
        <w:t xml:space="preserve">           בית            הדין</w:t>
      </w:r>
      <w:bookmarkEnd w:id="2"/>
    </w:p>
    <w:bookmarkEnd w:id="3"/>
    <w:p w14:paraId="712AF8D9" w14:textId="77777777" w:rsidR="00AC5B08" w:rsidRDefault="00AC5B08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0793D42A" w14:textId="77777777" w:rsidR="006132C0" w:rsidRDefault="006132C0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4D3EF1A6" w14:textId="77777777" w:rsidR="006132C0" w:rsidRPr="00B44DB6" w:rsidRDefault="006132C0" w:rsidP="006132C0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333BA052" w14:textId="6ECC6D0B" w:rsidR="00C11818" w:rsidRPr="008B7A3E" w:rsidRDefault="00C11818" w:rsidP="008B7A3E">
      <w:pPr>
        <w:spacing w:line="353" w:lineRule="auto"/>
        <w:outlineLvl w:val="0"/>
        <w:rPr>
          <w:rFonts w:cs="David"/>
          <w:sz w:val="28"/>
          <w:szCs w:val="28"/>
        </w:rPr>
      </w:pPr>
    </w:p>
    <w:sectPr w:rsidR="00C11818" w:rsidRPr="008B7A3E" w:rsidSect="00AC5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47" w:right="1247" w:bottom="1247" w:left="124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5061" w14:textId="77777777" w:rsidR="00AA56B8" w:rsidRDefault="00AA56B8" w:rsidP="006132C0">
      <w:r>
        <w:separator/>
      </w:r>
    </w:p>
  </w:endnote>
  <w:endnote w:type="continuationSeparator" w:id="0">
    <w:p w14:paraId="5B9A3DD0" w14:textId="77777777" w:rsidR="00AA56B8" w:rsidRDefault="00AA56B8" w:rsidP="006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1324" w14:textId="77777777" w:rsidR="00F9547E" w:rsidRDefault="00E733FF" w:rsidP="00A53D04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5AA42FD" w14:textId="77777777" w:rsidR="00F9547E" w:rsidRDefault="00F954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4F1D" w14:textId="77777777" w:rsidR="00F9547E" w:rsidRPr="00AC5B08" w:rsidRDefault="00E733FF" w:rsidP="00A53D04">
    <w:pPr>
      <w:pStyle w:val="a5"/>
      <w:framePr w:wrap="around" w:vAnchor="text" w:hAnchor="text" w:xAlign="center" w:y="1"/>
      <w:rPr>
        <w:rStyle w:val="a7"/>
        <w:rFonts w:ascii="David" w:hAnsi="David" w:cs="David"/>
        <w:sz w:val="28"/>
        <w:szCs w:val="28"/>
      </w:rPr>
    </w:pPr>
    <w:r w:rsidRPr="00AC5B08">
      <w:rPr>
        <w:rStyle w:val="a7"/>
        <w:rFonts w:ascii="David" w:hAnsi="David" w:cs="David"/>
        <w:sz w:val="28"/>
        <w:szCs w:val="28"/>
        <w:rtl/>
      </w:rPr>
      <w:fldChar w:fldCharType="begin"/>
    </w:r>
    <w:r w:rsidRPr="00AC5B08">
      <w:rPr>
        <w:rStyle w:val="a7"/>
        <w:rFonts w:ascii="David" w:hAnsi="David" w:cs="David"/>
        <w:sz w:val="28"/>
        <w:szCs w:val="28"/>
      </w:rPr>
      <w:instrText xml:space="preserve">PAGE  </w:instrText>
    </w:r>
    <w:r w:rsidRPr="00AC5B08">
      <w:rPr>
        <w:rStyle w:val="a7"/>
        <w:rFonts w:ascii="David" w:hAnsi="David" w:cs="David"/>
        <w:sz w:val="28"/>
        <w:szCs w:val="28"/>
        <w:rtl/>
      </w:rPr>
      <w:fldChar w:fldCharType="separate"/>
    </w:r>
    <w:r w:rsidRPr="00AC5B08">
      <w:rPr>
        <w:rStyle w:val="a7"/>
        <w:rFonts w:ascii="David" w:hAnsi="David" w:cs="David"/>
        <w:noProof/>
        <w:sz w:val="28"/>
        <w:szCs w:val="28"/>
        <w:rtl/>
      </w:rPr>
      <w:t>1</w:t>
    </w:r>
    <w:r w:rsidRPr="00AC5B08">
      <w:rPr>
        <w:rStyle w:val="a7"/>
        <w:rFonts w:ascii="David" w:hAnsi="David" w:cs="David"/>
        <w:noProof/>
        <w:sz w:val="28"/>
        <w:szCs w:val="28"/>
        <w:rtl/>
      </w:rPr>
      <w:t>4</w:t>
    </w:r>
    <w:r w:rsidRPr="00AC5B08">
      <w:rPr>
        <w:rStyle w:val="a7"/>
        <w:rFonts w:ascii="David" w:hAnsi="David" w:cs="David"/>
        <w:sz w:val="28"/>
        <w:szCs w:val="28"/>
        <w:rtl/>
      </w:rPr>
      <w:fldChar w:fldCharType="end"/>
    </w:r>
  </w:p>
  <w:p w14:paraId="547FDF9B" w14:textId="77777777" w:rsidR="00F9547E" w:rsidRPr="00FE1151" w:rsidRDefault="00F9547E">
    <w:pPr>
      <w:pStyle w:val="a5"/>
      <w:rPr>
        <w:rFonts w:cs="David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622D" w14:textId="77777777" w:rsidR="00AA56B8" w:rsidRDefault="00AA56B8" w:rsidP="006132C0">
      <w:r>
        <w:separator/>
      </w:r>
    </w:p>
  </w:footnote>
  <w:footnote w:type="continuationSeparator" w:id="0">
    <w:p w14:paraId="068A99DC" w14:textId="77777777" w:rsidR="00AA56B8" w:rsidRDefault="00AA56B8" w:rsidP="0061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B342" w14:textId="6C2095ED" w:rsidR="00F9547E" w:rsidRDefault="00F9547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924A035" wp14:editId="008356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884880249" name="Text Box 6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0BA34" w14:textId="4E7458AC" w:rsidR="00F9547E" w:rsidRPr="00F9547E" w:rsidRDefault="00F9547E" w:rsidP="00F954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4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4A0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- בלמ&quot;ס -" style="position:absolute;left:0;text-align:left;margin-left:0;margin-top:0;width:35.45pt;height:27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pK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WhqD+aVdLyOjSgkrKR2JcfRvMOzZOkdSLVepyTSjxP4YLdOxtIRpwjiS/8qvBuQRqLoEUYZieIN&#10;4Ofc+Gdw6wMS7ImNiOkZyAFq0l4iaXgnUdy/3lPW9TWvfgI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MtQKkoKAgAAFQQAAA4A&#10;AAAAAAAAAAAAAAAALgIAAGRycy9lMm9Eb2MueG1sUEsBAi0AFAAGAAgAAAAhAHTGdNLaAAAAAwEA&#10;AA8AAAAAAAAAAAAAAAAAZAQAAGRycy9kb3ducmV2LnhtbFBLBQYAAAAABAAEAPMAAABrBQAAAAA=&#10;" filled="f" stroked="f">
              <v:textbox style="mso-fit-shape-to-text:t" inset="0,15pt,0,0">
                <w:txbxContent>
                  <w:p w14:paraId="7D80BA34" w14:textId="4E7458AC" w:rsidR="00F9547E" w:rsidRPr="00F9547E" w:rsidRDefault="00F9547E" w:rsidP="00F954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4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3FF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FA76ABC" wp14:editId="04B68F0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7BB0B" w14:textId="77777777" w:rsidR="00F9547E" w:rsidRPr="002C25BA" w:rsidRDefault="00E733FF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76ABC" id="תיבת טקסט 5" o:spid="_x0000_s1027" type="#_x0000_t202" style="position:absolute;left:0;text-align:left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" filled="f" stroked="f">
              <v:textbox style="mso-fit-shape-to-text:t" inset="0,15pt,0,0">
                <w:txbxContent>
                  <w:p w14:paraId="3387BB0B" w14:textId="77777777" w:rsidR="00F9547E" w:rsidRPr="002C25BA" w:rsidRDefault="00E733FF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3FF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99EC90" wp14:editId="2E15352B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A352C" w14:textId="77777777" w:rsidR="00F9547E" w:rsidRPr="0089642B" w:rsidRDefault="00E733F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9EC90" id="תיבת טקסט 4" o:spid="_x0000_s1028" type="#_x0000_t202" style="position:absolute;left:0;text-align:left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A/5FzERAgAAMAQA&#10;AA4AAAAAAAAAAAAAAAAALgIAAGRycy9lMm9Eb2MueG1sUEsBAi0AFAAGAAgAAAAhAISw0yjWAAAA&#10;AwEAAA8AAAAAAAAAAAAAAAAAawQAAGRycy9kb3ducmV2LnhtbFBLBQYAAAAABAAEAPMAAABuBQAA&#10;AAA=&#10;" filled="f" stroked="f">
              <v:textbox style="mso-fit-shape-to-text:t" inset="0,0,0,0">
                <w:txbxContent>
                  <w:p w14:paraId="46DA352C" w14:textId="77777777" w:rsidR="00F9547E" w:rsidRPr="0089642B" w:rsidRDefault="00E733F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05A4" w14:textId="043D2762" w:rsidR="00F9547E" w:rsidRPr="00AC5B08" w:rsidRDefault="00F9547E" w:rsidP="00944E9B">
    <w:pPr>
      <w:pStyle w:val="a3"/>
      <w:rPr>
        <w:rFonts w:cs="David"/>
        <w:sz w:val="28"/>
        <w:szCs w:val="28"/>
        <w:rtl/>
      </w:rPr>
    </w:pPr>
    <w:r>
      <w:rPr>
        <w:rFonts w:cs="David" w:hint="cs"/>
        <w:noProof/>
        <w:rtl/>
        <w:lang w:val="he-I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95F4CE" wp14:editId="24658635">
              <wp:simplePos x="79513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721709834" name="Text Box 7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90EA9" w14:textId="1334591E" w:rsidR="00F9547E" w:rsidRPr="00F9547E" w:rsidRDefault="00F9547E" w:rsidP="00F954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4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5F4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- בלמ&quot;ס -" style="position:absolute;left:0;text-align:left;margin-left:0;margin-top:0;width:35.45pt;height:27.2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s2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qPkw/RaqIy3l4cR3cHLVUOu1CPgkPBFMe5Bo&#10;8ZEO3UJXcjhbnNXgf/7NH/MJd4py1pFgSm5J0Zy1PyzxEbWVjPFNPsvp5gf3djDs3twByXBML8LJ&#10;ZMY8bAdTezCvJOdlbEQhYSW1KzkO5h2elEvPQarlMiWRjJzAtd04GUtHuCKWz/2r8O4MOBJTDzCo&#10;SRRvcD/lxj+DW+6R0E+kRGhPQJ4RJwkmrs7PJWr893vKuj7qxS8A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BKc1s2DgIAABwE&#10;AAAOAAAAAAAAAAAAAAAAAC4CAABkcnMvZTJvRG9jLnhtbFBLAQItABQABgAIAAAAIQB0xnTS2gAA&#10;AAMBAAAPAAAAAAAAAAAAAAAAAGgEAABkcnMvZG93bnJldi54bWxQSwUGAAAAAAQABADzAAAAbwUA&#10;AAAA&#10;" filled="f" stroked="f">
              <v:textbox style="mso-fit-shape-to-text:t" inset="0,15pt,0,0">
                <w:txbxContent>
                  <w:p w14:paraId="64790EA9" w14:textId="1334591E" w:rsidR="00F9547E" w:rsidRPr="00F9547E" w:rsidRDefault="00F9547E" w:rsidP="00F954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4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3FF">
      <w:rPr>
        <w:rFonts w:cs="David" w:hint="cs"/>
        <w:rtl/>
      </w:rPr>
      <w:t xml:space="preserve">    </w:t>
    </w:r>
    <w:r w:rsidR="00AC5B08">
      <w:rPr>
        <w:rFonts w:cs="David" w:hint="cs"/>
        <w:rtl/>
      </w:rPr>
      <w:t xml:space="preserve">                                                                            </w:t>
    </w:r>
    <w:r w:rsidR="00E733FF">
      <w:rPr>
        <w:rFonts w:cs="David" w:hint="cs"/>
        <w:rtl/>
      </w:rPr>
      <w:t xml:space="preserve">  </w:t>
    </w:r>
    <w:r w:rsidR="00172D42">
      <w:rPr>
        <w:rFonts w:cs="David" w:hint="cs"/>
        <w:sz w:val="28"/>
        <w:szCs w:val="28"/>
        <w:rtl/>
      </w:rPr>
      <w:t>ב ל מ " ס</w:t>
    </w:r>
    <w:r w:rsidR="00AC5B08" w:rsidRPr="00AC5B08">
      <w:rPr>
        <w:rFonts w:cs="David" w:hint="cs"/>
        <w:sz w:val="28"/>
        <w:szCs w:val="28"/>
        <w:rtl/>
      </w:rPr>
      <w:t xml:space="preserve">                      </w:t>
    </w:r>
    <w:r w:rsidR="00E733FF" w:rsidRPr="00AC5B08">
      <w:rPr>
        <w:rFonts w:cs="David" w:hint="cs"/>
        <w:sz w:val="28"/>
        <w:szCs w:val="28"/>
        <w:rtl/>
      </w:rPr>
      <w:t xml:space="preserve"> </w:t>
    </w:r>
    <w:r w:rsidR="00AC5B08" w:rsidRPr="00AC5B08">
      <w:rPr>
        <w:rFonts w:cs="David" w:hint="cs"/>
        <w:sz w:val="28"/>
        <w:szCs w:val="28"/>
        <w:rtl/>
      </w:rPr>
      <w:t xml:space="preserve">         </w:t>
    </w:r>
    <w:r w:rsidR="00195EC1" w:rsidRPr="00AC5B08">
      <w:rPr>
        <w:rFonts w:cs="David" w:hint="cs"/>
        <w:sz w:val="28"/>
        <w:szCs w:val="28"/>
        <w:rtl/>
      </w:rPr>
      <w:t>ע</w:t>
    </w:r>
    <w:r w:rsidR="007474F9">
      <w:rPr>
        <w:rFonts w:cs="David" w:hint="cs"/>
        <w:sz w:val="28"/>
        <w:szCs w:val="28"/>
        <w:rtl/>
      </w:rPr>
      <w:t>/</w:t>
    </w:r>
    <w:r w:rsidR="007C6359">
      <w:rPr>
        <w:rFonts w:cs="David" w:hint="cs"/>
        <w:sz w:val="28"/>
        <w:szCs w:val="28"/>
        <w:rtl/>
      </w:rPr>
      <w:t>3/25,</w:t>
    </w:r>
    <w:r w:rsidR="00195EC1" w:rsidRPr="00AC5B08">
      <w:rPr>
        <w:rFonts w:cs="David" w:hint="cs"/>
        <w:sz w:val="28"/>
        <w:szCs w:val="28"/>
        <w:rtl/>
      </w:rPr>
      <w:t xml:space="preserve"> </w:t>
    </w:r>
    <w:r w:rsidR="006132C0" w:rsidRPr="00AC5B08">
      <w:rPr>
        <w:rFonts w:cs="David" w:hint="cs"/>
        <w:sz w:val="28"/>
        <w:szCs w:val="28"/>
        <w:rtl/>
      </w:rPr>
      <w:t>28166-01-25</w:t>
    </w:r>
    <w:r w:rsidR="00E733FF" w:rsidRPr="00AC5B08">
      <w:rPr>
        <w:rFonts w:cs="David" w:hint="cs"/>
        <w:sz w:val="28"/>
        <w:szCs w:val="28"/>
        <w:rtl/>
      </w:rPr>
      <w:t xml:space="preserve"> </w:t>
    </w:r>
  </w:p>
  <w:p w14:paraId="59F22C65" w14:textId="4F06C522" w:rsidR="00F9547E" w:rsidRPr="0056125B" w:rsidRDefault="00E733FF" w:rsidP="00AC5B08">
    <w:pPr>
      <w:pStyle w:val="a3"/>
      <w:jc w:val="center"/>
      <w:rPr>
        <w:rFonts w:cs="David"/>
        <w:sz w:val="28"/>
        <w:szCs w:val="28"/>
        <w:rtl/>
      </w:rPr>
    </w:pPr>
    <w:r>
      <w:rPr>
        <w:rFonts w:cs="David" w:hint="cs"/>
        <w:rtl/>
      </w:rPr>
      <w:t xml:space="preserve"> </w:t>
    </w:r>
    <w:r>
      <w:rPr>
        <w:rFonts w:cs="David" w:hint="cs"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BAA" w14:textId="5644333C" w:rsidR="00F9547E" w:rsidRDefault="00F9547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16E79EA" wp14:editId="398A42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851392825" name="Text Box 5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F7697" w14:textId="1E156117" w:rsidR="00F9547E" w:rsidRPr="00F9547E" w:rsidRDefault="00F9547E" w:rsidP="00F954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4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E79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- בלמ&quot;ס -" style="position:absolute;left:0;text-align:left;margin-left:0;margin-top:0;width:35.45pt;height:27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aG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aJBh+i1UR1rKw4nv4OSqodZrEfBJeCKY9iDR&#10;4iMduoWu5HC2OKvB//ybP+YT7hTlrCPBlNySojlrf1jiI2orGeObfJbTzQ/u7WDYvbkDkuGYXoST&#10;yYx52A6m9mBeSc7L2IhCwkpqV3IczDs8KZeeg1TLZUoiGTmBa7txMpaOcEUsn/tX4d0ZcCSmHmBQ&#10;kyje4H7KjX8Gt9wjoZ9IidCegDwjThJMXJ2fS9T47/eUdX3Ui18A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BJT0aGDgIAABwE&#10;AAAOAAAAAAAAAAAAAAAAAC4CAABkcnMvZTJvRG9jLnhtbFBLAQItABQABgAIAAAAIQB0xnTS2gAA&#10;AAMBAAAPAAAAAAAAAAAAAAAAAGgEAABkcnMvZG93bnJldi54bWxQSwUGAAAAAAQABADzAAAAbwUA&#10;AAAA&#10;" filled="f" stroked="f">
              <v:textbox style="mso-fit-shape-to-text:t" inset="0,15pt,0,0">
                <w:txbxContent>
                  <w:p w14:paraId="3C1F7697" w14:textId="1E156117" w:rsidR="00F9547E" w:rsidRPr="00F9547E" w:rsidRDefault="00F9547E" w:rsidP="00F954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4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3FF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7C942B" wp14:editId="124D14C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6E2C2" w14:textId="77777777" w:rsidR="00F9547E" w:rsidRPr="002C25BA" w:rsidRDefault="00E733FF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C942B" id="תיבת טקסט 2" o:spid="_x0000_s1031" type="#_x0000_t202" style="position:absolute;left:0;text-align:left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7hv&#10;D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1BE6E2C2" w14:textId="77777777" w:rsidR="00F9547E" w:rsidRPr="002C25BA" w:rsidRDefault="00E733FF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3FF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230A5C" wp14:editId="05512CC3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A6A7D" w14:textId="77777777" w:rsidR="00F9547E" w:rsidRPr="0089642B" w:rsidRDefault="00E733F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30A5C" id="תיבת טקסט 1" o:spid="_x0000_s1032" type="#_x0000_t202" style="position:absolute;left:0;text-align:left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NorsS0RAgAAMAQA&#10;AA4AAAAAAAAAAAAAAAAALgIAAGRycy9lMm9Eb2MueG1sUEsBAi0AFAAGAAgAAAAhAISw0yjWAAAA&#10;AwEAAA8AAAAAAAAAAAAAAAAAawQAAGRycy9kb3ducmV2LnhtbFBLBQYAAAAABAAEAPMAAABuBQAA&#10;AAA=&#10;" filled="f" stroked="f">
              <v:textbox style="mso-fit-shape-to-text:t" inset="0,0,0,0">
                <w:txbxContent>
                  <w:p w14:paraId="274A6A7D" w14:textId="77777777" w:rsidR="00F9547E" w:rsidRPr="0089642B" w:rsidRDefault="00E733F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483"/>
    <w:multiLevelType w:val="hybridMultilevel"/>
    <w:tmpl w:val="61A0BD44"/>
    <w:lvl w:ilvl="0" w:tplc="76C4B47C">
      <w:start w:val="1"/>
      <w:numFmt w:val="decimal"/>
      <w:suff w:val="space"/>
      <w:lvlText w:val="%1."/>
      <w:lvlJc w:val="left"/>
      <w:pPr>
        <w:ind w:left="6840" w:hanging="360"/>
      </w:pPr>
      <w:rPr>
        <w:rFonts w:hint="default"/>
        <w:b w:val="0"/>
        <w:bCs w:val="0"/>
        <w:lang w:val="en-US" w:bidi="he-IL"/>
      </w:rPr>
    </w:lvl>
    <w:lvl w:ilvl="1" w:tplc="82A46BA4" w:tentative="1">
      <w:start w:val="1"/>
      <w:numFmt w:val="lowerLetter"/>
      <w:lvlText w:val="%2."/>
      <w:lvlJc w:val="left"/>
      <w:pPr>
        <w:ind w:left="1440" w:hanging="360"/>
      </w:pPr>
    </w:lvl>
    <w:lvl w:ilvl="2" w:tplc="E9E20BC6" w:tentative="1">
      <w:start w:val="1"/>
      <w:numFmt w:val="lowerRoman"/>
      <w:lvlText w:val="%3."/>
      <w:lvlJc w:val="right"/>
      <w:pPr>
        <w:ind w:left="2160" w:hanging="180"/>
      </w:pPr>
    </w:lvl>
    <w:lvl w:ilvl="3" w:tplc="2BB63908" w:tentative="1">
      <w:start w:val="1"/>
      <w:numFmt w:val="decimal"/>
      <w:lvlText w:val="%4."/>
      <w:lvlJc w:val="left"/>
      <w:pPr>
        <w:ind w:left="2880" w:hanging="360"/>
      </w:pPr>
    </w:lvl>
    <w:lvl w:ilvl="4" w:tplc="7674B774" w:tentative="1">
      <w:start w:val="1"/>
      <w:numFmt w:val="lowerLetter"/>
      <w:lvlText w:val="%5."/>
      <w:lvlJc w:val="left"/>
      <w:pPr>
        <w:ind w:left="3600" w:hanging="360"/>
      </w:pPr>
    </w:lvl>
    <w:lvl w:ilvl="5" w:tplc="5882D344" w:tentative="1">
      <w:start w:val="1"/>
      <w:numFmt w:val="lowerRoman"/>
      <w:lvlText w:val="%6."/>
      <w:lvlJc w:val="right"/>
      <w:pPr>
        <w:ind w:left="4320" w:hanging="180"/>
      </w:pPr>
    </w:lvl>
    <w:lvl w:ilvl="6" w:tplc="807C9906" w:tentative="1">
      <w:start w:val="1"/>
      <w:numFmt w:val="decimal"/>
      <w:lvlText w:val="%7."/>
      <w:lvlJc w:val="left"/>
      <w:pPr>
        <w:ind w:left="5040" w:hanging="360"/>
      </w:pPr>
    </w:lvl>
    <w:lvl w:ilvl="7" w:tplc="0F50D81E" w:tentative="1">
      <w:start w:val="1"/>
      <w:numFmt w:val="lowerLetter"/>
      <w:lvlText w:val="%8."/>
      <w:lvlJc w:val="left"/>
      <w:pPr>
        <w:ind w:left="5760" w:hanging="360"/>
      </w:pPr>
    </w:lvl>
    <w:lvl w:ilvl="8" w:tplc="9920D3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C0"/>
    <w:rsid w:val="00010FA3"/>
    <w:rsid w:val="00022B59"/>
    <w:rsid w:val="00026285"/>
    <w:rsid w:val="00060180"/>
    <w:rsid w:val="00085B9F"/>
    <w:rsid w:val="000874B7"/>
    <w:rsid w:val="000C03C0"/>
    <w:rsid w:val="0013478C"/>
    <w:rsid w:val="00136C4D"/>
    <w:rsid w:val="00172D42"/>
    <w:rsid w:val="001833CB"/>
    <w:rsid w:val="00184147"/>
    <w:rsid w:val="00195EC1"/>
    <w:rsid w:val="001A0D6D"/>
    <w:rsid w:val="001B2A5C"/>
    <w:rsid w:val="001E1C3D"/>
    <w:rsid w:val="001F615F"/>
    <w:rsid w:val="002677C1"/>
    <w:rsid w:val="00280D15"/>
    <w:rsid w:val="003073EC"/>
    <w:rsid w:val="003475A2"/>
    <w:rsid w:val="00364815"/>
    <w:rsid w:val="003706C3"/>
    <w:rsid w:val="003D007F"/>
    <w:rsid w:val="003D27EF"/>
    <w:rsid w:val="003E76F1"/>
    <w:rsid w:val="004267E4"/>
    <w:rsid w:val="00432233"/>
    <w:rsid w:val="00433662"/>
    <w:rsid w:val="00454ADF"/>
    <w:rsid w:val="004552FE"/>
    <w:rsid w:val="0048489F"/>
    <w:rsid w:val="005300C6"/>
    <w:rsid w:val="0055110C"/>
    <w:rsid w:val="00597AC9"/>
    <w:rsid w:val="005C5EA7"/>
    <w:rsid w:val="006132C0"/>
    <w:rsid w:val="00614D69"/>
    <w:rsid w:val="00630DC7"/>
    <w:rsid w:val="00645691"/>
    <w:rsid w:val="006674B1"/>
    <w:rsid w:val="006A16ED"/>
    <w:rsid w:val="006B700B"/>
    <w:rsid w:val="006D3D66"/>
    <w:rsid w:val="006E612E"/>
    <w:rsid w:val="007366BC"/>
    <w:rsid w:val="007474F9"/>
    <w:rsid w:val="007B2D49"/>
    <w:rsid w:val="007C6359"/>
    <w:rsid w:val="008129EE"/>
    <w:rsid w:val="00844C9B"/>
    <w:rsid w:val="008B7A3E"/>
    <w:rsid w:val="00950887"/>
    <w:rsid w:val="00960DC9"/>
    <w:rsid w:val="00997F8B"/>
    <w:rsid w:val="009A3C2A"/>
    <w:rsid w:val="009D6911"/>
    <w:rsid w:val="00A24B00"/>
    <w:rsid w:val="00A66535"/>
    <w:rsid w:val="00A75807"/>
    <w:rsid w:val="00A86892"/>
    <w:rsid w:val="00A9675E"/>
    <w:rsid w:val="00AA56B8"/>
    <w:rsid w:val="00AC5B08"/>
    <w:rsid w:val="00B542B0"/>
    <w:rsid w:val="00B5694F"/>
    <w:rsid w:val="00B91A5B"/>
    <w:rsid w:val="00B97634"/>
    <w:rsid w:val="00BC3F06"/>
    <w:rsid w:val="00C1047F"/>
    <w:rsid w:val="00C11818"/>
    <w:rsid w:val="00C239D9"/>
    <w:rsid w:val="00C3585E"/>
    <w:rsid w:val="00C41A52"/>
    <w:rsid w:val="00C4502F"/>
    <w:rsid w:val="00C70C5A"/>
    <w:rsid w:val="00CC2163"/>
    <w:rsid w:val="00CF6EDF"/>
    <w:rsid w:val="00D03CAE"/>
    <w:rsid w:val="00DA1738"/>
    <w:rsid w:val="00DC17D8"/>
    <w:rsid w:val="00E55C75"/>
    <w:rsid w:val="00E733FF"/>
    <w:rsid w:val="00E82090"/>
    <w:rsid w:val="00E83AF4"/>
    <w:rsid w:val="00EB1B1B"/>
    <w:rsid w:val="00F31743"/>
    <w:rsid w:val="00F65F26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8B9C19"/>
  <w15:chartTrackingRefBased/>
  <w15:docId w15:val="{2EA47C0A-3605-4F8C-A92D-9E02D167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2C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132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C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132C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132C0"/>
  </w:style>
  <w:style w:type="character" w:styleId="a8">
    <w:name w:val="annotation reference"/>
    <w:basedOn w:val="a0"/>
    <w:uiPriority w:val="99"/>
    <w:semiHidden/>
    <w:unhideWhenUsed/>
    <w:rsid w:val="00B569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694F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B5694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694F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B569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1A28-D09D-46A4-A29D-281FD89E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1635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לערעורים/עוזרת משפטית/נאיה שלום</dc:creator>
  <cp:keywords/>
  <dc:description/>
  <cp:lastModifiedBy>נאיה שלום</cp:lastModifiedBy>
  <cp:revision>4</cp:revision>
  <cp:lastPrinted>2025-03-23T10:55:00Z</cp:lastPrinted>
  <dcterms:created xsi:type="dcterms:W3CDTF">2025-03-30T14:43:00Z</dcterms:created>
  <dcterms:modified xsi:type="dcterms:W3CDTF">2025-04-06T11:14:00Z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6e5a0339,7058fd79,669f350a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2025-03-30T14:43:40Z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4c6763af-5ad7-4875-bc40-607166ebc04a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10, 3, 0, 1</vt:lpwstr>
  </property>
</Properties>
</file>