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34A7" w14:textId="1E998D31" w:rsidR="009D290E" w:rsidRPr="009D290E" w:rsidRDefault="009D290E" w:rsidP="009D290E">
      <w:pPr>
        <w:tabs>
          <w:tab w:val="right" w:pos="6718"/>
        </w:tabs>
        <w:spacing w:line="480" w:lineRule="auto"/>
        <w:ind w:left="2466" w:right="1985"/>
        <w:rPr>
          <w:rtl/>
        </w:rPr>
      </w:pPr>
      <w:bookmarkStart w:id="0" w:name="_Hlk149821736"/>
      <w:bookmarkStart w:id="1" w:name="_Hlk149824479"/>
      <w:r w:rsidRPr="00164FD0">
        <w:rPr>
          <w:noProof/>
        </w:rPr>
        <w:drawing>
          <wp:inline distT="0" distB="0" distL="0" distR="0" wp14:anchorId="2B767797" wp14:editId="7AD6991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15BB30BE" wp14:editId="49499D66">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DBDEF43" w14:textId="7330E117" w:rsidR="00B2238F" w:rsidRPr="00FD2DDA" w:rsidRDefault="00B2238F" w:rsidP="009D290E">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1A90A1FA" w14:textId="77777777" w:rsidR="00B2238F" w:rsidRPr="00FD2DDA" w:rsidRDefault="00B2238F" w:rsidP="00B2238F">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39A2B5FC" w14:textId="25C8699E" w:rsidR="00B2238F" w:rsidRPr="00BB5867" w:rsidRDefault="00B2238F" w:rsidP="00B2238F">
      <w:pPr>
        <w:spacing w:line="240" w:lineRule="auto"/>
        <w:jc w:val="center"/>
        <w:rPr>
          <w:rFonts w:cs="David"/>
          <w:sz w:val="28"/>
          <w:szCs w:val="28"/>
          <w:rtl/>
        </w:rPr>
      </w:pPr>
      <w:r>
        <w:rPr>
          <w:rFonts w:cs="David" w:hint="cs"/>
          <w:b/>
          <w:bCs/>
          <w:sz w:val="28"/>
          <w:szCs w:val="28"/>
          <w:rtl/>
        </w:rPr>
        <w:t>אלופה אורלי מרקמן</w:t>
      </w:r>
      <w:r>
        <w:rPr>
          <w:rFonts w:cs="David" w:hint="cs"/>
          <w:sz w:val="28"/>
          <w:szCs w:val="28"/>
          <w:rtl/>
        </w:rPr>
        <w:t xml:space="preserve">    </w:t>
      </w:r>
      <w:r w:rsidRPr="00FD2DDA">
        <w:rPr>
          <w:rFonts w:ascii="David" w:hAnsi="David" w:cs="David" w:hint="cs"/>
          <w:b/>
          <w:bCs/>
          <w:sz w:val="28"/>
          <w:szCs w:val="28"/>
          <w:rtl/>
        </w:rPr>
        <w:t>–</w:t>
      </w:r>
      <w:r>
        <w:rPr>
          <w:rFonts w:cs="David" w:hint="cs"/>
          <w:sz w:val="28"/>
          <w:szCs w:val="28"/>
          <w:rtl/>
        </w:rPr>
        <w:t xml:space="preserve">   נשיאה</w:t>
      </w:r>
    </w:p>
    <w:p w14:paraId="322C46EF" w14:textId="77777777" w:rsidR="00B2238F" w:rsidRPr="00FD2DDA" w:rsidRDefault="00B2238F" w:rsidP="00B2238F">
      <w:pPr>
        <w:rPr>
          <w:rFonts w:ascii="David" w:hAnsi="David" w:cs="David"/>
          <w:sz w:val="28"/>
          <w:szCs w:val="28"/>
          <w:rtl/>
        </w:rPr>
      </w:pPr>
      <w:r w:rsidRPr="00FD2DDA">
        <w:rPr>
          <w:rFonts w:ascii="David" w:hAnsi="David" w:cs="David" w:hint="cs"/>
          <w:sz w:val="28"/>
          <w:szCs w:val="28"/>
          <w:rtl/>
        </w:rPr>
        <w:t>בעניין:</w:t>
      </w:r>
    </w:p>
    <w:p w14:paraId="67AA161D" w14:textId="582DF98A" w:rsidR="00B2238F" w:rsidRPr="00FD2DDA" w:rsidRDefault="00B2238F" w:rsidP="00B2238F">
      <w:pPr>
        <w:bidi w:val="0"/>
        <w:jc w:val="center"/>
        <w:rPr>
          <w:rFonts w:ascii="David" w:hAnsi="David" w:cs="David"/>
          <w:sz w:val="28"/>
          <w:szCs w:val="28"/>
          <w:rtl/>
        </w:rPr>
      </w:pPr>
      <w:r>
        <w:rPr>
          <w:rFonts w:ascii="David" w:hAnsi="David" w:cs="David" w:hint="cs"/>
          <w:b/>
          <w:bCs/>
          <w:sz w:val="28"/>
          <w:szCs w:val="28"/>
          <w:rtl/>
        </w:rPr>
        <w:t>אדם רז</w:t>
      </w:r>
      <w:r w:rsidR="00B63457">
        <w:rPr>
          <w:rFonts w:ascii="David" w:hAnsi="David" w:cs="David" w:hint="cs"/>
          <w:b/>
          <w:bCs/>
          <w:sz w:val="28"/>
          <w:szCs w:val="28"/>
          <w:rtl/>
        </w:rPr>
        <w:t xml:space="preserve"> וליאור יבנה</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בקש</w:t>
      </w:r>
      <w:r w:rsidR="00B63457">
        <w:rPr>
          <w:rFonts w:ascii="David" w:hAnsi="David" w:cs="David" w:hint="cs"/>
          <w:sz w:val="28"/>
          <w:szCs w:val="28"/>
          <w:rtl/>
        </w:rPr>
        <w:t>ים</w:t>
      </w:r>
      <w:r w:rsidRPr="00FD2DDA">
        <w:rPr>
          <w:rFonts w:ascii="David" w:hAnsi="David" w:cs="David" w:hint="cs"/>
          <w:sz w:val="28"/>
          <w:szCs w:val="28"/>
          <w:rtl/>
        </w:rPr>
        <w:t xml:space="preserve"> (ע"י ב"כ,</w:t>
      </w:r>
      <w:r>
        <w:rPr>
          <w:rFonts w:ascii="David" w:hAnsi="David" w:cs="David" w:hint="cs"/>
          <w:sz w:val="28"/>
          <w:szCs w:val="28"/>
          <w:rtl/>
        </w:rPr>
        <w:t xml:space="preserve"> עו"ד שלומי זכריה</w:t>
      </w:r>
      <w:r w:rsidRPr="00FD2DDA">
        <w:rPr>
          <w:rFonts w:ascii="David" w:hAnsi="David" w:cs="David" w:hint="cs"/>
          <w:sz w:val="28"/>
          <w:szCs w:val="28"/>
          <w:rtl/>
        </w:rPr>
        <w:t>)</w:t>
      </w:r>
    </w:p>
    <w:p w14:paraId="031F47D5" w14:textId="77777777" w:rsidR="00B2238F" w:rsidRPr="00FD2DDA" w:rsidRDefault="00B2238F" w:rsidP="00B2238F">
      <w:pPr>
        <w:jc w:val="center"/>
        <w:rPr>
          <w:rFonts w:ascii="David" w:hAnsi="David" w:cs="David"/>
          <w:sz w:val="28"/>
          <w:szCs w:val="28"/>
          <w:rtl/>
        </w:rPr>
      </w:pPr>
    </w:p>
    <w:p w14:paraId="62135C11" w14:textId="77777777" w:rsidR="00B2238F" w:rsidRPr="00FD2DDA" w:rsidRDefault="00B2238F" w:rsidP="00B2238F">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1BBFE008" w14:textId="39A4D342" w:rsidR="00B2238F" w:rsidRPr="00FD2DDA" w:rsidRDefault="00B2238F" w:rsidP="00B2238F">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אוהד מנור</w:t>
      </w:r>
      <w:r w:rsidR="00B63457">
        <w:rPr>
          <w:rFonts w:ascii="David" w:hAnsi="David" w:cs="David" w:hint="cs"/>
          <w:sz w:val="28"/>
          <w:szCs w:val="28"/>
          <w:rtl/>
        </w:rPr>
        <w:t xml:space="preserve">; סרן תכלת מרדכי </w:t>
      </w:r>
      <w:proofErr w:type="spellStart"/>
      <w:r w:rsidR="00B63457">
        <w:rPr>
          <w:rFonts w:ascii="David" w:hAnsi="David" w:cs="David" w:hint="cs"/>
          <w:sz w:val="28"/>
          <w:szCs w:val="28"/>
          <w:rtl/>
        </w:rPr>
        <w:t>פיגנסון</w:t>
      </w:r>
      <w:proofErr w:type="spellEnd"/>
      <w:r w:rsidRPr="00FD2DDA">
        <w:rPr>
          <w:rFonts w:ascii="David" w:hAnsi="David" w:cs="David" w:hint="cs"/>
          <w:sz w:val="28"/>
          <w:szCs w:val="28"/>
          <w:rtl/>
        </w:rPr>
        <w:t>)</w:t>
      </w:r>
    </w:p>
    <w:p w14:paraId="2B0253F2" w14:textId="77777777" w:rsidR="00B2238F" w:rsidRPr="00FD2DDA" w:rsidRDefault="00B2238F" w:rsidP="00B2238F">
      <w:pPr>
        <w:spacing w:after="360" w:line="360" w:lineRule="auto"/>
        <w:rPr>
          <w:rFonts w:ascii="David" w:hAnsi="David" w:cs="David"/>
          <w:b/>
          <w:bCs/>
          <w:sz w:val="28"/>
          <w:szCs w:val="28"/>
          <w:u w:val="single"/>
          <w:rtl/>
        </w:rPr>
      </w:pPr>
    </w:p>
    <w:bookmarkEnd w:id="0"/>
    <w:p w14:paraId="135B37DE" w14:textId="0A9DA12A" w:rsidR="00B2238F" w:rsidRDefault="00B2238F" w:rsidP="00B2238F">
      <w:pPr>
        <w:spacing w:after="360" w:line="360" w:lineRule="auto"/>
        <w:jc w:val="both"/>
        <w:rPr>
          <w:rFonts w:ascii="David" w:hAnsi="David" w:cs="David"/>
          <w:sz w:val="28"/>
          <w:szCs w:val="28"/>
          <w:rtl/>
        </w:rPr>
      </w:pPr>
      <w:r>
        <w:rPr>
          <w:rFonts w:ascii="David" w:hAnsi="David" w:cs="David" w:hint="cs"/>
          <w:sz w:val="28"/>
          <w:szCs w:val="28"/>
          <w:rtl/>
        </w:rPr>
        <w:t>בקשה לעיון בתיקי בית דין. הבקשה התקבלה.</w:t>
      </w:r>
    </w:p>
    <w:bookmarkEnd w:id="1"/>
    <w:p w14:paraId="1F12ABF4" w14:textId="41346CCA" w:rsidR="002637AE" w:rsidRDefault="00B2238F" w:rsidP="002637AE">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 </w:t>
      </w:r>
    </w:p>
    <w:p w14:paraId="56302361" w14:textId="1233702D" w:rsidR="00EA0FEF" w:rsidRPr="002637AE" w:rsidRDefault="00EA0FEF" w:rsidP="002637AE">
      <w:pPr>
        <w:spacing w:line="360" w:lineRule="auto"/>
        <w:jc w:val="center"/>
        <w:rPr>
          <w:rFonts w:ascii="David" w:hAnsi="David" w:cs="David"/>
          <w:b/>
          <w:bCs/>
          <w:sz w:val="28"/>
          <w:szCs w:val="28"/>
          <w:u w:val="single"/>
          <w:rtl/>
        </w:rPr>
      </w:pPr>
      <w:r w:rsidRPr="002637AE">
        <w:rPr>
          <w:rFonts w:ascii="David" w:hAnsi="David" w:cs="David"/>
          <w:b/>
          <w:bCs/>
          <w:sz w:val="28"/>
          <w:szCs w:val="28"/>
          <w:u w:val="single"/>
          <w:rtl/>
        </w:rPr>
        <w:t>ה</w:t>
      </w:r>
      <w:r w:rsidR="00B2238F">
        <w:rPr>
          <w:rFonts w:ascii="David" w:hAnsi="David" w:cs="David" w:hint="cs"/>
          <w:b/>
          <w:bCs/>
          <w:sz w:val="28"/>
          <w:szCs w:val="28"/>
          <w:u w:val="single"/>
          <w:rtl/>
        </w:rPr>
        <w:t xml:space="preserve"> </w:t>
      </w:r>
      <w:r w:rsidRPr="002637AE">
        <w:rPr>
          <w:rFonts w:ascii="David" w:hAnsi="David" w:cs="David"/>
          <w:b/>
          <w:bCs/>
          <w:sz w:val="28"/>
          <w:szCs w:val="28"/>
          <w:u w:val="single"/>
          <w:rtl/>
        </w:rPr>
        <w:t>ח</w:t>
      </w:r>
      <w:r w:rsidR="00B2238F">
        <w:rPr>
          <w:rFonts w:ascii="David" w:hAnsi="David" w:cs="David" w:hint="cs"/>
          <w:b/>
          <w:bCs/>
          <w:sz w:val="28"/>
          <w:szCs w:val="28"/>
          <w:u w:val="single"/>
          <w:rtl/>
        </w:rPr>
        <w:t xml:space="preserve"> </w:t>
      </w:r>
      <w:r w:rsidRPr="002637AE">
        <w:rPr>
          <w:rFonts w:ascii="David" w:hAnsi="David" w:cs="David"/>
          <w:b/>
          <w:bCs/>
          <w:sz w:val="28"/>
          <w:szCs w:val="28"/>
          <w:u w:val="single"/>
          <w:rtl/>
        </w:rPr>
        <w:t>ל</w:t>
      </w:r>
      <w:r w:rsidR="00B2238F">
        <w:rPr>
          <w:rFonts w:ascii="David" w:hAnsi="David" w:cs="David" w:hint="cs"/>
          <w:b/>
          <w:bCs/>
          <w:sz w:val="28"/>
          <w:szCs w:val="28"/>
          <w:u w:val="single"/>
          <w:rtl/>
        </w:rPr>
        <w:t xml:space="preserve"> </w:t>
      </w:r>
      <w:r w:rsidRPr="002637AE">
        <w:rPr>
          <w:rFonts w:ascii="David" w:hAnsi="David" w:cs="David"/>
          <w:b/>
          <w:bCs/>
          <w:sz w:val="28"/>
          <w:szCs w:val="28"/>
          <w:u w:val="single"/>
          <w:rtl/>
        </w:rPr>
        <w:t>ט</w:t>
      </w:r>
      <w:r w:rsidR="00B2238F">
        <w:rPr>
          <w:rFonts w:ascii="David" w:hAnsi="David" w:cs="David" w:hint="cs"/>
          <w:b/>
          <w:bCs/>
          <w:sz w:val="28"/>
          <w:szCs w:val="28"/>
          <w:u w:val="single"/>
          <w:rtl/>
        </w:rPr>
        <w:t xml:space="preserve"> </w:t>
      </w:r>
      <w:r w:rsidRPr="002637AE">
        <w:rPr>
          <w:rFonts w:ascii="David" w:hAnsi="David" w:cs="David"/>
          <w:b/>
          <w:bCs/>
          <w:sz w:val="28"/>
          <w:szCs w:val="28"/>
          <w:u w:val="single"/>
          <w:rtl/>
        </w:rPr>
        <w:t xml:space="preserve">ה </w:t>
      </w:r>
    </w:p>
    <w:p w14:paraId="0FCA3162" w14:textId="2E7881AF" w:rsidR="00EA0FEF" w:rsidRPr="000727A2" w:rsidRDefault="002637AE" w:rsidP="002637AE">
      <w:pPr>
        <w:spacing w:line="360" w:lineRule="auto"/>
        <w:jc w:val="both"/>
        <w:rPr>
          <w:rFonts w:ascii="David" w:hAnsi="David" w:cs="David"/>
          <w:b/>
          <w:bCs/>
          <w:sz w:val="28"/>
          <w:szCs w:val="28"/>
          <w:u w:val="single"/>
          <w:rtl/>
        </w:rPr>
      </w:pPr>
      <w:r w:rsidRPr="000727A2">
        <w:rPr>
          <w:rFonts w:ascii="David" w:hAnsi="David" w:cs="David"/>
          <w:b/>
          <w:bCs/>
          <w:sz w:val="28"/>
          <w:szCs w:val="28"/>
          <w:u w:val="single"/>
          <w:rtl/>
        </w:rPr>
        <w:t>רקע</w:t>
      </w:r>
    </w:p>
    <w:p w14:paraId="631CB725" w14:textId="22FEC7B2" w:rsidR="00DC7257" w:rsidRPr="00BF288F" w:rsidRDefault="00EA0FEF" w:rsidP="00B2238F">
      <w:pPr>
        <w:pStyle w:val="ListParagraph"/>
        <w:numPr>
          <w:ilvl w:val="0"/>
          <w:numId w:val="2"/>
        </w:numPr>
        <w:spacing w:line="360" w:lineRule="auto"/>
        <w:jc w:val="both"/>
        <w:rPr>
          <w:rFonts w:ascii="David" w:hAnsi="David" w:cs="David"/>
          <w:sz w:val="28"/>
          <w:szCs w:val="28"/>
          <w:rtl/>
        </w:rPr>
      </w:pPr>
      <w:r w:rsidRPr="002637AE">
        <w:rPr>
          <w:rFonts w:ascii="David" w:hAnsi="David" w:cs="David"/>
          <w:sz w:val="28"/>
          <w:szCs w:val="28"/>
          <w:rtl/>
        </w:rPr>
        <w:t xml:space="preserve">ביום 8 ביולי 2024, הוגשה על ידי החוקרים, מר אדם רז ומר ליאור יבנה, מטעם המכון "עקבות" לחקר הסכסוך הישראלי-פלסטיני, </w:t>
      </w:r>
      <w:r w:rsidR="00021A8D" w:rsidRPr="002637AE">
        <w:rPr>
          <w:rFonts w:ascii="David" w:hAnsi="David" w:cs="David"/>
          <w:sz w:val="28"/>
          <w:szCs w:val="28"/>
          <w:rtl/>
        </w:rPr>
        <w:t xml:space="preserve">בקשה </w:t>
      </w:r>
      <w:r w:rsidRPr="002637AE">
        <w:rPr>
          <w:rFonts w:ascii="David" w:hAnsi="David" w:cs="David"/>
          <w:sz w:val="28"/>
          <w:szCs w:val="28"/>
          <w:rtl/>
        </w:rPr>
        <w:t xml:space="preserve">לעיין בשורה ארוכה של תיקי בית דין נושנים, לטובת מחקר שהם עורכים. במסגרת הבקשה, פנו השניים, בין היתר, לעיין בתיק </w:t>
      </w:r>
      <w:r w:rsidR="00D93A1A" w:rsidRPr="002637AE">
        <w:rPr>
          <w:rFonts w:ascii="David" w:hAnsi="David" w:cs="David"/>
          <w:sz w:val="28"/>
          <w:szCs w:val="28"/>
          <w:rtl/>
        </w:rPr>
        <w:t xml:space="preserve">מטכ"ל (מחוזי) 238/79 </w:t>
      </w:r>
      <w:r w:rsidR="00D93A1A" w:rsidRPr="002637AE">
        <w:rPr>
          <w:rFonts w:ascii="David" w:hAnsi="David" w:cs="David"/>
          <w:b/>
          <w:bCs/>
          <w:sz w:val="28"/>
          <w:szCs w:val="28"/>
          <w:rtl/>
        </w:rPr>
        <w:t xml:space="preserve">התובע הצבאי נ' סגן </w:t>
      </w:r>
      <w:proofErr w:type="spellStart"/>
      <w:r w:rsidR="00D93A1A" w:rsidRPr="002637AE">
        <w:rPr>
          <w:rFonts w:ascii="David" w:hAnsi="David" w:cs="David"/>
          <w:b/>
          <w:bCs/>
          <w:sz w:val="28"/>
          <w:szCs w:val="28"/>
          <w:rtl/>
        </w:rPr>
        <w:t>מכמל</w:t>
      </w:r>
      <w:proofErr w:type="spellEnd"/>
      <w:r w:rsidR="00D93A1A" w:rsidRPr="002637AE">
        <w:rPr>
          <w:rFonts w:ascii="David" w:hAnsi="David" w:cs="David"/>
          <w:sz w:val="28"/>
          <w:szCs w:val="28"/>
          <w:rtl/>
        </w:rPr>
        <w:t xml:space="preserve"> (1979) ו</w:t>
      </w:r>
      <w:r w:rsidR="00E24DD9">
        <w:rPr>
          <w:rFonts w:ascii="David" w:hAnsi="David" w:cs="David" w:hint="cs"/>
          <w:sz w:val="28"/>
          <w:szCs w:val="28"/>
          <w:rtl/>
        </w:rPr>
        <w:t xml:space="preserve">בתיק </w:t>
      </w:r>
      <w:r w:rsidR="008A4A57">
        <w:rPr>
          <w:rFonts w:ascii="David" w:hAnsi="David" w:cs="David" w:hint="cs"/>
          <w:sz w:val="28"/>
          <w:szCs w:val="28"/>
          <w:rtl/>
        </w:rPr>
        <w:t xml:space="preserve">הערעור באותה פרשה - </w:t>
      </w:r>
      <w:r w:rsidR="00DC7257" w:rsidRPr="002637AE">
        <w:rPr>
          <w:rFonts w:ascii="David" w:hAnsi="David" w:cs="David"/>
          <w:sz w:val="28"/>
          <w:szCs w:val="28"/>
          <w:rtl/>
        </w:rPr>
        <w:t xml:space="preserve">ע/202/79 </w:t>
      </w:r>
      <w:r w:rsidR="00DC7257" w:rsidRPr="002637AE">
        <w:rPr>
          <w:rFonts w:ascii="David" w:hAnsi="David" w:cs="David"/>
          <w:b/>
          <w:bCs/>
          <w:sz w:val="28"/>
          <w:szCs w:val="28"/>
          <w:rtl/>
        </w:rPr>
        <w:t xml:space="preserve">סגן </w:t>
      </w:r>
      <w:proofErr w:type="spellStart"/>
      <w:r w:rsidR="00DC7257" w:rsidRPr="002637AE">
        <w:rPr>
          <w:rFonts w:ascii="David" w:hAnsi="David" w:cs="David"/>
          <w:b/>
          <w:bCs/>
          <w:sz w:val="28"/>
          <w:szCs w:val="28"/>
          <w:rtl/>
        </w:rPr>
        <w:t>מכמל</w:t>
      </w:r>
      <w:proofErr w:type="spellEnd"/>
      <w:r w:rsidR="00DC7257" w:rsidRPr="002637AE">
        <w:rPr>
          <w:rFonts w:ascii="David" w:hAnsi="David" w:cs="David"/>
          <w:b/>
          <w:bCs/>
          <w:sz w:val="28"/>
          <w:szCs w:val="28"/>
          <w:rtl/>
        </w:rPr>
        <w:t xml:space="preserve"> נ' התובע הצבאי הראשי</w:t>
      </w:r>
      <w:r w:rsidR="00DC7257" w:rsidRPr="002637AE">
        <w:rPr>
          <w:rFonts w:ascii="David" w:hAnsi="David" w:cs="David"/>
          <w:sz w:val="28"/>
          <w:szCs w:val="28"/>
          <w:rtl/>
        </w:rPr>
        <w:t xml:space="preserve"> (1979)</w:t>
      </w:r>
      <w:r w:rsidR="00D93A1A" w:rsidRPr="002637AE">
        <w:rPr>
          <w:rFonts w:ascii="David" w:hAnsi="David" w:cs="David"/>
          <w:sz w:val="28"/>
          <w:szCs w:val="28"/>
          <w:rtl/>
        </w:rPr>
        <w:t>.</w:t>
      </w:r>
      <w:r w:rsidR="00DC7257" w:rsidRPr="002637AE">
        <w:rPr>
          <w:rFonts w:ascii="David" w:hAnsi="David" w:cs="David"/>
          <w:sz w:val="28"/>
          <w:szCs w:val="28"/>
          <w:rtl/>
        </w:rPr>
        <w:t xml:space="preserve"> </w:t>
      </w:r>
      <w:r w:rsidR="00E24DD9" w:rsidRPr="00BF288F">
        <w:rPr>
          <w:rFonts w:ascii="David" w:hAnsi="David" w:cs="David" w:hint="cs"/>
          <w:sz w:val="28"/>
          <w:szCs w:val="28"/>
          <w:rtl/>
        </w:rPr>
        <w:t xml:space="preserve">ההליכים באותם </w:t>
      </w:r>
      <w:r w:rsidR="00DC7257" w:rsidRPr="00BF288F">
        <w:rPr>
          <w:rFonts w:ascii="David" w:hAnsi="David" w:cs="David"/>
          <w:sz w:val="28"/>
          <w:szCs w:val="28"/>
          <w:rtl/>
        </w:rPr>
        <w:t xml:space="preserve">תיקים </w:t>
      </w:r>
      <w:r w:rsidR="00E24DD9" w:rsidRPr="00BF288F">
        <w:rPr>
          <w:rFonts w:ascii="David" w:hAnsi="David" w:cs="David" w:hint="cs"/>
          <w:sz w:val="28"/>
          <w:szCs w:val="28"/>
          <w:rtl/>
        </w:rPr>
        <w:t xml:space="preserve">התנהלו </w:t>
      </w:r>
      <w:r w:rsidR="00DC7257" w:rsidRPr="00BF288F">
        <w:rPr>
          <w:rFonts w:ascii="David" w:hAnsi="David" w:cs="David"/>
          <w:sz w:val="28"/>
          <w:szCs w:val="28"/>
          <w:rtl/>
        </w:rPr>
        <w:t xml:space="preserve">בדלתיים סגורות "לשם מניעת פגיעה בביטחון המדינה". </w:t>
      </w:r>
    </w:p>
    <w:p w14:paraId="5D1F1009" w14:textId="0B3E3F7A" w:rsidR="00CF2CBC" w:rsidRDefault="00021A8D" w:rsidP="00B2238F">
      <w:pPr>
        <w:pStyle w:val="ListParagraph"/>
        <w:numPr>
          <w:ilvl w:val="0"/>
          <w:numId w:val="2"/>
        </w:numPr>
        <w:spacing w:line="360" w:lineRule="auto"/>
        <w:jc w:val="both"/>
        <w:rPr>
          <w:rFonts w:ascii="David" w:hAnsi="David" w:cs="David"/>
          <w:sz w:val="28"/>
          <w:szCs w:val="28"/>
        </w:rPr>
      </w:pPr>
      <w:r w:rsidRPr="002637AE">
        <w:rPr>
          <w:rFonts w:ascii="David" w:hAnsi="David" w:cs="David"/>
          <w:sz w:val="28"/>
          <w:szCs w:val="28"/>
          <w:rtl/>
        </w:rPr>
        <w:t>הבקשה הועברה לבחינת התביעה הצבאית הראשית וזו</w:t>
      </w:r>
      <w:r w:rsidR="00E24DD9">
        <w:rPr>
          <w:rFonts w:ascii="David" w:hAnsi="David" w:cs="David" w:hint="cs"/>
          <w:sz w:val="28"/>
          <w:szCs w:val="28"/>
          <w:rtl/>
        </w:rPr>
        <w:t>, לאחר התייעצות עם הגורמים הרלוונטיים,</w:t>
      </w:r>
      <w:r w:rsidRPr="002637AE">
        <w:rPr>
          <w:rFonts w:ascii="David" w:hAnsi="David" w:cs="David"/>
          <w:sz w:val="28"/>
          <w:szCs w:val="28"/>
          <w:rtl/>
        </w:rPr>
        <w:t xml:space="preserve"> </w:t>
      </w:r>
      <w:r w:rsidR="00DE54B0" w:rsidRPr="002637AE">
        <w:rPr>
          <w:rFonts w:ascii="David" w:hAnsi="David" w:cs="David"/>
          <w:sz w:val="28"/>
          <w:szCs w:val="28"/>
          <w:rtl/>
        </w:rPr>
        <w:t xml:space="preserve">הותירה את בקשת העיון בתיקים אלו לשיקול דעת בית הדין. </w:t>
      </w:r>
      <w:r w:rsidR="00EA0FEF" w:rsidRPr="002637AE">
        <w:rPr>
          <w:rFonts w:ascii="David" w:hAnsi="David" w:cs="David"/>
          <w:sz w:val="28"/>
          <w:szCs w:val="28"/>
          <w:rtl/>
        </w:rPr>
        <w:t xml:space="preserve">עם זאת, התביעה הסתייגה מן האפשרות להעמיד לעיון המבקשים </w:t>
      </w:r>
      <w:r w:rsidR="00DC7257" w:rsidRPr="002637AE">
        <w:rPr>
          <w:rFonts w:ascii="David" w:hAnsi="David" w:cs="David"/>
          <w:sz w:val="28"/>
          <w:szCs w:val="28"/>
          <w:rtl/>
        </w:rPr>
        <w:t xml:space="preserve">מסמך רפואי </w:t>
      </w:r>
      <w:r w:rsidR="00E24DD9">
        <w:rPr>
          <w:rFonts w:ascii="David" w:hAnsi="David" w:cs="David" w:hint="cs"/>
          <w:sz w:val="28"/>
          <w:szCs w:val="28"/>
          <w:rtl/>
        </w:rPr>
        <w:t xml:space="preserve">של </w:t>
      </w:r>
      <w:r w:rsidR="00DC7257" w:rsidRPr="002637AE">
        <w:rPr>
          <w:rFonts w:ascii="David" w:hAnsi="David" w:cs="David"/>
          <w:sz w:val="28"/>
          <w:szCs w:val="28"/>
          <w:rtl/>
        </w:rPr>
        <w:t>המערער</w:t>
      </w:r>
      <w:r w:rsidR="003C1251" w:rsidRPr="002637AE">
        <w:rPr>
          <w:rFonts w:ascii="David" w:hAnsi="David" w:cs="David"/>
          <w:sz w:val="28"/>
          <w:szCs w:val="28"/>
          <w:rtl/>
        </w:rPr>
        <w:t xml:space="preserve">, </w:t>
      </w:r>
      <w:r w:rsidR="00E24DD9">
        <w:rPr>
          <w:rFonts w:ascii="David" w:hAnsi="David" w:cs="David" w:hint="cs"/>
          <w:sz w:val="28"/>
          <w:szCs w:val="28"/>
          <w:rtl/>
        </w:rPr>
        <w:t xml:space="preserve">שהוגש </w:t>
      </w:r>
      <w:r w:rsidR="00DC7257" w:rsidRPr="002637AE">
        <w:rPr>
          <w:rFonts w:ascii="David" w:hAnsi="David" w:cs="David"/>
          <w:sz w:val="28"/>
          <w:szCs w:val="28"/>
          <w:rtl/>
        </w:rPr>
        <w:t xml:space="preserve">בתיק ע/202/79 </w:t>
      </w:r>
      <w:r w:rsidR="00E24DD9">
        <w:rPr>
          <w:rFonts w:ascii="David" w:hAnsi="David" w:cs="David" w:hint="cs"/>
          <w:sz w:val="28"/>
          <w:szCs w:val="28"/>
          <w:rtl/>
        </w:rPr>
        <w:t xml:space="preserve">הנ"ל, </w:t>
      </w:r>
      <w:r w:rsidR="00DC7257" w:rsidRPr="002637AE">
        <w:rPr>
          <w:rFonts w:ascii="David" w:hAnsi="David" w:cs="David"/>
          <w:sz w:val="28"/>
          <w:szCs w:val="28"/>
          <w:rtl/>
        </w:rPr>
        <w:t>ומפה שסיווגה "סודי"</w:t>
      </w:r>
      <w:r w:rsidR="003C1251" w:rsidRPr="002637AE">
        <w:rPr>
          <w:rFonts w:ascii="David" w:hAnsi="David" w:cs="David"/>
          <w:sz w:val="28"/>
          <w:szCs w:val="28"/>
          <w:rtl/>
        </w:rPr>
        <w:t>, שנכלל</w:t>
      </w:r>
      <w:r w:rsidR="00E24DD9">
        <w:rPr>
          <w:rFonts w:ascii="David" w:hAnsi="David" w:cs="David" w:hint="cs"/>
          <w:sz w:val="28"/>
          <w:szCs w:val="28"/>
          <w:rtl/>
        </w:rPr>
        <w:t>ה</w:t>
      </w:r>
      <w:r w:rsidR="003C1251" w:rsidRPr="002637AE">
        <w:rPr>
          <w:rFonts w:ascii="David" w:hAnsi="David" w:cs="David"/>
          <w:sz w:val="28"/>
          <w:szCs w:val="28"/>
          <w:rtl/>
        </w:rPr>
        <w:t xml:space="preserve"> בין </w:t>
      </w:r>
      <w:r w:rsidR="00E24DD9">
        <w:rPr>
          <w:rFonts w:ascii="David" w:hAnsi="David" w:cs="David" w:hint="cs"/>
          <w:sz w:val="28"/>
          <w:szCs w:val="28"/>
          <w:rtl/>
        </w:rPr>
        <w:t>ה</w:t>
      </w:r>
      <w:r w:rsidR="003C1251" w:rsidRPr="002637AE">
        <w:rPr>
          <w:rFonts w:ascii="David" w:hAnsi="David" w:cs="David"/>
          <w:sz w:val="28"/>
          <w:szCs w:val="28"/>
          <w:rtl/>
        </w:rPr>
        <w:t>מוצגי</w:t>
      </w:r>
      <w:r w:rsidR="00E24DD9">
        <w:rPr>
          <w:rFonts w:ascii="David" w:hAnsi="David" w:cs="David" w:hint="cs"/>
          <w:sz w:val="28"/>
          <w:szCs w:val="28"/>
          <w:rtl/>
        </w:rPr>
        <w:t>ם</w:t>
      </w:r>
      <w:r w:rsidR="003C1251" w:rsidRPr="002637AE">
        <w:rPr>
          <w:rFonts w:ascii="David" w:hAnsi="David" w:cs="David"/>
          <w:sz w:val="28"/>
          <w:szCs w:val="28"/>
          <w:rtl/>
        </w:rPr>
        <w:t xml:space="preserve"> </w:t>
      </w:r>
      <w:r w:rsidR="00DE5BCE">
        <w:rPr>
          <w:rFonts w:ascii="David" w:hAnsi="David" w:cs="David" w:hint="cs"/>
          <w:sz w:val="28"/>
          <w:szCs w:val="28"/>
          <w:rtl/>
        </w:rPr>
        <w:t>ב</w:t>
      </w:r>
      <w:r w:rsidR="00DC7257" w:rsidRPr="002637AE">
        <w:rPr>
          <w:rFonts w:ascii="David" w:hAnsi="David" w:cs="David"/>
          <w:sz w:val="28"/>
          <w:szCs w:val="28"/>
          <w:rtl/>
        </w:rPr>
        <w:t xml:space="preserve">תיק מטכ"ל (מחוזי) 238/79. </w:t>
      </w:r>
      <w:r w:rsidR="00CF2CBC">
        <w:rPr>
          <w:rFonts w:ascii="David" w:hAnsi="David" w:cs="David" w:hint="cs"/>
          <w:sz w:val="28"/>
          <w:szCs w:val="28"/>
          <w:rtl/>
        </w:rPr>
        <w:t>בשולי התייחסותה, ציינה התביעה כי היא מבקשת להפנות את תשומת לב המבקשים כי "</w:t>
      </w:r>
      <w:r w:rsidR="00CF2CBC" w:rsidRPr="00CF2CBC">
        <w:rPr>
          <w:rFonts w:ascii="David" w:hAnsi="David" w:cs="David" w:hint="cs"/>
          <w:b/>
          <w:bCs/>
          <w:sz w:val="28"/>
          <w:szCs w:val="28"/>
          <w:rtl/>
        </w:rPr>
        <w:t>כל פרסום בנושאים מעין אלה</w:t>
      </w:r>
      <w:r w:rsidR="00CF2CBC">
        <w:rPr>
          <w:rFonts w:ascii="David" w:hAnsi="David" w:cs="David" w:hint="cs"/>
          <w:sz w:val="28"/>
          <w:szCs w:val="28"/>
          <w:rtl/>
        </w:rPr>
        <w:t xml:space="preserve">, כפוף לאישור הצנזור הצבאי מכוח תקנות ההגנה (שעת חירום), 1945" (הדגשות במקור). </w:t>
      </w:r>
    </w:p>
    <w:p w14:paraId="26D0D9C9" w14:textId="65CEBAB6" w:rsidR="00EA0FEF" w:rsidRPr="002637AE" w:rsidRDefault="00EA0FEF" w:rsidP="00B2238F">
      <w:pPr>
        <w:pStyle w:val="ListParagraph"/>
        <w:numPr>
          <w:ilvl w:val="0"/>
          <w:numId w:val="2"/>
        </w:numPr>
        <w:spacing w:line="360" w:lineRule="auto"/>
        <w:jc w:val="both"/>
        <w:rPr>
          <w:rFonts w:ascii="David" w:hAnsi="David" w:cs="David"/>
          <w:sz w:val="28"/>
          <w:szCs w:val="28"/>
        </w:rPr>
      </w:pPr>
      <w:r w:rsidRPr="002637AE">
        <w:rPr>
          <w:rFonts w:ascii="David" w:hAnsi="David" w:cs="David"/>
          <w:sz w:val="28"/>
          <w:szCs w:val="28"/>
          <w:rtl/>
        </w:rPr>
        <w:lastRenderedPageBreak/>
        <w:t>במענה להתייחסות התביעה הצבאית</w:t>
      </w:r>
      <w:r w:rsidR="00970E54" w:rsidRPr="002637AE">
        <w:rPr>
          <w:rFonts w:ascii="David" w:hAnsi="David" w:cs="David"/>
          <w:sz w:val="28"/>
          <w:szCs w:val="28"/>
          <w:rtl/>
        </w:rPr>
        <w:t>,</w:t>
      </w:r>
      <w:r w:rsidRPr="002637AE">
        <w:rPr>
          <w:rFonts w:ascii="David" w:hAnsi="David" w:cs="David"/>
          <w:sz w:val="28"/>
          <w:szCs w:val="28"/>
          <w:rtl/>
        </w:rPr>
        <w:t xml:space="preserve"> </w:t>
      </w:r>
      <w:r w:rsidR="003C1251" w:rsidRPr="002637AE">
        <w:rPr>
          <w:rFonts w:ascii="David" w:hAnsi="David" w:cs="David"/>
          <w:sz w:val="28"/>
          <w:szCs w:val="28"/>
          <w:rtl/>
        </w:rPr>
        <w:t xml:space="preserve">כאמור, הבהירו </w:t>
      </w:r>
      <w:r w:rsidR="006C1C4E" w:rsidRPr="002637AE">
        <w:rPr>
          <w:rFonts w:ascii="David" w:hAnsi="David" w:cs="David"/>
          <w:sz w:val="28"/>
          <w:szCs w:val="28"/>
          <w:rtl/>
        </w:rPr>
        <w:t xml:space="preserve">המבקשים </w:t>
      </w:r>
      <w:r w:rsidR="003C1251" w:rsidRPr="002637AE">
        <w:rPr>
          <w:rFonts w:ascii="David" w:hAnsi="David" w:cs="David"/>
          <w:sz w:val="28"/>
          <w:szCs w:val="28"/>
          <w:rtl/>
        </w:rPr>
        <w:t xml:space="preserve">כי אינם </w:t>
      </w:r>
      <w:r w:rsidR="006C1C4E" w:rsidRPr="002637AE">
        <w:rPr>
          <w:rFonts w:ascii="David" w:hAnsi="David" w:cs="David"/>
          <w:sz w:val="28"/>
          <w:szCs w:val="28"/>
          <w:rtl/>
        </w:rPr>
        <w:t>ע</w:t>
      </w:r>
      <w:r w:rsidR="003C1251" w:rsidRPr="002637AE">
        <w:rPr>
          <w:rFonts w:ascii="David" w:hAnsi="David" w:cs="David"/>
          <w:sz w:val="28"/>
          <w:szCs w:val="28"/>
          <w:rtl/>
        </w:rPr>
        <w:t>ו</w:t>
      </w:r>
      <w:r w:rsidR="006C1C4E" w:rsidRPr="002637AE">
        <w:rPr>
          <w:rFonts w:ascii="David" w:hAnsi="David" w:cs="David"/>
          <w:sz w:val="28"/>
          <w:szCs w:val="28"/>
          <w:rtl/>
        </w:rPr>
        <w:t>מד</w:t>
      </w:r>
      <w:r w:rsidR="003C1251" w:rsidRPr="002637AE">
        <w:rPr>
          <w:rFonts w:ascii="David" w:hAnsi="David" w:cs="David"/>
          <w:sz w:val="28"/>
          <w:szCs w:val="28"/>
          <w:rtl/>
        </w:rPr>
        <w:t>ים</w:t>
      </w:r>
      <w:r w:rsidR="006C1C4E" w:rsidRPr="002637AE">
        <w:rPr>
          <w:rFonts w:ascii="David" w:hAnsi="David" w:cs="David"/>
          <w:sz w:val="28"/>
          <w:szCs w:val="28"/>
          <w:rtl/>
        </w:rPr>
        <w:t xml:space="preserve"> על </w:t>
      </w:r>
      <w:r w:rsidR="00E24DD9">
        <w:rPr>
          <w:rFonts w:ascii="David" w:hAnsi="David" w:cs="David" w:hint="cs"/>
          <w:sz w:val="28"/>
          <w:szCs w:val="28"/>
          <w:rtl/>
        </w:rPr>
        <w:t xml:space="preserve">בקשתם לעיין בשני </w:t>
      </w:r>
      <w:r w:rsidR="006C1C4E" w:rsidRPr="002637AE">
        <w:rPr>
          <w:rFonts w:ascii="David" w:hAnsi="David" w:cs="David"/>
          <w:sz w:val="28"/>
          <w:szCs w:val="28"/>
          <w:rtl/>
        </w:rPr>
        <w:t>המסמכים</w:t>
      </w:r>
      <w:r w:rsidR="003C1251" w:rsidRPr="002637AE">
        <w:rPr>
          <w:rFonts w:ascii="David" w:hAnsi="David" w:cs="David"/>
          <w:sz w:val="28"/>
          <w:szCs w:val="28"/>
          <w:rtl/>
        </w:rPr>
        <w:t>,</w:t>
      </w:r>
      <w:r w:rsidR="006C1C4E" w:rsidRPr="002637AE">
        <w:rPr>
          <w:rFonts w:ascii="David" w:hAnsi="David" w:cs="David"/>
          <w:sz w:val="28"/>
          <w:szCs w:val="28"/>
          <w:rtl/>
        </w:rPr>
        <w:t xml:space="preserve"> שהתביעה התנגדה ל</w:t>
      </w:r>
      <w:r w:rsidR="00DE5BCE">
        <w:rPr>
          <w:rFonts w:ascii="David" w:hAnsi="David" w:cs="David" w:hint="cs"/>
          <w:sz w:val="28"/>
          <w:szCs w:val="28"/>
          <w:rtl/>
        </w:rPr>
        <w:t xml:space="preserve">עיון </w:t>
      </w:r>
      <w:r w:rsidR="00D93A1A" w:rsidRPr="002637AE">
        <w:rPr>
          <w:rFonts w:ascii="David" w:hAnsi="David" w:cs="David"/>
          <w:sz w:val="28"/>
          <w:szCs w:val="28"/>
          <w:rtl/>
        </w:rPr>
        <w:t>בהם</w:t>
      </w:r>
      <w:r w:rsidR="006C1C4E" w:rsidRPr="002637AE">
        <w:rPr>
          <w:rFonts w:ascii="David" w:hAnsi="David" w:cs="David"/>
          <w:sz w:val="28"/>
          <w:szCs w:val="28"/>
          <w:rtl/>
        </w:rPr>
        <w:t xml:space="preserve">. </w:t>
      </w:r>
      <w:r w:rsidRPr="002637AE">
        <w:rPr>
          <w:rFonts w:ascii="David" w:hAnsi="David" w:cs="David"/>
          <w:sz w:val="28"/>
          <w:szCs w:val="28"/>
          <w:rtl/>
        </w:rPr>
        <w:t xml:space="preserve"> </w:t>
      </w:r>
    </w:p>
    <w:p w14:paraId="79B0CD0C" w14:textId="6B9042BB" w:rsidR="00EA0FEF" w:rsidRPr="002637AE" w:rsidRDefault="00FC6C1F" w:rsidP="00B2238F">
      <w:pPr>
        <w:pStyle w:val="ListParagraph"/>
        <w:numPr>
          <w:ilvl w:val="0"/>
          <w:numId w:val="2"/>
        </w:numPr>
        <w:spacing w:line="360" w:lineRule="auto"/>
        <w:jc w:val="both"/>
        <w:rPr>
          <w:rFonts w:ascii="David" w:hAnsi="David" w:cs="David"/>
          <w:sz w:val="28"/>
          <w:szCs w:val="28"/>
        </w:rPr>
      </w:pPr>
      <w:r>
        <w:rPr>
          <w:rFonts w:ascii="David" w:hAnsi="David" w:cs="David" w:hint="cs"/>
          <w:sz w:val="28"/>
          <w:szCs w:val="28"/>
          <w:rtl/>
        </w:rPr>
        <w:t xml:space="preserve">הן </w:t>
      </w:r>
      <w:r w:rsidR="00EA0FEF" w:rsidRPr="002637AE">
        <w:rPr>
          <w:rFonts w:ascii="David" w:hAnsi="David" w:cs="David"/>
          <w:sz w:val="28"/>
          <w:szCs w:val="28"/>
          <w:rtl/>
        </w:rPr>
        <w:t xml:space="preserve">מזכירות בית הדין </w:t>
      </w:r>
      <w:r w:rsidR="00E24DD9">
        <w:rPr>
          <w:rFonts w:ascii="David" w:hAnsi="David" w:cs="David" w:hint="cs"/>
          <w:sz w:val="28"/>
          <w:szCs w:val="28"/>
          <w:rtl/>
        </w:rPr>
        <w:t>ו</w:t>
      </w:r>
      <w:r>
        <w:rPr>
          <w:rFonts w:ascii="David" w:hAnsi="David" w:cs="David" w:hint="cs"/>
          <w:sz w:val="28"/>
          <w:szCs w:val="28"/>
          <w:rtl/>
        </w:rPr>
        <w:t xml:space="preserve">הן </w:t>
      </w:r>
      <w:r w:rsidR="00E24DD9">
        <w:rPr>
          <w:rFonts w:ascii="David" w:hAnsi="David" w:cs="David" w:hint="cs"/>
          <w:sz w:val="28"/>
          <w:szCs w:val="28"/>
          <w:rtl/>
        </w:rPr>
        <w:t xml:space="preserve">הסנגוריה הצבאית </w:t>
      </w:r>
      <w:r w:rsidR="00EA0FEF" w:rsidRPr="002637AE">
        <w:rPr>
          <w:rFonts w:ascii="David" w:hAnsi="David" w:cs="David"/>
          <w:sz w:val="28"/>
          <w:szCs w:val="28"/>
          <w:rtl/>
        </w:rPr>
        <w:t>התבקש</w:t>
      </w:r>
      <w:r w:rsidR="00E24DD9">
        <w:rPr>
          <w:rFonts w:ascii="David" w:hAnsi="David" w:cs="David" w:hint="cs"/>
          <w:sz w:val="28"/>
          <w:szCs w:val="28"/>
          <w:rtl/>
        </w:rPr>
        <w:t>ו</w:t>
      </w:r>
      <w:r w:rsidR="00EA0FEF" w:rsidRPr="002637AE">
        <w:rPr>
          <w:rFonts w:ascii="David" w:hAnsi="David" w:cs="David"/>
          <w:sz w:val="28"/>
          <w:szCs w:val="28"/>
          <w:rtl/>
        </w:rPr>
        <w:t xml:space="preserve"> לנסות לאתר את הנאשם </w:t>
      </w:r>
      <w:r w:rsidR="00430E3E" w:rsidRPr="002637AE">
        <w:rPr>
          <w:rFonts w:ascii="David" w:hAnsi="David" w:cs="David"/>
          <w:sz w:val="28"/>
          <w:szCs w:val="28"/>
          <w:rtl/>
        </w:rPr>
        <w:t xml:space="preserve">(המערער) באותם תיקים כדי לקבל </w:t>
      </w:r>
      <w:r w:rsidR="00EA0FEF" w:rsidRPr="002637AE">
        <w:rPr>
          <w:rFonts w:ascii="David" w:hAnsi="David" w:cs="David"/>
          <w:sz w:val="28"/>
          <w:szCs w:val="28"/>
          <w:rtl/>
        </w:rPr>
        <w:t xml:space="preserve">את </w:t>
      </w:r>
      <w:r w:rsidR="00430E3E" w:rsidRPr="002637AE">
        <w:rPr>
          <w:rFonts w:ascii="David" w:hAnsi="David" w:cs="David"/>
          <w:sz w:val="28"/>
          <w:szCs w:val="28"/>
          <w:rtl/>
        </w:rPr>
        <w:t xml:space="preserve">התייחסותו </w:t>
      </w:r>
      <w:r w:rsidR="00EA0FEF" w:rsidRPr="002637AE">
        <w:rPr>
          <w:rFonts w:ascii="David" w:hAnsi="David" w:cs="David"/>
          <w:sz w:val="28"/>
          <w:szCs w:val="28"/>
          <w:rtl/>
        </w:rPr>
        <w:t>לבקשה</w:t>
      </w:r>
      <w:r w:rsidR="00E24DD9">
        <w:rPr>
          <w:rFonts w:ascii="David" w:hAnsi="David" w:cs="David" w:hint="cs"/>
          <w:sz w:val="28"/>
          <w:szCs w:val="28"/>
          <w:rtl/>
        </w:rPr>
        <w:t>,</w:t>
      </w:r>
      <w:r w:rsidR="00EA0FEF" w:rsidRPr="002637AE">
        <w:rPr>
          <w:rFonts w:ascii="David" w:hAnsi="David" w:cs="David"/>
          <w:sz w:val="28"/>
          <w:szCs w:val="28"/>
          <w:rtl/>
        </w:rPr>
        <w:t xml:space="preserve"> </w:t>
      </w:r>
      <w:r w:rsidR="00430E3E" w:rsidRPr="002637AE">
        <w:rPr>
          <w:rFonts w:ascii="David" w:hAnsi="David" w:cs="David"/>
          <w:sz w:val="28"/>
          <w:szCs w:val="28"/>
          <w:rtl/>
        </w:rPr>
        <w:t xml:space="preserve">אך חרף </w:t>
      </w:r>
      <w:r w:rsidR="002637AE" w:rsidRPr="002637AE">
        <w:rPr>
          <w:rFonts w:ascii="David" w:hAnsi="David" w:cs="David"/>
          <w:sz w:val="28"/>
          <w:szCs w:val="28"/>
          <w:rtl/>
        </w:rPr>
        <w:t>מאמציה</w:t>
      </w:r>
      <w:r w:rsidR="00E24DD9">
        <w:rPr>
          <w:rFonts w:ascii="David" w:hAnsi="David" w:cs="David" w:hint="cs"/>
          <w:sz w:val="28"/>
          <w:szCs w:val="28"/>
          <w:rtl/>
        </w:rPr>
        <w:t>ן</w:t>
      </w:r>
      <w:r w:rsidR="00430E3E" w:rsidRPr="002637AE">
        <w:rPr>
          <w:rFonts w:ascii="David" w:hAnsi="David" w:cs="David"/>
          <w:sz w:val="28"/>
          <w:szCs w:val="28"/>
          <w:rtl/>
        </w:rPr>
        <w:t xml:space="preserve">, </w:t>
      </w:r>
      <w:r w:rsidR="00EA0FEF" w:rsidRPr="002637AE">
        <w:rPr>
          <w:rFonts w:ascii="David" w:hAnsi="David" w:cs="David"/>
          <w:sz w:val="28"/>
          <w:szCs w:val="28"/>
          <w:rtl/>
        </w:rPr>
        <w:t>לא הצליח</w:t>
      </w:r>
      <w:r w:rsidR="00E24DD9">
        <w:rPr>
          <w:rFonts w:ascii="David" w:hAnsi="David" w:cs="David" w:hint="cs"/>
          <w:sz w:val="28"/>
          <w:szCs w:val="28"/>
          <w:rtl/>
        </w:rPr>
        <w:t>ו</w:t>
      </w:r>
      <w:r w:rsidR="00EA0FEF" w:rsidRPr="002637AE">
        <w:rPr>
          <w:rFonts w:ascii="David" w:hAnsi="David" w:cs="David"/>
          <w:sz w:val="28"/>
          <w:szCs w:val="28"/>
          <w:rtl/>
        </w:rPr>
        <w:t xml:space="preserve"> לאתר</w:t>
      </w:r>
      <w:r w:rsidR="00430E3E" w:rsidRPr="002637AE">
        <w:rPr>
          <w:rFonts w:ascii="David" w:hAnsi="David" w:cs="David"/>
          <w:sz w:val="28"/>
          <w:szCs w:val="28"/>
          <w:rtl/>
        </w:rPr>
        <w:t>ו</w:t>
      </w:r>
      <w:r w:rsidR="00EA0FEF" w:rsidRPr="002637AE">
        <w:rPr>
          <w:rFonts w:ascii="David" w:hAnsi="David" w:cs="David"/>
          <w:sz w:val="28"/>
          <w:szCs w:val="28"/>
          <w:rtl/>
        </w:rPr>
        <w:t xml:space="preserve"> וליצור עמ</w:t>
      </w:r>
      <w:r w:rsidR="0070426F" w:rsidRPr="002637AE">
        <w:rPr>
          <w:rFonts w:ascii="David" w:hAnsi="David" w:cs="David"/>
          <w:sz w:val="28"/>
          <w:szCs w:val="28"/>
          <w:rtl/>
        </w:rPr>
        <w:t>ו</w:t>
      </w:r>
      <w:r w:rsidR="00EA0FEF" w:rsidRPr="002637AE">
        <w:rPr>
          <w:rFonts w:ascii="David" w:hAnsi="David" w:cs="David"/>
          <w:sz w:val="28"/>
          <w:szCs w:val="28"/>
          <w:rtl/>
        </w:rPr>
        <w:t xml:space="preserve"> קשר. </w:t>
      </w:r>
    </w:p>
    <w:p w14:paraId="2DDA3C73" w14:textId="671BBEED" w:rsidR="002637AE" w:rsidRPr="000727A2" w:rsidRDefault="002637AE" w:rsidP="00B2238F">
      <w:pPr>
        <w:spacing w:line="360" w:lineRule="auto"/>
        <w:jc w:val="both"/>
        <w:rPr>
          <w:rFonts w:ascii="David" w:hAnsi="David" w:cs="David"/>
          <w:b/>
          <w:bCs/>
          <w:sz w:val="28"/>
          <w:szCs w:val="28"/>
          <w:u w:val="single"/>
        </w:rPr>
      </w:pPr>
      <w:r w:rsidRPr="000727A2">
        <w:rPr>
          <w:rFonts w:ascii="David" w:hAnsi="David" w:cs="David"/>
          <w:b/>
          <w:bCs/>
          <w:sz w:val="28"/>
          <w:szCs w:val="28"/>
          <w:u w:val="single"/>
          <w:rtl/>
        </w:rPr>
        <w:t>דיון והכרעה</w:t>
      </w:r>
    </w:p>
    <w:p w14:paraId="33C4963D" w14:textId="57AED667" w:rsidR="002637AE" w:rsidRPr="00C35D94" w:rsidRDefault="002637AE" w:rsidP="00B2238F">
      <w:pPr>
        <w:pStyle w:val="ListParagraph"/>
        <w:numPr>
          <w:ilvl w:val="0"/>
          <w:numId w:val="2"/>
        </w:numPr>
        <w:spacing w:line="360" w:lineRule="auto"/>
        <w:jc w:val="both"/>
        <w:rPr>
          <w:rFonts w:ascii="David" w:hAnsi="David" w:cs="David"/>
          <w:sz w:val="28"/>
          <w:szCs w:val="28"/>
          <w:rtl/>
        </w:rPr>
      </w:pPr>
      <w:r w:rsidRPr="00C35D94">
        <w:rPr>
          <w:rFonts w:ascii="David" w:hAnsi="David" w:cs="David"/>
          <w:sz w:val="28"/>
          <w:szCs w:val="28"/>
          <w:rtl/>
        </w:rPr>
        <w:t>כידוע, לעקרון פומביות הדיון מעמד רם בדין הישראלי. העיקרון מעוגן בסעיף 3 לחוק יסוד: השפיטה</w:t>
      </w:r>
      <w:r w:rsidR="00DB7144">
        <w:rPr>
          <w:rFonts w:ascii="David" w:hAnsi="David" w:cs="David" w:hint="cs"/>
          <w:sz w:val="28"/>
          <w:szCs w:val="28"/>
          <w:rtl/>
        </w:rPr>
        <w:t>,</w:t>
      </w:r>
      <w:r w:rsidRPr="00C35D94">
        <w:rPr>
          <w:rFonts w:ascii="David" w:hAnsi="David" w:cs="David"/>
          <w:sz w:val="28"/>
          <w:szCs w:val="28"/>
          <w:rtl/>
        </w:rPr>
        <w:t xml:space="preserve"> בסעיף 68(א) לחוק בתי המשפט [נוסח משולב], התשמ"ד-1984 ו</w:t>
      </w:r>
      <w:r w:rsidR="00DB7144">
        <w:rPr>
          <w:rFonts w:ascii="David" w:hAnsi="David" w:cs="David" w:hint="cs"/>
          <w:sz w:val="28"/>
          <w:szCs w:val="28"/>
          <w:rtl/>
        </w:rPr>
        <w:t>ב</w:t>
      </w:r>
      <w:r w:rsidRPr="00C35D94">
        <w:rPr>
          <w:rFonts w:ascii="David" w:hAnsi="David" w:cs="David"/>
          <w:sz w:val="28"/>
          <w:szCs w:val="28"/>
          <w:rtl/>
        </w:rPr>
        <w:t>סעיף 324 לחוק השיפוט הצבאי, התשט"ו-1955</w:t>
      </w:r>
      <w:r w:rsidR="00DB7144">
        <w:rPr>
          <w:rFonts w:ascii="David" w:hAnsi="David" w:cs="David" w:hint="cs"/>
          <w:sz w:val="28"/>
          <w:szCs w:val="28"/>
          <w:rtl/>
        </w:rPr>
        <w:t xml:space="preserve">. בהתאם, </w:t>
      </w:r>
      <w:r w:rsidRPr="00C35D94">
        <w:rPr>
          <w:rFonts w:ascii="David" w:hAnsi="David" w:cs="David"/>
          <w:sz w:val="28"/>
          <w:szCs w:val="28"/>
          <w:rtl/>
        </w:rPr>
        <w:t xml:space="preserve">ככלל, הליכים משפטיים יתנהלו בפומבי ובדלתיים פתוחות. </w:t>
      </w:r>
      <w:r w:rsidRPr="00C35D94">
        <w:rPr>
          <w:rFonts w:ascii="David" w:hAnsi="David" w:cs="David" w:hint="cs"/>
          <w:sz w:val="28"/>
          <w:szCs w:val="28"/>
          <w:rtl/>
        </w:rPr>
        <w:t xml:space="preserve">בואר בהלכה הפסוקה, </w:t>
      </w:r>
      <w:r w:rsidRPr="00C35D94">
        <w:rPr>
          <w:rFonts w:ascii="David" w:hAnsi="David" w:cs="David"/>
          <w:sz w:val="28"/>
          <w:szCs w:val="28"/>
          <w:rtl/>
        </w:rPr>
        <w:t>כי:</w:t>
      </w:r>
      <w:r w:rsidR="00C35D94" w:rsidRPr="00C35D94">
        <w:rPr>
          <w:rFonts w:ascii="David" w:hAnsi="David" w:cs="David" w:hint="cs"/>
          <w:sz w:val="28"/>
          <w:szCs w:val="28"/>
          <w:rtl/>
        </w:rPr>
        <w:t xml:space="preserve"> </w:t>
      </w:r>
      <w:r w:rsidRPr="00C35D94">
        <w:rPr>
          <w:rFonts w:ascii="David" w:hAnsi="David" w:cs="David"/>
          <w:sz w:val="28"/>
          <w:szCs w:val="28"/>
          <w:rtl/>
        </w:rPr>
        <w:t>" פומביות זו של הדיון נועדה להבטיח את זכותם של בעלי הדין להליך תקין והוגן, ויש בה כדי לחזק</w:t>
      </w:r>
      <w:r w:rsidR="00C35D94" w:rsidRPr="00C35D94">
        <w:rPr>
          <w:rFonts w:ascii="David" w:hAnsi="David" w:cs="David" w:hint="cs"/>
          <w:sz w:val="28"/>
          <w:szCs w:val="28"/>
          <w:rtl/>
        </w:rPr>
        <w:t xml:space="preserve"> </w:t>
      </w:r>
      <w:r w:rsidRPr="00C35D94">
        <w:rPr>
          <w:rFonts w:ascii="David" w:hAnsi="David" w:cs="David"/>
          <w:sz w:val="28"/>
          <w:szCs w:val="28"/>
          <w:rtl/>
        </w:rPr>
        <w:t>את אמון הציבור במערכת המשפט בהגשימה את זכותו של הציבור לדעת, את חופש הביטוי ואת חופש התקשורת</w:t>
      </w:r>
      <w:r w:rsidR="00C35D94" w:rsidRPr="00C35D94">
        <w:rPr>
          <w:rFonts w:ascii="David" w:hAnsi="David" w:cs="David" w:hint="cs"/>
          <w:sz w:val="28"/>
          <w:szCs w:val="28"/>
          <w:rtl/>
        </w:rPr>
        <w:t xml:space="preserve"> </w:t>
      </w:r>
      <w:r w:rsidRPr="00C35D94">
        <w:rPr>
          <w:rFonts w:ascii="David" w:hAnsi="David" w:cs="David"/>
          <w:sz w:val="28"/>
          <w:szCs w:val="28"/>
          <w:rtl/>
        </w:rPr>
        <w:t>והעיתונות" (</w:t>
      </w:r>
      <w:proofErr w:type="spellStart"/>
      <w:r w:rsidRPr="00C35D94">
        <w:rPr>
          <w:rFonts w:ascii="David" w:hAnsi="David" w:cs="David"/>
          <w:sz w:val="28"/>
          <w:szCs w:val="28"/>
          <w:rtl/>
        </w:rPr>
        <w:t>בש"פ</w:t>
      </w:r>
      <w:proofErr w:type="spellEnd"/>
      <w:r w:rsidRPr="00C35D94">
        <w:rPr>
          <w:rFonts w:ascii="David" w:hAnsi="David" w:cs="David"/>
          <w:sz w:val="28"/>
          <w:szCs w:val="28"/>
          <w:rtl/>
        </w:rPr>
        <w:t xml:space="preserve"> 8698/05 </w:t>
      </w:r>
      <w:r w:rsidRPr="00C35D94">
        <w:rPr>
          <w:rFonts w:ascii="David" w:hAnsi="David" w:cs="David"/>
          <w:b/>
          <w:bCs/>
          <w:sz w:val="28"/>
          <w:szCs w:val="28"/>
          <w:rtl/>
        </w:rPr>
        <w:t xml:space="preserve">אזולאי נ' מדינת ישראל </w:t>
      </w:r>
      <w:r w:rsidRPr="00C35D94">
        <w:rPr>
          <w:rFonts w:ascii="David" w:hAnsi="David" w:cs="David"/>
          <w:sz w:val="28"/>
          <w:szCs w:val="28"/>
          <w:rtl/>
        </w:rPr>
        <w:t xml:space="preserve">(19.10.2005); ראו גם: </w:t>
      </w:r>
      <w:proofErr w:type="spellStart"/>
      <w:r w:rsidRPr="00C35D94">
        <w:rPr>
          <w:rFonts w:ascii="David" w:hAnsi="David" w:cs="David"/>
          <w:sz w:val="28"/>
          <w:szCs w:val="28"/>
          <w:rtl/>
        </w:rPr>
        <w:t>בש"פ</w:t>
      </w:r>
      <w:proofErr w:type="spellEnd"/>
      <w:r w:rsidRPr="00C35D94">
        <w:rPr>
          <w:rFonts w:ascii="David" w:hAnsi="David" w:cs="David"/>
          <w:sz w:val="28"/>
          <w:szCs w:val="28"/>
          <w:rtl/>
        </w:rPr>
        <w:t xml:space="preserve"> 6516/09 </w:t>
      </w:r>
      <w:r w:rsidRPr="00C35D94">
        <w:rPr>
          <w:rFonts w:ascii="David" w:hAnsi="David" w:cs="David"/>
          <w:b/>
          <w:bCs/>
          <w:sz w:val="28"/>
          <w:szCs w:val="28"/>
          <w:rtl/>
        </w:rPr>
        <w:t xml:space="preserve">ידיעות אחרונות נ' מדינת ישראל </w:t>
      </w:r>
      <w:r w:rsidRPr="00C35D94">
        <w:rPr>
          <w:rFonts w:ascii="David" w:hAnsi="David" w:cs="David"/>
          <w:sz w:val="28"/>
          <w:szCs w:val="28"/>
          <w:rtl/>
        </w:rPr>
        <w:t xml:space="preserve">(1.10.2009); </w:t>
      </w:r>
      <w:proofErr w:type="spellStart"/>
      <w:r w:rsidRPr="00C35D94">
        <w:rPr>
          <w:rFonts w:ascii="David" w:hAnsi="David" w:cs="David"/>
          <w:sz w:val="28"/>
          <w:szCs w:val="28"/>
          <w:rtl/>
        </w:rPr>
        <w:t>בש"פ</w:t>
      </w:r>
      <w:proofErr w:type="spellEnd"/>
      <w:r w:rsidR="00C35D94" w:rsidRPr="00C35D94">
        <w:rPr>
          <w:rFonts w:ascii="David" w:hAnsi="David" w:cs="David" w:hint="cs"/>
          <w:sz w:val="28"/>
          <w:szCs w:val="28"/>
          <w:rtl/>
        </w:rPr>
        <w:t xml:space="preserve"> </w:t>
      </w:r>
      <w:r w:rsidRPr="00C35D94">
        <w:rPr>
          <w:rFonts w:ascii="David" w:hAnsi="David" w:cs="David"/>
          <w:sz w:val="28"/>
          <w:szCs w:val="28"/>
          <w:rtl/>
        </w:rPr>
        <w:t xml:space="preserve">2322/13 </w:t>
      </w:r>
      <w:r w:rsidRPr="00C35D94">
        <w:rPr>
          <w:rFonts w:ascii="David" w:hAnsi="David" w:cs="David"/>
          <w:b/>
          <w:bCs/>
          <w:sz w:val="28"/>
          <w:szCs w:val="28"/>
          <w:rtl/>
        </w:rPr>
        <w:t xml:space="preserve">אברהם נ' מדינת ישראל </w:t>
      </w:r>
      <w:r w:rsidRPr="00C35D94">
        <w:rPr>
          <w:rFonts w:ascii="David" w:hAnsi="David" w:cs="David"/>
          <w:sz w:val="28"/>
          <w:szCs w:val="28"/>
          <w:rtl/>
        </w:rPr>
        <w:t>(1.5.2013); ב"ש</w:t>
      </w:r>
      <w:r w:rsidR="000D3812">
        <w:rPr>
          <w:rFonts w:ascii="David" w:hAnsi="David" w:cs="David" w:hint="cs"/>
          <w:sz w:val="28"/>
          <w:szCs w:val="28"/>
          <w:rtl/>
        </w:rPr>
        <w:t xml:space="preserve"> </w:t>
      </w:r>
      <w:r w:rsidRPr="00C35D94">
        <w:rPr>
          <w:rFonts w:ascii="David" w:hAnsi="David" w:cs="David"/>
          <w:sz w:val="28"/>
          <w:szCs w:val="28"/>
          <w:rtl/>
        </w:rPr>
        <w:t xml:space="preserve">56,57/21 </w:t>
      </w:r>
      <w:r w:rsidRPr="00C35D94">
        <w:rPr>
          <w:rFonts w:ascii="David" w:hAnsi="David" w:cs="David"/>
          <w:b/>
          <w:bCs/>
          <w:sz w:val="28"/>
          <w:szCs w:val="28"/>
          <w:rtl/>
        </w:rPr>
        <w:t xml:space="preserve">ידיעות אינטרנט נ' התובע הצבאי הראשי </w:t>
      </w:r>
      <w:r w:rsidRPr="00C35D94">
        <w:rPr>
          <w:rFonts w:ascii="David" w:hAnsi="David" w:cs="David"/>
          <w:sz w:val="28"/>
          <w:szCs w:val="28"/>
          <w:rtl/>
        </w:rPr>
        <w:t>(2021)).</w:t>
      </w:r>
    </w:p>
    <w:p w14:paraId="509F4113" w14:textId="5E848585" w:rsidR="002637AE" w:rsidRPr="002637AE" w:rsidRDefault="002637AE" w:rsidP="00B2238F">
      <w:pPr>
        <w:numPr>
          <w:ilvl w:val="0"/>
          <w:numId w:val="2"/>
        </w:numPr>
        <w:tabs>
          <w:tab w:val="left" w:pos="282"/>
        </w:tabs>
        <w:spacing w:after="0" w:line="360" w:lineRule="auto"/>
        <w:jc w:val="both"/>
        <w:rPr>
          <w:rFonts w:ascii="David" w:hAnsi="David" w:cs="David"/>
          <w:sz w:val="28"/>
          <w:szCs w:val="28"/>
          <w:rtl/>
        </w:rPr>
      </w:pPr>
      <w:r w:rsidRPr="002637AE">
        <w:rPr>
          <w:rFonts w:ascii="David" w:hAnsi="David" w:cs="David"/>
          <w:sz w:val="28"/>
          <w:szCs w:val="28"/>
          <w:rtl/>
        </w:rPr>
        <w:t>לעקרון פומביות הדיון שני פנים. האחד, ניהול הליכי המשפט בדלתיים פתוחות, כך שכל אדם רשאי להיות נוכח בדיוני המשפט; והשני, היתר לפרסם ברבים את תוכנם של ההליכים, כחלק מזכות הציבור לדעת (</w:t>
      </w:r>
      <w:proofErr w:type="spellStart"/>
      <w:r w:rsidRPr="002637AE">
        <w:rPr>
          <w:rFonts w:ascii="David" w:hAnsi="David" w:cs="David"/>
          <w:sz w:val="28"/>
          <w:szCs w:val="28"/>
          <w:rtl/>
        </w:rPr>
        <w:t>רע"פ</w:t>
      </w:r>
      <w:proofErr w:type="spellEnd"/>
      <w:r w:rsidRPr="002637AE">
        <w:rPr>
          <w:rFonts w:ascii="David" w:hAnsi="David" w:cs="David"/>
          <w:sz w:val="28"/>
          <w:szCs w:val="28"/>
          <w:rtl/>
        </w:rPr>
        <w:t xml:space="preserve"> 5877/99 </w:t>
      </w:r>
      <w:r w:rsidRPr="002637AE">
        <w:rPr>
          <w:rFonts w:ascii="David" w:hAnsi="David" w:cs="David"/>
          <w:b/>
          <w:bCs/>
          <w:sz w:val="28"/>
          <w:szCs w:val="28"/>
          <w:rtl/>
        </w:rPr>
        <w:t xml:space="preserve">פלונית נ' מדינת ישראל </w:t>
      </w:r>
      <w:r w:rsidRPr="002637AE">
        <w:rPr>
          <w:rFonts w:ascii="David" w:hAnsi="David" w:cs="David"/>
          <w:sz w:val="28"/>
          <w:szCs w:val="28"/>
          <w:rtl/>
        </w:rPr>
        <w:t>(28.9.2004)).</w:t>
      </w:r>
    </w:p>
    <w:p w14:paraId="089067DF" w14:textId="37F84D12" w:rsidR="002637AE" w:rsidRPr="002637AE" w:rsidRDefault="007B77B3" w:rsidP="00B2238F">
      <w:pPr>
        <w:numPr>
          <w:ilvl w:val="0"/>
          <w:numId w:val="2"/>
        </w:numPr>
        <w:tabs>
          <w:tab w:val="left" w:pos="282"/>
        </w:tabs>
        <w:spacing w:after="0" w:line="360" w:lineRule="auto"/>
        <w:jc w:val="both"/>
        <w:rPr>
          <w:rFonts w:ascii="David" w:hAnsi="David" w:cs="David"/>
          <w:sz w:val="28"/>
          <w:szCs w:val="28"/>
        </w:rPr>
      </w:pPr>
      <w:r>
        <w:rPr>
          <w:rFonts w:ascii="David" w:hAnsi="David" w:cs="David" w:hint="cs"/>
          <w:sz w:val="28"/>
          <w:szCs w:val="28"/>
          <w:rtl/>
        </w:rPr>
        <w:t xml:space="preserve">לצד האמור, </w:t>
      </w:r>
      <w:r w:rsidR="002637AE" w:rsidRPr="002637AE">
        <w:rPr>
          <w:rFonts w:ascii="David" w:hAnsi="David" w:cs="David"/>
          <w:sz w:val="28"/>
          <w:szCs w:val="28"/>
          <w:rtl/>
        </w:rPr>
        <w:t>עקרון פומביות הדיון איננו מוחלט</w:t>
      </w:r>
      <w:r w:rsidR="00C35D94">
        <w:rPr>
          <w:rFonts w:ascii="David" w:hAnsi="David" w:cs="David" w:hint="cs"/>
          <w:sz w:val="28"/>
          <w:szCs w:val="28"/>
          <w:rtl/>
        </w:rPr>
        <w:t xml:space="preserve"> ו</w:t>
      </w:r>
      <w:r w:rsidR="002637AE" w:rsidRPr="002637AE">
        <w:rPr>
          <w:rFonts w:ascii="David" w:hAnsi="David" w:cs="David"/>
          <w:sz w:val="28"/>
          <w:szCs w:val="28"/>
          <w:rtl/>
        </w:rPr>
        <w:t xml:space="preserve">החוק מונה רשימה של חריגים, </w:t>
      </w:r>
      <w:r w:rsidR="00C35D94">
        <w:rPr>
          <w:rFonts w:ascii="David" w:hAnsi="David" w:cs="David" w:hint="cs"/>
          <w:sz w:val="28"/>
          <w:szCs w:val="28"/>
          <w:rtl/>
        </w:rPr>
        <w:t xml:space="preserve">אשר </w:t>
      </w:r>
      <w:r w:rsidR="002637AE" w:rsidRPr="002637AE">
        <w:rPr>
          <w:rFonts w:ascii="David" w:hAnsi="David" w:cs="David"/>
          <w:sz w:val="28"/>
          <w:szCs w:val="28"/>
          <w:rtl/>
        </w:rPr>
        <w:t>בהתק</w:t>
      </w:r>
      <w:r w:rsidR="00C35D94">
        <w:rPr>
          <w:rFonts w:ascii="David" w:hAnsi="David" w:cs="David" w:hint="cs"/>
          <w:sz w:val="28"/>
          <w:szCs w:val="28"/>
          <w:rtl/>
        </w:rPr>
        <w:t>י</w:t>
      </w:r>
      <w:r w:rsidR="002637AE" w:rsidRPr="002637AE">
        <w:rPr>
          <w:rFonts w:ascii="David" w:hAnsi="David" w:cs="David"/>
          <w:sz w:val="28"/>
          <w:szCs w:val="28"/>
          <w:rtl/>
        </w:rPr>
        <w:t xml:space="preserve">ימם </w:t>
      </w:r>
      <w:r w:rsidR="00C35D94">
        <w:rPr>
          <w:rFonts w:ascii="David" w:hAnsi="David" w:cs="David" w:hint="cs"/>
          <w:sz w:val="28"/>
          <w:szCs w:val="28"/>
          <w:rtl/>
        </w:rPr>
        <w:t xml:space="preserve">רשאי </w:t>
      </w:r>
      <w:r w:rsidR="002637AE" w:rsidRPr="002637AE">
        <w:rPr>
          <w:rFonts w:ascii="David" w:hAnsi="David" w:cs="David"/>
          <w:sz w:val="28"/>
          <w:szCs w:val="28"/>
          <w:rtl/>
        </w:rPr>
        <w:t>בית המשפט לחרוג מ</w:t>
      </w:r>
      <w:r w:rsidR="00E24DD9">
        <w:rPr>
          <w:rFonts w:ascii="David" w:hAnsi="David" w:cs="David" w:hint="cs"/>
          <w:sz w:val="28"/>
          <w:szCs w:val="28"/>
          <w:rtl/>
        </w:rPr>
        <w:t>ן הכלל</w:t>
      </w:r>
      <w:r w:rsidR="002637AE" w:rsidRPr="002637AE">
        <w:rPr>
          <w:rFonts w:ascii="David" w:hAnsi="David" w:cs="David"/>
          <w:sz w:val="28"/>
          <w:szCs w:val="28"/>
          <w:rtl/>
        </w:rPr>
        <w:t xml:space="preserve"> ולה</w:t>
      </w:r>
      <w:r>
        <w:rPr>
          <w:rFonts w:ascii="David" w:hAnsi="David" w:cs="David" w:hint="cs"/>
          <w:sz w:val="28"/>
          <w:szCs w:val="28"/>
          <w:rtl/>
        </w:rPr>
        <w:t>ו</w:t>
      </w:r>
      <w:r w:rsidR="002637AE" w:rsidRPr="002637AE">
        <w:rPr>
          <w:rFonts w:ascii="David" w:hAnsi="David" w:cs="David"/>
          <w:sz w:val="28"/>
          <w:szCs w:val="28"/>
          <w:rtl/>
        </w:rPr>
        <w:t xml:space="preserve">רות על סגירת דלתיים. </w:t>
      </w:r>
      <w:r w:rsidR="00C35D94">
        <w:rPr>
          <w:rFonts w:ascii="David" w:hAnsi="David" w:cs="David" w:hint="cs"/>
          <w:sz w:val="28"/>
          <w:szCs w:val="28"/>
          <w:rtl/>
        </w:rPr>
        <w:t>הוטעם</w:t>
      </w:r>
      <w:r w:rsidR="00E24DD9">
        <w:rPr>
          <w:rFonts w:ascii="David" w:hAnsi="David" w:cs="David" w:hint="cs"/>
          <w:sz w:val="28"/>
          <w:szCs w:val="28"/>
          <w:rtl/>
        </w:rPr>
        <w:t xml:space="preserve"> בפס</w:t>
      </w:r>
      <w:r>
        <w:rPr>
          <w:rFonts w:ascii="David" w:hAnsi="David" w:cs="David" w:hint="cs"/>
          <w:sz w:val="28"/>
          <w:szCs w:val="28"/>
          <w:rtl/>
        </w:rPr>
        <w:t>י</w:t>
      </w:r>
      <w:r w:rsidR="00E24DD9">
        <w:rPr>
          <w:rFonts w:ascii="David" w:hAnsi="David" w:cs="David" w:hint="cs"/>
          <w:sz w:val="28"/>
          <w:szCs w:val="28"/>
          <w:rtl/>
        </w:rPr>
        <w:t>קה</w:t>
      </w:r>
      <w:r w:rsidR="00C35D94">
        <w:rPr>
          <w:rFonts w:ascii="David" w:hAnsi="David" w:cs="David" w:hint="cs"/>
          <w:sz w:val="28"/>
          <w:szCs w:val="28"/>
          <w:rtl/>
        </w:rPr>
        <w:t xml:space="preserve">, כי </w:t>
      </w:r>
      <w:r w:rsidR="002637AE" w:rsidRPr="002637AE">
        <w:rPr>
          <w:rFonts w:ascii="David" w:hAnsi="David" w:cs="David"/>
          <w:sz w:val="28"/>
          <w:szCs w:val="28"/>
          <w:rtl/>
        </w:rPr>
        <w:t xml:space="preserve">את החריגים לעקרון פומביות הדיון יש לפרש בצמצום – "ולעולם תיטה הכף אל עבר פומביות הדיון" (ע"א 5185/93 </w:t>
      </w:r>
      <w:r w:rsidR="002637AE" w:rsidRPr="002637AE">
        <w:rPr>
          <w:rFonts w:ascii="David" w:hAnsi="David" w:cs="David"/>
          <w:b/>
          <w:bCs/>
          <w:sz w:val="28"/>
          <w:szCs w:val="28"/>
          <w:rtl/>
        </w:rPr>
        <w:t>היועץ המשפטי לממשלה נ'</w:t>
      </w:r>
      <w:r w:rsidR="002637AE" w:rsidRPr="002637AE">
        <w:rPr>
          <w:rFonts w:ascii="David" w:hAnsi="David" w:cs="David"/>
          <w:sz w:val="28"/>
          <w:szCs w:val="28"/>
          <w:rtl/>
        </w:rPr>
        <w:t xml:space="preserve"> </w:t>
      </w:r>
      <w:r w:rsidR="002637AE" w:rsidRPr="002637AE">
        <w:rPr>
          <w:rFonts w:ascii="David" w:hAnsi="David" w:cs="David"/>
          <w:b/>
          <w:bCs/>
          <w:sz w:val="28"/>
          <w:szCs w:val="28"/>
          <w:rtl/>
        </w:rPr>
        <w:t>מרום</w:t>
      </w:r>
      <w:r w:rsidR="002637AE" w:rsidRPr="002637AE">
        <w:rPr>
          <w:rFonts w:ascii="David" w:hAnsi="David" w:cs="David"/>
          <w:sz w:val="28"/>
          <w:szCs w:val="28"/>
          <w:rtl/>
        </w:rPr>
        <w:t xml:space="preserve">, פ"ד מט(1) 318 (1995); </w:t>
      </w:r>
      <w:proofErr w:type="spellStart"/>
      <w:r w:rsidR="002637AE" w:rsidRPr="002637AE">
        <w:rPr>
          <w:rFonts w:ascii="David" w:hAnsi="David" w:cs="David"/>
          <w:sz w:val="28"/>
          <w:szCs w:val="28"/>
          <w:rtl/>
        </w:rPr>
        <w:t>עלב"ש</w:t>
      </w:r>
      <w:proofErr w:type="spellEnd"/>
      <w:r w:rsidR="002637AE" w:rsidRPr="002637AE">
        <w:rPr>
          <w:rFonts w:ascii="David" w:hAnsi="David" w:cs="David"/>
          <w:sz w:val="28"/>
          <w:szCs w:val="28"/>
          <w:rtl/>
        </w:rPr>
        <w:t xml:space="preserve">/137/11 </w:t>
      </w:r>
      <w:r w:rsidR="002637AE" w:rsidRPr="002637AE">
        <w:rPr>
          <w:rFonts w:ascii="David" w:hAnsi="David" w:cs="David"/>
          <w:b/>
          <w:bCs/>
          <w:sz w:val="28"/>
          <w:szCs w:val="28"/>
          <w:rtl/>
        </w:rPr>
        <w:t>רס"ן קבלו נ' התובע הצבאי הראשי</w:t>
      </w:r>
      <w:r w:rsidR="002637AE" w:rsidRPr="002637AE">
        <w:rPr>
          <w:rFonts w:ascii="David" w:hAnsi="David" w:cs="David"/>
          <w:sz w:val="28"/>
          <w:szCs w:val="28"/>
          <w:rtl/>
        </w:rPr>
        <w:t xml:space="preserve"> (2011)).</w:t>
      </w:r>
    </w:p>
    <w:p w14:paraId="03559FDA" w14:textId="5FEF7B74" w:rsidR="002637AE" w:rsidRPr="00C35D94" w:rsidRDefault="002637AE" w:rsidP="00B2238F">
      <w:pPr>
        <w:numPr>
          <w:ilvl w:val="0"/>
          <w:numId w:val="2"/>
        </w:numPr>
        <w:tabs>
          <w:tab w:val="left" w:pos="282"/>
        </w:tabs>
        <w:spacing w:after="0" w:line="360" w:lineRule="auto"/>
        <w:jc w:val="both"/>
        <w:rPr>
          <w:rFonts w:ascii="David" w:hAnsi="David" w:cs="David"/>
          <w:sz w:val="28"/>
          <w:szCs w:val="28"/>
        </w:rPr>
      </w:pPr>
      <w:r w:rsidRPr="00C35D94">
        <w:rPr>
          <w:rFonts w:ascii="David" w:hAnsi="David" w:cs="David"/>
          <w:sz w:val="28"/>
          <w:szCs w:val="28"/>
          <w:rtl/>
        </w:rPr>
        <w:t xml:space="preserve">בנסיבות שבהן מתקיים אחד החריגים, המנויים בחוק השיפוט הצבאי, ונסגרו הדלתיים, </w:t>
      </w:r>
      <w:r w:rsidR="00E24DD9">
        <w:rPr>
          <w:rFonts w:ascii="David" w:hAnsi="David" w:cs="David" w:hint="cs"/>
          <w:sz w:val="28"/>
          <w:szCs w:val="28"/>
          <w:rtl/>
        </w:rPr>
        <w:t>קובע</w:t>
      </w:r>
      <w:r w:rsidRPr="00C35D94">
        <w:rPr>
          <w:rFonts w:ascii="David" w:hAnsi="David" w:cs="David"/>
          <w:sz w:val="28"/>
          <w:szCs w:val="28"/>
          <w:rtl/>
        </w:rPr>
        <w:t xml:space="preserve"> סעיף 325(ב) לחוק השיפוט הצבאי (המקביל לסעיף 70(א) לחוק בתי המשפט), </w:t>
      </w:r>
      <w:r w:rsidR="00E24DD9">
        <w:rPr>
          <w:rFonts w:ascii="David" w:hAnsi="David" w:cs="David" w:hint="cs"/>
          <w:sz w:val="28"/>
          <w:szCs w:val="28"/>
          <w:rtl/>
        </w:rPr>
        <w:t xml:space="preserve">כי כאשר </w:t>
      </w:r>
      <w:r w:rsidRPr="00C35D94">
        <w:rPr>
          <w:rFonts w:ascii="David" w:hAnsi="David" w:cs="David"/>
          <w:sz w:val="28"/>
          <w:szCs w:val="28"/>
          <w:rtl/>
        </w:rPr>
        <w:t>"תם הדיון שהוחלט על עריכתו בדלתיים סגורות, לא יפרסם אדם דבר על הדיון ולא יוציא פרוטוקול מבית הדין אלא ברשות נשיא בית הדין הצבאי לערעורים".</w:t>
      </w:r>
      <w:r w:rsidR="00C35D94" w:rsidRPr="00C35D94">
        <w:rPr>
          <w:rFonts w:ascii="David" w:hAnsi="David" w:cs="David" w:hint="cs"/>
          <w:sz w:val="28"/>
          <w:szCs w:val="28"/>
          <w:rtl/>
        </w:rPr>
        <w:t xml:space="preserve"> </w:t>
      </w:r>
      <w:r w:rsidR="007B77B3">
        <w:rPr>
          <w:rFonts w:ascii="David" w:hAnsi="David" w:cs="David" w:hint="cs"/>
          <w:sz w:val="28"/>
          <w:szCs w:val="28"/>
          <w:rtl/>
        </w:rPr>
        <w:t>בהקשר זה נפסק</w:t>
      </w:r>
      <w:r w:rsidRPr="00C35D94">
        <w:rPr>
          <w:rFonts w:ascii="David" w:hAnsi="David" w:cs="David"/>
          <w:sz w:val="28"/>
          <w:szCs w:val="28"/>
          <w:rtl/>
        </w:rPr>
        <w:t xml:space="preserve">, כי על בית המשפט המתבקש להתיר פרסום </w:t>
      </w:r>
      <w:r w:rsidR="008A4A57">
        <w:rPr>
          <w:rFonts w:ascii="David" w:hAnsi="David" w:cs="David" w:hint="cs"/>
          <w:sz w:val="28"/>
          <w:szCs w:val="28"/>
          <w:rtl/>
        </w:rPr>
        <w:t xml:space="preserve">של </w:t>
      </w:r>
      <w:r w:rsidRPr="00C35D94">
        <w:rPr>
          <w:rFonts w:ascii="David" w:hAnsi="David" w:cs="David"/>
          <w:sz w:val="28"/>
          <w:szCs w:val="28"/>
          <w:rtl/>
        </w:rPr>
        <w:t xml:space="preserve">הליך שהתנהל בדלתיים סגורות, "ראשית, לבחון אם המטרה שלשמה נסגרו הדלתיים עומדת בעינה ושנית, להפעיל את שיקול דעתו כך שעקרון פומביות הדיון ייפגע במידה המזערית האפשרית להשגת מטרה זו" (רע"א 3007/02 </w:t>
      </w:r>
      <w:r w:rsidRPr="00C35D94">
        <w:rPr>
          <w:rFonts w:ascii="David" w:hAnsi="David" w:cs="David"/>
          <w:b/>
          <w:bCs/>
          <w:sz w:val="28"/>
          <w:szCs w:val="28"/>
          <w:rtl/>
        </w:rPr>
        <w:t xml:space="preserve">יצחק נ' מוזס, </w:t>
      </w:r>
      <w:r w:rsidRPr="00C35D94">
        <w:rPr>
          <w:rFonts w:ascii="David" w:hAnsi="David" w:cs="David"/>
          <w:sz w:val="28"/>
          <w:szCs w:val="28"/>
          <w:rtl/>
        </w:rPr>
        <w:t>פ"ד נו(6) 592 (2002); ראו גם</w:t>
      </w:r>
      <w:r w:rsidR="00C35D94">
        <w:rPr>
          <w:rFonts w:ascii="David" w:hAnsi="David" w:cs="David" w:hint="cs"/>
          <w:sz w:val="28"/>
          <w:szCs w:val="28"/>
          <w:rtl/>
        </w:rPr>
        <w:t>:</w:t>
      </w:r>
      <w:r w:rsidRPr="00C35D94">
        <w:rPr>
          <w:rFonts w:ascii="David" w:hAnsi="David" w:cs="David"/>
          <w:sz w:val="28"/>
          <w:szCs w:val="28"/>
          <w:rtl/>
        </w:rPr>
        <w:t xml:space="preserve"> ע"פ 4430/14 </w:t>
      </w:r>
      <w:r w:rsidRPr="00C35D94">
        <w:rPr>
          <w:rFonts w:ascii="David" w:hAnsi="David" w:cs="David"/>
          <w:b/>
          <w:bCs/>
          <w:sz w:val="28"/>
          <w:szCs w:val="28"/>
          <w:rtl/>
        </w:rPr>
        <w:t xml:space="preserve">חדשות 10 בע"מ ואח' נ' פלונית </w:t>
      </w:r>
      <w:r w:rsidRPr="00C35D94">
        <w:rPr>
          <w:rFonts w:ascii="David" w:hAnsi="David" w:cs="David"/>
          <w:sz w:val="28"/>
          <w:szCs w:val="28"/>
          <w:rtl/>
        </w:rPr>
        <w:t xml:space="preserve">(6.9.2015); </w:t>
      </w:r>
      <w:proofErr w:type="spellStart"/>
      <w:r w:rsidRPr="00C35D94">
        <w:rPr>
          <w:rFonts w:ascii="David" w:hAnsi="David" w:cs="David"/>
          <w:sz w:val="28"/>
          <w:szCs w:val="28"/>
          <w:rtl/>
        </w:rPr>
        <w:t>בש"פ</w:t>
      </w:r>
      <w:proofErr w:type="spellEnd"/>
      <w:r w:rsidRPr="00C35D94">
        <w:rPr>
          <w:rFonts w:ascii="David" w:hAnsi="David" w:cs="David"/>
          <w:sz w:val="28"/>
          <w:szCs w:val="28"/>
          <w:rtl/>
        </w:rPr>
        <w:t xml:space="preserve"> 3262/18 </w:t>
      </w:r>
      <w:r w:rsidRPr="00C35D94">
        <w:rPr>
          <w:rFonts w:ascii="David" w:hAnsi="David" w:cs="David"/>
          <w:b/>
          <w:bCs/>
          <w:sz w:val="28"/>
          <w:szCs w:val="28"/>
          <w:rtl/>
        </w:rPr>
        <w:t xml:space="preserve">הוצאת עיתון הארץ בע"מ ואח' נ' מדינת ישראל </w:t>
      </w:r>
      <w:r w:rsidRPr="00C35D94">
        <w:rPr>
          <w:rFonts w:ascii="David" w:hAnsi="David" w:cs="David"/>
          <w:sz w:val="28"/>
          <w:szCs w:val="28"/>
          <w:rtl/>
        </w:rPr>
        <w:t>(24.5.2018)).</w:t>
      </w:r>
    </w:p>
    <w:p w14:paraId="7489A862" w14:textId="19C02702" w:rsidR="00970E54" w:rsidRPr="00B13FD0" w:rsidRDefault="00C35D94" w:rsidP="00B2238F">
      <w:pPr>
        <w:pStyle w:val="ListParagraph"/>
        <w:numPr>
          <w:ilvl w:val="0"/>
          <w:numId w:val="2"/>
        </w:numPr>
        <w:spacing w:line="360" w:lineRule="auto"/>
        <w:jc w:val="both"/>
        <w:rPr>
          <w:rFonts w:ascii="David" w:hAnsi="David" w:cs="David"/>
          <w:sz w:val="28"/>
          <w:szCs w:val="28"/>
        </w:rPr>
      </w:pPr>
      <w:r>
        <w:rPr>
          <w:rFonts w:ascii="David" w:hAnsi="David" w:cs="David" w:hint="cs"/>
          <w:sz w:val="28"/>
          <w:szCs w:val="28"/>
          <w:rtl/>
        </w:rPr>
        <w:lastRenderedPageBreak/>
        <w:t xml:space="preserve">מן הכלל אל הפרט, כאמור, </w:t>
      </w:r>
      <w:r w:rsidR="00935538">
        <w:rPr>
          <w:rFonts w:ascii="David" w:hAnsi="David" w:cs="David" w:hint="cs"/>
          <w:sz w:val="28"/>
          <w:szCs w:val="28"/>
          <w:rtl/>
        </w:rPr>
        <w:t xml:space="preserve">לאור תשובתה </w:t>
      </w:r>
      <w:r w:rsidR="001B4AE8">
        <w:rPr>
          <w:rFonts w:ascii="David" w:hAnsi="David" w:cs="David" w:hint="cs"/>
          <w:sz w:val="28"/>
          <w:szCs w:val="28"/>
          <w:rtl/>
        </w:rPr>
        <w:t xml:space="preserve">של </w:t>
      </w:r>
      <w:r>
        <w:rPr>
          <w:rFonts w:ascii="David" w:hAnsi="David" w:cs="David" w:hint="cs"/>
          <w:sz w:val="28"/>
          <w:szCs w:val="28"/>
          <w:rtl/>
        </w:rPr>
        <w:t xml:space="preserve">התביעה </w:t>
      </w:r>
      <w:r w:rsidR="001B4AE8">
        <w:rPr>
          <w:rFonts w:ascii="David" w:hAnsi="David" w:cs="David" w:hint="cs"/>
          <w:sz w:val="28"/>
          <w:szCs w:val="28"/>
          <w:rtl/>
        </w:rPr>
        <w:t xml:space="preserve">הצבאית הראשית, </w:t>
      </w:r>
      <w:r>
        <w:rPr>
          <w:rFonts w:ascii="David" w:hAnsi="David" w:cs="David" w:hint="cs"/>
          <w:sz w:val="28"/>
          <w:szCs w:val="28"/>
          <w:rtl/>
        </w:rPr>
        <w:t xml:space="preserve">אשר עמדתה </w:t>
      </w:r>
      <w:r w:rsidR="001B4AE8">
        <w:rPr>
          <w:rFonts w:ascii="David" w:hAnsi="David" w:cs="David" w:hint="cs"/>
          <w:sz w:val="28"/>
          <w:szCs w:val="28"/>
          <w:rtl/>
        </w:rPr>
        <w:t xml:space="preserve">בדיון שלפניי </w:t>
      </w:r>
      <w:r>
        <w:rPr>
          <w:rFonts w:ascii="David" w:hAnsi="David" w:cs="David" w:hint="cs"/>
          <w:sz w:val="28"/>
          <w:szCs w:val="28"/>
          <w:rtl/>
        </w:rPr>
        <w:t>מ</w:t>
      </w:r>
      <w:r w:rsidR="001B4AE8">
        <w:rPr>
          <w:rFonts w:ascii="David" w:hAnsi="David" w:cs="David" w:hint="cs"/>
          <w:sz w:val="28"/>
          <w:szCs w:val="28"/>
          <w:rtl/>
        </w:rPr>
        <w:t xml:space="preserve">שקפת גם </w:t>
      </w:r>
      <w:r w:rsidR="00E24DD9">
        <w:rPr>
          <w:rFonts w:ascii="David" w:hAnsi="David" w:cs="David" w:hint="cs"/>
          <w:sz w:val="28"/>
          <w:szCs w:val="28"/>
          <w:rtl/>
        </w:rPr>
        <w:t xml:space="preserve">התחשבות בעמדותיהם </w:t>
      </w:r>
      <w:r w:rsidR="001B4AE8">
        <w:rPr>
          <w:rFonts w:ascii="David" w:hAnsi="David" w:cs="David" w:hint="cs"/>
          <w:sz w:val="28"/>
          <w:szCs w:val="28"/>
          <w:rtl/>
        </w:rPr>
        <w:t xml:space="preserve">של הגורמים האמונים על בטחון המדינה, </w:t>
      </w:r>
      <w:r w:rsidR="00935538">
        <w:rPr>
          <w:rFonts w:ascii="David" w:hAnsi="David" w:cs="David" w:hint="cs"/>
          <w:sz w:val="28"/>
          <w:szCs w:val="28"/>
          <w:rtl/>
        </w:rPr>
        <w:t xml:space="preserve">ומכוח סמכותי לפי סעיף 325(ב) לחוק השיפוט הצבאי, </w:t>
      </w:r>
      <w:r w:rsidR="00B13FD0">
        <w:rPr>
          <w:rFonts w:ascii="David" w:hAnsi="David" w:cs="David" w:hint="cs"/>
          <w:sz w:val="28"/>
          <w:szCs w:val="28"/>
          <w:rtl/>
        </w:rPr>
        <w:t>הריני להתיר למבקשים לעיין בשני התיקים המבוקשים, למעט ב</w:t>
      </w:r>
      <w:r w:rsidR="00D35D01" w:rsidRPr="00B13FD0">
        <w:rPr>
          <w:rFonts w:ascii="David" w:hAnsi="David" w:cs="David"/>
          <w:sz w:val="28"/>
          <w:szCs w:val="28"/>
          <w:rtl/>
        </w:rPr>
        <w:t xml:space="preserve">מסמך </w:t>
      </w:r>
      <w:r w:rsidR="00B13FD0">
        <w:rPr>
          <w:rFonts w:ascii="David" w:hAnsi="David" w:cs="David" w:hint="cs"/>
          <w:sz w:val="28"/>
          <w:szCs w:val="28"/>
          <w:rtl/>
        </w:rPr>
        <w:t>ה</w:t>
      </w:r>
      <w:r w:rsidR="00D35D01" w:rsidRPr="00B13FD0">
        <w:rPr>
          <w:rFonts w:ascii="David" w:hAnsi="David" w:cs="David"/>
          <w:sz w:val="28"/>
          <w:szCs w:val="28"/>
          <w:rtl/>
        </w:rPr>
        <w:t xml:space="preserve">רפואי </w:t>
      </w:r>
      <w:r w:rsidR="00B13FD0">
        <w:rPr>
          <w:rFonts w:ascii="David" w:hAnsi="David" w:cs="David" w:hint="cs"/>
          <w:sz w:val="28"/>
          <w:szCs w:val="28"/>
          <w:rtl/>
        </w:rPr>
        <w:t>כאמור, אשר לגביו חל אינטרס הגנת הפרטיות וב</w:t>
      </w:r>
      <w:r w:rsidR="00D35D01" w:rsidRPr="00B13FD0">
        <w:rPr>
          <w:rFonts w:ascii="David" w:hAnsi="David" w:cs="David"/>
          <w:sz w:val="28"/>
          <w:szCs w:val="28"/>
          <w:rtl/>
        </w:rPr>
        <w:t>מפה ש</w:t>
      </w:r>
      <w:r w:rsidR="00B13FD0">
        <w:rPr>
          <w:rFonts w:ascii="David" w:hAnsi="David" w:cs="David" w:hint="cs"/>
          <w:sz w:val="28"/>
          <w:szCs w:val="28"/>
          <w:rtl/>
        </w:rPr>
        <w:t xml:space="preserve">לגביה, בהתאם לתשובת התביעה הצבאית הראשית, מתקיים עדיין הצורך לחסותה מן הטעם של שמירה על בטחון המדינה. </w:t>
      </w:r>
    </w:p>
    <w:p w14:paraId="57956D2F" w14:textId="77777777" w:rsidR="000727A2" w:rsidRDefault="000727A2" w:rsidP="000727A2">
      <w:pPr>
        <w:spacing w:line="360" w:lineRule="auto"/>
        <w:jc w:val="both"/>
        <w:rPr>
          <w:rFonts w:ascii="David" w:hAnsi="David" w:cs="David"/>
          <w:sz w:val="28"/>
          <w:szCs w:val="28"/>
          <w:rtl/>
        </w:rPr>
      </w:pPr>
    </w:p>
    <w:p w14:paraId="4E2863EA" w14:textId="4A451723" w:rsidR="00EA0FEF" w:rsidRDefault="00EA0FEF" w:rsidP="000727A2">
      <w:pPr>
        <w:spacing w:line="360" w:lineRule="auto"/>
        <w:jc w:val="both"/>
        <w:rPr>
          <w:rFonts w:ascii="David" w:hAnsi="David" w:cs="David"/>
          <w:sz w:val="28"/>
          <w:szCs w:val="28"/>
          <w:rtl/>
        </w:rPr>
      </w:pPr>
      <w:r w:rsidRPr="002637AE">
        <w:rPr>
          <w:rFonts w:ascii="David" w:hAnsi="David" w:cs="David"/>
          <w:sz w:val="28"/>
          <w:szCs w:val="28"/>
          <w:rtl/>
        </w:rPr>
        <w:t xml:space="preserve">ניתנה היום בלשכה, </w:t>
      </w:r>
      <w:r w:rsidR="00B42CF5">
        <w:rPr>
          <w:rFonts w:ascii="David" w:hAnsi="David" w:cs="David" w:hint="cs"/>
          <w:sz w:val="28"/>
          <w:szCs w:val="28"/>
          <w:rtl/>
        </w:rPr>
        <w:t>ט"</w:t>
      </w:r>
      <w:r w:rsidR="002363F0">
        <w:rPr>
          <w:rFonts w:ascii="David" w:hAnsi="David" w:cs="David" w:hint="cs"/>
          <w:sz w:val="28"/>
          <w:szCs w:val="28"/>
          <w:rtl/>
        </w:rPr>
        <w:t>ז</w:t>
      </w:r>
      <w:r w:rsidRPr="002637AE">
        <w:rPr>
          <w:rFonts w:ascii="David" w:hAnsi="David" w:cs="David"/>
          <w:sz w:val="28"/>
          <w:szCs w:val="28"/>
          <w:rtl/>
        </w:rPr>
        <w:t xml:space="preserve"> ב</w:t>
      </w:r>
      <w:r w:rsidR="00717E0A" w:rsidRPr="002637AE">
        <w:rPr>
          <w:rFonts w:ascii="David" w:hAnsi="David" w:cs="David"/>
          <w:sz w:val="28"/>
          <w:szCs w:val="28"/>
          <w:rtl/>
        </w:rPr>
        <w:t>אייר</w:t>
      </w:r>
      <w:r w:rsidRPr="002637AE">
        <w:rPr>
          <w:rFonts w:ascii="David" w:hAnsi="David" w:cs="David"/>
          <w:sz w:val="28"/>
          <w:szCs w:val="28"/>
          <w:rtl/>
        </w:rPr>
        <w:t xml:space="preserve"> </w:t>
      </w:r>
      <w:proofErr w:type="spellStart"/>
      <w:r w:rsidRPr="002637AE">
        <w:rPr>
          <w:rFonts w:ascii="David" w:hAnsi="David" w:cs="David"/>
          <w:sz w:val="28"/>
          <w:szCs w:val="28"/>
          <w:rtl/>
        </w:rPr>
        <w:t>התשפ"ה</w:t>
      </w:r>
      <w:proofErr w:type="spellEnd"/>
      <w:r w:rsidRPr="002637AE">
        <w:rPr>
          <w:rFonts w:ascii="David" w:hAnsi="David" w:cs="David"/>
          <w:sz w:val="28"/>
          <w:szCs w:val="28"/>
          <w:rtl/>
        </w:rPr>
        <w:t xml:space="preserve">, </w:t>
      </w:r>
      <w:r w:rsidR="00717E0A" w:rsidRPr="002637AE">
        <w:rPr>
          <w:rFonts w:ascii="David" w:hAnsi="David" w:cs="David"/>
          <w:sz w:val="28"/>
          <w:szCs w:val="28"/>
          <w:rtl/>
        </w:rPr>
        <w:t>1</w:t>
      </w:r>
      <w:r w:rsidR="002363F0">
        <w:rPr>
          <w:rFonts w:ascii="David" w:hAnsi="David" w:cs="David" w:hint="cs"/>
          <w:sz w:val="28"/>
          <w:szCs w:val="28"/>
          <w:rtl/>
        </w:rPr>
        <w:t>4</w:t>
      </w:r>
      <w:r w:rsidRPr="002637AE">
        <w:rPr>
          <w:rFonts w:ascii="David" w:hAnsi="David" w:cs="David"/>
          <w:sz w:val="28"/>
          <w:szCs w:val="28"/>
          <w:rtl/>
        </w:rPr>
        <w:t xml:space="preserve"> ב</w:t>
      </w:r>
      <w:r w:rsidR="00717E0A" w:rsidRPr="002637AE">
        <w:rPr>
          <w:rFonts w:ascii="David" w:hAnsi="David" w:cs="David"/>
          <w:sz w:val="28"/>
          <w:szCs w:val="28"/>
          <w:rtl/>
        </w:rPr>
        <w:t>מאי</w:t>
      </w:r>
      <w:r w:rsidRPr="002637AE">
        <w:rPr>
          <w:rFonts w:ascii="David" w:hAnsi="David" w:cs="David"/>
          <w:sz w:val="28"/>
          <w:szCs w:val="28"/>
          <w:rtl/>
        </w:rPr>
        <w:t xml:space="preserve"> 2025, ותועבר לצדדים ע"י המזכירות. </w:t>
      </w:r>
    </w:p>
    <w:p w14:paraId="723B704C" w14:textId="77777777" w:rsidR="00B42CF5" w:rsidRPr="002637AE" w:rsidRDefault="00B42CF5" w:rsidP="002637AE">
      <w:pPr>
        <w:spacing w:line="360" w:lineRule="auto"/>
        <w:ind w:left="360"/>
        <w:jc w:val="both"/>
        <w:rPr>
          <w:rFonts w:ascii="David" w:hAnsi="David" w:cs="David"/>
          <w:sz w:val="28"/>
          <w:szCs w:val="28"/>
          <w:rtl/>
        </w:rPr>
      </w:pPr>
    </w:p>
    <w:p w14:paraId="7E8DD69B" w14:textId="3D9D88A4" w:rsidR="00EA0FEF" w:rsidRPr="002637AE" w:rsidRDefault="00B2238F" w:rsidP="002637AE">
      <w:pPr>
        <w:spacing w:line="360" w:lineRule="auto"/>
        <w:jc w:val="center"/>
        <w:rPr>
          <w:rFonts w:ascii="David" w:hAnsi="David" w:cs="David"/>
          <w:sz w:val="28"/>
          <w:szCs w:val="28"/>
          <w:rtl/>
        </w:rPr>
      </w:pPr>
      <w:r>
        <w:rPr>
          <w:rFonts w:ascii="David" w:hAnsi="David" w:cs="David" w:hint="cs"/>
          <w:sz w:val="28"/>
          <w:szCs w:val="28"/>
          <w:rtl/>
        </w:rPr>
        <w:t xml:space="preserve">                                                                                                               </w:t>
      </w:r>
      <w:r w:rsidR="00EA0FEF" w:rsidRPr="002637AE">
        <w:rPr>
          <w:rFonts w:ascii="David" w:hAnsi="David" w:cs="David"/>
          <w:sz w:val="28"/>
          <w:szCs w:val="28"/>
          <w:rtl/>
        </w:rPr>
        <w:t>_________________</w:t>
      </w:r>
    </w:p>
    <w:p w14:paraId="226EE6E8" w14:textId="08648DD9" w:rsidR="00EA0FEF" w:rsidRPr="002637AE" w:rsidRDefault="00B2238F" w:rsidP="00E7288F">
      <w:pPr>
        <w:spacing w:line="240" w:lineRule="auto"/>
        <w:jc w:val="center"/>
        <w:rPr>
          <w:rFonts w:ascii="David" w:hAnsi="David" w:cs="David"/>
          <w:b/>
          <w:bCs/>
          <w:sz w:val="28"/>
          <w:szCs w:val="28"/>
          <w:rtl/>
        </w:rPr>
      </w:pPr>
      <w:r>
        <w:rPr>
          <w:rFonts w:ascii="David" w:hAnsi="David" w:cs="David" w:hint="cs"/>
          <w:b/>
          <w:bCs/>
          <w:sz w:val="28"/>
          <w:szCs w:val="28"/>
          <w:rtl/>
        </w:rPr>
        <w:t xml:space="preserve">                                                                                                            </w:t>
      </w:r>
      <w:r w:rsidR="00EA0FEF" w:rsidRPr="002637AE">
        <w:rPr>
          <w:rFonts w:ascii="David" w:hAnsi="David" w:cs="David"/>
          <w:b/>
          <w:bCs/>
          <w:sz w:val="28"/>
          <w:szCs w:val="28"/>
          <w:rtl/>
        </w:rPr>
        <w:t>אלופה אורלי מרקמן</w:t>
      </w:r>
    </w:p>
    <w:p w14:paraId="139D09A8" w14:textId="0E59386A" w:rsidR="00EA0FEF" w:rsidRPr="002637AE" w:rsidRDefault="00B2238F" w:rsidP="00E7288F">
      <w:pPr>
        <w:spacing w:line="240" w:lineRule="auto"/>
        <w:jc w:val="center"/>
        <w:rPr>
          <w:rFonts w:ascii="David" w:hAnsi="David" w:cs="David"/>
          <w:b/>
          <w:bCs/>
          <w:sz w:val="28"/>
          <w:szCs w:val="28"/>
          <w:rtl/>
        </w:rPr>
      </w:pPr>
      <w:r>
        <w:rPr>
          <w:rFonts w:ascii="David" w:hAnsi="David" w:cs="David" w:hint="cs"/>
          <w:b/>
          <w:bCs/>
          <w:sz w:val="28"/>
          <w:szCs w:val="28"/>
          <w:rtl/>
        </w:rPr>
        <w:t xml:space="preserve">                                                                                                              </w:t>
      </w:r>
      <w:r w:rsidR="00EA0FEF" w:rsidRPr="002637AE">
        <w:rPr>
          <w:rFonts w:ascii="David" w:hAnsi="David" w:cs="David"/>
          <w:b/>
          <w:bCs/>
          <w:sz w:val="28"/>
          <w:szCs w:val="28"/>
          <w:rtl/>
        </w:rPr>
        <w:t>נשיאת בית הדין הצבאי</w:t>
      </w:r>
    </w:p>
    <w:p w14:paraId="420F4050" w14:textId="3CC5443D" w:rsidR="0043084D" w:rsidRDefault="00B2238F" w:rsidP="00E7288F">
      <w:pPr>
        <w:spacing w:line="240" w:lineRule="auto"/>
        <w:jc w:val="center"/>
        <w:rPr>
          <w:rFonts w:ascii="David" w:hAnsi="David" w:cs="David"/>
          <w:b/>
          <w:bCs/>
          <w:sz w:val="28"/>
          <w:szCs w:val="28"/>
          <w:rtl/>
        </w:rPr>
      </w:pPr>
      <w:r>
        <w:rPr>
          <w:rFonts w:ascii="David" w:hAnsi="David" w:cs="David" w:hint="cs"/>
          <w:b/>
          <w:bCs/>
          <w:sz w:val="28"/>
          <w:szCs w:val="28"/>
          <w:rtl/>
        </w:rPr>
        <w:t xml:space="preserve">                                                                                                               </w:t>
      </w:r>
      <w:r w:rsidR="00EA0FEF" w:rsidRPr="002637AE">
        <w:rPr>
          <w:rFonts w:ascii="David" w:hAnsi="David" w:cs="David"/>
          <w:b/>
          <w:bCs/>
          <w:sz w:val="28"/>
          <w:szCs w:val="28"/>
          <w:rtl/>
        </w:rPr>
        <w:t>לערעורים</w:t>
      </w:r>
    </w:p>
    <w:p w14:paraId="76D7AE53" w14:textId="4B47A202" w:rsidR="00B2238F" w:rsidRDefault="00B2238F" w:rsidP="00E7288F">
      <w:pPr>
        <w:spacing w:line="240" w:lineRule="auto"/>
        <w:jc w:val="center"/>
        <w:rPr>
          <w:rFonts w:ascii="David" w:hAnsi="David" w:cs="David"/>
          <w:b/>
          <w:bCs/>
          <w:sz w:val="28"/>
          <w:szCs w:val="28"/>
          <w:rtl/>
        </w:rPr>
      </w:pPr>
    </w:p>
    <w:p w14:paraId="792B7A0B" w14:textId="77777777" w:rsidR="00B2238F" w:rsidRPr="00405BC8" w:rsidRDefault="00B2238F" w:rsidP="00B2238F">
      <w:pPr>
        <w:ind w:left="-58" w:right="-567"/>
        <w:rPr>
          <w:rFonts w:ascii="David" w:hAnsi="David" w:cs="David"/>
          <w:b/>
          <w:bCs/>
          <w:sz w:val="28"/>
          <w:szCs w:val="28"/>
          <w:rtl/>
        </w:rPr>
      </w:pPr>
      <w:bookmarkStart w:id="2" w:name="_Hlk122599666"/>
      <w:bookmarkStart w:id="3" w:name="_Hlk141797760"/>
      <w:r w:rsidRPr="00405BC8">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405BC8">
        <w:rPr>
          <w:rFonts w:ascii="David" w:hAnsi="David" w:cs="David"/>
          <w:b/>
          <w:bCs/>
          <w:sz w:val="28"/>
          <w:szCs w:val="28"/>
          <w:rtl/>
        </w:rPr>
        <w:t xml:space="preserve">נאמן         למקור             </w:t>
      </w:r>
    </w:p>
    <w:p w14:paraId="13F5F128" w14:textId="77777777" w:rsidR="00B2238F" w:rsidRPr="00405BC8" w:rsidRDefault="00B2238F" w:rsidP="00B2238F">
      <w:pPr>
        <w:ind w:left="-58" w:right="-567"/>
        <w:rPr>
          <w:rFonts w:ascii="David" w:hAnsi="David" w:cs="David"/>
          <w:b/>
          <w:bCs/>
          <w:sz w:val="28"/>
          <w:szCs w:val="28"/>
          <w:rtl/>
        </w:rPr>
      </w:pPr>
      <w:r w:rsidRPr="00405BC8">
        <w:rPr>
          <w:rFonts w:ascii="David" w:hAnsi="David" w:cs="David"/>
          <w:b/>
          <w:bCs/>
          <w:sz w:val="28"/>
          <w:szCs w:val="28"/>
          <w:rtl/>
        </w:rPr>
        <w:t xml:space="preserve">                                                                                                       </w:t>
      </w:r>
      <w:r>
        <w:rPr>
          <w:rFonts w:ascii="David" w:hAnsi="David" w:cs="David" w:hint="cs"/>
          <w:b/>
          <w:bCs/>
          <w:sz w:val="28"/>
          <w:szCs w:val="28"/>
          <w:rtl/>
        </w:rPr>
        <w:t xml:space="preserve">סמ"ר         מיקה        </w:t>
      </w:r>
      <w:proofErr w:type="spellStart"/>
      <w:r>
        <w:rPr>
          <w:rFonts w:ascii="David" w:hAnsi="David" w:cs="David" w:hint="cs"/>
          <w:b/>
          <w:bCs/>
          <w:sz w:val="28"/>
          <w:szCs w:val="28"/>
          <w:rtl/>
        </w:rPr>
        <w:t>אשרוב</w:t>
      </w:r>
      <w:proofErr w:type="spellEnd"/>
    </w:p>
    <w:p w14:paraId="5D315A6E" w14:textId="77777777" w:rsidR="00B2238F" w:rsidRPr="00405BC8" w:rsidRDefault="00B2238F" w:rsidP="00B2238F">
      <w:pPr>
        <w:ind w:left="-58" w:right="-567"/>
        <w:rPr>
          <w:rFonts w:ascii="David" w:hAnsi="David" w:cs="David"/>
          <w:b/>
          <w:bCs/>
          <w:sz w:val="28"/>
          <w:szCs w:val="28"/>
          <w:rtl/>
        </w:rPr>
      </w:pPr>
      <w:r w:rsidRPr="00405BC8">
        <w:rPr>
          <w:rFonts w:ascii="David" w:hAnsi="David" w:cs="David"/>
          <w:b/>
          <w:bCs/>
          <w:sz w:val="28"/>
          <w:szCs w:val="28"/>
          <w:rtl/>
        </w:rPr>
        <w:t>תאריך: ____________________________________        קצי</w:t>
      </w:r>
      <w:r>
        <w:rPr>
          <w:rFonts w:ascii="David" w:hAnsi="David" w:cs="David" w:hint="cs"/>
          <w:b/>
          <w:bCs/>
          <w:sz w:val="28"/>
          <w:szCs w:val="28"/>
          <w:rtl/>
        </w:rPr>
        <w:t>נת</w:t>
      </w:r>
      <w:r w:rsidRPr="00405BC8">
        <w:rPr>
          <w:rFonts w:ascii="David" w:hAnsi="David" w:cs="David"/>
          <w:b/>
          <w:bCs/>
          <w:sz w:val="28"/>
          <w:szCs w:val="28"/>
          <w:rtl/>
        </w:rPr>
        <w:t xml:space="preserve">           בית           הדין</w:t>
      </w:r>
      <w:bookmarkEnd w:id="2"/>
    </w:p>
    <w:bookmarkEnd w:id="3"/>
    <w:p w14:paraId="161F0A4F" w14:textId="77777777" w:rsidR="00B2238F" w:rsidRPr="002637AE" w:rsidRDefault="00B2238F" w:rsidP="00E7288F">
      <w:pPr>
        <w:spacing w:line="240" w:lineRule="auto"/>
        <w:jc w:val="center"/>
        <w:rPr>
          <w:rFonts w:ascii="David" w:hAnsi="David" w:cs="David"/>
          <w:b/>
          <w:bCs/>
          <w:sz w:val="28"/>
          <w:szCs w:val="28"/>
          <w:rtl/>
        </w:rPr>
      </w:pPr>
    </w:p>
    <w:sectPr w:rsidR="00B2238F" w:rsidRPr="002637AE" w:rsidSect="00B2238F">
      <w:headerReference w:type="default" r:id="rId9"/>
      <w:footerReference w:type="default" r:id="rId10"/>
      <w:pgSz w:w="11906" w:h="16838"/>
      <w:pgMar w:top="1247" w:right="1247" w:bottom="1247" w:left="124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F79B" w14:textId="77777777" w:rsidR="00F7453A" w:rsidRDefault="00F7453A" w:rsidP="00EE5213">
      <w:pPr>
        <w:spacing w:after="0" w:line="240" w:lineRule="auto"/>
      </w:pPr>
      <w:r>
        <w:separator/>
      </w:r>
    </w:p>
  </w:endnote>
  <w:endnote w:type="continuationSeparator" w:id="0">
    <w:p w14:paraId="1EA1B767" w14:textId="77777777" w:rsidR="00F7453A" w:rsidRDefault="00F7453A" w:rsidP="00EE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sz w:val="28"/>
        <w:szCs w:val="28"/>
        <w:rtl/>
      </w:rPr>
      <w:id w:val="973177005"/>
      <w:docPartObj>
        <w:docPartGallery w:val="Page Numbers (Bottom of Page)"/>
        <w:docPartUnique/>
      </w:docPartObj>
    </w:sdtPr>
    <w:sdtEndPr/>
    <w:sdtContent>
      <w:p w14:paraId="3CEAD91A" w14:textId="0A9F0081" w:rsidR="000727A2" w:rsidRPr="000727A2" w:rsidRDefault="000727A2">
        <w:pPr>
          <w:pStyle w:val="Footer"/>
          <w:jc w:val="center"/>
          <w:rPr>
            <w:rFonts w:ascii="David" w:hAnsi="David" w:cs="David"/>
            <w:sz w:val="28"/>
            <w:szCs w:val="28"/>
          </w:rPr>
        </w:pPr>
        <w:r w:rsidRPr="000727A2">
          <w:rPr>
            <w:rFonts w:ascii="David" w:hAnsi="David" w:cs="David"/>
            <w:sz w:val="28"/>
            <w:szCs w:val="28"/>
          </w:rPr>
          <w:fldChar w:fldCharType="begin"/>
        </w:r>
        <w:r w:rsidRPr="000727A2">
          <w:rPr>
            <w:rFonts w:ascii="David" w:hAnsi="David" w:cs="David"/>
            <w:sz w:val="28"/>
            <w:szCs w:val="28"/>
          </w:rPr>
          <w:instrText xml:space="preserve"> PAGE   \* MERGEFORMAT </w:instrText>
        </w:r>
        <w:r w:rsidRPr="000727A2">
          <w:rPr>
            <w:rFonts w:ascii="David" w:hAnsi="David" w:cs="David"/>
            <w:sz w:val="28"/>
            <w:szCs w:val="28"/>
          </w:rPr>
          <w:fldChar w:fldCharType="separate"/>
        </w:r>
        <w:r w:rsidRPr="000727A2">
          <w:rPr>
            <w:rFonts w:ascii="David" w:hAnsi="David" w:cs="David"/>
            <w:noProof/>
            <w:sz w:val="28"/>
            <w:szCs w:val="28"/>
          </w:rPr>
          <w:t>2</w:t>
        </w:r>
        <w:r w:rsidRPr="000727A2">
          <w:rPr>
            <w:rFonts w:ascii="David" w:hAnsi="David" w:cs="David"/>
            <w:noProof/>
            <w:sz w:val="28"/>
            <w:szCs w:val="28"/>
          </w:rPr>
          <w:fldChar w:fldCharType="end"/>
        </w:r>
      </w:p>
    </w:sdtContent>
  </w:sdt>
  <w:p w14:paraId="1E852058" w14:textId="77777777" w:rsidR="000727A2" w:rsidRDefault="0007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B03D" w14:textId="77777777" w:rsidR="00F7453A" w:rsidRDefault="00F7453A" w:rsidP="00EE5213">
      <w:pPr>
        <w:spacing w:after="0" w:line="240" w:lineRule="auto"/>
      </w:pPr>
      <w:r>
        <w:separator/>
      </w:r>
    </w:p>
  </w:footnote>
  <w:footnote w:type="continuationSeparator" w:id="0">
    <w:p w14:paraId="5AD2171E" w14:textId="77777777" w:rsidR="00F7453A" w:rsidRDefault="00F7453A" w:rsidP="00EE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E15" w14:textId="03ED4FD1" w:rsidR="00EE5213" w:rsidRPr="00B2238F" w:rsidRDefault="002B088A" w:rsidP="00EE5213">
    <w:pPr>
      <w:pStyle w:val="Header"/>
      <w:jc w:val="right"/>
      <w:rPr>
        <w:rFonts w:ascii="David" w:hAnsi="David" w:cs="David"/>
        <w:sz w:val="28"/>
        <w:szCs w:val="28"/>
      </w:rPr>
    </w:pPr>
    <w:r>
      <w:rPr>
        <w:rFonts w:ascii="David" w:hAnsi="David" w:cs="David" w:hint="cs"/>
        <w:sz w:val="28"/>
        <w:szCs w:val="28"/>
        <w:rtl/>
      </w:rPr>
      <w:t>ב ל מ " ס</w:t>
    </w:r>
    <w:r w:rsidR="00B2238F">
      <w:rPr>
        <w:rFonts w:ascii="David" w:hAnsi="David" w:cs="David" w:hint="cs"/>
        <w:sz w:val="28"/>
        <w:szCs w:val="28"/>
        <w:rtl/>
      </w:rPr>
      <w:t xml:space="preserve">                                                  </w:t>
    </w:r>
    <w:r w:rsidR="00EE5213" w:rsidRPr="00B2238F">
      <w:rPr>
        <w:rFonts w:ascii="David" w:hAnsi="David" w:cs="David" w:hint="cs"/>
        <w:sz w:val="28"/>
        <w:szCs w:val="28"/>
        <w:rtl/>
      </w:rPr>
      <w:t>60891-04-</w:t>
    </w:r>
    <w:r w:rsidR="00B2238F" w:rsidRPr="00B2238F">
      <w:rPr>
        <w:rFonts w:ascii="David" w:hAnsi="David" w:cs="David" w:hint="cs"/>
        <w:sz w:val="28"/>
        <w:szCs w:val="28"/>
        <w:rtl/>
      </w:rPr>
      <w:t xml:space="preserve">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D8F"/>
    <w:multiLevelType w:val="hybridMultilevel"/>
    <w:tmpl w:val="58181040"/>
    <w:lvl w:ilvl="0" w:tplc="0950ACF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008D4"/>
    <w:multiLevelType w:val="hybridMultilevel"/>
    <w:tmpl w:val="9312AB2E"/>
    <w:lvl w:ilvl="0" w:tplc="44FE2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435F3"/>
    <w:multiLevelType w:val="hybridMultilevel"/>
    <w:tmpl w:val="5766479E"/>
    <w:lvl w:ilvl="0" w:tplc="F6720C90">
      <w:start w:val="1"/>
      <w:numFmt w:val="decimal"/>
      <w:suff w:val="space"/>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EF"/>
    <w:rsid w:val="00006CD1"/>
    <w:rsid w:val="00021A8D"/>
    <w:rsid w:val="000727A2"/>
    <w:rsid w:val="000D3812"/>
    <w:rsid w:val="00121518"/>
    <w:rsid w:val="001B4AE8"/>
    <w:rsid w:val="001E3BF0"/>
    <w:rsid w:val="002363F0"/>
    <w:rsid w:val="002637AE"/>
    <w:rsid w:val="002B088A"/>
    <w:rsid w:val="002C08C7"/>
    <w:rsid w:val="00355D9F"/>
    <w:rsid w:val="003C1251"/>
    <w:rsid w:val="0043084D"/>
    <w:rsid w:val="00430E3E"/>
    <w:rsid w:val="00435671"/>
    <w:rsid w:val="004A0E2C"/>
    <w:rsid w:val="004D6E17"/>
    <w:rsid w:val="00525891"/>
    <w:rsid w:val="00553B58"/>
    <w:rsid w:val="00596C0A"/>
    <w:rsid w:val="00632DC6"/>
    <w:rsid w:val="00684259"/>
    <w:rsid w:val="00696883"/>
    <w:rsid w:val="006C1C4E"/>
    <w:rsid w:val="006E2A8C"/>
    <w:rsid w:val="006F36F1"/>
    <w:rsid w:val="0070426F"/>
    <w:rsid w:val="00717E0A"/>
    <w:rsid w:val="007B77B3"/>
    <w:rsid w:val="007D564A"/>
    <w:rsid w:val="00823F3D"/>
    <w:rsid w:val="008A4A57"/>
    <w:rsid w:val="008D716F"/>
    <w:rsid w:val="00935538"/>
    <w:rsid w:val="00950887"/>
    <w:rsid w:val="00970E54"/>
    <w:rsid w:val="009D290E"/>
    <w:rsid w:val="00A46607"/>
    <w:rsid w:val="00A610C6"/>
    <w:rsid w:val="00A84F89"/>
    <w:rsid w:val="00A961CA"/>
    <w:rsid w:val="00AD2CD3"/>
    <w:rsid w:val="00B13FD0"/>
    <w:rsid w:val="00B201F5"/>
    <w:rsid w:val="00B2238F"/>
    <w:rsid w:val="00B42CF5"/>
    <w:rsid w:val="00B63457"/>
    <w:rsid w:val="00BF288F"/>
    <w:rsid w:val="00C1047F"/>
    <w:rsid w:val="00C35D94"/>
    <w:rsid w:val="00CF2CBC"/>
    <w:rsid w:val="00D35D01"/>
    <w:rsid w:val="00D93A1A"/>
    <w:rsid w:val="00DB7144"/>
    <w:rsid w:val="00DC7257"/>
    <w:rsid w:val="00DE54B0"/>
    <w:rsid w:val="00DE5BCE"/>
    <w:rsid w:val="00E24DD9"/>
    <w:rsid w:val="00E7288F"/>
    <w:rsid w:val="00EA0FEF"/>
    <w:rsid w:val="00EB658C"/>
    <w:rsid w:val="00EE5213"/>
    <w:rsid w:val="00F72BB2"/>
    <w:rsid w:val="00F7453A"/>
    <w:rsid w:val="00FC6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B841"/>
  <w15:chartTrackingRefBased/>
  <w15:docId w15:val="{CDFD970F-93C8-4C74-9084-96318CC3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F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0FEF"/>
  </w:style>
  <w:style w:type="paragraph" w:styleId="ListParagraph">
    <w:name w:val="List Paragraph"/>
    <w:basedOn w:val="Normal"/>
    <w:uiPriority w:val="34"/>
    <w:qFormat/>
    <w:rsid w:val="00EA0FEF"/>
    <w:pPr>
      <w:ind w:left="720"/>
      <w:contextualSpacing/>
    </w:pPr>
  </w:style>
  <w:style w:type="paragraph" w:styleId="Footer">
    <w:name w:val="footer"/>
    <w:basedOn w:val="Normal"/>
    <w:link w:val="FooterChar"/>
    <w:uiPriority w:val="99"/>
    <w:unhideWhenUsed/>
    <w:rsid w:val="00EE52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5213"/>
  </w:style>
  <w:style w:type="character" w:styleId="CommentReference">
    <w:name w:val="annotation reference"/>
    <w:basedOn w:val="DefaultParagraphFont"/>
    <w:uiPriority w:val="99"/>
    <w:semiHidden/>
    <w:unhideWhenUsed/>
    <w:rsid w:val="002637AE"/>
    <w:rPr>
      <w:sz w:val="16"/>
      <w:szCs w:val="16"/>
    </w:rPr>
  </w:style>
  <w:style w:type="paragraph" w:styleId="CommentText">
    <w:name w:val="annotation text"/>
    <w:basedOn w:val="Normal"/>
    <w:link w:val="CommentTextChar"/>
    <w:uiPriority w:val="99"/>
    <w:semiHidden/>
    <w:unhideWhenUsed/>
    <w:rsid w:val="002637AE"/>
    <w:pPr>
      <w:spacing w:line="240" w:lineRule="auto"/>
    </w:pPr>
    <w:rPr>
      <w:sz w:val="20"/>
      <w:szCs w:val="20"/>
    </w:rPr>
  </w:style>
  <w:style w:type="character" w:customStyle="1" w:styleId="CommentTextChar">
    <w:name w:val="Comment Text Char"/>
    <w:basedOn w:val="DefaultParagraphFont"/>
    <w:link w:val="CommentText"/>
    <w:uiPriority w:val="99"/>
    <w:semiHidden/>
    <w:rsid w:val="002637AE"/>
    <w:rPr>
      <w:sz w:val="20"/>
      <w:szCs w:val="20"/>
    </w:rPr>
  </w:style>
  <w:style w:type="paragraph" w:styleId="CommentSubject">
    <w:name w:val="annotation subject"/>
    <w:basedOn w:val="CommentText"/>
    <w:next w:val="CommentText"/>
    <w:link w:val="CommentSubjectChar"/>
    <w:uiPriority w:val="99"/>
    <w:semiHidden/>
    <w:unhideWhenUsed/>
    <w:rsid w:val="00935538"/>
    <w:rPr>
      <w:b/>
      <w:bCs/>
    </w:rPr>
  </w:style>
  <w:style w:type="character" w:customStyle="1" w:styleId="CommentSubjectChar">
    <w:name w:val="Comment Subject Char"/>
    <w:basedOn w:val="CommentTextChar"/>
    <w:link w:val="CommentSubject"/>
    <w:uiPriority w:val="99"/>
    <w:semiHidden/>
    <w:rsid w:val="00935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798</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משפטית/נאיה שלום</dc:creator>
  <cp:keywords/>
  <dc:description/>
  <cp:lastModifiedBy>ארבל דו גלאון - בית הדין לערעורים/מש"ק משפט</cp:lastModifiedBy>
  <cp:revision>6</cp:revision>
  <cp:lastPrinted>2025-05-14T07:49:00Z</cp:lastPrinted>
  <dcterms:created xsi:type="dcterms:W3CDTF">2025-05-14T07:39:00Z</dcterms:created>
  <dcterms:modified xsi:type="dcterms:W3CDTF">2025-05-25T10:52:00Z</dcterms:modified>
</cp:coreProperties>
</file>