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6F24" w14:textId="77777777" w:rsidR="00290793" w:rsidRPr="00126E94" w:rsidRDefault="00290793" w:rsidP="00290793">
      <w:pPr>
        <w:tabs>
          <w:tab w:val="right" w:pos="6328"/>
        </w:tabs>
        <w:spacing w:line="480" w:lineRule="auto"/>
        <w:ind w:left="1985" w:right="1985"/>
        <w:rPr>
          <w:rtl/>
        </w:rPr>
      </w:pPr>
      <w:bookmarkStart w:id="0" w:name="_Hlk149821736"/>
      <w:bookmarkStart w:id="1" w:name="_Hlk149824479"/>
      <w:r w:rsidRPr="00164FD0">
        <w:rPr>
          <w:noProof/>
        </w:rPr>
        <w:drawing>
          <wp:inline distT="0" distB="0" distL="0" distR="0" wp14:anchorId="00BA6C1B" wp14:editId="0AD1E628">
            <wp:extent cx="866775" cy="790575"/>
            <wp:effectExtent l="0" t="0" r="9525" b="9525"/>
            <wp:docPr id="1"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317755AA" wp14:editId="4A1E2486">
            <wp:extent cx="581025" cy="790575"/>
            <wp:effectExtent l="0" t="0" r="9525" b="9525"/>
            <wp:docPr id="2"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1F1881BC" w14:textId="77777777" w:rsidR="00290793" w:rsidRPr="00FD2DDA" w:rsidRDefault="00290793" w:rsidP="00290793">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0A35D1FB" w14:textId="77777777" w:rsidR="00290793" w:rsidRPr="00FD2DDA" w:rsidRDefault="00290793" w:rsidP="00290793">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4DC54500" w14:textId="76E6B609" w:rsidR="00290793" w:rsidRDefault="00542E02" w:rsidP="00290793">
      <w:pPr>
        <w:spacing w:line="240" w:lineRule="auto"/>
        <w:jc w:val="center"/>
        <w:rPr>
          <w:rFonts w:cs="David"/>
          <w:sz w:val="28"/>
          <w:szCs w:val="28"/>
          <w:rtl/>
        </w:rPr>
      </w:pPr>
      <w:r>
        <w:rPr>
          <w:rFonts w:cs="David" w:hint="cs"/>
          <w:b/>
          <w:bCs/>
          <w:sz w:val="28"/>
          <w:szCs w:val="28"/>
          <w:rtl/>
        </w:rPr>
        <w:t>תא"ל נועה זומר</w:t>
      </w:r>
      <w:r w:rsidR="00290793">
        <w:rPr>
          <w:rFonts w:cs="David" w:hint="cs"/>
          <w:sz w:val="28"/>
          <w:szCs w:val="28"/>
          <w:rtl/>
        </w:rPr>
        <w:t xml:space="preserve">    </w:t>
      </w:r>
      <w:r w:rsidR="00290793" w:rsidRPr="00FD2DDA">
        <w:rPr>
          <w:rFonts w:ascii="David" w:hAnsi="David" w:cs="David" w:hint="cs"/>
          <w:b/>
          <w:bCs/>
          <w:sz w:val="28"/>
          <w:szCs w:val="28"/>
          <w:rtl/>
        </w:rPr>
        <w:t>–</w:t>
      </w:r>
      <w:r w:rsidR="00290793">
        <w:rPr>
          <w:rFonts w:cs="David" w:hint="cs"/>
          <w:sz w:val="28"/>
          <w:szCs w:val="28"/>
          <w:rtl/>
        </w:rPr>
        <w:t xml:space="preserve">   </w:t>
      </w:r>
      <w:r>
        <w:rPr>
          <w:rFonts w:cs="David" w:hint="cs"/>
          <w:sz w:val="28"/>
          <w:szCs w:val="28"/>
          <w:rtl/>
        </w:rPr>
        <w:t>המשנה לנשיאה</w:t>
      </w:r>
    </w:p>
    <w:p w14:paraId="0BE2627F" w14:textId="77777777" w:rsidR="00542E02" w:rsidRPr="00542E02" w:rsidRDefault="00542E02" w:rsidP="00290793">
      <w:pPr>
        <w:spacing w:line="240" w:lineRule="auto"/>
        <w:jc w:val="center"/>
        <w:rPr>
          <w:rFonts w:cs="David"/>
          <w:sz w:val="4"/>
          <w:szCs w:val="4"/>
          <w:rtl/>
        </w:rPr>
      </w:pPr>
    </w:p>
    <w:p w14:paraId="23F50165" w14:textId="2997C6D8" w:rsidR="00290793" w:rsidRDefault="00290793" w:rsidP="00290793">
      <w:pPr>
        <w:rPr>
          <w:rFonts w:ascii="David" w:hAnsi="David" w:cs="David"/>
          <w:sz w:val="28"/>
          <w:szCs w:val="28"/>
          <w:rtl/>
        </w:rPr>
      </w:pPr>
      <w:r w:rsidRPr="00FD2DDA">
        <w:rPr>
          <w:rFonts w:ascii="David" w:hAnsi="David" w:cs="David" w:hint="cs"/>
          <w:sz w:val="28"/>
          <w:szCs w:val="28"/>
          <w:rtl/>
        </w:rPr>
        <w:t>בעניין:</w:t>
      </w:r>
    </w:p>
    <w:p w14:paraId="3EB4245C" w14:textId="77777777" w:rsidR="00542E02" w:rsidRPr="00542E02" w:rsidRDefault="00542E02" w:rsidP="00290793">
      <w:pPr>
        <w:rPr>
          <w:rFonts w:ascii="David" w:hAnsi="David" w:cs="David"/>
          <w:sz w:val="14"/>
          <w:szCs w:val="14"/>
          <w:rtl/>
        </w:rPr>
      </w:pPr>
    </w:p>
    <w:p w14:paraId="094344DB" w14:textId="50DEE9B4" w:rsidR="00290793" w:rsidRPr="00FD2DDA" w:rsidRDefault="00290793" w:rsidP="00290793">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sidR="00542E02">
        <w:rPr>
          <w:rFonts w:ascii="David" w:hAnsi="David" w:cs="David" w:hint="cs"/>
          <w:sz w:val="28"/>
          <w:szCs w:val="28"/>
          <w:rtl/>
        </w:rPr>
        <w:t xml:space="preserve"> סרן לירן </w:t>
      </w:r>
      <w:proofErr w:type="spellStart"/>
      <w:r w:rsidR="00542E02">
        <w:rPr>
          <w:rFonts w:ascii="David" w:hAnsi="David" w:cs="David" w:hint="cs"/>
          <w:sz w:val="28"/>
          <w:szCs w:val="28"/>
          <w:rtl/>
        </w:rPr>
        <w:t>שצ'וקין</w:t>
      </w:r>
      <w:proofErr w:type="spellEnd"/>
      <w:r w:rsidR="00542E02">
        <w:rPr>
          <w:rFonts w:ascii="David" w:hAnsi="David" w:cs="David" w:hint="cs"/>
          <w:sz w:val="28"/>
          <w:szCs w:val="28"/>
          <w:rtl/>
        </w:rPr>
        <w:t xml:space="preserve">; סגן הגר </w:t>
      </w:r>
      <w:proofErr w:type="spellStart"/>
      <w:r w:rsidR="00542E02">
        <w:rPr>
          <w:rFonts w:ascii="David" w:hAnsi="David" w:cs="David" w:hint="cs"/>
          <w:sz w:val="28"/>
          <w:szCs w:val="28"/>
          <w:rtl/>
        </w:rPr>
        <w:t>לבנטר</w:t>
      </w:r>
      <w:proofErr w:type="spellEnd"/>
      <w:r w:rsidRPr="00FD2DDA">
        <w:rPr>
          <w:rFonts w:ascii="David" w:hAnsi="David" w:cs="David" w:hint="cs"/>
          <w:sz w:val="28"/>
          <w:szCs w:val="28"/>
          <w:rtl/>
        </w:rPr>
        <w:t>)</w:t>
      </w:r>
    </w:p>
    <w:p w14:paraId="74B52BC5" w14:textId="77777777" w:rsidR="00290793" w:rsidRPr="00FD2DDA" w:rsidRDefault="00290793" w:rsidP="00290793">
      <w:pPr>
        <w:jc w:val="center"/>
        <w:rPr>
          <w:rFonts w:ascii="David" w:hAnsi="David" w:cs="David"/>
          <w:sz w:val="28"/>
          <w:szCs w:val="28"/>
          <w:rtl/>
        </w:rPr>
      </w:pPr>
    </w:p>
    <w:p w14:paraId="655D16D5" w14:textId="1FE3B9BC" w:rsidR="00290793" w:rsidRDefault="00290793" w:rsidP="00290793">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7E5932BE" w14:textId="77777777" w:rsidR="00542E02" w:rsidRPr="00542E02" w:rsidRDefault="00542E02" w:rsidP="00290793">
      <w:pPr>
        <w:spacing w:after="360"/>
        <w:jc w:val="center"/>
        <w:rPr>
          <w:rFonts w:ascii="David" w:hAnsi="David" w:cs="David"/>
          <w:b/>
          <w:bCs/>
          <w:sz w:val="14"/>
          <w:szCs w:val="14"/>
          <w:rtl/>
        </w:rPr>
      </w:pPr>
    </w:p>
    <w:p w14:paraId="3F41C35E" w14:textId="2F9D7897" w:rsidR="00290793" w:rsidRDefault="00542E02" w:rsidP="00290793">
      <w:pPr>
        <w:spacing w:after="120"/>
        <w:jc w:val="center"/>
        <w:rPr>
          <w:rFonts w:ascii="David" w:hAnsi="David" w:cs="David"/>
          <w:sz w:val="28"/>
          <w:szCs w:val="28"/>
          <w:rtl/>
        </w:rPr>
      </w:pPr>
      <w:r>
        <w:rPr>
          <w:rFonts w:ascii="Times New Roman" w:eastAsia="Times New Roman" w:hAnsi="Times New Roman" w:cs="David" w:hint="cs"/>
          <w:b/>
          <w:bCs/>
          <w:sz w:val="32"/>
          <w:szCs w:val="28"/>
          <w:rtl/>
        </w:rPr>
        <w:t>מ</w:t>
      </w:r>
      <w:r w:rsidR="00290793" w:rsidRPr="00251330">
        <w:rPr>
          <w:rFonts w:ascii="Times New Roman" w:eastAsia="Times New Roman" w:hAnsi="Times New Roman" w:cs="David" w:hint="cs"/>
          <w:b/>
          <w:bCs/>
          <w:sz w:val="32"/>
          <w:szCs w:val="28"/>
          <w:rtl/>
        </w:rPr>
        <w:t>/</w:t>
      </w:r>
      <w:r w:rsidR="000D14C9">
        <w:rPr>
          <w:rFonts w:ascii="Times New Roman" w:eastAsia="Times New Roman" w:hAnsi="Times New Roman" w:cs="David" w:hint="cs"/>
          <w:b/>
          <w:bCs/>
          <w:sz w:val="32"/>
          <w:szCs w:val="28"/>
        </w:rPr>
        <w:t>XXXXXXX</w:t>
      </w:r>
      <w:r w:rsidR="00290793" w:rsidRPr="00251330">
        <w:rPr>
          <w:rFonts w:ascii="Times New Roman" w:eastAsia="Times New Roman" w:hAnsi="Times New Roman" w:cs="David" w:hint="cs"/>
          <w:b/>
          <w:bCs/>
          <w:sz w:val="32"/>
          <w:szCs w:val="28"/>
          <w:rtl/>
        </w:rPr>
        <w:t xml:space="preserve"> </w:t>
      </w:r>
      <w:r>
        <w:rPr>
          <w:rFonts w:ascii="David" w:hAnsi="David" w:cs="David" w:hint="cs"/>
          <w:b/>
          <w:bCs/>
          <w:sz w:val="28"/>
          <w:szCs w:val="28"/>
          <w:rtl/>
        </w:rPr>
        <w:t xml:space="preserve">רס"ל (מיל') </w:t>
      </w:r>
      <w:r w:rsidR="000D14C9">
        <w:rPr>
          <w:rFonts w:ascii="David" w:hAnsi="David" w:cs="David" w:hint="cs"/>
          <w:b/>
          <w:bCs/>
          <w:sz w:val="28"/>
          <w:szCs w:val="28"/>
          <w:rtl/>
        </w:rPr>
        <w:t>ב' ע'</w:t>
      </w:r>
      <w:r w:rsidR="00290793" w:rsidRPr="00FD2DDA">
        <w:rPr>
          <w:rFonts w:ascii="David" w:hAnsi="David" w:cs="David" w:hint="cs"/>
          <w:b/>
          <w:bCs/>
          <w:sz w:val="28"/>
          <w:szCs w:val="28"/>
          <w:rtl/>
        </w:rPr>
        <w:t xml:space="preserve"> –</w:t>
      </w:r>
      <w:r w:rsidR="00290793" w:rsidRPr="00FD2DDA">
        <w:rPr>
          <w:rFonts w:ascii="David" w:hAnsi="David" w:cs="David" w:hint="cs"/>
          <w:sz w:val="28"/>
          <w:szCs w:val="28"/>
          <w:rtl/>
        </w:rPr>
        <w:t xml:space="preserve"> המשיב (ע"י ב"כ,</w:t>
      </w:r>
      <w:r w:rsidR="00290793">
        <w:rPr>
          <w:rFonts w:ascii="David" w:hAnsi="David" w:cs="David" w:hint="cs"/>
          <w:sz w:val="28"/>
          <w:szCs w:val="28"/>
          <w:rtl/>
        </w:rPr>
        <w:t xml:space="preserve"> עו"ד</w:t>
      </w:r>
      <w:r>
        <w:rPr>
          <w:rFonts w:ascii="David" w:hAnsi="David" w:cs="David" w:hint="cs"/>
          <w:sz w:val="28"/>
          <w:szCs w:val="28"/>
          <w:rtl/>
        </w:rPr>
        <w:t xml:space="preserve"> מור ברכה; עו"ד אריאל ישראל</w:t>
      </w:r>
      <w:r w:rsidR="00290793" w:rsidRPr="00FD2DDA">
        <w:rPr>
          <w:rFonts w:ascii="David" w:hAnsi="David" w:cs="David" w:hint="cs"/>
          <w:sz w:val="28"/>
          <w:szCs w:val="28"/>
          <w:rtl/>
        </w:rPr>
        <w:t>)</w:t>
      </w:r>
    </w:p>
    <w:p w14:paraId="49517C74" w14:textId="696368DB" w:rsidR="00EA7DE9" w:rsidRDefault="00EA7DE9" w:rsidP="00290793">
      <w:pPr>
        <w:spacing w:after="120"/>
        <w:jc w:val="center"/>
        <w:rPr>
          <w:rFonts w:ascii="David" w:hAnsi="David" w:cs="David"/>
          <w:sz w:val="28"/>
          <w:szCs w:val="28"/>
          <w:rtl/>
        </w:rPr>
      </w:pPr>
    </w:p>
    <w:p w14:paraId="25BA781F" w14:textId="77777777" w:rsidR="00EA7DE9" w:rsidRDefault="00EA7DE9" w:rsidP="00290793">
      <w:pPr>
        <w:spacing w:after="120"/>
        <w:jc w:val="center"/>
        <w:rPr>
          <w:rFonts w:ascii="David" w:hAnsi="David" w:cs="David"/>
          <w:sz w:val="28"/>
          <w:szCs w:val="28"/>
          <w:rtl/>
        </w:rPr>
      </w:pPr>
    </w:p>
    <w:p w14:paraId="58F0CCC1" w14:textId="77777777" w:rsidR="00290793" w:rsidRPr="00FD2DDA" w:rsidRDefault="00290793" w:rsidP="00290793">
      <w:pPr>
        <w:spacing w:after="360" w:line="360" w:lineRule="auto"/>
        <w:rPr>
          <w:rFonts w:ascii="David" w:hAnsi="David" w:cs="David"/>
          <w:b/>
          <w:bCs/>
          <w:sz w:val="28"/>
          <w:szCs w:val="28"/>
          <w:u w:val="single"/>
          <w:rtl/>
        </w:rPr>
      </w:pPr>
    </w:p>
    <w:bookmarkEnd w:id="0"/>
    <w:bookmarkEnd w:id="1"/>
    <w:p w14:paraId="335D44D5" w14:textId="562044FB" w:rsidR="00542E02" w:rsidRDefault="00290793" w:rsidP="00EA7DE9">
      <w:pPr>
        <w:spacing w:after="360" w:line="360" w:lineRule="auto"/>
        <w:jc w:val="both"/>
        <w:rPr>
          <w:rFonts w:ascii="David" w:hAnsi="David" w:cs="David"/>
          <w:sz w:val="28"/>
          <w:szCs w:val="28"/>
          <w:rtl/>
        </w:rPr>
      </w:pPr>
      <w:r w:rsidRPr="00EE22D0">
        <w:rPr>
          <w:rFonts w:ascii="David" w:hAnsi="David" w:cs="David" w:hint="cs"/>
          <w:sz w:val="28"/>
          <w:szCs w:val="28"/>
          <w:rtl/>
        </w:rPr>
        <w:t xml:space="preserve">ערעור על החלטה של בית הדין הצבאי המחוזי במחוז שיפוטי </w:t>
      </w:r>
      <w:r w:rsidR="00542E02">
        <w:rPr>
          <w:rFonts w:ascii="David" w:hAnsi="David" w:cs="David" w:hint="cs"/>
          <w:sz w:val="28"/>
          <w:szCs w:val="28"/>
          <w:rtl/>
        </w:rPr>
        <w:t>העורף</w:t>
      </w:r>
      <w:r w:rsidRPr="00EE22D0">
        <w:rPr>
          <w:rFonts w:ascii="David" w:hAnsi="David" w:cs="David" w:hint="cs"/>
          <w:sz w:val="28"/>
          <w:szCs w:val="28"/>
          <w:rtl/>
        </w:rPr>
        <w:t xml:space="preserve"> שניתן בתיק </w:t>
      </w:r>
      <w:r w:rsidR="00542E02">
        <w:rPr>
          <w:rFonts w:ascii="David" w:hAnsi="David" w:cs="David" w:hint="cs"/>
          <w:sz w:val="28"/>
          <w:szCs w:val="28"/>
          <w:rtl/>
        </w:rPr>
        <w:t>עורף</w:t>
      </w:r>
      <w:r w:rsidRPr="00EE22D0">
        <w:rPr>
          <w:rFonts w:ascii="David" w:hAnsi="David" w:cs="David" w:hint="cs"/>
          <w:sz w:val="28"/>
          <w:szCs w:val="28"/>
          <w:rtl/>
        </w:rPr>
        <w:t xml:space="preserve"> </w:t>
      </w:r>
      <w:proofErr w:type="spellStart"/>
      <w:r w:rsidRPr="00EE22D0">
        <w:rPr>
          <w:rFonts w:ascii="David" w:hAnsi="David" w:cs="David" w:hint="cs"/>
          <w:sz w:val="28"/>
          <w:szCs w:val="28"/>
          <w:rtl/>
        </w:rPr>
        <w:t>מ"</w:t>
      </w:r>
      <w:r w:rsidR="00542E02">
        <w:rPr>
          <w:rFonts w:ascii="David" w:hAnsi="David" w:cs="David" w:hint="cs"/>
          <w:sz w:val="28"/>
          <w:szCs w:val="28"/>
          <w:rtl/>
        </w:rPr>
        <w:t>ת</w:t>
      </w:r>
      <w:proofErr w:type="spellEnd"/>
      <w:r w:rsidRPr="00EE22D0">
        <w:rPr>
          <w:rFonts w:ascii="David" w:hAnsi="David" w:cs="David" w:hint="cs"/>
          <w:sz w:val="28"/>
          <w:szCs w:val="28"/>
          <w:rtl/>
        </w:rPr>
        <w:t xml:space="preserve"> </w:t>
      </w:r>
      <w:r w:rsidR="00542E02">
        <w:rPr>
          <w:rFonts w:ascii="David" w:hAnsi="David" w:cs="David" w:hint="cs"/>
          <w:sz w:val="28"/>
          <w:szCs w:val="28"/>
          <w:rtl/>
        </w:rPr>
        <w:t>19816</w:t>
      </w:r>
      <w:r w:rsidRPr="00EE22D0">
        <w:rPr>
          <w:rFonts w:ascii="David" w:hAnsi="David" w:cs="David" w:hint="cs"/>
          <w:sz w:val="28"/>
          <w:szCs w:val="28"/>
          <w:rtl/>
        </w:rPr>
        <w:t>-0</w:t>
      </w:r>
      <w:r w:rsidR="00542E02">
        <w:rPr>
          <w:rFonts w:ascii="David" w:hAnsi="David" w:cs="David" w:hint="cs"/>
          <w:sz w:val="28"/>
          <w:szCs w:val="28"/>
          <w:rtl/>
        </w:rPr>
        <w:t>8</w:t>
      </w:r>
      <w:r w:rsidRPr="00EE22D0">
        <w:rPr>
          <w:rFonts w:ascii="David" w:hAnsi="David" w:cs="David" w:hint="cs"/>
          <w:sz w:val="28"/>
          <w:szCs w:val="28"/>
          <w:rtl/>
        </w:rPr>
        <w:t xml:space="preserve">-25 (סא"ל </w:t>
      </w:r>
      <w:r w:rsidR="00542E02">
        <w:rPr>
          <w:rFonts w:ascii="David" w:hAnsi="David" w:cs="David" w:hint="cs"/>
          <w:sz w:val="28"/>
          <w:szCs w:val="28"/>
          <w:rtl/>
        </w:rPr>
        <w:t xml:space="preserve">טובי הארט </w:t>
      </w:r>
      <w:r w:rsidR="00542E02">
        <w:rPr>
          <w:rFonts w:ascii="David" w:hAnsi="David" w:cs="David"/>
          <w:sz w:val="28"/>
          <w:szCs w:val="28"/>
          <w:rtl/>
        </w:rPr>
        <w:t>–</w:t>
      </w:r>
      <w:r w:rsidR="00542E02">
        <w:rPr>
          <w:rFonts w:ascii="David" w:hAnsi="David" w:cs="David" w:hint="cs"/>
          <w:sz w:val="28"/>
          <w:szCs w:val="28"/>
          <w:rtl/>
        </w:rPr>
        <w:t xml:space="preserve"> סגן הנשיא</w:t>
      </w:r>
      <w:r w:rsidRPr="00EE22D0">
        <w:rPr>
          <w:rFonts w:ascii="David" w:hAnsi="David" w:cs="David" w:hint="cs"/>
          <w:sz w:val="28"/>
          <w:szCs w:val="28"/>
          <w:rtl/>
        </w:rPr>
        <w:t xml:space="preserve">) ביום </w:t>
      </w:r>
      <w:r w:rsidR="00542E02">
        <w:rPr>
          <w:rFonts w:ascii="David" w:hAnsi="David" w:cs="David" w:hint="cs"/>
          <w:sz w:val="28"/>
          <w:szCs w:val="28"/>
          <w:rtl/>
        </w:rPr>
        <w:t>25.11</w:t>
      </w:r>
      <w:r w:rsidRPr="00EE22D0">
        <w:rPr>
          <w:rFonts w:ascii="David" w:hAnsi="David" w:cs="David" w:hint="cs"/>
          <w:sz w:val="28"/>
          <w:szCs w:val="28"/>
          <w:rtl/>
        </w:rPr>
        <w:t>.2025. הערעור נדחה.</w:t>
      </w:r>
    </w:p>
    <w:p w14:paraId="50FF3364" w14:textId="77777777" w:rsidR="00EA7DE9" w:rsidRDefault="00EA7DE9" w:rsidP="00EA7DE9">
      <w:pPr>
        <w:spacing w:after="360" w:line="360" w:lineRule="auto"/>
        <w:jc w:val="both"/>
        <w:rPr>
          <w:rFonts w:ascii="David" w:hAnsi="David" w:cs="David"/>
          <w:sz w:val="28"/>
          <w:szCs w:val="28"/>
          <w:rtl/>
        </w:rPr>
      </w:pPr>
    </w:p>
    <w:p w14:paraId="18AA3912" w14:textId="77777777" w:rsidR="00EA7DE9" w:rsidRPr="00542E02" w:rsidRDefault="00EA7DE9" w:rsidP="00EA7DE9">
      <w:pPr>
        <w:spacing w:after="360" w:line="360" w:lineRule="auto"/>
        <w:jc w:val="both"/>
        <w:rPr>
          <w:rFonts w:ascii="David" w:hAnsi="David" w:cs="David"/>
          <w:sz w:val="28"/>
          <w:szCs w:val="28"/>
          <w:rtl/>
        </w:rPr>
      </w:pPr>
    </w:p>
    <w:p w14:paraId="1A9EF2FB" w14:textId="6197ECF7" w:rsidR="001A4E94" w:rsidRPr="00290793" w:rsidRDefault="00290793" w:rsidP="00290793">
      <w:pPr>
        <w:jc w:val="center"/>
        <w:rPr>
          <w:rFonts w:ascii="David" w:hAnsi="David" w:cs="David"/>
          <w:b/>
          <w:bCs/>
          <w:sz w:val="28"/>
          <w:szCs w:val="28"/>
          <w:u w:val="single"/>
          <w:rtl/>
        </w:rPr>
      </w:pPr>
      <w:r w:rsidRPr="00290793">
        <w:rPr>
          <w:rFonts w:ascii="David" w:hAnsi="David" w:cs="David" w:hint="cs"/>
          <w:b/>
          <w:bCs/>
          <w:sz w:val="28"/>
          <w:szCs w:val="28"/>
          <w:u w:val="single"/>
          <w:rtl/>
        </w:rPr>
        <w:t>ה ח ל ט ה</w:t>
      </w:r>
    </w:p>
    <w:p w14:paraId="398B4785" w14:textId="345F0C3C" w:rsidR="00290793" w:rsidRPr="00EA7DE9" w:rsidRDefault="00290793" w:rsidP="00EA7DE9">
      <w:pPr>
        <w:spacing w:line="336" w:lineRule="auto"/>
        <w:jc w:val="both"/>
        <w:rPr>
          <w:rFonts w:ascii="David" w:hAnsi="David" w:cs="David"/>
          <w:sz w:val="28"/>
          <w:szCs w:val="28"/>
          <w:rtl/>
        </w:rPr>
      </w:pPr>
      <w:r w:rsidRPr="00EA7DE9">
        <w:rPr>
          <w:rFonts w:ascii="David" w:hAnsi="David" w:cs="David" w:hint="cs"/>
          <w:sz w:val="28"/>
          <w:szCs w:val="28"/>
          <w:rtl/>
        </w:rPr>
        <w:t>מצאתי לדחות את ערעור התביעה. המזכירות תוודא מול מזכירות בית הדין קמא כי המשיב אכן מילא את כלל התנאים שנקבעו בשחרורו ממעצר. לסעיף 4 בתנאים אל</w:t>
      </w:r>
      <w:r w:rsidR="00EA7DE9">
        <w:rPr>
          <w:rFonts w:ascii="David" w:hAnsi="David" w:cs="David" w:hint="cs"/>
          <w:sz w:val="28"/>
          <w:szCs w:val="28"/>
          <w:rtl/>
        </w:rPr>
        <w:t>ה</w:t>
      </w:r>
      <w:r w:rsidRPr="00EA7DE9">
        <w:rPr>
          <w:rFonts w:ascii="David" w:hAnsi="David" w:cs="David" w:hint="cs"/>
          <w:sz w:val="28"/>
          <w:szCs w:val="28"/>
          <w:rtl/>
        </w:rPr>
        <w:t xml:space="preserve">, כמופיע בהחלטתו של בית הדין קמא, תתווסף הבהרה שלפיה המשיב יוכל לערוך שיחות באמצעות טלפון "כשר" בלבד (ללא מצלמה וללא גישה למרשתת), המצוי ברשות המפקחים. השיחות </w:t>
      </w:r>
      <w:r w:rsidRPr="00EA7DE9">
        <w:rPr>
          <w:rFonts w:ascii="David" w:hAnsi="David" w:cs="David" w:hint="cs"/>
          <w:sz w:val="28"/>
          <w:szCs w:val="28"/>
          <w:rtl/>
        </w:rPr>
        <w:lastRenderedPageBreak/>
        <w:t xml:space="preserve">ייערכו, כפי שנקבע, </w:t>
      </w:r>
      <w:r w:rsidR="00EA7DE9">
        <w:rPr>
          <w:rFonts w:ascii="David" w:hAnsi="David" w:cs="David" w:hint="cs"/>
          <w:sz w:val="28"/>
          <w:szCs w:val="28"/>
          <w:rtl/>
        </w:rPr>
        <w:t>ב</w:t>
      </w:r>
      <w:r w:rsidRPr="00EA7DE9">
        <w:rPr>
          <w:rFonts w:ascii="David" w:hAnsi="David" w:cs="David" w:hint="cs"/>
          <w:sz w:val="28"/>
          <w:szCs w:val="28"/>
          <w:rtl/>
        </w:rPr>
        <w:t>נ</w:t>
      </w:r>
      <w:r w:rsidR="00355EE9">
        <w:rPr>
          <w:rFonts w:ascii="David" w:hAnsi="David" w:cs="David" w:hint="cs"/>
          <w:sz w:val="28"/>
          <w:szCs w:val="28"/>
          <w:rtl/>
        </w:rPr>
        <w:t>וכ</w:t>
      </w:r>
      <w:r w:rsidRPr="00EA7DE9">
        <w:rPr>
          <w:rFonts w:ascii="David" w:hAnsi="David" w:cs="David" w:hint="cs"/>
          <w:sz w:val="28"/>
          <w:szCs w:val="28"/>
          <w:rtl/>
        </w:rPr>
        <w:t xml:space="preserve">חות אחד מהמפקחים. נרשמה הצהרת הסנגור, שלפיה בבית אימו של המשיב, שם ישהה במעצר בית מלא, לא מצוי מחשב או מכשיר </w:t>
      </w:r>
      <w:proofErr w:type="spellStart"/>
      <w:r w:rsidRPr="00EA7DE9">
        <w:rPr>
          <w:rFonts w:ascii="David" w:hAnsi="David" w:cs="David" w:hint="cs"/>
          <w:sz w:val="28"/>
          <w:szCs w:val="28"/>
          <w:rtl/>
        </w:rPr>
        <w:t>טאבלט</w:t>
      </w:r>
      <w:proofErr w:type="spellEnd"/>
      <w:r w:rsidRPr="00EA7DE9">
        <w:rPr>
          <w:rFonts w:ascii="David" w:hAnsi="David" w:cs="David" w:hint="cs"/>
          <w:sz w:val="28"/>
          <w:szCs w:val="28"/>
          <w:rtl/>
        </w:rPr>
        <w:t>.</w:t>
      </w:r>
    </w:p>
    <w:p w14:paraId="3BE7C9EB" w14:textId="49C78B86" w:rsidR="00290793" w:rsidRPr="00EA7DE9" w:rsidRDefault="00290793" w:rsidP="00EA7DE9">
      <w:pPr>
        <w:spacing w:line="336" w:lineRule="auto"/>
        <w:jc w:val="both"/>
        <w:rPr>
          <w:rFonts w:ascii="David" w:hAnsi="David" w:cs="David"/>
          <w:sz w:val="28"/>
          <w:szCs w:val="28"/>
          <w:rtl/>
        </w:rPr>
      </w:pPr>
      <w:r w:rsidRPr="00EA7DE9">
        <w:rPr>
          <w:rFonts w:ascii="David" w:hAnsi="David" w:cs="David" w:hint="cs"/>
          <w:sz w:val="28"/>
          <w:szCs w:val="28"/>
          <w:rtl/>
        </w:rPr>
        <w:t>נימוקים להחלטה זו יינתנו בהקדם.</w:t>
      </w:r>
    </w:p>
    <w:p w14:paraId="35840A47" w14:textId="7D9EF993" w:rsidR="00290793" w:rsidRDefault="00290793" w:rsidP="00542E02">
      <w:pPr>
        <w:rPr>
          <w:rFonts w:ascii="David" w:hAnsi="David" w:cs="David"/>
          <w:b/>
          <w:bCs/>
          <w:sz w:val="28"/>
          <w:szCs w:val="28"/>
          <w:rtl/>
        </w:rPr>
      </w:pPr>
      <w:r w:rsidRPr="00290793">
        <w:rPr>
          <w:rFonts w:ascii="David" w:hAnsi="David" w:cs="David" w:hint="cs"/>
          <w:b/>
          <w:bCs/>
          <w:sz w:val="28"/>
          <w:szCs w:val="28"/>
          <w:rtl/>
        </w:rPr>
        <w:t xml:space="preserve">ניתנה והודעה היום, ו' בכסלו </w:t>
      </w:r>
      <w:proofErr w:type="spellStart"/>
      <w:r w:rsidRPr="00290793">
        <w:rPr>
          <w:rFonts w:ascii="David" w:hAnsi="David" w:cs="David" w:hint="cs"/>
          <w:b/>
          <w:bCs/>
          <w:sz w:val="28"/>
          <w:szCs w:val="28"/>
          <w:rtl/>
        </w:rPr>
        <w:t>התשפ"ו</w:t>
      </w:r>
      <w:proofErr w:type="spellEnd"/>
      <w:r w:rsidRPr="00290793">
        <w:rPr>
          <w:rFonts w:ascii="David" w:hAnsi="David" w:cs="David" w:hint="cs"/>
          <w:b/>
          <w:bCs/>
          <w:sz w:val="28"/>
          <w:szCs w:val="28"/>
          <w:rtl/>
        </w:rPr>
        <w:t xml:space="preserve">, </w:t>
      </w:r>
      <w:r w:rsidR="00256473">
        <w:rPr>
          <w:rFonts w:ascii="David" w:hAnsi="David" w:cs="David" w:hint="cs"/>
          <w:b/>
          <w:bCs/>
          <w:sz w:val="28"/>
          <w:szCs w:val="28"/>
          <w:rtl/>
        </w:rPr>
        <w:t>26.11.2025</w:t>
      </w:r>
      <w:r w:rsidRPr="00290793">
        <w:rPr>
          <w:rFonts w:ascii="David" w:hAnsi="David" w:cs="David" w:hint="cs"/>
          <w:b/>
          <w:bCs/>
          <w:sz w:val="28"/>
          <w:szCs w:val="28"/>
          <w:rtl/>
        </w:rPr>
        <w:t xml:space="preserve"> במעמד הנוכחים</w:t>
      </w:r>
      <w:r w:rsidR="00256473">
        <w:rPr>
          <w:rFonts w:ascii="David" w:hAnsi="David" w:cs="David" w:hint="cs"/>
          <w:b/>
          <w:bCs/>
          <w:sz w:val="28"/>
          <w:szCs w:val="28"/>
          <w:rtl/>
        </w:rPr>
        <w:t>.</w:t>
      </w:r>
    </w:p>
    <w:p w14:paraId="56D98512" w14:textId="77777777" w:rsidR="00EA7DE9" w:rsidRDefault="00EA7DE9" w:rsidP="00542E02">
      <w:pPr>
        <w:rPr>
          <w:rFonts w:ascii="David" w:hAnsi="David" w:cs="David"/>
          <w:b/>
          <w:bCs/>
          <w:sz w:val="28"/>
          <w:szCs w:val="28"/>
          <w:rtl/>
        </w:rPr>
      </w:pPr>
    </w:p>
    <w:p w14:paraId="29E04A1E" w14:textId="77777777" w:rsidR="00EA7DE9" w:rsidRPr="006C13BF" w:rsidRDefault="00EA7DE9" w:rsidP="00EA7DE9">
      <w:pPr>
        <w:ind w:left="4959" w:firstLine="720"/>
        <w:rPr>
          <w:rFonts w:ascii="David" w:hAnsi="David" w:cs="David"/>
          <w:b/>
          <w:bCs/>
          <w:sz w:val="28"/>
          <w:szCs w:val="28"/>
          <w:rtl/>
        </w:rPr>
      </w:pPr>
      <w:r w:rsidRPr="006C13BF">
        <w:rPr>
          <w:rFonts w:ascii="David" w:hAnsi="David" w:cs="David"/>
          <w:b/>
          <w:bCs/>
          <w:sz w:val="28"/>
          <w:szCs w:val="28"/>
          <w:rtl/>
        </w:rPr>
        <w:t xml:space="preserve">________________________  </w:t>
      </w:r>
    </w:p>
    <w:p w14:paraId="53D19224" w14:textId="2F7EEAA3" w:rsidR="00EA7DE9" w:rsidRDefault="00EA7DE9" w:rsidP="00EA7DE9">
      <w:pPr>
        <w:spacing w:line="360" w:lineRule="auto"/>
        <w:ind w:left="5668" w:hanging="709"/>
        <w:rPr>
          <w:rFonts w:ascii="David" w:hAnsi="David" w:cs="David"/>
          <w:b/>
          <w:bCs/>
          <w:sz w:val="28"/>
          <w:szCs w:val="28"/>
          <w:rtl/>
        </w:rPr>
      </w:pPr>
      <w:r>
        <w:rPr>
          <w:rFonts w:ascii="David" w:hAnsi="David" w:cs="David" w:hint="cs"/>
          <w:b/>
          <w:bCs/>
          <w:sz w:val="28"/>
          <w:szCs w:val="28"/>
          <w:rtl/>
        </w:rPr>
        <w:t xml:space="preserve">           </w:t>
      </w:r>
      <w:r w:rsidRPr="006C13BF">
        <w:rPr>
          <w:rFonts w:ascii="David" w:hAnsi="David" w:cs="David"/>
          <w:b/>
          <w:bCs/>
          <w:sz w:val="28"/>
          <w:szCs w:val="28"/>
          <w:rtl/>
        </w:rPr>
        <w:t xml:space="preserve">תא"ל            נועה    </w:t>
      </w:r>
      <w:r>
        <w:rPr>
          <w:rFonts w:ascii="David" w:hAnsi="David" w:cs="David" w:hint="cs"/>
          <w:b/>
          <w:bCs/>
          <w:sz w:val="28"/>
          <w:szCs w:val="28"/>
          <w:rtl/>
        </w:rPr>
        <w:t xml:space="preserve">             </w:t>
      </w:r>
      <w:r w:rsidRPr="006C13BF">
        <w:rPr>
          <w:rFonts w:ascii="David" w:hAnsi="David" w:cs="David"/>
          <w:b/>
          <w:bCs/>
          <w:sz w:val="28"/>
          <w:szCs w:val="28"/>
          <w:rtl/>
        </w:rPr>
        <w:t xml:space="preserve"> זומר </w:t>
      </w:r>
      <w:r>
        <w:rPr>
          <w:rFonts w:ascii="David" w:hAnsi="David" w:cs="David" w:hint="cs"/>
          <w:b/>
          <w:bCs/>
          <w:sz w:val="28"/>
          <w:szCs w:val="28"/>
          <w:rtl/>
        </w:rPr>
        <w:t xml:space="preserve">                  </w:t>
      </w:r>
      <w:r w:rsidRPr="006C13BF">
        <w:rPr>
          <w:rFonts w:ascii="David" w:hAnsi="David" w:cs="David"/>
          <w:b/>
          <w:bCs/>
          <w:sz w:val="28"/>
          <w:szCs w:val="28"/>
          <w:rtl/>
        </w:rPr>
        <w:t>המשנה לנשיאת בית הדין הצבאי</w:t>
      </w:r>
      <w:r w:rsidRPr="006C13BF">
        <w:rPr>
          <w:rFonts w:ascii="David" w:hAnsi="David" w:cs="David"/>
          <w:b/>
          <w:bCs/>
          <w:sz w:val="28"/>
          <w:szCs w:val="28"/>
          <w:rtl/>
        </w:rPr>
        <w:br/>
        <w:t>ל      ע     ר     ע     ו       ר     י     ם</w:t>
      </w:r>
    </w:p>
    <w:p w14:paraId="23EE102E" w14:textId="77777777" w:rsidR="00C456A8" w:rsidRDefault="00C456A8" w:rsidP="00542E02">
      <w:pPr>
        <w:rPr>
          <w:rFonts w:ascii="David" w:hAnsi="David" w:cs="David"/>
          <w:b/>
          <w:bCs/>
          <w:sz w:val="28"/>
          <w:szCs w:val="28"/>
          <w:rtl/>
        </w:rPr>
      </w:pPr>
    </w:p>
    <w:p w14:paraId="32DABAC5" w14:textId="53B854BE" w:rsidR="00290793" w:rsidRPr="006C13BF" w:rsidRDefault="00290793" w:rsidP="00290793">
      <w:pPr>
        <w:tabs>
          <w:tab w:val="left" w:pos="8170"/>
        </w:tabs>
        <w:spacing w:line="360" w:lineRule="auto"/>
        <w:ind w:left="-52" w:right="142"/>
        <w:jc w:val="center"/>
        <w:rPr>
          <w:rFonts w:ascii="David" w:hAnsi="David" w:cs="David"/>
          <w:b/>
          <w:bCs/>
          <w:sz w:val="28"/>
          <w:szCs w:val="28"/>
          <w:u w:val="single"/>
          <w:rtl/>
        </w:rPr>
      </w:pPr>
      <w:r>
        <w:rPr>
          <w:rFonts w:ascii="David" w:hAnsi="David" w:cs="David" w:hint="cs"/>
          <w:b/>
          <w:bCs/>
          <w:sz w:val="28"/>
          <w:szCs w:val="28"/>
          <w:u w:val="single"/>
          <w:rtl/>
        </w:rPr>
        <w:t xml:space="preserve">נ י מ ו ק י </w:t>
      </w:r>
      <w:r>
        <w:rPr>
          <w:rFonts w:ascii="David" w:hAnsi="David" w:cs="David"/>
          <w:b/>
          <w:bCs/>
          <w:sz w:val="28"/>
          <w:szCs w:val="28"/>
          <w:u w:val="single"/>
          <w:rtl/>
        </w:rPr>
        <w:t>–</w:t>
      </w:r>
      <w:r>
        <w:rPr>
          <w:rFonts w:ascii="David" w:hAnsi="David" w:cs="David" w:hint="cs"/>
          <w:b/>
          <w:bCs/>
          <w:sz w:val="28"/>
          <w:szCs w:val="28"/>
          <w:u w:val="single"/>
          <w:rtl/>
        </w:rPr>
        <w:t xml:space="preserve"> ה </w:t>
      </w:r>
      <w:proofErr w:type="spellStart"/>
      <w:r w:rsidRPr="006C13BF">
        <w:rPr>
          <w:rFonts w:ascii="David" w:hAnsi="David" w:cs="David"/>
          <w:b/>
          <w:bCs/>
          <w:sz w:val="28"/>
          <w:szCs w:val="28"/>
          <w:u w:val="single"/>
          <w:rtl/>
        </w:rPr>
        <w:t>ה</w:t>
      </w:r>
      <w:proofErr w:type="spellEnd"/>
      <w:r>
        <w:rPr>
          <w:rFonts w:ascii="David" w:hAnsi="David" w:cs="David" w:hint="cs"/>
          <w:b/>
          <w:bCs/>
          <w:sz w:val="28"/>
          <w:szCs w:val="28"/>
          <w:u w:val="single"/>
          <w:rtl/>
        </w:rPr>
        <w:t xml:space="preserve"> </w:t>
      </w:r>
      <w:r w:rsidRPr="006C13BF">
        <w:rPr>
          <w:rFonts w:ascii="David" w:hAnsi="David" w:cs="David"/>
          <w:b/>
          <w:bCs/>
          <w:sz w:val="28"/>
          <w:szCs w:val="28"/>
          <w:u w:val="single"/>
          <w:rtl/>
        </w:rPr>
        <w:t>ח</w:t>
      </w:r>
      <w:r>
        <w:rPr>
          <w:rFonts w:ascii="David" w:hAnsi="David" w:cs="David" w:hint="cs"/>
          <w:b/>
          <w:bCs/>
          <w:sz w:val="28"/>
          <w:szCs w:val="28"/>
          <w:u w:val="single"/>
          <w:rtl/>
        </w:rPr>
        <w:t xml:space="preserve"> </w:t>
      </w:r>
      <w:r w:rsidRPr="006C13BF">
        <w:rPr>
          <w:rFonts w:ascii="David" w:hAnsi="David" w:cs="David"/>
          <w:b/>
          <w:bCs/>
          <w:sz w:val="28"/>
          <w:szCs w:val="28"/>
          <w:u w:val="single"/>
          <w:rtl/>
        </w:rPr>
        <w:t>ל</w:t>
      </w:r>
      <w:r>
        <w:rPr>
          <w:rFonts w:ascii="David" w:hAnsi="David" w:cs="David" w:hint="cs"/>
          <w:b/>
          <w:bCs/>
          <w:sz w:val="28"/>
          <w:szCs w:val="28"/>
          <w:u w:val="single"/>
          <w:rtl/>
        </w:rPr>
        <w:t xml:space="preserve"> </w:t>
      </w:r>
      <w:r w:rsidRPr="006C13BF">
        <w:rPr>
          <w:rFonts w:ascii="David" w:hAnsi="David" w:cs="David"/>
          <w:b/>
          <w:bCs/>
          <w:sz w:val="28"/>
          <w:szCs w:val="28"/>
          <w:u w:val="single"/>
          <w:rtl/>
        </w:rPr>
        <w:t>ט</w:t>
      </w:r>
      <w:r>
        <w:rPr>
          <w:rFonts w:ascii="David" w:hAnsi="David" w:cs="David" w:hint="cs"/>
          <w:b/>
          <w:bCs/>
          <w:sz w:val="28"/>
          <w:szCs w:val="28"/>
          <w:u w:val="single"/>
          <w:rtl/>
        </w:rPr>
        <w:t xml:space="preserve"> </w:t>
      </w:r>
      <w:r w:rsidRPr="006C13BF">
        <w:rPr>
          <w:rFonts w:ascii="David" w:hAnsi="David" w:cs="David"/>
          <w:b/>
          <w:bCs/>
          <w:sz w:val="28"/>
          <w:szCs w:val="28"/>
          <w:u w:val="single"/>
          <w:rtl/>
        </w:rPr>
        <w:t>ה</w:t>
      </w:r>
    </w:p>
    <w:p w14:paraId="0C3BE412" w14:textId="77777777" w:rsidR="00290793" w:rsidRDefault="00290793" w:rsidP="00290793">
      <w:pPr>
        <w:pStyle w:val="ListParagraph"/>
        <w:spacing w:after="0" w:line="360" w:lineRule="auto"/>
        <w:ind w:left="360"/>
        <w:jc w:val="both"/>
        <w:rPr>
          <w:rFonts w:ascii="David" w:hAnsi="David" w:cs="David"/>
          <w:sz w:val="28"/>
          <w:szCs w:val="28"/>
        </w:rPr>
      </w:pPr>
    </w:p>
    <w:p w14:paraId="70A94B78" w14:textId="27CEA13B" w:rsidR="00290793" w:rsidRDefault="00290793" w:rsidP="00290793">
      <w:pPr>
        <w:pStyle w:val="ListParagraph"/>
        <w:numPr>
          <w:ilvl w:val="0"/>
          <w:numId w:val="2"/>
        </w:numPr>
        <w:spacing w:after="0" w:line="348" w:lineRule="auto"/>
        <w:jc w:val="both"/>
        <w:rPr>
          <w:rFonts w:ascii="David" w:hAnsi="David" w:cs="David"/>
          <w:sz w:val="28"/>
          <w:szCs w:val="28"/>
        </w:rPr>
      </w:pPr>
      <w:r>
        <w:rPr>
          <w:rFonts w:ascii="David" w:hAnsi="David" w:cs="David" w:hint="cs"/>
          <w:sz w:val="28"/>
          <w:szCs w:val="28"/>
          <w:rtl/>
        </w:rPr>
        <w:t xml:space="preserve">אתמול, 26 בנובמבר 2025, החלטתי לדחות את ערעור התביעה על שחרורו בתנאים מגבילים של המשיב, רס"ל (מיל') </w:t>
      </w:r>
      <w:r w:rsidR="000D14C9">
        <w:rPr>
          <w:rFonts w:ascii="David" w:hAnsi="David" w:cs="David" w:hint="cs"/>
          <w:sz w:val="28"/>
          <w:szCs w:val="28"/>
          <w:rtl/>
        </w:rPr>
        <w:t>ע'</w:t>
      </w:r>
      <w:r>
        <w:rPr>
          <w:rFonts w:ascii="David" w:hAnsi="David" w:cs="David" w:hint="cs"/>
          <w:sz w:val="28"/>
          <w:szCs w:val="28"/>
          <w:rtl/>
        </w:rPr>
        <w:t xml:space="preserve">. להלן נימוקי ההחלטה. </w:t>
      </w:r>
    </w:p>
    <w:p w14:paraId="29C13EFE" w14:textId="77777777" w:rsidR="00290793" w:rsidRPr="001B2C05" w:rsidRDefault="00290793" w:rsidP="00290793">
      <w:pPr>
        <w:pStyle w:val="ListParagraph"/>
        <w:numPr>
          <w:ilvl w:val="0"/>
          <w:numId w:val="2"/>
        </w:numPr>
        <w:spacing w:after="0" w:line="348" w:lineRule="auto"/>
        <w:jc w:val="both"/>
        <w:rPr>
          <w:rFonts w:ascii="David" w:hAnsi="David" w:cs="David"/>
          <w:sz w:val="28"/>
          <w:szCs w:val="28"/>
        </w:rPr>
      </w:pPr>
      <w:r w:rsidRPr="001B2C05">
        <w:rPr>
          <w:rFonts w:ascii="David" w:hAnsi="David" w:cs="David" w:hint="cs"/>
          <w:sz w:val="28"/>
          <w:szCs w:val="28"/>
          <w:rtl/>
        </w:rPr>
        <w:t>למשיב</w:t>
      </w:r>
      <w:r>
        <w:rPr>
          <w:rFonts w:ascii="David" w:hAnsi="David" w:cs="David" w:hint="cs"/>
          <w:sz w:val="28"/>
          <w:szCs w:val="28"/>
          <w:rtl/>
        </w:rPr>
        <w:t>, משרת מילואים,</w:t>
      </w:r>
      <w:r w:rsidRPr="001B2C05">
        <w:rPr>
          <w:rFonts w:ascii="David" w:hAnsi="David" w:cs="David" w:hint="cs"/>
          <w:sz w:val="28"/>
          <w:szCs w:val="28"/>
          <w:rtl/>
        </w:rPr>
        <w:t xml:space="preserve"> מיוחסות 24 עבירות של פגיעה בפרטיות, לפי סעיפים 2(3) ו-5 לחוק הגנת הפרטיות, תשמ"א - 1981, שעניינן צילומם של קצינים, נגדים וחיילים בתאי שירותים ובמקלחות</w:t>
      </w:r>
      <w:r>
        <w:rPr>
          <w:rFonts w:ascii="David" w:hAnsi="David" w:cs="David" w:hint="cs"/>
          <w:sz w:val="28"/>
          <w:szCs w:val="28"/>
          <w:rtl/>
        </w:rPr>
        <w:t>,</w:t>
      </w:r>
      <w:r w:rsidRPr="001B2C05">
        <w:rPr>
          <w:rFonts w:ascii="David" w:hAnsi="David" w:cs="David" w:hint="cs"/>
          <w:sz w:val="28"/>
          <w:szCs w:val="28"/>
          <w:rtl/>
        </w:rPr>
        <w:t xml:space="preserve"> במסגרות צבאיות שונות. התמונות צולמו בתקופה שבין יום 22 במאי 2025 ועד יום 6 באוגוסט 2025, ובחלקן נראים המצולמים כאשר הם בעירום חלקי או מלא. בגין הצילומים, יוחסו למשיב גם 24 עבירות של מעשה מגונה. </w:t>
      </w:r>
      <w:r>
        <w:rPr>
          <w:rFonts w:ascii="David" w:hAnsi="David" w:cs="David" w:hint="cs"/>
          <w:sz w:val="28"/>
          <w:szCs w:val="28"/>
          <w:rtl/>
        </w:rPr>
        <w:t xml:space="preserve">בין היתר, </w:t>
      </w:r>
      <w:r w:rsidRPr="001B2C05">
        <w:rPr>
          <w:rFonts w:ascii="David" w:hAnsi="David" w:cs="David" w:hint="cs"/>
          <w:sz w:val="28"/>
          <w:szCs w:val="28"/>
          <w:rtl/>
        </w:rPr>
        <w:t xml:space="preserve">נטען, כי באחד המקרים, ביום 24 ביולי 2025, הבחין חייל </w:t>
      </w:r>
      <w:r>
        <w:rPr>
          <w:rFonts w:ascii="David" w:hAnsi="David" w:cs="David" w:hint="cs"/>
          <w:sz w:val="28"/>
          <w:szCs w:val="28"/>
          <w:rtl/>
        </w:rPr>
        <w:t xml:space="preserve">כי המשיב מצלם אותו, וכאשר פתח את דלת התא שבו שהה המשיב, ראה אותו כאשר </w:t>
      </w:r>
      <w:r w:rsidRPr="001B2C05">
        <w:rPr>
          <w:rFonts w:ascii="David" w:hAnsi="David" w:cs="David" w:hint="cs"/>
          <w:sz w:val="28"/>
          <w:szCs w:val="28"/>
          <w:rtl/>
        </w:rPr>
        <w:t xml:space="preserve">הוא מחזיק את מכשר הטלפון הנייד שלו ומבצע בעצמו מעשה אונן. החייל התעמת עימו, ובתגובה מסר </w:t>
      </w:r>
      <w:r>
        <w:rPr>
          <w:rFonts w:ascii="David" w:hAnsi="David" w:cs="David" w:hint="cs"/>
          <w:sz w:val="28"/>
          <w:szCs w:val="28"/>
          <w:rtl/>
        </w:rPr>
        <w:t xml:space="preserve">לו </w:t>
      </w:r>
      <w:r w:rsidRPr="001B2C05">
        <w:rPr>
          <w:rFonts w:ascii="David" w:hAnsi="David" w:cs="David" w:hint="cs"/>
          <w:sz w:val="28"/>
          <w:szCs w:val="28"/>
          <w:rtl/>
        </w:rPr>
        <w:t>המשיב כי השתמש במכשירו הנייד שימוש רגיל. גם במקרה האחרון, מיום 6 באוגוסט 2025, הבחין החייל ש</w:t>
      </w:r>
      <w:r>
        <w:rPr>
          <w:rFonts w:ascii="David" w:hAnsi="David" w:cs="David" w:hint="cs"/>
          <w:sz w:val="28"/>
          <w:szCs w:val="28"/>
          <w:rtl/>
        </w:rPr>
        <w:t>צולם במעשה הצילום</w:t>
      </w:r>
      <w:r w:rsidRPr="001B2C05">
        <w:rPr>
          <w:rFonts w:ascii="David" w:hAnsi="David" w:cs="David" w:hint="cs"/>
          <w:sz w:val="28"/>
          <w:szCs w:val="28"/>
          <w:rtl/>
        </w:rPr>
        <w:t xml:space="preserve">, וראה כי </w:t>
      </w:r>
      <w:r>
        <w:rPr>
          <w:rFonts w:ascii="David" w:hAnsi="David" w:cs="David" w:hint="cs"/>
          <w:sz w:val="28"/>
          <w:szCs w:val="28"/>
          <w:rtl/>
        </w:rPr>
        <w:t xml:space="preserve">המשיב </w:t>
      </w:r>
      <w:r w:rsidRPr="001B2C05">
        <w:rPr>
          <w:rFonts w:ascii="David" w:hAnsi="David" w:cs="David" w:hint="cs"/>
          <w:sz w:val="28"/>
          <w:szCs w:val="28"/>
          <w:rtl/>
        </w:rPr>
        <w:t xml:space="preserve">יוצא </w:t>
      </w:r>
      <w:r>
        <w:rPr>
          <w:rFonts w:ascii="David" w:hAnsi="David" w:cs="David" w:hint="cs"/>
          <w:sz w:val="28"/>
          <w:szCs w:val="28"/>
          <w:rtl/>
        </w:rPr>
        <w:t>במהירות מן המקום</w:t>
      </w:r>
      <w:r w:rsidRPr="001B2C05">
        <w:rPr>
          <w:rFonts w:ascii="David" w:hAnsi="David" w:cs="David" w:hint="cs"/>
          <w:sz w:val="28"/>
          <w:szCs w:val="28"/>
          <w:rtl/>
        </w:rPr>
        <w:t xml:space="preserve">. נטען, כי למחרת, 7 באוגוסט 2025, מחק המשיב את תוכן מכשיר הטלפון הנייד שלו, ובכלל זה את התוכן הדיגיטלי שצילם במקרים המנויים </w:t>
      </w:r>
      <w:r>
        <w:rPr>
          <w:rFonts w:ascii="David" w:hAnsi="David" w:cs="David" w:hint="cs"/>
          <w:sz w:val="28"/>
          <w:szCs w:val="28"/>
          <w:rtl/>
        </w:rPr>
        <w:t>בכתב האישום</w:t>
      </w:r>
      <w:r w:rsidRPr="001B2C05">
        <w:rPr>
          <w:rFonts w:ascii="David" w:hAnsi="David" w:cs="David" w:hint="cs"/>
          <w:sz w:val="28"/>
          <w:szCs w:val="28"/>
          <w:rtl/>
        </w:rPr>
        <w:t>, ובשל כך מיוחסת לו גם עבירה של השמדת ראיה, לפי סעיף 242 לחוק העונשין, תשל"ז - 1977. בגין כלל המיוחס לו, בהיותו בדרגת רס"ל, יוחסה למשיב גם עבירה של התנהגות שאינה הולמת, לפי סעיף 130 לחוק השיפוט הצבאי, תשט"</w:t>
      </w:r>
      <w:r>
        <w:rPr>
          <w:rFonts w:ascii="David" w:hAnsi="David" w:cs="David" w:hint="cs"/>
          <w:sz w:val="28"/>
          <w:szCs w:val="28"/>
          <w:rtl/>
        </w:rPr>
        <w:t>ו</w:t>
      </w:r>
      <w:r w:rsidRPr="001B2C05">
        <w:rPr>
          <w:rFonts w:ascii="David" w:hAnsi="David" w:cs="David" w:hint="cs"/>
          <w:sz w:val="28"/>
          <w:szCs w:val="28"/>
          <w:rtl/>
        </w:rPr>
        <w:t xml:space="preserve"> - 1955.</w:t>
      </w:r>
    </w:p>
    <w:p w14:paraId="759A6E9C" w14:textId="77777777" w:rsidR="00290793" w:rsidRDefault="00290793" w:rsidP="00290793">
      <w:pPr>
        <w:pStyle w:val="ListParagraph"/>
        <w:numPr>
          <w:ilvl w:val="0"/>
          <w:numId w:val="2"/>
        </w:numPr>
        <w:spacing w:after="0" w:line="348" w:lineRule="auto"/>
        <w:jc w:val="both"/>
        <w:rPr>
          <w:rFonts w:ascii="David" w:hAnsi="David" w:cs="David"/>
          <w:sz w:val="28"/>
          <w:szCs w:val="28"/>
        </w:rPr>
      </w:pPr>
      <w:r>
        <w:rPr>
          <w:rFonts w:ascii="David" w:hAnsi="David" w:cs="David" w:hint="cs"/>
          <w:sz w:val="28"/>
          <w:szCs w:val="28"/>
          <w:rtl/>
        </w:rPr>
        <w:t xml:space="preserve">המשיב נעצר לצרכי חקירה ביום </w:t>
      </w:r>
      <w:r w:rsidRPr="008B5EAE">
        <w:rPr>
          <w:rFonts w:ascii="David" w:hAnsi="David" w:cs="David" w:hint="cs"/>
          <w:sz w:val="28"/>
          <w:szCs w:val="28"/>
          <w:rtl/>
        </w:rPr>
        <w:t>7</w:t>
      </w:r>
      <w:r>
        <w:rPr>
          <w:rFonts w:ascii="David" w:hAnsi="David" w:cs="David" w:hint="cs"/>
          <w:sz w:val="28"/>
          <w:szCs w:val="28"/>
          <w:rtl/>
        </w:rPr>
        <w:t xml:space="preserve"> באוגוסט 2025, ושוחרר ביום 11 באוגוסט 2025</w:t>
      </w:r>
      <w:r w:rsidRPr="001316C6">
        <w:rPr>
          <w:rFonts w:ascii="David" w:hAnsi="David" w:cs="David" w:hint="cs"/>
          <w:sz w:val="28"/>
          <w:szCs w:val="28"/>
          <w:rtl/>
        </w:rPr>
        <w:t>, למעצר בית מלא בפיקוח רעייתו, ובתנאים</w:t>
      </w:r>
      <w:r>
        <w:rPr>
          <w:rFonts w:ascii="David" w:hAnsi="David" w:cs="David" w:hint="cs"/>
          <w:sz w:val="28"/>
          <w:szCs w:val="28"/>
          <w:rtl/>
        </w:rPr>
        <w:t xml:space="preserve"> מגבילים - בין היתר, איסור על גישה למרשתת ועל ניהול שיחות טלפון שלא בנוכחות המפקחת. ביום 14 באוגוסט 2025 </w:t>
      </w:r>
      <w:r w:rsidRPr="001316C6">
        <w:rPr>
          <w:rFonts w:ascii="David" w:hAnsi="David" w:cs="David" w:hint="cs"/>
          <w:sz w:val="28"/>
          <w:szCs w:val="28"/>
          <w:rtl/>
        </w:rPr>
        <w:t>שוחרר ממעצר הבית המלא, תוך הפקדת דרכונו. באותו שלב, התבסס החשד נגד</w:t>
      </w:r>
      <w:r>
        <w:rPr>
          <w:rFonts w:ascii="David" w:hAnsi="David" w:cs="David" w:hint="cs"/>
          <w:sz w:val="28"/>
          <w:szCs w:val="28"/>
          <w:rtl/>
        </w:rPr>
        <w:t xml:space="preserve"> המשיב </w:t>
      </w:r>
      <w:r w:rsidRPr="001316C6">
        <w:rPr>
          <w:rFonts w:ascii="David" w:hAnsi="David" w:cs="David" w:hint="cs"/>
          <w:sz w:val="28"/>
          <w:szCs w:val="28"/>
          <w:rtl/>
        </w:rPr>
        <w:t xml:space="preserve">על עדויותיהם של שניים מן הנפגעים, והיקף העבירות טרם התברר. בחלוף כשלושה שבועות, עלה בידי החוקרים לשחזר </w:t>
      </w:r>
      <w:r w:rsidRPr="001316C6">
        <w:rPr>
          <w:rFonts w:ascii="David" w:hAnsi="David" w:cs="David" w:hint="cs"/>
          <w:sz w:val="28"/>
          <w:szCs w:val="28"/>
          <w:rtl/>
        </w:rPr>
        <w:lastRenderedPageBreak/>
        <w:t>את התיעוד המצולם במכשיר הטלפון הנייד של</w:t>
      </w:r>
      <w:r>
        <w:rPr>
          <w:rFonts w:ascii="David" w:hAnsi="David" w:cs="David" w:hint="cs"/>
          <w:sz w:val="28"/>
          <w:szCs w:val="28"/>
          <w:rtl/>
        </w:rPr>
        <w:t>ו</w:t>
      </w:r>
      <w:r w:rsidRPr="001316C6">
        <w:rPr>
          <w:rFonts w:ascii="David" w:hAnsi="David" w:cs="David" w:hint="cs"/>
          <w:sz w:val="28"/>
          <w:szCs w:val="28"/>
          <w:rtl/>
        </w:rPr>
        <w:t xml:space="preserve">, ובעקבות כך שב </w:t>
      </w:r>
      <w:r>
        <w:rPr>
          <w:rFonts w:ascii="David" w:hAnsi="David" w:cs="David" w:hint="cs"/>
          <w:sz w:val="28"/>
          <w:szCs w:val="28"/>
          <w:rtl/>
        </w:rPr>
        <w:t xml:space="preserve">המשיב </w:t>
      </w:r>
      <w:r w:rsidRPr="001316C6">
        <w:rPr>
          <w:rFonts w:ascii="David" w:hAnsi="David" w:cs="David" w:hint="cs"/>
          <w:sz w:val="28"/>
          <w:szCs w:val="28"/>
          <w:rtl/>
        </w:rPr>
        <w:t>ונעצר, ביום 7 בספטמבר 2025. מעצרו הוארך לצרכי חקירה, וביום</w:t>
      </w:r>
      <w:r>
        <w:rPr>
          <w:rFonts w:ascii="David" w:hAnsi="David" w:cs="David" w:hint="cs"/>
          <w:sz w:val="28"/>
          <w:szCs w:val="28"/>
          <w:rtl/>
        </w:rPr>
        <w:t xml:space="preserve"> 21 בספטמבר 2025 הוגש נגדו כתב האישום והתבקש מעצרו עד לתום ההליכים המשפטיים. בית הדין קמא הנכבד מצא להורות על מעצרו עד החלטה אחרת, ולהפנות את עניינו לשירות המבחן, להכנתו של תסקיר מעצר. התסקיר התקבל ביום 13 בנובמבר 2025, ולאחריו עתרה ההגנה לאמץ את המלצותיו ולהורות על שחרורו של המשיב לחלופת המעצר המנויה שם.</w:t>
      </w:r>
    </w:p>
    <w:p w14:paraId="40925CCB" w14:textId="77777777" w:rsidR="00290793" w:rsidRDefault="00290793" w:rsidP="00290793">
      <w:pPr>
        <w:pStyle w:val="ListParagraph"/>
        <w:numPr>
          <w:ilvl w:val="0"/>
          <w:numId w:val="2"/>
        </w:numPr>
        <w:spacing w:after="0" w:line="348" w:lineRule="auto"/>
        <w:jc w:val="both"/>
        <w:rPr>
          <w:rFonts w:ascii="David" w:hAnsi="David" w:cs="David"/>
          <w:sz w:val="28"/>
          <w:szCs w:val="28"/>
        </w:rPr>
      </w:pPr>
      <w:r>
        <w:rPr>
          <w:rFonts w:ascii="David" w:hAnsi="David" w:cs="David" w:hint="cs"/>
          <w:sz w:val="28"/>
          <w:szCs w:val="28"/>
          <w:rtl/>
        </w:rPr>
        <w:t xml:space="preserve">שירות המבחן ציין את גורמי הסיכון, הנובעים מאופי העבירות, ואת פרק הזמן הממושך שבמהלכו בוצעו, תוך עיסוק מוגבר של המשיב במיניותו, הפקת ריגוש מיני ממציצנות וקושי בוויסות דחפיו, על אף מודעותו לפסול שבהתנהלותו. צוין, כי חשיפת המיוחס לו מול אחר, לא מנעה המשך התנהלות דומה, "כשייתכן כי דווקא החשיפה הינה חלק ממאפייני התנהלותו המינית הבעייתית". עוד התרשם שירות המבחן מקיומם של עיוותי חשיבה, המתבטאים בצמצום הפגיעה האפשרית בנפגעים, וכן מיכולתו של המשיב "להתנהל בהסתרה". מנגד, נשקלו עברו הפלילי הנקי, הנכונות שגילה להשתלב בהליך טיפולי ושיתוף הפעולה שלו </w:t>
      </w:r>
      <w:r w:rsidRPr="002600A3">
        <w:rPr>
          <w:rFonts w:ascii="David" w:hAnsi="David" w:cs="David" w:hint="cs"/>
          <w:sz w:val="28"/>
          <w:szCs w:val="28"/>
          <w:rtl/>
        </w:rPr>
        <w:t>באבחון (בעוד שבשתי אמרותיו הראשונות</w:t>
      </w:r>
      <w:r>
        <w:rPr>
          <w:rFonts w:ascii="David" w:hAnsi="David" w:cs="David" w:hint="cs"/>
          <w:sz w:val="28"/>
          <w:szCs w:val="28"/>
          <w:rtl/>
        </w:rPr>
        <w:t xml:space="preserve"> במצ"ח</w:t>
      </w:r>
      <w:r w:rsidRPr="002600A3">
        <w:rPr>
          <w:rFonts w:ascii="David" w:hAnsi="David" w:cs="David" w:hint="cs"/>
          <w:sz w:val="28"/>
          <w:szCs w:val="28"/>
          <w:rtl/>
        </w:rPr>
        <w:t>, הכחיש את המיוחס לו, ובארבע האמרות הבאות, שמר על זכות השתיקה). ההתרשמות היא ממודעות ראשונית לבעייתיות בהתנהלותו, ומתחושות מצוקה ובושה</w:t>
      </w:r>
      <w:r>
        <w:rPr>
          <w:rFonts w:ascii="David" w:hAnsi="David" w:cs="David" w:hint="cs"/>
          <w:sz w:val="28"/>
          <w:szCs w:val="28"/>
          <w:rtl/>
        </w:rPr>
        <w:t>, כאשר</w:t>
      </w:r>
      <w:r w:rsidRPr="002600A3">
        <w:rPr>
          <w:rFonts w:ascii="David" w:hAnsi="David" w:cs="David" w:hint="cs"/>
          <w:sz w:val="28"/>
          <w:szCs w:val="28"/>
          <w:rtl/>
        </w:rPr>
        <w:t xml:space="preserve"> ההליך המשפטי משמש גורם הרתעה מוחשי עבורו, וביכולתו</w:t>
      </w:r>
      <w:r>
        <w:rPr>
          <w:rFonts w:ascii="David" w:hAnsi="David" w:cs="David" w:hint="cs"/>
          <w:sz w:val="28"/>
          <w:szCs w:val="28"/>
          <w:rtl/>
        </w:rPr>
        <w:t xml:space="preserve"> לעמוד בתנאים מגבילים שיוטלו עליו. בהתחשב באמור, ההערכה היא כי "קיים סיכון להישנות התנהגות מינית פוגענית דומה מצידו של [המשיב], אך פיקוח מותאם לצד מגבלות נוספות יוכלו לתת מענה מצמצם סיכון". שירות המבחן התרשם כי המפקחים המוצעים - הוריו של המשיב, שתי אחיותיו ורעייתו (אם שני ילדיו) - מספקים לו מערכת תמיכה משמעותית, כאשר לצד דאגה הם מבטאים עמדות מגנות וביקורתיות כלפי העבירות המיוחסות, מבינים את הצורך בפיקוח הדוק עליו, ערים לגורמי הסיכון ולבעייתיות שבמצבו ונכונים לאכוף כל תנאי שיושת עליו. על אף הסתרת העבירות מבני המשפחה, הרי שכיום, משנחשפו למיוחס לו, כשברקע ההליך הפלילי המתנהל ומעורבותם של גורמי האכיפה, תוך שהמשיב מורתע ממעצרו - מצא שירות המבחן כי המפקחים שהוצעו מתאימים לכך. הומלץ, לכן, על שחרורו של המשיב לחלופת מעצר בבית </w:t>
      </w:r>
      <w:proofErr w:type="spellStart"/>
      <w:r>
        <w:rPr>
          <w:rFonts w:ascii="David" w:hAnsi="David" w:cs="David" w:hint="cs"/>
          <w:sz w:val="28"/>
          <w:szCs w:val="28"/>
          <w:rtl/>
        </w:rPr>
        <w:t>אמו</w:t>
      </w:r>
      <w:proofErr w:type="spellEnd"/>
      <w:r>
        <w:rPr>
          <w:rFonts w:ascii="David" w:hAnsi="David" w:cs="David" w:hint="cs"/>
          <w:sz w:val="28"/>
          <w:szCs w:val="28"/>
          <w:rtl/>
        </w:rPr>
        <w:t>, בפיקוח בני המשפחה לסירוגין; על איסור שימוש במחשב ובאמצעים טכנולוגיים המכילים מצלמה; ועל איסור יצירת קשר עם המעורבים בתיק. לצד זאת, הומלץ לאפשר למשיב לקיים שיחות טלפון עם ילדיו ושיחות עסקיות, וזאת בנוכחות אחד מהמפקחים. עוד הומלץ על העמדתו של המשיב בפיקוח מעצר בשירות המבחן למשך ששה חודשים, שבמסגרתו ישולב בקבוצה לעצורי בית המואשמים בביצוע עבירות מין, ושירות המבחן יעמיק בצרכיו הטיפוליים וישמש מסגרת מלווה ותומכת עבורו.</w:t>
      </w:r>
    </w:p>
    <w:p w14:paraId="49FEB6FB" w14:textId="77777777" w:rsidR="00290793" w:rsidRDefault="00290793" w:rsidP="00290793">
      <w:pPr>
        <w:pStyle w:val="ListParagraph"/>
        <w:numPr>
          <w:ilvl w:val="0"/>
          <w:numId w:val="2"/>
        </w:numPr>
        <w:spacing w:after="0" w:line="348" w:lineRule="auto"/>
        <w:jc w:val="both"/>
        <w:rPr>
          <w:rFonts w:ascii="David" w:hAnsi="David" w:cs="David"/>
          <w:sz w:val="28"/>
          <w:szCs w:val="28"/>
        </w:rPr>
      </w:pPr>
      <w:r>
        <w:rPr>
          <w:rFonts w:ascii="David" w:hAnsi="David" w:cs="David" w:hint="cs"/>
          <w:sz w:val="28"/>
          <w:szCs w:val="28"/>
          <w:rtl/>
        </w:rPr>
        <w:t xml:space="preserve">בהחלטתו, מצא בית הדין קמא לאמץ את המלצת שירות המבחן, ולהורות על שחרורו של המשיב לחלופת המעצר שהוצעה. צוין, כי מעצר בגין העבירות המיוחסות אינו מובן מאליו, והודגשו מקרים לא מעטים שבהם לא התבקש מעצר כאמור, חרף מאפיינים מחמירים יותר </w:t>
      </w:r>
      <w:r>
        <w:rPr>
          <w:rFonts w:ascii="David" w:hAnsi="David" w:cs="David" w:hint="cs"/>
          <w:sz w:val="28"/>
          <w:szCs w:val="28"/>
          <w:rtl/>
        </w:rPr>
        <w:lastRenderedPageBreak/>
        <w:t>מן המקרה הנדון. על אף האמור, נקבע כי היקף המעשים המשמעותי בענייננו, לאורך למעלה מחודשיים, והחזרה על המעשים גם לאחר שאחד הנפגעים חשד במשיב והתעמת עימו, מלמדים על הסיכון שנשקף ממנו, ועל קשייו להתמודד עם דחפיו המיניים. עוד נקבע כי המעשים המיוחסים מקימים גם את עילת המעצר הצבאית הייחודית, לאור הפגיעה במשרתים ובמוכנות ובמשמעת הצבאית, במובנם הרחב, בפרט בתקופת מלחמה. מנגד, עברו הנקי של המשיב, שחרורו משירות מילואים והיעדר חשד לעבירות מחוץ למסגרת הצבאית, לצד היעדר אינדיקציה להפרתם של תנאי השחרור בתקופה שבה שהה במעצר בית - תומכים באפשרות להסתפק בחלופת מעצר. צוין, כי עילת המעצר הצבאית הייחודית נחלשה בעקבות שחרורו של המשיב משירות מילואים כאמור, והתקהתה עד מאוד לאור פרק הזמן המשמעותי שחלף מאז, שבמהלכו היה המשיב נתון במעצר. צוין, כי משנסתיימה החקירה ולאור הראיות שנאספו, אין עוד חשש מעשי משיבוש הליכים, שיכול ונבע מן העבירה של השמדת הראיה (בדיון בערעור, הדגיש הסניגור כי התביעה אף לא ציינה את החשש משיבוש מהלכי משפט כאחת מעילות המעצר, בבקשתה להורות על מעצרו של המשיב עד לתום ההליכים המשפטיים). בית הדין קמא ציין כי התרשם בעצמו לחיוב מחלק מן המפקחים המוצעים, בדומה להתרשמותו החיובית של שירות המבחן, כך שאף אם אין מדובר בחלופת מעצר "הרמטית", די בתנאיה ובפיקוח המוצע כדי להפחית משמעותית מן הסיכון לביצוען של עבירות דומות, ואף לביצוען של עבירות אחרות, במרחב הווירטואלי (מה גם שהמשיב אינו נחשד בביצוען, ובפרט לא בתקופה שבה שהה במעצר בית במהלך החקירה).</w:t>
      </w:r>
    </w:p>
    <w:p w14:paraId="4BBE8FDA" w14:textId="77777777" w:rsidR="00290793" w:rsidRDefault="00290793" w:rsidP="00290793">
      <w:pPr>
        <w:pStyle w:val="ListParagraph"/>
        <w:numPr>
          <w:ilvl w:val="0"/>
          <w:numId w:val="2"/>
        </w:numPr>
        <w:spacing w:after="0" w:line="348" w:lineRule="auto"/>
        <w:jc w:val="both"/>
        <w:rPr>
          <w:rFonts w:ascii="David" w:hAnsi="David" w:cs="David"/>
          <w:sz w:val="28"/>
          <w:szCs w:val="28"/>
        </w:rPr>
      </w:pPr>
      <w:r>
        <w:rPr>
          <w:rFonts w:ascii="David" w:hAnsi="David" w:cs="David" w:hint="cs"/>
          <w:sz w:val="28"/>
          <w:szCs w:val="28"/>
          <w:rtl/>
        </w:rPr>
        <w:t xml:space="preserve">המשיב שוחרר אפוא למעצר בית מלא בבית </w:t>
      </w:r>
      <w:proofErr w:type="spellStart"/>
      <w:r>
        <w:rPr>
          <w:rFonts w:ascii="David" w:hAnsi="David" w:cs="David" w:hint="cs"/>
          <w:sz w:val="28"/>
          <w:szCs w:val="28"/>
          <w:rtl/>
        </w:rPr>
        <w:t>אמו</w:t>
      </w:r>
      <w:proofErr w:type="spellEnd"/>
      <w:r>
        <w:rPr>
          <w:rFonts w:ascii="David" w:hAnsi="David" w:cs="David" w:hint="cs"/>
          <w:sz w:val="28"/>
          <w:szCs w:val="28"/>
          <w:rtl/>
        </w:rPr>
        <w:t>, תחת פיקוח רצוף של אחד מן המפקחים שאושרו על ידי שירות המבחן. נקבע, כי יועמד בפיקוח שירות המבחן, אשר יהיה רשאי לשלבו בקבוצה טיפולית לעצורי בית. למשיב ניתנה האפשרות לבצע שיחות, באמצעות מכשיר טלפון ללא מצלמה, בנוכחות אחד המפקחים, ונקבע כי תימנע ממנו גישה למחשב או לאמצעים טכנולוגיים אחרים עם מצלמה. נאסר עליו ליצור קשר עם מי מן המעורבים בתיק, ונקבע כי יחתום על התחייבות להתייצב לכל ההליכים בעניינו, ויפקיד ערבון של 10,000 ש"ח להבטחת עמידתו בתנאים. המפקחים נדרשו לחתום על ערבות צד ג', בסכום של 20,000 ש"ח, להבטחת האמור, ולהבטחת מחויבותם לדווח על כל הפרה. לבסוף, נקבע כי תיאסר יציאתו של המשיב מן הארץ, ושמו ייכלל ברשימות ההכללה של ביקורת הגבולות (כזכור, הפקיד המשיב את דרכונו במזכירות בית הדין קמא עוד במועד שחרורו בתנאים). נקבע, כי תנאים אלה יעמדו בתוקפם עד תום ההליכים המשפטיים.</w:t>
      </w:r>
    </w:p>
    <w:p w14:paraId="68A181C6" w14:textId="77777777" w:rsidR="00290793" w:rsidRDefault="00290793" w:rsidP="00290793">
      <w:pPr>
        <w:pStyle w:val="ListParagraph"/>
        <w:numPr>
          <w:ilvl w:val="0"/>
          <w:numId w:val="2"/>
        </w:numPr>
        <w:spacing w:after="0" w:line="348" w:lineRule="auto"/>
        <w:jc w:val="both"/>
        <w:rPr>
          <w:rFonts w:ascii="David" w:hAnsi="David" w:cs="David"/>
          <w:sz w:val="28"/>
          <w:szCs w:val="28"/>
        </w:rPr>
      </w:pPr>
      <w:r>
        <w:rPr>
          <w:rFonts w:ascii="David" w:hAnsi="David" w:cs="David" w:hint="cs"/>
          <w:b/>
          <w:bCs/>
          <w:sz w:val="28"/>
          <w:szCs w:val="28"/>
          <w:rtl/>
        </w:rPr>
        <w:t>התביעה</w:t>
      </w:r>
      <w:r>
        <w:rPr>
          <w:rFonts w:ascii="David" w:hAnsi="David" w:cs="David" w:hint="cs"/>
          <w:sz w:val="28"/>
          <w:szCs w:val="28"/>
          <w:rtl/>
        </w:rPr>
        <w:t xml:space="preserve"> לא השלימה עם ההחלטה. הוטעם, כי לא ניתן לתת אמון במשיב, המתקשה לווסת את דחפיו (עד כדי חזרה על העבירות גם לאחר שנתפס בכף) ופועל מתוך הסתרה. הוטעם, כי מאז שוחרר בתחילה למעצר בית, התעבתה משמעותית התשתית הראייתית, והסיכון כי המשיב ישוב ויפגע מינית באחרים עודנו שריר וקיים, אף לדעת שירות המבחן, שאינו כורך את ביצוען של עבירות נוספות בסביבה צבאית דווקא. המשיב גם הוא לא התייחס בדבריו לשירות המבחן להפסקת שירות המילואים שלו, אלא רק למחיר שגובה ממנו ההליך </w:t>
      </w:r>
      <w:r>
        <w:rPr>
          <w:rFonts w:ascii="David" w:hAnsi="David" w:cs="David" w:hint="cs"/>
          <w:sz w:val="28"/>
          <w:szCs w:val="28"/>
          <w:rtl/>
        </w:rPr>
        <w:lastRenderedPageBreak/>
        <w:t>המשפטי. התביעה ציינה עוד את הקושי הטבוע בתנאי מגביל של הרחקה ממכשירים דיגיטליים, "המצויים בכל בית בישראל", והודגש כי חשיפת העבירות המיוחסות בפני בני המשפחה אינה ערובה לכך שהמשיב לא ישוב ויבצע עבירות, חרף המעטפת התומכת שסיפקו לו גם קודם לכן. אדרבה, היותו של המשיב המפרנס העיקרי בביתו היא נסיבה המקימה לדעת התביעה חשש ל"אינטרס כלכלי ואישי ברור שלא לדווח על הפרה אפשרית של תנאי המעצר מצד המשיב, לו תתרחש ותגיע לידיעת המפקחים". אשר לאי-נקיטתו של מעצר במקרים דומים, הוטעמה השמדת הראיה במקרה הנדון כאן, והעובדה כי המשיב לא חדל כאמור ממעשיו אף לאחר שאחד הנפגעים הבחין בו והתעמת עימו.</w:t>
      </w:r>
    </w:p>
    <w:p w14:paraId="16FC7222" w14:textId="77777777" w:rsidR="00290793" w:rsidRPr="00EB6777" w:rsidRDefault="00290793" w:rsidP="00290793">
      <w:pPr>
        <w:pStyle w:val="ListParagraph"/>
        <w:numPr>
          <w:ilvl w:val="0"/>
          <w:numId w:val="2"/>
        </w:numPr>
        <w:spacing w:after="0" w:line="348" w:lineRule="auto"/>
        <w:jc w:val="both"/>
        <w:rPr>
          <w:rFonts w:ascii="David" w:hAnsi="David" w:cs="David"/>
          <w:sz w:val="28"/>
          <w:szCs w:val="28"/>
        </w:rPr>
      </w:pPr>
      <w:r w:rsidRPr="001F5E1C">
        <w:rPr>
          <w:rFonts w:ascii="David" w:hAnsi="David" w:cs="David" w:hint="cs"/>
          <w:b/>
          <w:bCs/>
          <w:sz w:val="28"/>
          <w:szCs w:val="28"/>
          <w:rtl/>
        </w:rPr>
        <w:t>ההגנה</w:t>
      </w:r>
      <w:r>
        <w:rPr>
          <w:rFonts w:ascii="David" w:hAnsi="David" w:cs="David" w:hint="cs"/>
          <w:sz w:val="28"/>
          <w:szCs w:val="28"/>
          <w:rtl/>
        </w:rPr>
        <w:t xml:space="preserve">, מצידה, סמכה את ידיה על החלטתו של בית הדין קמא. אף שהסניגורים מסרו כי בכוונתם להעלות טענות משמעותיות לגבי החקירה (ולגבי חומר חקירה חסר בעניין זה), לא חלקו בשלב זה על קיומן של ראיות לכאורה. אשר לעילות המעצר, ובייחוד לחשש מפני שיבוש מהלכי משפט, הוטעם, כי במזכר העיון במכשיר הטלפון הנייד של המשיב נכתב כי "אין אפשרות לקבוע האם הסרטונים נמחקו על ידי החשוד, או שפשוט לא </w:t>
      </w:r>
      <w:proofErr w:type="spellStart"/>
      <w:r>
        <w:rPr>
          <w:rFonts w:ascii="David" w:hAnsi="David" w:cs="David" w:hint="cs"/>
          <w:sz w:val="28"/>
          <w:szCs w:val="28"/>
          <w:rtl/>
        </w:rPr>
        <w:t>אוחזרו</w:t>
      </w:r>
      <w:proofErr w:type="spellEnd"/>
      <w:r>
        <w:rPr>
          <w:rFonts w:ascii="David" w:hAnsi="David" w:cs="David" w:hint="cs"/>
          <w:sz w:val="28"/>
          <w:szCs w:val="28"/>
          <w:rtl/>
        </w:rPr>
        <w:t xml:space="preserve"> בהפקה". אשר למחיקת התמונות הנזכרת שם, טענה ההגנה כי המדובר בתמונה אחת בלבד. כך או כך, הודגש כי העבירות המיוחסות בוצעו במהלך כחודשיים בלבד, מתוך תקופה של כשבעה חודשים של שירות מילואים; כי המשיב מצוי במעצר מזה כשלושה חודשים, נתון המקהה את מסוכנותו; כי לא הפר את תנאי מעצר הבית במהלך החקירה, כשפיקחה עליו רעייתו - וכי כעת, מוצעים עוד מספר מפקחים, המודעים לכתב האישום, ללא כל ביסוס לספקולציות שהעלתה לגביהם התביעה, היינו חלופת המעצר המוצעת מהודקת אף יותר מזו שכבר ננקטה בעניינו של המשיב. הוצהר, כי בביתה של האם אין מחשב או מכשיר </w:t>
      </w:r>
      <w:proofErr w:type="spellStart"/>
      <w:r>
        <w:rPr>
          <w:rFonts w:ascii="David" w:hAnsi="David" w:cs="David" w:hint="cs"/>
          <w:sz w:val="28"/>
          <w:szCs w:val="28"/>
          <w:rtl/>
        </w:rPr>
        <w:t>טאבלט</w:t>
      </w:r>
      <w:proofErr w:type="spellEnd"/>
      <w:r>
        <w:rPr>
          <w:rFonts w:ascii="David" w:hAnsi="David" w:cs="David" w:hint="cs"/>
          <w:sz w:val="28"/>
          <w:szCs w:val="28"/>
          <w:rtl/>
        </w:rPr>
        <w:t>, וכי המשיב נכון לקיים את שיחות הטלפון שאושרו לו באמצעות מכשיר טלפון "כשר", ללא מצלמה או גישה למרשתת</w:t>
      </w:r>
      <w:r w:rsidRPr="00EB6777">
        <w:rPr>
          <w:rFonts w:ascii="David" w:hAnsi="David" w:cs="David" w:hint="cs"/>
          <w:sz w:val="28"/>
          <w:szCs w:val="28"/>
          <w:rtl/>
        </w:rPr>
        <w:t>.</w:t>
      </w:r>
    </w:p>
    <w:p w14:paraId="6DB336B9" w14:textId="77777777" w:rsidR="00290793" w:rsidRPr="00EB6777" w:rsidRDefault="00290793" w:rsidP="00290793">
      <w:pPr>
        <w:pStyle w:val="ListParagraph"/>
        <w:spacing w:after="0" w:line="348" w:lineRule="auto"/>
        <w:ind w:left="0"/>
        <w:jc w:val="both"/>
        <w:rPr>
          <w:rFonts w:ascii="David" w:hAnsi="David" w:cs="David"/>
          <w:sz w:val="28"/>
          <w:szCs w:val="28"/>
          <w:rtl/>
        </w:rPr>
      </w:pPr>
    </w:p>
    <w:p w14:paraId="0F475624" w14:textId="4D2BF3D9" w:rsidR="00290793" w:rsidRDefault="00290793" w:rsidP="00290793">
      <w:pPr>
        <w:pStyle w:val="ListParagraph"/>
        <w:spacing w:after="0" w:line="348" w:lineRule="auto"/>
        <w:ind w:left="0"/>
        <w:jc w:val="both"/>
        <w:rPr>
          <w:rFonts w:ascii="David" w:hAnsi="David" w:cs="David"/>
          <w:b/>
          <w:bCs/>
          <w:sz w:val="28"/>
          <w:szCs w:val="28"/>
          <w:u w:val="single"/>
          <w:rtl/>
        </w:rPr>
      </w:pPr>
      <w:r>
        <w:rPr>
          <w:rFonts w:ascii="David" w:hAnsi="David" w:cs="David" w:hint="cs"/>
          <w:b/>
          <w:bCs/>
          <w:sz w:val="28"/>
          <w:szCs w:val="28"/>
          <w:u w:val="single"/>
          <w:rtl/>
        </w:rPr>
        <w:t>דיון והכרעה</w:t>
      </w:r>
    </w:p>
    <w:p w14:paraId="2A36B7E1" w14:textId="77777777" w:rsidR="00812E7B" w:rsidRPr="00812E7B" w:rsidRDefault="00812E7B" w:rsidP="00290793">
      <w:pPr>
        <w:pStyle w:val="ListParagraph"/>
        <w:spacing w:after="0" w:line="348" w:lineRule="auto"/>
        <w:ind w:left="0"/>
        <w:jc w:val="both"/>
        <w:rPr>
          <w:rFonts w:ascii="David" w:hAnsi="David" w:cs="David"/>
          <w:b/>
          <w:bCs/>
          <w:sz w:val="20"/>
          <w:szCs w:val="20"/>
          <w:u w:val="single"/>
        </w:rPr>
      </w:pPr>
    </w:p>
    <w:p w14:paraId="3EC04B2A" w14:textId="77777777" w:rsidR="00290793" w:rsidRDefault="00290793" w:rsidP="00290793">
      <w:pPr>
        <w:pStyle w:val="ListParagraph"/>
        <w:numPr>
          <w:ilvl w:val="0"/>
          <w:numId w:val="2"/>
        </w:numPr>
        <w:spacing w:after="0" w:line="348" w:lineRule="auto"/>
        <w:jc w:val="both"/>
        <w:rPr>
          <w:rFonts w:ascii="David" w:hAnsi="David" w:cs="David"/>
          <w:sz w:val="28"/>
          <w:szCs w:val="28"/>
        </w:rPr>
      </w:pPr>
      <w:r w:rsidRPr="00EA6C48">
        <w:rPr>
          <w:rFonts w:ascii="David" w:hAnsi="David" w:cs="David"/>
          <w:sz w:val="28"/>
          <w:szCs w:val="28"/>
          <w:rtl/>
        </w:rPr>
        <w:t xml:space="preserve">כבר בע"פ 9306/09 </w:t>
      </w:r>
      <w:r w:rsidRPr="00EA6C48">
        <w:rPr>
          <w:rFonts w:ascii="David" w:hAnsi="David" w:cs="David"/>
          <w:b/>
          <w:bCs/>
          <w:sz w:val="28"/>
          <w:szCs w:val="28"/>
          <w:rtl/>
        </w:rPr>
        <w:t>פלוני נ' מדינת ישראל</w:t>
      </w:r>
      <w:r w:rsidRPr="00EA6C48">
        <w:rPr>
          <w:rFonts w:ascii="David" w:hAnsi="David" w:cs="David" w:hint="cs"/>
          <w:sz w:val="28"/>
          <w:szCs w:val="28"/>
          <w:rtl/>
        </w:rPr>
        <w:t xml:space="preserve"> </w:t>
      </w:r>
      <w:r w:rsidRPr="00EA6C48">
        <w:rPr>
          <w:rFonts w:ascii="David" w:hAnsi="David" w:cs="David"/>
          <w:sz w:val="28"/>
          <w:szCs w:val="28"/>
          <w:rtl/>
        </w:rPr>
        <w:t xml:space="preserve">(27.9.2011), העיר בית המשפט העליון כי "בתחום הטכנולוגי, האפשרויות לשימוש כמכשירי צילום זמינים לכל, ולו בטלפון נייד 'רגיל', פתחו אופקי עבירה חדשים שלא שערום אבותינו" (פסקה ב' לפסק דינו של כב' השופט (כתוארו אז) רובינשטיין. בקשה לדיון נוסף </w:t>
      </w:r>
      <w:r w:rsidRPr="00EA6C48">
        <w:rPr>
          <w:rFonts w:ascii="David" w:hAnsi="David" w:cs="David" w:hint="cs"/>
          <w:sz w:val="28"/>
          <w:szCs w:val="28"/>
          <w:rtl/>
        </w:rPr>
        <w:t>נדחתה</w:t>
      </w:r>
      <w:r w:rsidRPr="00EA6C48">
        <w:rPr>
          <w:rFonts w:ascii="David" w:hAnsi="David" w:cs="David"/>
          <w:sz w:val="28"/>
          <w:szCs w:val="28"/>
          <w:rtl/>
        </w:rPr>
        <w:t xml:space="preserve">: </w:t>
      </w:r>
      <w:proofErr w:type="spellStart"/>
      <w:r w:rsidRPr="00EA6C48">
        <w:rPr>
          <w:rFonts w:ascii="David" w:hAnsi="David" w:cs="David"/>
          <w:sz w:val="28"/>
          <w:szCs w:val="28"/>
          <w:rtl/>
        </w:rPr>
        <w:t>דנ"פ</w:t>
      </w:r>
      <w:proofErr w:type="spellEnd"/>
      <w:r w:rsidRPr="00EA6C48">
        <w:rPr>
          <w:rFonts w:ascii="David" w:hAnsi="David" w:cs="David"/>
          <w:sz w:val="28"/>
          <w:szCs w:val="28"/>
          <w:rtl/>
        </w:rPr>
        <w:t xml:space="preserve"> 7457/11 </w:t>
      </w:r>
      <w:r w:rsidRPr="00EA6C48">
        <w:rPr>
          <w:rFonts w:ascii="David" w:hAnsi="David" w:cs="David"/>
          <w:b/>
          <w:bCs/>
          <w:sz w:val="28"/>
          <w:szCs w:val="28"/>
          <w:rtl/>
        </w:rPr>
        <w:t>פלוני נ' מדינת ישראל</w:t>
      </w:r>
      <w:r w:rsidRPr="00EA6C48">
        <w:rPr>
          <w:rFonts w:ascii="David" w:hAnsi="David" w:cs="David"/>
          <w:sz w:val="28"/>
          <w:szCs w:val="28"/>
          <w:rtl/>
        </w:rPr>
        <w:t>, פסקה 6 (26.2.2012)). בהמשך לכך, צוין חשש ה"זליגה" של תמונות שצולמו בדרך זו</w:t>
      </w:r>
      <w:r w:rsidRPr="00EA6C48">
        <w:rPr>
          <w:rFonts w:ascii="David" w:hAnsi="David" w:cs="David" w:hint="cs"/>
          <w:sz w:val="28"/>
          <w:szCs w:val="28"/>
          <w:rtl/>
        </w:rPr>
        <w:t xml:space="preserve">, שכן </w:t>
      </w:r>
      <w:r w:rsidRPr="00EA6C48">
        <w:rPr>
          <w:rFonts w:ascii="David" w:hAnsi="David" w:cs="David"/>
          <w:sz w:val="28"/>
          <w:szCs w:val="28"/>
          <w:rtl/>
        </w:rPr>
        <w:t>"תמיד תיתכן האפשרות שהצילומים יופיעו בעתיד, כאשר לא ניתן לדעת מי צפה בהם, ואף עצם הידיעה על קיומם עלולה להיות טראומטית ב[נפגעת העבירה] ולעורר [בנפגעת] תחושת חוסר ביטחון עמוקה דווקא במרחבים האישיים הנתפסים כפרטיים ביותר" (ע"פ 1269/15</w:t>
      </w:r>
      <w:r w:rsidRPr="00EB6777">
        <w:rPr>
          <w:rtl/>
        </w:rPr>
        <w:t xml:space="preserve"> </w:t>
      </w:r>
      <w:r w:rsidRPr="00EA6C48">
        <w:rPr>
          <w:rFonts w:ascii="David" w:hAnsi="David" w:cs="David"/>
          <w:b/>
          <w:bCs/>
          <w:sz w:val="28"/>
          <w:szCs w:val="28"/>
          <w:rtl/>
        </w:rPr>
        <w:t>פלוני נ' מדינת ישראל</w:t>
      </w:r>
      <w:r w:rsidRPr="00EA6C48">
        <w:rPr>
          <w:rFonts w:ascii="David" w:hAnsi="David" w:cs="David"/>
          <w:sz w:val="28"/>
          <w:szCs w:val="28"/>
          <w:rtl/>
        </w:rPr>
        <w:t>, פסק</w:t>
      </w:r>
      <w:r w:rsidRPr="00EA6C48">
        <w:rPr>
          <w:rFonts w:ascii="David" w:hAnsi="David" w:cs="David" w:hint="cs"/>
          <w:sz w:val="28"/>
          <w:szCs w:val="28"/>
          <w:rtl/>
        </w:rPr>
        <w:t xml:space="preserve">אות 16, 20 </w:t>
      </w:r>
      <w:r w:rsidRPr="00EA6C48">
        <w:rPr>
          <w:rFonts w:ascii="David" w:hAnsi="David" w:cs="David"/>
          <w:sz w:val="28"/>
          <w:szCs w:val="28"/>
          <w:rtl/>
        </w:rPr>
        <w:t>(23.12.2015))</w:t>
      </w:r>
      <w:r>
        <w:rPr>
          <w:rFonts w:ascii="David" w:hAnsi="David" w:cs="David" w:hint="cs"/>
          <w:sz w:val="28"/>
          <w:szCs w:val="28"/>
          <w:rtl/>
        </w:rPr>
        <w:t xml:space="preserve">. </w:t>
      </w:r>
      <w:r w:rsidRPr="00EA6C48">
        <w:rPr>
          <w:rFonts w:ascii="David" w:hAnsi="David" w:cs="David" w:hint="cs"/>
          <w:sz w:val="28"/>
          <w:szCs w:val="28"/>
          <w:rtl/>
        </w:rPr>
        <w:t>הדברים אמורים, מקל וחומר, בסביבת השירות הצבאית, האמורה לספק הגנה נאותה למשרתים בה</w:t>
      </w:r>
      <w:r w:rsidRPr="00EA6C48">
        <w:rPr>
          <w:rFonts w:ascii="David" w:hAnsi="David" w:cs="David"/>
          <w:sz w:val="28"/>
          <w:szCs w:val="28"/>
          <w:rtl/>
        </w:rPr>
        <w:t xml:space="preserve">. </w:t>
      </w:r>
      <w:r w:rsidRPr="00EA6C48">
        <w:rPr>
          <w:rFonts w:ascii="David" w:hAnsi="David" w:cs="David" w:hint="cs"/>
          <w:sz w:val="28"/>
          <w:szCs w:val="28"/>
          <w:rtl/>
        </w:rPr>
        <w:t xml:space="preserve">אכן, </w:t>
      </w:r>
      <w:r w:rsidRPr="00EA6C48">
        <w:rPr>
          <w:rFonts w:ascii="David" w:hAnsi="David" w:cs="David"/>
          <w:sz w:val="28"/>
          <w:szCs w:val="28"/>
          <w:rtl/>
        </w:rPr>
        <w:t xml:space="preserve">כפי שנקבע בבית </w:t>
      </w:r>
      <w:r w:rsidRPr="00EA6C48">
        <w:rPr>
          <w:rFonts w:ascii="David" w:hAnsi="David" w:cs="David"/>
          <w:sz w:val="28"/>
          <w:szCs w:val="28"/>
          <w:rtl/>
        </w:rPr>
        <w:lastRenderedPageBreak/>
        <w:t>דין זה, זה מכבר</w:t>
      </w:r>
      <w:r w:rsidRPr="00EA6C48">
        <w:rPr>
          <w:rFonts w:ascii="David" w:hAnsi="David" w:cs="David" w:hint="cs"/>
          <w:sz w:val="28"/>
          <w:szCs w:val="28"/>
          <w:rtl/>
        </w:rPr>
        <w:t xml:space="preserve">, </w:t>
      </w:r>
      <w:r w:rsidRPr="00EA6C48">
        <w:rPr>
          <w:rFonts w:ascii="David" w:hAnsi="David" w:cs="David"/>
          <w:sz w:val="28"/>
          <w:szCs w:val="28"/>
          <w:rtl/>
        </w:rPr>
        <w:t>"חדירה לפרטיות כל אדם בדרך של צפייה בו, ברגע אינטימי ומביך, בין שתועדה ובין שלא, מגלמת פגיעה קשה בכבודו ובפרטיותו של כל אדם ומסבה לו נזק קשה, אף בלא הפצת התמונות או הסרטונים"</w:t>
      </w:r>
      <w:r w:rsidRPr="00EA6C48">
        <w:rPr>
          <w:rFonts w:ascii="David" w:hAnsi="David" w:cs="David" w:hint="cs"/>
          <w:sz w:val="28"/>
          <w:szCs w:val="28"/>
          <w:rtl/>
        </w:rPr>
        <w:t xml:space="preserve"> (</w:t>
      </w:r>
      <w:r w:rsidRPr="00EA6C48">
        <w:rPr>
          <w:rFonts w:ascii="David" w:hAnsi="David" w:cs="David"/>
          <w:sz w:val="28"/>
          <w:szCs w:val="28"/>
          <w:rtl/>
        </w:rPr>
        <w:t xml:space="preserve">ע/37/15 </w:t>
      </w:r>
      <w:r w:rsidRPr="00EA6C48">
        <w:rPr>
          <w:rFonts w:ascii="David" w:hAnsi="David" w:cs="David"/>
          <w:b/>
          <w:bCs/>
          <w:sz w:val="28"/>
          <w:szCs w:val="28"/>
          <w:rtl/>
        </w:rPr>
        <w:t>סמל מולה נ' התובע הצבאי הראשי</w:t>
      </w:r>
      <w:r w:rsidRPr="00EA6C48">
        <w:rPr>
          <w:rFonts w:ascii="David" w:hAnsi="David" w:cs="David"/>
          <w:sz w:val="28"/>
          <w:szCs w:val="28"/>
          <w:rtl/>
        </w:rPr>
        <w:t>, פסקה 6 (2015)</w:t>
      </w:r>
      <w:r w:rsidRPr="00EA6C48">
        <w:rPr>
          <w:rFonts w:ascii="David" w:hAnsi="David" w:cs="David" w:hint="cs"/>
          <w:sz w:val="28"/>
          <w:szCs w:val="28"/>
          <w:rtl/>
        </w:rPr>
        <w:t xml:space="preserve">; </w:t>
      </w:r>
      <w:r w:rsidRPr="00EA6C48">
        <w:rPr>
          <w:rFonts w:ascii="David" w:hAnsi="David" w:cs="David"/>
          <w:sz w:val="28"/>
          <w:szCs w:val="28"/>
          <w:rtl/>
        </w:rPr>
        <w:t>ע/22,21/23</w:t>
      </w:r>
      <w:r w:rsidRPr="00EA6C48">
        <w:rPr>
          <w:rFonts w:ascii="David" w:hAnsi="David" w:cs="David" w:hint="cs"/>
          <w:sz w:val="28"/>
          <w:szCs w:val="28"/>
          <w:rtl/>
        </w:rPr>
        <w:t xml:space="preserve"> </w:t>
      </w:r>
      <w:r w:rsidRPr="00EA6C48">
        <w:rPr>
          <w:rFonts w:ascii="David" w:hAnsi="David" w:cs="David"/>
          <w:b/>
          <w:bCs/>
          <w:sz w:val="28"/>
          <w:szCs w:val="28"/>
          <w:rtl/>
        </w:rPr>
        <w:t>סמל אסולין</w:t>
      </w:r>
      <w:r>
        <w:rPr>
          <w:rFonts w:ascii="David" w:hAnsi="David" w:cs="David" w:hint="cs"/>
          <w:b/>
          <w:bCs/>
          <w:sz w:val="28"/>
          <w:szCs w:val="28"/>
          <w:rtl/>
        </w:rPr>
        <w:t xml:space="preserve"> נ' התובע הצבאי הראשי</w:t>
      </w:r>
      <w:r>
        <w:rPr>
          <w:rFonts w:ascii="David" w:hAnsi="David" w:cs="David" w:hint="cs"/>
          <w:sz w:val="28"/>
          <w:szCs w:val="28"/>
          <w:rtl/>
        </w:rPr>
        <w:t xml:space="preserve"> (2023)).</w:t>
      </w:r>
    </w:p>
    <w:p w14:paraId="72106AEA" w14:textId="77777777" w:rsidR="00290793" w:rsidRPr="00E238DB" w:rsidRDefault="00290793" w:rsidP="00290793">
      <w:pPr>
        <w:pStyle w:val="ListParagraph"/>
        <w:numPr>
          <w:ilvl w:val="0"/>
          <w:numId w:val="2"/>
        </w:numPr>
        <w:spacing w:after="0" w:line="348" w:lineRule="auto"/>
        <w:jc w:val="both"/>
        <w:rPr>
          <w:rFonts w:ascii="David" w:hAnsi="David" w:cs="David"/>
          <w:sz w:val="28"/>
          <w:szCs w:val="28"/>
        </w:rPr>
      </w:pPr>
      <w:r w:rsidRPr="00E238DB">
        <w:rPr>
          <w:rFonts w:cs="David" w:hint="cs"/>
          <w:sz w:val="28"/>
          <w:szCs w:val="28"/>
          <w:rtl/>
        </w:rPr>
        <w:t>במקרים מסוימים, עשויים מעשי הצילום, על נסיבותיהם המיניות, להקים את עילת המעצר של המסוכנות הכללית, בשים לב לחשש המסוכנות הטבוע במקרים של עבירות מין (</w:t>
      </w:r>
      <w:proofErr w:type="spellStart"/>
      <w:r w:rsidRPr="00E238DB">
        <w:rPr>
          <w:rFonts w:cs="David" w:hint="cs"/>
          <w:sz w:val="28"/>
          <w:szCs w:val="28"/>
          <w:rtl/>
        </w:rPr>
        <w:t>בש"פ</w:t>
      </w:r>
      <w:proofErr w:type="spellEnd"/>
      <w:r w:rsidRPr="00E238DB">
        <w:rPr>
          <w:rFonts w:cs="David" w:hint="cs"/>
          <w:sz w:val="28"/>
          <w:szCs w:val="28"/>
          <w:rtl/>
        </w:rPr>
        <w:t xml:space="preserve"> 7557/11 </w:t>
      </w:r>
      <w:proofErr w:type="spellStart"/>
      <w:r w:rsidRPr="00E238DB">
        <w:rPr>
          <w:rFonts w:cs="David" w:hint="cs"/>
          <w:b/>
          <w:bCs/>
          <w:sz w:val="28"/>
          <w:szCs w:val="28"/>
          <w:rtl/>
        </w:rPr>
        <w:t>לומלסקי</w:t>
      </w:r>
      <w:proofErr w:type="spellEnd"/>
      <w:r w:rsidRPr="00E238DB">
        <w:rPr>
          <w:rFonts w:cs="David" w:hint="cs"/>
          <w:b/>
          <w:bCs/>
          <w:sz w:val="28"/>
          <w:szCs w:val="28"/>
          <w:rtl/>
        </w:rPr>
        <w:t xml:space="preserve"> נ' מדינת ישראל</w:t>
      </w:r>
      <w:r w:rsidRPr="00E238DB">
        <w:rPr>
          <w:rFonts w:cs="David" w:hint="cs"/>
          <w:sz w:val="28"/>
          <w:szCs w:val="28"/>
          <w:rtl/>
        </w:rPr>
        <w:t xml:space="preserve">, פסקה 16 (25.1.2012)), ובייחוד כאשר החשש מפני הישנות המעשים </w:t>
      </w:r>
      <w:r w:rsidRPr="00E238DB">
        <w:rPr>
          <w:rFonts w:cs="David"/>
          <w:sz w:val="28"/>
          <w:szCs w:val="28"/>
          <w:rtl/>
        </w:rPr>
        <w:t xml:space="preserve">מתעצם </w:t>
      </w:r>
      <w:r>
        <w:rPr>
          <w:rFonts w:cs="David" w:hint="cs"/>
          <w:sz w:val="28"/>
          <w:szCs w:val="28"/>
          <w:rtl/>
        </w:rPr>
        <w:t>ל</w:t>
      </w:r>
      <w:r w:rsidRPr="00E238DB">
        <w:rPr>
          <w:rFonts w:cs="David"/>
          <w:sz w:val="28"/>
          <w:szCs w:val="28"/>
          <w:rtl/>
        </w:rPr>
        <w:t xml:space="preserve">נוכח </w:t>
      </w:r>
      <w:r w:rsidRPr="00E238DB">
        <w:rPr>
          <w:rFonts w:cs="David"/>
          <w:b/>
          <w:bCs/>
          <w:sz w:val="28"/>
          <w:szCs w:val="28"/>
          <w:rtl/>
        </w:rPr>
        <w:t>ריבוי האישומים</w:t>
      </w:r>
      <w:r w:rsidRPr="00E238DB">
        <w:rPr>
          <w:rFonts w:cs="David"/>
          <w:sz w:val="28"/>
          <w:szCs w:val="28"/>
          <w:rtl/>
        </w:rPr>
        <w:t xml:space="preserve"> המיוחסים </w:t>
      </w:r>
      <w:r w:rsidRPr="00E238DB">
        <w:rPr>
          <w:rFonts w:cs="David" w:hint="cs"/>
          <w:b/>
          <w:bCs/>
          <w:sz w:val="28"/>
          <w:szCs w:val="28"/>
          <w:rtl/>
        </w:rPr>
        <w:t>ו</w:t>
      </w:r>
      <w:r w:rsidRPr="00E238DB">
        <w:rPr>
          <w:rFonts w:cs="David"/>
          <w:b/>
          <w:bCs/>
          <w:sz w:val="28"/>
          <w:szCs w:val="28"/>
          <w:rtl/>
        </w:rPr>
        <w:t>הדפוס הסדרתי</w:t>
      </w:r>
      <w:r w:rsidRPr="00E238DB">
        <w:rPr>
          <w:rFonts w:cs="David"/>
          <w:sz w:val="28"/>
          <w:szCs w:val="28"/>
          <w:rtl/>
        </w:rPr>
        <w:t xml:space="preserve"> העולה מכתב</w:t>
      </w:r>
      <w:r>
        <w:rPr>
          <w:rFonts w:cs="David" w:hint="cs"/>
          <w:sz w:val="28"/>
          <w:szCs w:val="28"/>
          <w:rtl/>
        </w:rPr>
        <w:t xml:space="preserve"> </w:t>
      </w:r>
      <w:r w:rsidRPr="00E238DB">
        <w:rPr>
          <w:rFonts w:cs="David"/>
          <w:sz w:val="28"/>
          <w:szCs w:val="28"/>
          <w:rtl/>
        </w:rPr>
        <w:t>האישום</w:t>
      </w:r>
      <w:r>
        <w:rPr>
          <w:rFonts w:cs="David" w:hint="cs"/>
          <w:sz w:val="28"/>
          <w:szCs w:val="28"/>
          <w:rtl/>
        </w:rPr>
        <w:t xml:space="preserve"> (ראו והשוו ע"מ 57/22 </w:t>
      </w:r>
      <w:r>
        <w:rPr>
          <w:rFonts w:cs="David" w:hint="cs"/>
          <w:b/>
          <w:bCs/>
          <w:sz w:val="28"/>
          <w:szCs w:val="28"/>
          <w:rtl/>
        </w:rPr>
        <w:t>סא"ל שרוני נ' התובע הצבאי הראשי</w:t>
      </w:r>
      <w:r>
        <w:rPr>
          <w:rFonts w:cs="David" w:hint="cs"/>
          <w:sz w:val="28"/>
          <w:szCs w:val="28"/>
          <w:rtl/>
        </w:rPr>
        <w:t xml:space="preserve">, פסקאות 33 ואילך, והאסמכתאות שם (2022); בג"ץ 6476/22 </w:t>
      </w:r>
      <w:r>
        <w:rPr>
          <w:rFonts w:cs="David" w:hint="cs"/>
          <w:b/>
          <w:bCs/>
          <w:sz w:val="28"/>
          <w:szCs w:val="28"/>
          <w:rtl/>
        </w:rPr>
        <w:t>שרוני נ' בית הדין הצבאי לערעורים</w:t>
      </w:r>
      <w:r>
        <w:rPr>
          <w:rFonts w:cs="David" w:hint="cs"/>
          <w:sz w:val="28"/>
          <w:szCs w:val="28"/>
          <w:rtl/>
        </w:rPr>
        <w:t xml:space="preserve"> (18.10.2022)). ניצול המסגרת הצבאית, שבה משרתים החיילים לפי חוק, לביצוען של העבירות (ודאי במהלך שירות מילואים, בשעת מלחמה), מקים, מצידו, את עילות המעצר הצבאיות, של מסוכנות צבאית ושל עילת המעצר הצבאית הייחודית.</w:t>
      </w:r>
    </w:p>
    <w:p w14:paraId="7AE278FB" w14:textId="32AA7182" w:rsidR="00290793" w:rsidRDefault="00290793" w:rsidP="00290793">
      <w:pPr>
        <w:pStyle w:val="ListParagraph"/>
        <w:numPr>
          <w:ilvl w:val="0"/>
          <w:numId w:val="2"/>
        </w:numPr>
        <w:spacing w:after="0" w:line="348" w:lineRule="auto"/>
        <w:jc w:val="both"/>
        <w:rPr>
          <w:rFonts w:ascii="David" w:hAnsi="David" w:cs="David"/>
          <w:sz w:val="28"/>
          <w:szCs w:val="28"/>
          <w:rtl/>
        </w:rPr>
      </w:pPr>
      <w:r>
        <w:rPr>
          <w:rFonts w:ascii="David" w:hAnsi="David" w:cs="David" w:hint="cs"/>
          <w:sz w:val="28"/>
          <w:szCs w:val="28"/>
          <w:rtl/>
        </w:rPr>
        <w:t xml:space="preserve">ההגנה אינה חולקת, בשלב הנוכחי, על קיומן של ראיות לכאורה לעבירות המיוחסות למשיב. המחלוקת בין הצדדים נוגעת לעוצמתן של עילות המעצר ולאפשרות להלום אותן באמצעות חלופה, לנוכח שחרורו של המשיב משירות המילואים. במחלוקת זו, מצאתי לאמץ את דרך ניתוחו של בית הדין קמא שציין, בצדק, את </w:t>
      </w:r>
      <w:proofErr w:type="spellStart"/>
      <w:r>
        <w:rPr>
          <w:rFonts w:ascii="David" w:hAnsi="David" w:cs="David" w:hint="cs"/>
          <w:sz w:val="28"/>
          <w:szCs w:val="28"/>
          <w:rtl/>
        </w:rPr>
        <w:t>החזרתיות</w:t>
      </w:r>
      <w:proofErr w:type="spellEnd"/>
      <w:r>
        <w:rPr>
          <w:rFonts w:ascii="David" w:hAnsi="David" w:cs="David" w:hint="cs"/>
          <w:sz w:val="28"/>
          <w:szCs w:val="28"/>
          <w:rtl/>
        </w:rPr>
        <w:t xml:space="preserve"> במעשיו של המשיב - ודאי לאחר שאחד החיילים שצילם התעמת עימו; ומנגד, שקל את התקהותן של עילות המעצר, בכללותן - לנוכח שחרורו של המשיב משירות המילואים, שרק בגדרו בוצעו העבירות (השוו, לעומת זאת, </w:t>
      </w:r>
      <w:proofErr w:type="spellStart"/>
      <w:r>
        <w:rPr>
          <w:rFonts w:ascii="David" w:hAnsi="David" w:cs="David" w:hint="cs"/>
          <w:sz w:val="28"/>
          <w:szCs w:val="28"/>
          <w:rtl/>
        </w:rPr>
        <w:t>ל</w:t>
      </w:r>
      <w:r w:rsidRPr="000B5263">
        <w:rPr>
          <w:rFonts w:cs="David"/>
          <w:sz w:val="28"/>
          <w:szCs w:val="28"/>
          <w:rtl/>
        </w:rPr>
        <w:t>בש</w:t>
      </w:r>
      <w:r>
        <w:rPr>
          <w:rFonts w:cs="David" w:hint="cs"/>
          <w:sz w:val="28"/>
          <w:szCs w:val="28"/>
          <w:rtl/>
        </w:rPr>
        <w:t>"</w:t>
      </w:r>
      <w:r w:rsidRPr="000B5263">
        <w:rPr>
          <w:rFonts w:cs="David"/>
          <w:sz w:val="28"/>
          <w:szCs w:val="28"/>
          <w:rtl/>
        </w:rPr>
        <w:t>פ</w:t>
      </w:r>
      <w:proofErr w:type="spellEnd"/>
      <w:r w:rsidRPr="000B5263">
        <w:rPr>
          <w:rFonts w:cs="David"/>
          <w:sz w:val="28"/>
          <w:szCs w:val="28"/>
          <w:rtl/>
        </w:rPr>
        <w:t xml:space="preserve"> 4781/19 </w:t>
      </w:r>
      <w:r w:rsidRPr="000B5263">
        <w:rPr>
          <w:rFonts w:cs="David"/>
          <w:b/>
          <w:bCs/>
          <w:sz w:val="28"/>
          <w:szCs w:val="28"/>
          <w:rtl/>
        </w:rPr>
        <w:t>פלוני נ' מדינת ישראל</w:t>
      </w:r>
      <w:r>
        <w:rPr>
          <w:rFonts w:cs="David" w:hint="cs"/>
          <w:sz w:val="28"/>
          <w:szCs w:val="28"/>
          <w:rtl/>
        </w:rPr>
        <w:t xml:space="preserve"> (25.7.2019), שם בוצעו עבירות מין בקטינים באופן מקוון);</w:t>
      </w:r>
      <w:r>
        <w:rPr>
          <w:rFonts w:ascii="David" w:hAnsi="David" w:cs="David" w:hint="cs"/>
          <w:sz w:val="28"/>
          <w:szCs w:val="28"/>
          <w:rtl/>
        </w:rPr>
        <w:t xml:space="preserve"> לנוכח מעצרו המצטבר של המשיב, מאז שב למעצר (כ-80 ימים); ולאור חלופת המעצר ההדוקה שהוצעה, והתרשמותו הבלתי אמצעית של בית הדין עצמו מחלק מן המפקחים, שלה יש ליתן, בנסיבות, משקל ממשי (ע"מ 55/24 </w:t>
      </w:r>
      <w:r>
        <w:rPr>
          <w:rFonts w:ascii="David" w:hAnsi="David" w:cs="David" w:hint="cs"/>
          <w:b/>
          <w:bCs/>
          <w:sz w:val="28"/>
          <w:szCs w:val="28"/>
          <w:rtl/>
        </w:rPr>
        <w:t>התובע הצבאי הראשי</w:t>
      </w:r>
      <w:r w:rsidRPr="00DC05B1">
        <w:rPr>
          <w:rFonts w:ascii="David" w:hAnsi="David" w:cs="David" w:hint="cs"/>
          <w:b/>
          <w:bCs/>
          <w:sz w:val="28"/>
          <w:szCs w:val="28"/>
          <w:rtl/>
        </w:rPr>
        <w:t xml:space="preserve"> </w:t>
      </w:r>
      <w:r>
        <w:rPr>
          <w:rFonts w:ascii="David" w:hAnsi="David" w:cs="David" w:hint="cs"/>
          <w:b/>
          <w:bCs/>
          <w:sz w:val="28"/>
          <w:szCs w:val="28"/>
          <w:rtl/>
        </w:rPr>
        <w:t xml:space="preserve">נ' רב"ט </w:t>
      </w:r>
      <w:proofErr w:type="spellStart"/>
      <w:r>
        <w:rPr>
          <w:rFonts w:ascii="David" w:hAnsi="David" w:cs="David" w:hint="cs"/>
          <w:b/>
          <w:bCs/>
          <w:sz w:val="28"/>
          <w:szCs w:val="28"/>
          <w:rtl/>
        </w:rPr>
        <w:t>גדו</w:t>
      </w:r>
      <w:proofErr w:type="spellEnd"/>
      <w:r>
        <w:rPr>
          <w:rFonts w:ascii="David" w:hAnsi="David" w:cs="David" w:hint="cs"/>
          <w:sz w:val="28"/>
          <w:szCs w:val="28"/>
          <w:rtl/>
        </w:rPr>
        <w:t>, פסקה 26, והאסמכתאות שם (2024)). התרשמותו של שירות המבחן, מן המפקחים כולם, על אף היותם בני משפחה, בדבר הבנת חומרתן של העבירות ומחויבותם לפיקוח ודיווח, עולה בקנה אחד עם הפסיקה שלפיה "</w:t>
      </w:r>
      <w:r w:rsidRPr="00107ACD">
        <w:rPr>
          <w:rFonts w:ascii="David" w:hAnsi="David" w:cs="David"/>
          <w:sz w:val="28"/>
          <w:szCs w:val="28"/>
          <w:rtl/>
        </w:rPr>
        <w:t>התאמת המפקחים נמדדת אפוא, בין היתר, לאור נכונותם להבחין בפוטנציאל הסיכון שנשקף מהנאשם תוך שקילת האפשרות שאכן אותו נאשם יורשע בדינו</w:t>
      </w:r>
      <w:r>
        <w:rPr>
          <w:rFonts w:ascii="David" w:hAnsi="David" w:cs="David" w:hint="cs"/>
          <w:sz w:val="28"/>
          <w:szCs w:val="28"/>
          <w:rtl/>
        </w:rPr>
        <w:t>" (</w:t>
      </w:r>
      <w:proofErr w:type="spellStart"/>
      <w:r w:rsidRPr="0013111F">
        <w:rPr>
          <w:rFonts w:ascii="David" w:hAnsi="David" w:cs="David"/>
          <w:sz w:val="28"/>
          <w:szCs w:val="28"/>
          <w:rtl/>
        </w:rPr>
        <w:t>בש</w:t>
      </w:r>
      <w:r>
        <w:rPr>
          <w:rFonts w:ascii="David" w:hAnsi="David" w:cs="David" w:hint="cs"/>
          <w:sz w:val="28"/>
          <w:szCs w:val="28"/>
          <w:rtl/>
        </w:rPr>
        <w:t>"</w:t>
      </w:r>
      <w:r w:rsidRPr="0013111F">
        <w:rPr>
          <w:rFonts w:ascii="David" w:hAnsi="David" w:cs="David"/>
          <w:sz w:val="28"/>
          <w:szCs w:val="28"/>
          <w:rtl/>
        </w:rPr>
        <w:t>פ</w:t>
      </w:r>
      <w:proofErr w:type="spellEnd"/>
      <w:r w:rsidRPr="0013111F">
        <w:rPr>
          <w:rFonts w:ascii="David" w:hAnsi="David" w:cs="David"/>
          <w:sz w:val="28"/>
          <w:szCs w:val="28"/>
          <w:rtl/>
        </w:rPr>
        <w:t xml:space="preserve"> 1038/21 </w:t>
      </w:r>
      <w:r w:rsidRPr="0013111F">
        <w:rPr>
          <w:rFonts w:ascii="David" w:hAnsi="David" w:cs="David"/>
          <w:b/>
          <w:bCs/>
          <w:sz w:val="28"/>
          <w:szCs w:val="28"/>
          <w:rtl/>
        </w:rPr>
        <w:t xml:space="preserve">מדינת ישראל נ' מוחמד </w:t>
      </w:r>
      <w:proofErr w:type="spellStart"/>
      <w:r w:rsidRPr="0013111F">
        <w:rPr>
          <w:rFonts w:ascii="David" w:hAnsi="David" w:cs="David"/>
          <w:b/>
          <w:bCs/>
          <w:sz w:val="28"/>
          <w:szCs w:val="28"/>
          <w:rtl/>
        </w:rPr>
        <w:t>אגבאריה</w:t>
      </w:r>
      <w:proofErr w:type="spellEnd"/>
      <w:r>
        <w:rPr>
          <w:rFonts w:ascii="David" w:hAnsi="David" w:cs="David" w:hint="cs"/>
          <w:sz w:val="28"/>
          <w:szCs w:val="28"/>
          <w:rtl/>
        </w:rPr>
        <w:t xml:space="preserve">, פסקה 7 (15.2.2021)). לכל אלה יש להוסיף, כי לכתחילה, השבתו של המשיב למעצר, אף אם החשדות בעניינו התחזקו, לא הייתה מובנת מאליה, לאחר שעמד בתנאים המגבילים שהוטלו עליו, ואף הוקלו בהמשך (ראו, למשל, </w:t>
      </w:r>
      <w:proofErr w:type="spellStart"/>
      <w:r>
        <w:rPr>
          <w:rFonts w:ascii="David" w:hAnsi="David" w:cs="David" w:hint="cs"/>
          <w:sz w:val="28"/>
          <w:szCs w:val="28"/>
          <w:rtl/>
        </w:rPr>
        <w:t>בש"פ</w:t>
      </w:r>
      <w:proofErr w:type="spellEnd"/>
      <w:r>
        <w:rPr>
          <w:rFonts w:ascii="David" w:hAnsi="David" w:cs="David" w:hint="cs"/>
          <w:sz w:val="28"/>
          <w:szCs w:val="28"/>
          <w:rtl/>
        </w:rPr>
        <w:t xml:space="preserve"> 586/23 </w:t>
      </w:r>
      <w:r>
        <w:rPr>
          <w:rFonts w:ascii="David" w:hAnsi="David" w:cs="David" w:hint="cs"/>
          <w:b/>
          <w:bCs/>
          <w:sz w:val="28"/>
          <w:szCs w:val="28"/>
          <w:rtl/>
        </w:rPr>
        <w:t>פלוני נ' מדינת ישראל</w:t>
      </w:r>
      <w:r>
        <w:rPr>
          <w:rFonts w:ascii="David" w:hAnsi="David" w:cs="David" w:hint="cs"/>
          <w:sz w:val="28"/>
          <w:szCs w:val="28"/>
          <w:rtl/>
        </w:rPr>
        <w:t xml:space="preserve"> (20.1.2023)). אף במחיקת התמונות בראי החקירה הצפויה, שצוינה על ידי התביעה כנסיבה מחמירה ביחס לאי-נקיטת מעצר במקרים דומים - אין כדי להטות את הכף לעבר מעצר, בנסיבות הכוללות ובהיעדר הפרות של התנאים המגבילים בהיותו של המשיב משוחרר ממעצר בשלב החקירה. וראו, למשל, עניינו של </w:t>
      </w:r>
      <w:r>
        <w:rPr>
          <w:rFonts w:ascii="David" w:hAnsi="David" w:cs="David" w:hint="cs"/>
          <w:b/>
          <w:bCs/>
          <w:sz w:val="28"/>
          <w:szCs w:val="28"/>
          <w:rtl/>
        </w:rPr>
        <w:t>רב"ט רביבו</w:t>
      </w:r>
      <w:r>
        <w:rPr>
          <w:rFonts w:ascii="David" w:hAnsi="David" w:cs="David" w:hint="cs"/>
          <w:sz w:val="28"/>
          <w:szCs w:val="28"/>
          <w:rtl/>
        </w:rPr>
        <w:t xml:space="preserve">, שם עתרה התביעה להסתפק במעצר בית מלא, חלף </w:t>
      </w:r>
      <w:r>
        <w:rPr>
          <w:rFonts w:ascii="David" w:hAnsi="David" w:cs="David" w:hint="cs"/>
          <w:sz w:val="28"/>
          <w:szCs w:val="28"/>
          <w:rtl/>
        </w:rPr>
        <w:lastRenderedPageBreak/>
        <w:t xml:space="preserve">המעצר הפתוח שבו שהה עד פיטוריו משירות, וזאת חרף העבירות שיוחסו לו - צילום חיילות במקלחת היחידה, צילומים אינטימיים נוספים של נשים - ובכלל זה, </w:t>
      </w:r>
      <w:r w:rsidRPr="00590D51">
        <w:rPr>
          <w:rFonts w:ascii="David" w:hAnsi="David" w:cs="David" w:hint="cs"/>
          <w:b/>
          <w:bCs/>
          <w:sz w:val="28"/>
          <w:szCs w:val="28"/>
          <w:rtl/>
        </w:rPr>
        <w:t>בת משפחה, בביתו</w:t>
      </w:r>
      <w:r w:rsidRPr="00590D51">
        <w:rPr>
          <w:rFonts w:ascii="David" w:hAnsi="David" w:cs="David" w:hint="cs"/>
          <w:sz w:val="28"/>
          <w:szCs w:val="28"/>
          <w:rtl/>
        </w:rPr>
        <w:t>,</w:t>
      </w:r>
      <w:r>
        <w:rPr>
          <w:rFonts w:ascii="David" w:hAnsi="David" w:cs="David" w:hint="cs"/>
          <w:sz w:val="28"/>
          <w:szCs w:val="28"/>
          <w:rtl/>
        </w:rPr>
        <w:t xml:space="preserve"> והוצאת כרטיס הזיכרון מן המצלמה, כחלק משיבוש החקירה (ע"מ </w:t>
      </w:r>
      <w:r w:rsidR="00256473">
        <w:rPr>
          <w:rFonts w:ascii="David" w:hAnsi="David" w:cs="David" w:hint="cs"/>
          <w:sz w:val="28"/>
          <w:szCs w:val="28"/>
          <w:rtl/>
        </w:rPr>
        <w:t>10,11</w:t>
      </w:r>
      <w:r>
        <w:rPr>
          <w:rFonts w:ascii="David" w:hAnsi="David" w:cs="David" w:hint="cs"/>
          <w:sz w:val="28"/>
          <w:szCs w:val="28"/>
          <w:rtl/>
        </w:rPr>
        <w:t xml:space="preserve">/22 </w:t>
      </w:r>
      <w:r>
        <w:rPr>
          <w:rFonts w:ascii="David" w:hAnsi="David" w:cs="David" w:hint="cs"/>
          <w:b/>
          <w:bCs/>
          <w:sz w:val="28"/>
          <w:szCs w:val="28"/>
          <w:rtl/>
        </w:rPr>
        <w:t xml:space="preserve">רב"ט רביבו נ' התובע הצבאי הראשי </w:t>
      </w:r>
      <w:r w:rsidRPr="00566B11">
        <w:rPr>
          <w:rFonts w:ascii="David" w:hAnsi="David" w:cs="David" w:hint="cs"/>
          <w:sz w:val="28"/>
          <w:szCs w:val="28"/>
          <w:rtl/>
        </w:rPr>
        <w:t>(2022)).</w:t>
      </w:r>
    </w:p>
    <w:p w14:paraId="5D483DA0" w14:textId="77777777" w:rsidR="00290793" w:rsidRDefault="00290793" w:rsidP="00290793">
      <w:pPr>
        <w:pStyle w:val="ListParagraph"/>
        <w:numPr>
          <w:ilvl w:val="0"/>
          <w:numId w:val="2"/>
        </w:numPr>
        <w:spacing w:after="0" w:line="348" w:lineRule="auto"/>
        <w:jc w:val="both"/>
        <w:rPr>
          <w:rFonts w:ascii="David" w:hAnsi="David" w:cs="David"/>
          <w:sz w:val="28"/>
          <w:szCs w:val="28"/>
        </w:rPr>
      </w:pPr>
      <w:r>
        <w:rPr>
          <w:rFonts w:ascii="David" w:hAnsi="David" w:cs="David" w:hint="cs"/>
          <w:sz w:val="28"/>
          <w:szCs w:val="28"/>
          <w:rtl/>
        </w:rPr>
        <w:t xml:space="preserve">ולבסוף, ביחס לטענה בדבר הקושי בפיקוח על איסור הגישה למחשב או לאמצעים טכנולוגיים אחרים עם מצלמה - נרשמה בדיון בערעור הצהרת הסניגור, שלפיה בבית </w:t>
      </w:r>
      <w:proofErr w:type="spellStart"/>
      <w:r>
        <w:rPr>
          <w:rFonts w:ascii="David" w:hAnsi="David" w:cs="David" w:hint="cs"/>
          <w:sz w:val="28"/>
          <w:szCs w:val="28"/>
          <w:rtl/>
        </w:rPr>
        <w:t>אמו</w:t>
      </w:r>
      <w:proofErr w:type="spellEnd"/>
      <w:r>
        <w:rPr>
          <w:rFonts w:ascii="David" w:hAnsi="David" w:cs="David" w:hint="cs"/>
          <w:sz w:val="28"/>
          <w:szCs w:val="28"/>
          <w:rtl/>
        </w:rPr>
        <w:t xml:space="preserve"> של המערער, שם ישהה במעצר הבית המלא, אין מחשב או מכשיר </w:t>
      </w:r>
      <w:proofErr w:type="spellStart"/>
      <w:r>
        <w:rPr>
          <w:rFonts w:ascii="David" w:hAnsi="David" w:cs="David" w:hint="cs"/>
          <w:sz w:val="28"/>
          <w:szCs w:val="28"/>
          <w:rtl/>
        </w:rPr>
        <w:t>טאבלט</w:t>
      </w:r>
      <w:proofErr w:type="spellEnd"/>
      <w:r>
        <w:rPr>
          <w:rFonts w:ascii="David" w:hAnsi="David" w:cs="David" w:hint="cs"/>
          <w:sz w:val="28"/>
          <w:szCs w:val="28"/>
          <w:rtl/>
        </w:rPr>
        <w:t xml:space="preserve">. בהקשר זה גם מצאתי להבהיר, על דעת ההגנה, כי שיחות הטלפון שינהל המשיב, בנוכחות המפקחים בלבד, יתבצעו באמצעות טלפון "כשר" (היינו, ללא מצלמה וגם ללא גישה למרשתת). </w:t>
      </w:r>
    </w:p>
    <w:p w14:paraId="37711A7D" w14:textId="4FD15541" w:rsidR="00290793" w:rsidRDefault="00290793" w:rsidP="00290793">
      <w:pPr>
        <w:pStyle w:val="ListParagraph"/>
        <w:numPr>
          <w:ilvl w:val="0"/>
          <w:numId w:val="2"/>
        </w:numPr>
        <w:spacing w:after="0" w:line="348" w:lineRule="auto"/>
        <w:jc w:val="both"/>
        <w:rPr>
          <w:rFonts w:ascii="David" w:hAnsi="David" w:cs="David"/>
          <w:sz w:val="28"/>
          <w:szCs w:val="28"/>
        </w:rPr>
      </w:pPr>
      <w:r w:rsidRPr="00FD69D5">
        <w:rPr>
          <w:rFonts w:ascii="David" w:hAnsi="David" w:cs="David" w:hint="cs"/>
          <w:sz w:val="28"/>
          <w:szCs w:val="28"/>
          <w:rtl/>
        </w:rPr>
        <w:t xml:space="preserve">בהינתן כלל האמור, </w:t>
      </w:r>
      <w:r>
        <w:rPr>
          <w:rFonts w:ascii="David" w:hAnsi="David" w:cs="David" w:hint="cs"/>
          <w:sz w:val="28"/>
          <w:szCs w:val="28"/>
          <w:rtl/>
        </w:rPr>
        <w:t>מצאתי כי החלטת בית הדין קמא אינה מצדיקה את התערבותה של ערכאת הערעור, ועונה על דרישת החוק "</w:t>
      </w:r>
      <w:r w:rsidRPr="00FD69D5">
        <w:rPr>
          <w:rFonts w:ascii="David" w:hAnsi="David" w:cs="David" w:hint="cs"/>
          <w:sz w:val="28"/>
          <w:szCs w:val="28"/>
          <w:rtl/>
        </w:rPr>
        <w:t>לבחון האם למרות קיומן של עילות מעצר, או קיומו של חשש מפני שיבוש הליכי משפט, ניתן להשיג את מטרות המעצר בדרך אחרת. אחד מן הכלים המרכזיים לביצוע הבחינה האמורה, הוא תסקיר שירות המבחן. באמצעות כלי זה, בית המשפט יכול לבחון באופן אפקטיבי את המסוכנות הנשקפת מן הנאשם, ואת האפשרות להתמודד עמה באמצעות חלופה הולמת" (</w:t>
      </w:r>
      <w:proofErr w:type="spellStart"/>
      <w:r w:rsidRPr="00FD69D5">
        <w:rPr>
          <w:rFonts w:ascii="David" w:hAnsi="David" w:cs="David"/>
          <w:sz w:val="28"/>
          <w:szCs w:val="28"/>
          <w:rtl/>
        </w:rPr>
        <w:t>ברע</w:t>
      </w:r>
      <w:r w:rsidR="00256473">
        <w:rPr>
          <w:rFonts w:ascii="David" w:hAnsi="David" w:cs="David" w:hint="cs"/>
          <w:sz w:val="28"/>
          <w:szCs w:val="28"/>
          <w:rtl/>
        </w:rPr>
        <w:t>"</w:t>
      </w:r>
      <w:r w:rsidRPr="00FD69D5">
        <w:rPr>
          <w:rFonts w:ascii="David" w:hAnsi="David" w:cs="David"/>
          <w:sz w:val="28"/>
          <w:szCs w:val="28"/>
          <w:rtl/>
        </w:rPr>
        <w:t>א</w:t>
      </w:r>
      <w:proofErr w:type="spellEnd"/>
      <w:r w:rsidRPr="00FD69D5">
        <w:rPr>
          <w:rFonts w:ascii="David" w:hAnsi="David" w:cs="David"/>
          <w:sz w:val="28"/>
          <w:szCs w:val="28"/>
          <w:rtl/>
        </w:rPr>
        <w:t xml:space="preserve"> 59609-07-25 </w:t>
      </w:r>
      <w:r w:rsidRPr="00FD69D5">
        <w:rPr>
          <w:rFonts w:ascii="David" w:hAnsi="David" w:cs="David"/>
          <w:b/>
          <w:bCs/>
          <w:sz w:val="28"/>
          <w:szCs w:val="28"/>
          <w:rtl/>
        </w:rPr>
        <w:t>מדינת ישראל נ' פלוני</w:t>
      </w:r>
      <w:r>
        <w:rPr>
          <w:rFonts w:ascii="David" w:hAnsi="David" w:cs="David" w:hint="cs"/>
          <w:sz w:val="28"/>
          <w:szCs w:val="28"/>
          <w:rtl/>
        </w:rPr>
        <w:t>, פסקה 10 (4.8.2025)).</w:t>
      </w:r>
    </w:p>
    <w:p w14:paraId="0911EE74" w14:textId="77777777" w:rsidR="00290793" w:rsidRPr="00FD69D5" w:rsidRDefault="00290793" w:rsidP="00290793">
      <w:pPr>
        <w:pStyle w:val="ListParagraph"/>
        <w:numPr>
          <w:ilvl w:val="0"/>
          <w:numId w:val="2"/>
        </w:numPr>
        <w:spacing w:after="0" w:line="348" w:lineRule="auto"/>
        <w:jc w:val="both"/>
        <w:rPr>
          <w:rFonts w:ascii="David" w:hAnsi="David" w:cs="David"/>
          <w:sz w:val="28"/>
          <w:szCs w:val="28"/>
        </w:rPr>
      </w:pPr>
      <w:r>
        <w:rPr>
          <w:rFonts w:ascii="David" w:hAnsi="David" w:cs="David" w:hint="cs"/>
          <w:sz w:val="28"/>
          <w:szCs w:val="28"/>
          <w:rtl/>
        </w:rPr>
        <w:t xml:space="preserve">מטעמים אלה, ובכפוף להבהרות בפסקה 12 לעיל, הוריתי על דחיית ערעור התביעה. </w:t>
      </w:r>
    </w:p>
    <w:p w14:paraId="0FF57EBB" w14:textId="77777777" w:rsidR="00290793" w:rsidRDefault="00290793" w:rsidP="00290793">
      <w:pPr>
        <w:tabs>
          <w:tab w:val="left" w:pos="374"/>
        </w:tabs>
        <w:spacing w:line="360" w:lineRule="auto"/>
        <w:ind w:left="-52"/>
        <w:jc w:val="both"/>
        <w:outlineLvl w:val="0"/>
        <w:rPr>
          <w:rFonts w:ascii="David" w:hAnsi="David" w:cs="David"/>
          <w:sz w:val="12"/>
          <w:szCs w:val="12"/>
          <w:rtl/>
        </w:rPr>
      </w:pPr>
    </w:p>
    <w:p w14:paraId="580B9450" w14:textId="77777777" w:rsidR="00290793" w:rsidRPr="00FD6234" w:rsidRDefault="00290793" w:rsidP="00290793">
      <w:pPr>
        <w:tabs>
          <w:tab w:val="left" w:pos="374"/>
        </w:tabs>
        <w:spacing w:line="360" w:lineRule="auto"/>
        <w:ind w:left="-52"/>
        <w:jc w:val="both"/>
        <w:outlineLvl w:val="0"/>
        <w:rPr>
          <w:rFonts w:ascii="David" w:hAnsi="David" w:cs="David"/>
          <w:sz w:val="12"/>
          <w:szCs w:val="12"/>
          <w:rtl/>
        </w:rPr>
      </w:pPr>
    </w:p>
    <w:p w14:paraId="4F45ACBC" w14:textId="77777777" w:rsidR="00290793" w:rsidRDefault="00290793" w:rsidP="00290793">
      <w:pPr>
        <w:tabs>
          <w:tab w:val="left" w:pos="374"/>
        </w:tabs>
        <w:spacing w:line="360" w:lineRule="auto"/>
        <w:ind w:left="-52"/>
        <w:jc w:val="both"/>
        <w:outlineLvl w:val="0"/>
        <w:rPr>
          <w:rFonts w:ascii="David" w:hAnsi="David" w:cs="David"/>
          <w:sz w:val="28"/>
          <w:szCs w:val="28"/>
          <w:rtl/>
        </w:rPr>
      </w:pPr>
      <w:r>
        <w:rPr>
          <w:rFonts w:ascii="David" w:hAnsi="David" w:cs="David" w:hint="cs"/>
          <w:sz w:val="28"/>
          <w:szCs w:val="28"/>
          <w:rtl/>
        </w:rPr>
        <w:t xml:space="preserve">הנימוקים </w:t>
      </w:r>
      <w:r w:rsidRPr="006C13BF">
        <w:rPr>
          <w:rFonts w:ascii="David" w:hAnsi="David" w:cs="David"/>
          <w:sz w:val="28"/>
          <w:szCs w:val="28"/>
          <w:rtl/>
        </w:rPr>
        <w:t>ניתנ</w:t>
      </w:r>
      <w:r>
        <w:rPr>
          <w:rFonts w:ascii="David" w:hAnsi="David" w:cs="David" w:hint="cs"/>
          <w:sz w:val="28"/>
          <w:szCs w:val="28"/>
          <w:rtl/>
        </w:rPr>
        <w:t>ו</w:t>
      </w:r>
      <w:r w:rsidRPr="006C13BF">
        <w:rPr>
          <w:rFonts w:ascii="David" w:hAnsi="David" w:cs="David"/>
          <w:sz w:val="28"/>
          <w:szCs w:val="28"/>
          <w:rtl/>
        </w:rPr>
        <w:t xml:space="preserve"> היום, </w:t>
      </w:r>
      <w:r>
        <w:rPr>
          <w:rFonts w:ascii="David" w:hAnsi="David" w:cs="David" w:hint="cs"/>
          <w:sz w:val="28"/>
          <w:szCs w:val="28"/>
          <w:rtl/>
        </w:rPr>
        <w:t xml:space="preserve">ז' בכסלו </w:t>
      </w:r>
      <w:proofErr w:type="spellStart"/>
      <w:r w:rsidRPr="006C13BF">
        <w:rPr>
          <w:rFonts w:ascii="David" w:hAnsi="David" w:cs="David"/>
          <w:sz w:val="28"/>
          <w:szCs w:val="28"/>
          <w:rtl/>
        </w:rPr>
        <w:t>התשפ"</w:t>
      </w:r>
      <w:r>
        <w:rPr>
          <w:rFonts w:ascii="David" w:hAnsi="David" w:cs="David" w:hint="cs"/>
          <w:sz w:val="28"/>
          <w:szCs w:val="28"/>
          <w:rtl/>
        </w:rPr>
        <w:t>ו</w:t>
      </w:r>
      <w:proofErr w:type="spellEnd"/>
      <w:r w:rsidRPr="006C13BF">
        <w:rPr>
          <w:rFonts w:ascii="David" w:hAnsi="David" w:cs="David"/>
          <w:sz w:val="28"/>
          <w:szCs w:val="28"/>
          <w:rtl/>
        </w:rPr>
        <w:t xml:space="preserve">, </w:t>
      </w:r>
      <w:r>
        <w:rPr>
          <w:rFonts w:ascii="David" w:hAnsi="David" w:cs="David" w:hint="cs"/>
          <w:sz w:val="28"/>
          <w:szCs w:val="28"/>
          <w:rtl/>
        </w:rPr>
        <w:t>27 בנובמבר 2025 בלשכה</w:t>
      </w:r>
      <w:r w:rsidRPr="006C13BF">
        <w:rPr>
          <w:rFonts w:ascii="David" w:hAnsi="David" w:cs="David"/>
          <w:sz w:val="28"/>
          <w:szCs w:val="28"/>
          <w:rtl/>
        </w:rPr>
        <w:t xml:space="preserve">, </w:t>
      </w:r>
      <w:r>
        <w:rPr>
          <w:rFonts w:ascii="David" w:hAnsi="David" w:cs="David" w:hint="cs"/>
          <w:sz w:val="28"/>
          <w:szCs w:val="28"/>
          <w:rtl/>
        </w:rPr>
        <w:t>ויועברו ל</w:t>
      </w:r>
      <w:r w:rsidRPr="006C13BF">
        <w:rPr>
          <w:rFonts w:ascii="David" w:hAnsi="David" w:cs="David"/>
          <w:sz w:val="28"/>
          <w:szCs w:val="28"/>
          <w:rtl/>
        </w:rPr>
        <w:t>צדדים</w:t>
      </w:r>
      <w:r>
        <w:rPr>
          <w:rFonts w:ascii="David" w:hAnsi="David" w:cs="David" w:hint="cs"/>
          <w:sz w:val="28"/>
          <w:szCs w:val="28"/>
          <w:rtl/>
        </w:rPr>
        <w:t xml:space="preserve"> על ידי המזכירות</w:t>
      </w:r>
      <w:r w:rsidRPr="006C13BF">
        <w:rPr>
          <w:rFonts w:ascii="David" w:hAnsi="David" w:cs="David"/>
          <w:sz w:val="28"/>
          <w:szCs w:val="28"/>
          <w:rtl/>
        </w:rPr>
        <w:t xml:space="preserve">. </w:t>
      </w:r>
    </w:p>
    <w:p w14:paraId="7B62F01B" w14:textId="1DA23498" w:rsidR="00290793" w:rsidRDefault="00290793" w:rsidP="00290793">
      <w:pPr>
        <w:rPr>
          <w:rFonts w:ascii="David" w:hAnsi="David" w:cs="David"/>
          <w:b/>
          <w:bCs/>
          <w:sz w:val="28"/>
          <w:szCs w:val="28"/>
          <w:rtl/>
        </w:rPr>
      </w:pPr>
    </w:p>
    <w:p w14:paraId="1085EF0F" w14:textId="77777777" w:rsidR="00290793" w:rsidRPr="006C13BF" w:rsidRDefault="00290793" w:rsidP="00290793">
      <w:pPr>
        <w:ind w:left="4959" w:firstLine="720"/>
        <w:rPr>
          <w:rFonts w:ascii="David" w:hAnsi="David" w:cs="David"/>
          <w:b/>
          <w:bCs/>
          <w:sz w:val="28"/>
          <w:szCs w:val="28"/>
          <w:rtl/>
        </w:rPr>
      </w:pPr>
      <w:r w:rsidRPr="006C13BF">
        <w:rPr>
          <w:rFonts w:ascii="David" w:hAnsi="David" w:cs="David"/>
          <w:b/>
          <w:bCs/>
          <w:sz w:val="28"/>
          <w:szCs w:val="28"/>
          <w:rtl/>
        </w:rPr>
        <w:t xml:space="preserve">________________________  </w:t>
      </w:r>
    </w:p>
    <w:p w14:paraId="7D30BBBB" w14:textId="09C632DD" w:rsidR="00290793" w:rsidRDefault="00290793" w:rsidP="00290793">
      <w:pPr>
        <w:spacing w:line="360" w:lineRule="auto"/>
        <w:ind w:left="5668" w:hanging="709"/>
        <w:rPr>
          <w:rFonts w:ascii="David" w:hAnsi="David" w:cs="David"/>
          <w:b/>
          <w:bCs/>
          <w:sz w:val="28"/>
          <w:szCs w:val="28"/>
          <w:rtl/>
        </w:rPr>
      </w:pPr>
      <w:r>
        <w:rPr>
          <w:rFonts w:ascii="David" w:hAnsi="David" w:cs="David" w:hint="cs"/>
          <w:b/>
          <w:bCs/>
          <w:sz w:val="28"/>
          <w:szCs w:val="28"/>
          <w:rtl/>
        </w:rPr>
        <w:t xml:space="preserve">           </w:t>
      </w:r>
      <w:r w:rsidRPr="006C13BF">
        <w:rPr>
          <w:rFonts w:ascii="David" w:hAnsi="David" w:cs="David"/>
          <w:b/>
          <w:bCs/>
          <w:sz w:val="28"/>
          <w:szCs w:val="28"/>
          <w:rtl/>
        </w:rPr>
        <w:t xml:space="preserve">תא"ל            נועה    </w:t>
      </w:r>
      <w:r>
        <w:rPr>
          <w:rFonts w:ascii="David" w:hAnsi="David" w:cs="David" w:hint="cs"/>
          <w:b/>
          <w:bCs/>
          <w:sz w:val="28"/>
          <w:szCs w:val="28"/>
          <w:rtl/>
        </w:rPr>
        <w:t xml:space="preserve">             </w:t>
      </w:r>
      <w:r w:rsidRPr="006C13BF">
        <w:rPr>
          <w:rFonts w:ascii="David" w:hAnsi="David" w:cs="David"/>
          <w:b/>
          <w:bCs/>
          <w:sz w:val="28"/>
          <w:szCs w:val="28"/>
          <w:rtl/>
        </w:rPr>
        <w:t xml:space="preserve"> זומר </w:t>
      </w:r>
      <w:r>
        <w:rPr>
          <w:rFonts w:ascii="David" w:hAnsi="David" w:cs="David" w:hint="cs"/>
          <w:b/>
          <w:bCs/>
          <w:sz w:val="28"/>
          <w:szCs w:val="28"/>
          <w:rtl/>
        </w:rPr>
        <w:t xml:space="preserve">                  </w:t>
      </w:r>
      <w:r w:rsidRPr="006C13BF">
        <w:rPr>
          <w:rFonts w:ascii="David" w:hAnsi="David" w:cs="David"/>
          <w:b/>
          <w:bCs/>
          <w:sz w:val="28"/>
          <w:szCs w:val="28"/>
          <w:rtl/>
        </w:rPr>
        <w:t>המשנה לנשיאת בית הדין הצבאי</w:t>
      </w:r>
      <w:r w:rsidRPr="006C13BF">
        <w:rPr>
          <w:rFonts w:ascii="David" w:hAnsi="David" w:cs="David"/>
          <w:b/>
          <w:bCs/>
          <w:sz w:val="28"/>
          <w:szCs w:val="28"/>
          <w:rtl/>
        </w:rPr>
        <w:br/>
        <w:t>ל      ע     ר     ע     ו       ר     י     ם</w:t>
      </w:r>
    </w:p>
    <w:p w14:paraId="139A0761" w14:textId="1719C578" w:rsidR="00812E7B" w:rsidRDefault="00812E7B" w:rsidP="00290793">
      <w:pPr>
        <w:spacing w:line="360" w:lineRule="auto"/>
        <w:ind w:left="5668" w:hanging="709"/>
        <w:rPr>
          <w:rFonts w:ascii="David" w:hAnsi="David" w:cs="David"/>
          <w:b/>
          <w:bCs/>
          <w:sz w:val="28"/>
          <w:szCs w:val="28"/>
          <w:rtl/>
        </w:rPr>
      </w:pPr>
    </w:p>
    <w:p w14:paraId="29CD0DD7" w14:textId="3B2C4566" w:rsidR="00812E7B" w:rsidRPr="00405BC8" w:rsidRDefault="00812E7B" w:rsidP="00812E7B">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3A98B418" w14:textId="350BAE32" w:rsidR="00812E7B" w:rsidRPr="00405BC8" w:rsidRDefault="00812E7B" w:rsidP="00812E7B">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0F41BF09" w14:textId="39369B45" w:rsidR="00812E7B" w:rsidRPr="00405BC8" w:rsidRDefault="00812E7B" w:rsidP="00812E7B">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52B94D08" w14:textId="77777777" w:rsidR="00812E7B" w:rsidRPr="006C13BF" w:rsidRDefault="00812E7B" w:rsidP="00290793">
      <w:pPr>
        <w:spacing w:line="360" w:lineRule="auto"/>
        <w:ind w:left="5668" w:hanging="709"/>
        <w:rPr>
          <w:rFonts w:ascii="David" w:hAnsi="David" w:cs="David"/>
          <w:sz w:val="28"/>
          <w:szCs w:val="28"/>
          <w:rtl/>
        </w:rPr>
      </w:pPr>
    </w:p>
    <w:p w14:paraId="72C87D90" w14:textId="77777777" w:rsidR="00290793" w:rsidRPr="00290793" w:rsidRDefault="00290793" w:rsidP="00290793">
      <w:pPr>
        <w:rPr>
          <w:rFonts w:ascii="David" w:hAnsi="David" w:cs="David"/>
          <w:b/>
          <w:bCs/>
          <w:sz w:val="28"/>
          <w:szCs w:val="28"/>
        </w:rPr>
      </w:pPr>
    </w:p>
    <w:sectPr w:rsidR="00290793" w:rsidRPr="00290793" w:rsidSect="00290793">
      <w:headerReference w:type="default" r:id="rId9"/>
      <w:footerReference w:type="default" r:id="rId10"/>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4BE0" w14:textId="77777777" w:rsidR="00C75BAE" w:rsidRDefault="00C75BAE" w:rsidP="00542E02">
      <w:pPr>
        <w:spacing w:after="0" w:line="240" w:lineRule="auto"/>
      </w:pPr>
      <w:r>
        <w:separator/>
      </w:r>
    </w:p>
  </w:endnote>
  <w:endnote w:type="continuationSeparator" w:id="0">
    <w:p w14:paraId="2DE00783" w14:textId="77777777" w:rsidR="00C75BAE" w:rsidRDefault="00C75BAE" w:rsidP="0054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avid" w:hAnsi="David" w:cs="David"/>
        <w:sz w:val="28"/>
        <w:szCs w:val="28"/>
        <w:rtl/>
      </w:rPr>
      <w:id w:val="-2034718970"/>
      <w:docPartObj>
        <w:docPartGallery w:val="Page Numbers (Bottom of Page)"/>
        <w:docPartUnique/>
      </w:docPartObj>
    </w:sdtPr>
    <w:sdtEndPr>
      <w:rPr>
        <w:noProof/>
      </w:rPr>
    </w:sdtEndPr>
    <w:sdtContent>
      <w:p w14:paraId="128073EB" w14:textId="44909B49" w:rsidR="00812E7B" w:rsidRPr="00812E7B" w:rsidRDefault="00812E7B">
        <w:pPr>
          <w:pStyle w:val="Footer"/>
          <w:jc w:val="center"/>
          <w:rPr>
            <w:rFonts w:ascii="David" w:hAnsi="David" w:cs="David"/>
            <w:sz w:val="28"/>
            <w:szCs w:val="28"/>
          </w:rPr>
        </w:pPr>
        <w:r w:rsidRPr="00812E7B">
          <w:rPr>
            <w:rFonts w:ascii="David" w:hAnsi="David" w:cs="David"/>
            <w:sz w:val="28"/>
            <w:szCs w:val="28"/>
          </w:rPr>
          <w:fldChar w:fldCharType="begin"/>
        </w:r>
        <w:r w:rsidRPr="00812E7B">
          <w:rPr>
            <w:rFonts w:ascii="David" w:hAnsi="David" w:cs="David"/>
            <w:sz w:val="28"/>
            <w:szCs w:val="28"/>
          </w:rPr>
          <w:instrText xml:space="preserve"> PAGE   \* MERGEFORMAT </w:instrText>
        </w:r>
        <w:r w:rsidRPr="00812E7B">
          <w:rPr>
            <w:rFonts w:ascii="David" w:hAnsi="David" w:cs="David"/>
            <w:sz w:val="28"/>
            <w:szCs w:val="28"/>
          </w:rPr>
          <w:fldChar w:fldCharType="separate"/>
        </w:r>
        <w:r w:rsidRPr="00812E7B">
          <w:rPr>
            <w:rFonts w:ascii="David" w:hAnsi="David" w:cs="David"/>
            <w:noProof/>
            <w:sz w:val="28"/>
            <w:szCs w:val="28"/>
          </w:rPr>
          <w:t>2</w:t>
        </w:r>
        <w:r w:rsidRPr="00812E7B">
          <w:rPr>
            <w:rFonts w:ascii="David" w:hAnsi="David" w:cs="David"/>
            <w:noProof/>
            <w:sz w:val="28"/>
            <w:szCs w:val="28"/>
          </w:rPr>
          <w:fldChar w:fldCharType="end"/>
        </w:r>
      </w:p>
    </w:sdtContent>
  </w:sdt>
  <w:p w14:paraId="3C78470E" w14:textId="77777777" w:rsidR="00542E02" w:rsidRDefault="00542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DC37" w14:textId="77777777" w:rsidR="00C75BAE" w:rsidRDefault="00C75BAE" w:rsidP="00542E02">
      <w:pPr>
        <w:spacing w:after="0" w:line="240" w:lineRule="auto"/>
      </w:pPr>
      <w:r>
        <w:separator/>
      </w:r>
    </w:p>
  </w:footnote>
  <w:footnote w:type="continuationSeparator" w:id="0">
    <w:p w14:paraId="20278A89" w14:textId="77777777" w:rsidR="00C75BAE" w:rsidRDefault="00C75BAE" w:rsidP="00542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E653" w14:textId="0A138287" w:rsidR="00542E02" w:rsidRPr="00542E02" w:rsidRDefault="000D14C9" w:rsidP="00542E02">
    <w:pPr>
      <w:pStyle w:val="Header"/>
      <w:jc w:val="right"/>
      <w:rPr>
        <w:rFonts w:ascii="David" w:hAnsi="David" w:cs="David"/>
        <w:sz w:val="28"/>
        <w:szCs w:val="28"/>
      </w:rPr>
    </w:pPr>
    <w:r>
      <w:rPr>
        <w:rFonts w:ascii="David" w:hAnsi="David" w:cs="David" w:hint="cs"/>
        <w:sz w:val="28"/>
        <w:szCs w:val="28"/>
        <w:rtl/>
      </w:rPr>
      <w:t>ב ל מ " ס</w:t>
    </w:r>
    <w:r w:rsidR="00542E02" w:rsidRPr="00542E02">
      <w:rPr>
        <w:rFonts w:ascii="David" w:hAnsi="David" w:cs="David"/>
        <w:sz w:val="28"/>
        <w:szCs w:val="28"/>
        <w:rtl/>
      </w:rPr>
      <w:t xml:space="preserve">                                             ע"מ 72221-11-25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69A"/>
    <w:multiLevelType w:val="hybridMultilevel"/>
    <w:tmpl w:val="694E4AA0"/>
    <w:lvl w:ilvl="0" w:tplc="98FC9A9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46041"/>
    <w:multiLevelType w:val="hybridMultilevel"/>
    <w:tmpl w:val="785CCFD4"/>
    <w:lvl w:ilvl="0" w:tplc="74B6E128">
      <w:start w:val="1"/>
      <w:numFmt w:val="decimal"/>
      <w:suff w:val="space"/>
      <w:lvlText w:val="%1."/>
      <w:lvlJc w:val="left"/>
      <w:pPr>
        <w:ind w:left="0" w:firstLine="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93"/>
    <w:rsid w:val="000D14C9"/>
    <w:rsid w:val="001A4E94"/>
    <w:rsid w:val="00256473"/>
    <w:rsid w:val="00290793"/>
    <w:rsid w:val="00355EE9"/>
    <w:rsid w:val="00542E02"/>
    <w:rsid w:val="005F1976"/>
    <w:rsid w:val="00812E7B"/>
    <w:rsid w:val="00C456A8"/>
    <w:rsid w:val="00C75BAE"/>
    <w:rsid w:val="00EA7D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712D"/>
  <w15:chartTrackingRefBased/>
  <w15:docId w15:val="{69B48D35-19D1-4ACC-805C-87913688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0793"/>
    <w:pPr>
      <w:ind w:left="720"/>
      <w:contextualSpacing/>
    </w:pPr>
  </w:style>
  <w:style w:type="character" w:customStyle="1" w:styleId="ListParagraphChar">
    <w:name w:val="List Paragraph Char"/>
    <w:basedOn w:val="DefaultParagraphFont"/>
    <w:link w:val="ListParagraph"/>
    <w:uiPriority w:val="34"/>
    <w:locked/>
    <w:rsid w:val="00290793"/>
  </w:style>
  <w:style w:type="paragraph" w:styleId="Header">
    <w:name w:val="header"/>
    <w:basedOn w:val="Normal"/>
    <w:link w:val="HeaderChar"/>
    <w:uiPriority w:val="99"/>
    <w:unhideWhenUsed/>
    <w:rsid w:val="00542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2E02"/>
  </w:style>
  <w:style w:type="paragraph" w:styleId="Footer">
    <w:name w:val="footer"/>
    <w:basedOn w:val="Normal"/>
    <w:link w:val="FooterChar"/>
    <w:uiPriority w:val="99"/>
    <w:unhideWhenUsed/>
    <w:rsid w:val="00542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2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2451</Words>
  <Characters>12259</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ארבל דו גלאון - בית הדין לערעורים/מש"ק משפט</dc:creator>
  <cp:keywords/>
  <dc:description/>
  <cp:lastModifiedBy>ארבל דו גלאון - בית הדין לערעורים/מש"ק משפט</cp:lastModifiedBy>
  <cp:revision>6</cp:revision>
  <cp:lastPrinted>2025-11-30T09:07:00Z</cp:lastPrinted>
  <dcterms:created xsi:type="dcterms:W3CDTF">2025-11-30T07:31:00Z</dcterms:created>
  <dcterms:modified xsi:type="dcterms:W3CDTF">2025-11-30T11:17:00Z</dcterms:modified>
</cp:coreProperties>
</file>