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9EAE0" w14:textId="0760AA1C" w:rsidR="003B400B" w:rsidRDefault="003B400B" w:rsidP="003B400B">
      <w:pPr>
        <w:tabs>
          <w:tab w:val="right" w:pos="6328"/>
        </w:tabs>
        <w:spacing w:line="480" w:lineRule="auto"/>
        <w:ind w:left="2549" w:right="1985"/>
        <w:rPr>
          <w:rFonts w:cs="Arial"/>
          <w:sz w:val="22"/>
          <w:szCs w:val="22"/>
          <w:rtl/>
        </w:rPr>
      </w:pPr>
      <w:bookmarkStart w:id="0" w:name="_Hlk124684707"/>
      <w:r>
        <w:rPr>
          <w:noProof/>
        </w:rPr>
        <w:drawing>
          <wp:inline distT="0" distB="0" distL="0" distR="0" wp14:anchorId="4D1480A1" wp14:editId="60AA7BEA">
            <wp:extent cx="862965" cy="789940"/>
            <wp:effectExtent l="0" t="0" r="0" b="0"/>
            <wp:docPr id="2" name="תמונה 2"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a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2965" cy="789940"/>
                    </a:xfrm>
                    <a:prstGeom prst="rect">
                      <a:avLst/>
                    </a:prstGeom>
                    <a:solidFill>
                      <a:srgbClr val="FFCC00"/>
                    </a:solidFill>
                    <a:ln>
                      <a:noFill/>
                    </a:ln>
                  </pic:spPr>
                </pic:pic>
              </a:graphicData>
            </a:graphic>
          </wp:inline>
        </w:drawing>
      </w:r>
      <w:r>
        <w:tab/>
      </w:r>
      <w:r>
        <w:rPr>
          <w:noProof/>
        </w:rPr>
        <w:drawing>
          <wp:inline distT="0" distB="0" distL="0" distR="0" wp14:anchorId="269770AA" wp14:editId="0E36FF38">
            <wp:extent cx="577850" cy="789940"/>
            <wp:effectExtent l="0" t="0" r="0" b="0"/>
            <wp:docPr id="1" name="תמונה 1"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סמל"/>
                    <pic:cNvPicPr>
                      <a:picLocks noChangeAspect="1" noChangeArrowheads="1"/>
                    </pic:cNvPicPr>
                  </pic:nvPicPr>
                  <pic:blipFill>
                    <a:blip r:embed="rId9">
                      <a:lum bright="42000" contrast="6000"/>
                      <a:grayscl/>
                      <a:extLst>
                        <a:ext uri="{28A0092B-C50C-407E-A947-70E740481C1C}">
                          <a14:useLocalDpi xmlns:a14="http://schemas.microsoft.com/office/drawing/2010/main" val="0"/>
                        </a:ext>
                      </a:extLst>
                    </a:blip>
                    <a:srcRect/>
                    <a:stretch>
                      <a:fillRect/>
                    </a:stretch>
                  </pic:blipFill>
                  <pic:spPr bwMode="auto">
                    <a:xfrm>
                      <a:off x="0" y="0"/>
                      <a:ext cx="577850" cy="789940"/>
                    </a:xfrm>
                    <a:prstGeom prst="rect">
                      <a:avLst/>
                    </a:prstGeom>
                    <a:noFill/>
                    <a:ln>
                      <a:noFill/>
                    </a:ln>
                  </pic:spPr>
                </pic:pic>
              </a:graphicData>
            </a:graphic>
          </wp:inline>
        </w:drawing>
      </w:r>
    </w:p>
    <w:p w14:paraId="0B8E46A2" w14:textId="1E1D3CAD" w:rsidR="003B400B" w:rsidRDefault="00F879F9" w:rsidP="003B400B">
      <w:pPr>
        <w:bidi w:val="0"/>
        <w:spacing w:line="480" w:lineRule="auto"/>
        <w:jc w:val="center"/>
        <w:rPr>
          <w:rFonts w:ascii="David" w:hAnsi="David"/>
          <w:b/>
          <w:bCs/>
          <w:u w:val="single"/>
        </w:rPr>
      </w:pPr>
      <w:r w:rsidRPr="00FD2DDA">
        <w:rPr>
          <w:rFonts w:ascii="David" w:hAnsi="David" w:hint="cs"/>
          <w:b/>
          <w:bCs/>
          <w:u w:val="single"/>
          <w:rtl/>
        </w:rPr>
        <w:t>בבית הדין הצבאי לערעורים</w:t>
      </w:r>
    </w:p>
    <w:p w14:paraId="7295FFCD" w14:textId="77777777" w:rsidR="00F879F9" w:rsidRPr="00FD2DDA" w:rsidRDefault="00F879F9" w:rsidP="00F879F9">
      <w:pPr>
        <w:spacing w:before="120" w:line="480" w:lineRule="auto"/>
        <w:rPr>
          <w:rFonts w:ascii="David" w:hAnsi="David"/>
          <w:rtl/>
        </w:rPr>
      </w:pPr>
      <w:r w:rsidRPr="00FD2DDA">
        <w:rPr>
          <w:rFonts w:ascii="David" w:hAnsi="David" w:hint="cs"/>
          <w:rtl/>
        </w:rPr>
        <w:t>בפני:</w:t>
      </w:r>
    </w:p>
    <w:p w14:paraId="7F8347D1" w14:textId="2A31CB0E" w:rsidR="00F879F9" w:rsidRDefault="0086259D" w:rsidP="00F879F9">
      <w:pPr>
        <w:spacing w:line="240" w:lineRule="auto"/>
        <w:jc w:val="center"/>
        <w:rPr>
          <w:rtl/>
        </w:rPr>
      </w:pPr>
      <w:r>
        <w:rPr>
          <w:rFonts w:hint="cs"/>
          <w:b/>
          <w:bCs/>
          <w:rtl/>
        </w:rPr>
        <w:t xml:space="preserve">תא"ל נועה זומר </w:t>
      </w:r>
      <w:r w:rsidR="00F879F9">
        <w:rPr>
          <w:rFonts w:hint="cs"/>
          <w:rtl/>
        </w:rPr>
        <w:t xml:space="preserve">    -   </w:t>
      </w:r>
      <w:r>
        <w:rPr>
          <w:rFonts w:hint="cs"/>
          <w:rtl/>
        </w:rPr>
        <w:t>המשנה לנשיאה</w:t>
      </w:r>
    </w:p>
    <w:p w14:paraId="2FF8FDFC" w14:textId="7E3483C3" w:rsidR="00F879F9" w:rsidRDefault="00F879F9" w:rsidP="00F879F9">
      <w:pPr>
        <w:spacing w:line="240" w:lineRule="auto"/>
        <w:jc w:val="center"/>
        <w:rPr>
          <w:rtl/>
        </w:rPr>
      </w:pPr>
    </w:p>
    <w:p w14:paraId="3FAFBA2A" w14:textId="77777777" w:rsidR="00F879F9" w:rsidRPr="00BB5867" w:rsidRDefault="00F879F9" w:rsidP="00F879F9">
      <w:pPr>
        <w:spacing w:line="240" w:lineRule="auto"/>
        <w:jc w:val="center"/>
        <w:rPr>
          <w:rtl/>
        </w:rPr>
      </w:pPr>
    </w:p>
    <w:p w14:paraId="6A670FF0" w14:textId="77777777" w:rsidR="00F879F9" w:rsidRPr="00FD2DDA" w:rsidRDefault="00F879F9" w:rsidP="00F879F9">
      <w:pPr>
        <w:rPr>
          <w:rFonts w:ascii="David" w:hAnsi="David"/>
          <w:rtl/>
        </w:rPr>
      </w:pPr>
      <w:r w:rsidRPr="00FD2DDA">
        <w:rPr>
          <w:rFonts w:ascii="David" w:hAnsi="David" w:hint="cs"/>
          <w:rtl/>
        </w:rPr>
        <w:t>בעניין:</w:t>
      </w:r>
    </w:p>
    <w:p w14:paraId="0EDB6380" w14:textId="3E01CF2F" w:rsidR="00F879F9" w:rsidRPr="00FD2DDA" w:rsidRDefault="00EC369B" w:rsidP="003308CD">
      <w:pPr>
        <w:jc w:val="center"/>
        <w:rPr>
          <w:rFonts w:ascii="David" w:hAnsi="David"/>
          <w:rtl/>
        </w:rPr>
      </w:pPr>
      <w:r>
        <w:rPr>
          <w:rFonts w:ascii="David" w:hAnsi="David" w:hint="cs"/>
          <w:b/>
          <w:bCs/>
          <w:rtl/>
        </w:rPr>
        <w:t>ח/</w:t>
      </w:r>
      <w:r w:rsidR="003308CD">
        <w:rPr>
          <w:rFonts w:ascii="David" w:hAnsi="David" w:hint="cs"/>
          <w:b/>
          <w:bCs/>
        </w:rPr>
        <w:t>XXXXXXX</w:t>
      </w:r>
      <w:r>
        <w:rPr>
          <w:rFonts w:ascii="David" w:hAnsi="David" w:hint="cs"/>
          <w:b/>
          <w:bCs/>
          <w:rtl/>
        </w:rPr>
        <w:t xml:space="preserve"> סמל </w:t>
      </w:r>
      <w:r w:rsidR="009A127D">
        <w:rPr>
          <w:rFonts w:ascii="David" w:hAnsi="David" w:hint="cs"/>
          <w:b/>
          <w:bCs/>
          <w:rtl/>
        </w:rPr>
        <w:t>א'</w:t>
      </w:r>
      <w:r>
        <w:rPr>
          <w:rFonts w:ascii="David" w:hAnsi="David" w:hint="cs"/>
          <w:b/>
          <w:bCs/>
          <w:rtl/>
        </w:rPr>
        <w:t xml:space="preserve"> </w:t>
      </w:r>
      <w:r w:rsidR="009A127D">
        <w:rPr>
          <w:rFonts w:ascii="David" w:hAnsi="David" w:hint="cs"/>
          <w:b/>
          <w:bCs/>
          <w:rtl/>
        </w:rPr>
        <w:t>ק'</w:t>
      </w:r>
      <w:r>
        <w:rPr>
          <w:rFonts w:ascii="David" w:hAnsi="David" w:hint="cs"/>
          <w:b/>
          <w:bCs/>
          <w:rtl/>
        </w:rPr>
        <w:t xml:space="preserve"> </w:t>
      </w:r>
      <w:r w:rsidR="00F879F9" w:rsidRPr="00FD2DDA">
        <w:rPr>
          <w:rFonts w:ascii="David" w:hAnsi="David" w:hint="cs"/>
          <w:b/>
          <w:bCs/>
          <w:rtl/>
        </w:rPr>
        <w:t>–</w:t>
      </w:r>
      <w:r w:rsidR="00F879F9" w:rsidRPr="00FD2DDA">
        <w:rPr>
          <w:rFonts w:ascii="David" w:hAnsi="David" w:hint="cs"/>
          <w:rtl/>
        </w:rPr>
        <w:t xml:space="preserve"> </w:t>
      </w:r>
      <w:r>
        <w:rPr>
          <w:rFonts w:ascii="David" w:hAnsi="David" w:hint="cs"/>
          <w:rtl/>
        </w:rPr>
        <w:t>המבקש</w:t>
      </w:r>
      <w:r w:rsidR="00F879F9">
        <w:rPr>
          <w:rFonts w:ascii="David" w:hAnsi="David" w:hint="cs"/>
          <w:rtl/>
        </w:rPr>
        <w:t xml:space="preserve"> </w:t>
      </w:r>
      <w:r w:rsidR="00F879F9" w:rsidRPr="00FD2DDA">
        <w:rPr>
          <w:rFonts w:ascii="David" w:hAnsi="David" w:hint="cs"/>
          <w:rtl/>
        </w:rPr>
        <w:t xml:space="preserve"> (ע"י ב"כ</w:t>
      </w:r>
      <w:r w:rsidR="00152849">
        <w:rPr>
          <w:rFonts w:ascii="David" w:hAnsi="David" w:hint="cs"/>
          <w:rtl/>
        </w:rPr>
        <w:t>, רס"ן נעמאן ח'טיב</w:t>
      </w:r>
      <w:r w:rsidR="0017628D">
        <w:rPr>
          <w:rFonts w:ascii="David" w:hAnsi="David" w:hint="cs"/>
          <w:rtl/>
        </w:rPr>
        <w:t>; סרן יוסי אלבז</w:t>
      </w:r>
      <w:r>
        <w:rPr>
          <w:rFonts w:ascii="David" w:hAnsi="David" w:hint="cs"/>
          <w:rtl/>
        </w:rPr>
        <w:t>)</w:t>
      </w:r>
    </w:p>
    <w:p w14:paraId="1184DBE7" w14:textId="77777777" w:rsidR="00F879F9" w:rsidRPr="00FD2DDA" w:rsidRDefault="00F879F9" w:rsidP="00F879F9">
      <w:pPr>
        <w:jc w:val="center"/>
        <w:rPr>
          <w:rFonts w:ascii="David" w:hAnsi="David"/>
          <w:rtl/>
        </w:rPr>
      </w:pPr>
    </w:p>
    <w:p w14:paraId="30F4DB73" w14:textId="77777777" w:rsidR="00F879F9" w:rsidRPr="00FD2DDA" w:rsidRDefault="00F879F9" w:rsidP="00F879F9">
      <w:pPr>
        <w:spacing w:after="360"/>
        <w:jc w:val="center"/>
        <w:rPr>
          <w:rFonts w:ascii="David" w:hAnsi="David"/>
          <w:b/>
          <w:bCs/>
          <w:rtl/>
        </w:rPr>
      </w:pPr>
      <w:r w:rsidRPr="00FD2DDA">
        <w:rPr>
          <w:rFonts w:ascii="David" w:hAnsi="David" w:hint="cs"/>
          <w:b/>
          <w:bCs/>
          <w:rtl/>
        </w:rPr>
        <w:t xml:space="preserve">נ ג ד </w:t>
      </w:r>
    </w:p>
    <w:p w14:paraId="3C939CE6" w14:textId="178B87D7" w:rsidR="00F879F9" w:rsidRPr="00FD2DDA" w:rsidRDefault="004D2DDD" w:rsidP="00F879F9">
      <w:pPr>
        <w:spacing w:after="120"/>
        <w:jc w:val="center"/>
        <w:rPr>
          <w:rFonts w:ascii="David" w:hAnsi="David"/>
          <w:rtl/>
        </w:rPr>
      </w:pPr>
      <w:r>
        <w:rPr>
          <w:rFonts w:hint="cs"/>
          <w:b/>
          <w:bCs/>
          <w:sz w:val="32"/>
          <w:rtl/>
        </w:rPr>
        <w:t>התובע הצבאי הראשי</w:t>
      </w:r>
      <w:r w:rsidR="00F879F9" w:rsidRPr="00FD2DDA">
        <w:rPr>
          <w:rFonts w:ascii="David" w:hAnsi="David" w:hint="cs"/>
          <w:b/>
          <w:bCs/>
          <w:rtl/>
        </w:rPr>
        <w:t xml:space="preserve"> –</w:t>
      </w:r>
      <w:r w:rsidR="00F879F9" w:rsidRPr="00FD2DDA">
        <w:rPr>
          <w:rFonts w:ascii="David" w:hAnsi="David" w:hint="cs"/>
          <w:rtl/>
        </w:rPr>
        <w:t xml:space="preserve"> המשיב (ע"י ב"כ,</w:t>
      </w:r>
      <w:r w:rsidR="00F879F9">
        <w:rPr>
          <w:rFonts w:ascii="David" w:hAnsi="David" w:hint="cs"/>
          <w:rtl/>
        </w:rPr>
        <w:t xml:space="preserve"> </w:t>
      </w:r>
      <w:r w:rsidR="00152849">
        <w:rPr>
          <w:rFonts w:ascii="David" w:hAnsi="David" w:hint="cs"/>
          <w:rtl/>
        </w:rPr>
        <w:t>רס"ן אליסף מלמד; סרן שני שחר</w:t>
      </w:r>
      <w:r w:rsidR="00F879F9" w:rsidRPr="00FD2DDA">
        <w:rPr>
          <w:rFonts w:ascii="David" w:hAnsi="David" w:hint="cs"/>
          <w:rtl/>
        </w:rPr>
        <w:t>)</w:t>
      </w:r>
    </w:p>
    <w:p w14:paraId="05F70065" w14:textId="77777777" w:rsidR="00F879F9" w:rsidRPr="00FD2DDA" w:rsidRDefault="00F879F9" w:rsidP="00F879F9">
      <w:pPr>
        <w:spacing w:after="360"/>
        <w:rPr>
          <w:rFonts w:ascii="David" w:hAnsi="David"/>
          <w:b/>
          <w:bCs/>
          <w:u w:val="single"/>
          <w:rtl/>
        </w:rPr>
      </w:pPr>
    </w:p>
    <w:p w14:paraId="6FD6D830" w14:textId="3CC44ED4" w:rsidR="00F879F9" w:rsidRDefault="00EC369B" w:rsidP="00F879F9">
      <w:pPr>
        <w:spacing w:after="360"/>
        <w:rPr>
          <w:rFonts w:ascii="David" w:hAnsi="David"/>
          <w:rtl/>
        </w:rPr>
      </w:pPr>
      <w:r>
        <w:rPr>
          <w:rFonts w:ascii="David" w:hAnsi="David" w:hint="cs"/>
          <w:rtl/>
        </w:rPr>
        <w:t>בקשה לדחיית מועד ריצוי העונש</w:t>
      </w:r>
      <w:r w:rsidR="00F879F9" w:rsidRPr="00FE7B6F">
        <w:rPr>
          <w:rFonts w:ascii="David" w:hAnsi="David" w:hint="cs"/>
          <w:rtl/>
        </w:rPr>
        <w:t>.</w:t>
      </w:r>
      <w:r w:rsidR="0040664B">
        <w:rPr>
          <w:rFonts w:ascii="David" w:hAnsi="David" w:hint="cs"/>
          <w:rtl/>
        </w:rPr>
        <w:t xml:space="preserve"> </w:t>
      </w:r>
      <w:r>
        <w:rPr>
          <w:rFonts w:ascii="David" w:hAnsi="David" w:hint="cs"/>
          <w:rtl/>
        </w:rPr>
        <w:t xml:space="preserve">הבקשה </w:t>
      </w:r>
      <w:r w:rsidR="00E02DE5">
        <w:rPr>
          <w:rFonts w:ascii="David" w:hAnsi="David" w:hint="cs"/>
          <w:rtl/>
        </w:rPr>
        <w:t>התקבלה חלקית</w:t>
      </w:r>
      <w:r w:rsidR="00F879F9" w:rsidRPr="00FE7B6F">
        <w:rPr>
          <w:rFonts w:ascii="David" w:hAnsi="David" w:hint="cs"/>
          <w:rtl/>
        </w:rPr>
        <w:t>.</w:t>
      </w:r>
    </w:p>
    <w:bookmarkEnd w:id="0"/>
    <w:p w14:paraId="630195A8" w14:textId="66CF18DA" w:rsidR="00F879F9" w:rsidRDefault="00F879F9" w:rsidP="00152849">
      <w:pPr>
        <w:tabs>
          <w:tab w:val="left" w:pos="287"/>
        </w:tabs>
        <w:outlineLvl w:val="0"/>
        <w:rPr>
          <w:b/>
          <w:bCs/>
          <w:u w:val="single"/>
          <w:rtl/>
        </w:rPr>
      </w:pPr>
    </w:p>
    <w:p w14:paraId="74412C78" w14:textId="3F3157C9" w:rsidR="00F879F9" w:rsidRDefault="00F879F9" w:rsidP="00F879F9">
      <w:pPr>
        <w:tabs>
          <w:tab w:val="left" w:pos="287"/>
        </w:tabs>
        <w:jc w:val="center"/>
        <w:outlineLvl w:val="0"/>
      </w:pPr>
      <w:r>
        <w:rPr>
          <w:b/>
          <w:bCs/>
          <w:u w:val="single"/>
          <w:rtl/>
        </w:rPr>
        <w:t>ה ח ל ט ה</w:t>
      </w:r>
    </w:p>
    <w:p w14:paraId="0353F0FB" w14:textId="77777777" w:rsidR="00F879F9" w:rsidRDefault="00F879F9" w:rsidP="00F879F9">
      <w:pPr>
        <w:tabs>
          <w:tab w:val="left" w:pos="287"/>
        </w:tabs>
        <w:jc w:val="center"/>
        <w:outlineLvl w:val="0"/>
        <w:rPr>
          <w:rtl/>
        </w:rPr>
      </w:pPr>
    </w:p>
    <w:p w14:paraId="46508A8D" w14:textId="77777777" w:rsidR="00F879F9" w:rsidRDefault="00F879F9" w:rsidP="00F879F9">
      <w:pPr>
        <w:numPr>
          <w:ilvl w:val="0"/>
          <w:numId w:val="1"/>
        </w:numPr>
        <w:ind w:left="0" w:firstLine="0"/>
        <w:outlineLvl w:val="0"/>
        <w:rPr>
          <w:rtl/>
        </w:rPr>
      </w:pPr>
      <w:r>
        <w:rPr>
          <w:rtl/>
        </w:rPr>
        <w:t xml:space="preserve">ביום 1 במאי 2023 ניתן פסק דינו של בית דין זה, ובו נדחה ערעורו של המבקש על עונש מאסר בפועל בן שבעה חודשים, שהושת עליו בעקבות הרשעתו בעבירה של מעשה מגונה, לפי סעיף 348(ג) לחוק העונשין, התשל"ז - 1977. לבקשת המערער, נקבעה בפסק הדין בערעור כי יחל לרצות את עונשו היום, 23 במאי 2023. </w:t>
      </w:r>
    </w:p>
    <w:p w14:paraId="1AE01400" w14:textId="77777777" w:rsidR="00F879F9" w:rsidRDefault="00F879F9" w:rsidP="00F879F9">
      <w:pPr>
        <w:numPr>
          <w:ilvl w:val="0"/>
          <w:numId w:val="1"/>
        </w:numPr>
        <w:ind w:left="0" w:firstLine="0"/>
        <w:outlineLvl w:val="0"/>
      </w:pPr>
      <w:r>
        <w:rPr>
          <w:rtl/>
        </w:rPr>
        <w:t xml:space="preserve">אתמול, פנתה ההגנה בבקשה דחופה לדחייה נוספת בתחילת ריצויו של העונש, למשך שבוע ימים, כדי לוודא כי רשויות הכליאה יתאימו למבקש טיפול רפואי ההולם את צרכיו, וזאת בשים לב לרישיון שניתן לו לצריכת קנאביס רפואי. לבקשה צורף מסמך פסיכיאטרי, המפרט את הנסיבות שבגינן הומלץ על טיפול בקנאביס, ומציין כי המבקש מטופל בקנאביס בתצורה של תפרחת דווקא, בשל תופעות לוואי קשות שחווה כתוצאה משימוש בשמן קנאביס. ההגנה פירטה, כי פנתה לגורמי הכליאה ביום 16 במאי 2023, לאחר שנודע לה לראשונה על הנושא, אך טרם קיבלה את תשובתם, וכי חוסר הוודאות בדבר הטיפול הצפוי במבקש פוגע גם </w:t>
      </w:r>
      <w:r>
        <w:rPr>
          <w:rtl/>
        </w:rPr>
        <w:lastRenderedPageBreak/>
        <w:t>ביכולתו להשיג, בין היתר בדרך של עתירה לבית המשפט העליון בשבתו כבג"ץ, על ההחלטה שתתקבל, ככל שלא יאושר לו שימוש בקנאביס בתצורה של תפרחת במהלך כליאתו.</w:t>
      </w:r>
    </w:p>
    <w:p w14:paraId="216C0723" w14:textId="77777777" w:rsidR="00F879F9" w:rsidRDefault="00F879F9" w:rsidP="00F879F9">
      <w:pPr>
        <w:numPr>
          <w:ilvl w:val="0"/>
          <w:numId w:val="1"/>
        </w:numPr>
        <w:ind w:left="0" w:firstLine="0"/>
        <w:outlineLvl w:val="0"/>
      </w:pPr>
      <w:r>
        <w:rPr>
          <w:rtl/>
        </w:rPr>
        <w:t>בשעות הערב, ולאחר שקיבלה את תשובתם של גורמי הכליאה, תיקנה ההגנה את בקשתה, כך שביקשה את עיכוב ריצויו של עונש המאסר בשבועיים ימים. נמסר, כי בכוונתה של הסניגוריה הצבאית הראשית להגיש עתירה עקרונית לבג"ץ נגד ההחלטה המנהלית של גורמי הכליאה הצבאיים. התביעה התנגדה לבקשה, לאור האינטרס הציבורי בריצויו של עונש מאסר בפועל שנגזר על מי שהורשע בביצועה של עבירת מין, ולאור דחיות קודמות שכבר ניתנו בריצוי העונש.</w:t>
      </w:r>
    </w:p>
    <w:p w14:paraId="485A99F6" w14:textId="77777777" w:rsidR="00F879F9" w:rsidRDefault="00F879F9" w:rsidP="00F879F9">
      <w:pPr>
        <w:numPr>
          <w:ilvl w:val="0"/>
          <w:numId w:val="1"/>
        </w:numPr>
        <w:ind w:left="0" w:firstLine="0"/>
        <w:outlineLvl w:val="0"/>
      </w:pPr>
      <w:r>
        <w:rPr>
          <w:rtl/>
        </w:rPr>
        <w:t>בעקבות האמור, התקיים היום דיון במעמד הצדדים. הוצגה לי תשובתם של גורמי הרפואה במתקן הכליאה, ולפיה מטעמים של סדר ומשמעת, השימוש בקנאביס במתקן הכליאה הצבאי - בדומה לנהוג בשירות בתי הסוהר – מאושר, בפיקוח יומי של גורמי הרפואה, בתצורה של שמן, הזהה בהרכב החומר הפעיל שלו לזה שבתפרחת הקנאביס. צוין, כי בשלב זה, אין מקום לנהוג אחרת בעניינו של המבקש והוטעם, כי מן המסמכים הרפואיים שצורפו לא ברור האם מוצו כלל אפיקי הטיפול האפשריים בעניינו של המבקש. עוד הוטעם, כי הרופא שהמליץ על טיפול בתצורה של תפרחת דווקא אינו הרופא שהורה על מתן הרישיון לשימוש בקנאביס, וכי לא צורף תיעוד כלשהו לטענות בדבר תופעות הלוואי שחווה המבקש כתוצאה משימוש בשמן קנאביס. אשר על כן, נקבע כי עם תחילת ריצוי העונש, ייבדק המבקש על ידי גורמי הרפואה הרלוונטיים, וכי הללו יקבלו החלטה בדבר המשך הטיפול בו, בין היתר בראי מסמכים נוספים, ככל שיוצגו על ידי המבקש.</w:t>
      </w:r>
    </w:p>
    <w:p w14:paraId="56D160CF" w14:textId="77777777" w:rsidR="00F879F9" w:rsidRDefault="00F879F9" w:rsidP="00F879F9">
      <w:pPr>
        <w:numPr>
          <w:ilvl w:val="0"/>
          <w:numId w:val="1"/>
        </w:numPr>
        <w:ind w:left="0" w:firstLine="0"/>
        <w:outlineLvl w:val="0"/>
      </w:pPr>
      <w:r>
        <w:rPr>
          <w:rtl/>
        </w:rPr>
        <w:t xml:space="preserve">ההגנה חזרה על טענותיה והדגישה, כי בענייננו, הוצגה הצדקה רפואית להעדפת השימוש בתפרחת קנאביס על פני שמן קנאביס, בשונה מן הנסיבות שנדונו בבג"ץ 1477/22 </w:t>
      </w:r>
      <w:r>
        <w:rPr>
          <w:b/>
          <w:bCs/>
          <w:rtl/>
        </w:rPr>
        <w:t>סבג נ' מפקד בסיס הכליאה</w:t>
      </w:r>
      <w:r>
        <w:rPr>
          <w:rtl/>
        </w:rPr>
        <w:t xml:space="preserve"> (8.3.2022)). נטען, כי במקרים דומים בשירות בתי הסוהר, הותאמו חלופות אחרות לשימוש בקנאביס (כגון, בתצורה של עוגיות), וכי בחינה כזו מתבצעת ביום מיון מקדים למאסר. זאת, להבדיל מתשובתם של גורמי הכליאה בענייננו, המחייבת את התייצבותו של המבקש לתחילת ריצויו של העונש לצורך התאמת הטיפול, תוך סיכון אפשרי לבריאותו.</w:t>
      </w:r>
    </w:p>
    <w:p w14:paraId="397BDB5D" w14:textId="77777777" w:rsidR="00F879F9" w:rsidRDefault="00F879F9" w:rsidP="00F879F9">
      <w:pPr>
        <w:numPr>
          <w:ilvl w:val="0"/>
          <w:numId w:val="1"/>
        </w:numPr>
        <w:ind w:left="0" w:firstLine="0"/>
        <w:outlineLvl w:val="0"/>
      </w:pPr>
      <w:r>
        <w:rPr>
          <w:rtl/>
        </w:rPr>
        <w:t xml:space="preserve">התביעה שבה על התנגדותה לדחייה נוספת של ריצוי העונש. צוין, כי תשובתם המפורטת של גורמי הכליאה הועברה למבקש בתוך ימים ספורים, חרף העיכוב בפנייתו. התביעה סמכה ידיה על נימוקיהם של גורמי הכליאה, ואף העלתה השגות ביחס לפסיכיאטר שהמליץ על הטיפול בתצורה של תפרחת, תוך שהפנתה להתליית רישיונו בעקבות הליכים משפטיים שננקטו נגדו (רע"א 413/22 </w:t>
      </w:r>
      <w:r>
        <w:rPr>
          <w:b/>
          <w:bCs/>
          <w:rtl/>
        </w:rPr>
        <w:t>ד"ר ינקו נ' מדינת ישראל</w:t>
      </w:r>
      <w:r>
        <w:rPr>
          <w:rtl/>
        </w:rPr>
        <w:t xml:space="preserve"> (28.4.2022)).</w:t>
      </w:r>
    </w:p>
    <w:p w14:paraId="5F9B436B" w14:textId="77777777" w:rsidR="00F879F9" w:rsidRDefault="00F879F9" w:rsidP="00F879F9">
      <w:pPr>
        <w:numPr>
          <w:ilvl w:val="0"/>
          <w:numId w:val="1"/>
        </w:numPr>
        <w:ind w:left="0" w:firstLine="0"/>
        <w:outlineLvl w:val="0"/>
      </w:pPr>
      <w:r>
        <w:rPr>
          <w:rtl/>
        </w:rPr>
        <w:t xml:space="preserve">כידוע, "עיכוב ביצוע העונש הוא חריג, ויש מקום לעכב את הביצוע לכן רק בנסיבות מיוחדות וחריגות שיש בהן כדי לגבור על האינטרס הציבורי ביעילות המשפט הפלילי </w:t>
      </w:r>
      <w:r>
        <w:rPr>
          <w:rtl/>
        </w:rPr>
        <w:lastRenderedPageBreak/>
        <w:t xml:space="preserve">ובאכיפה מיידית של גזר הדין" (ע"פ 3434/23 </w:t>
      </w:r>
      <w:r>
        <w:rPr>
          <w:b/>
          <w:bCs/>
          <w:rtl/>
        </w:rPr>
        <w:t>עמר נ' מדינת ישראל</w:t>
      </w:r>
      <w:r>
        <w:rPr>
          <w:rtl/>
        </w:rPr>
        <w:t xml:space="preserve">, פסקה 7 (11.5.2023)). הדברים יפים, מקל וחומר, לאחר דחיית ערעורו של המבקש על עונש המאסר, ובוודאי בשים לב למועד הנדחה שבו נקבע כי עליו להתייצב לריצוי העונש. עם זאת, לאור הנסיבות הרפואיות שהועלו רק לאחרונה, </w:t>
      </w:r>
      <w:r>
        <w:rPr>
          <w:b/>
          <w:bCs/>
          <w:rtl/>
        </w:rPr>
        <w:t>ולפנים משורת הדין</w:t>
      </w:r>
      <w:r>
        <w:rPr>
          <w:rtl/>
        </w:rPr>
        <w:t xml:space="preserve">, כדי לאפשר למבקש להצטייד במסמכים הרפואיים העשויים להיות רלוונטיים לטיפול בו, גם לדעת רשויות הכליאה - מצאתי להורות על דחייה קצרה נוספת, </w:t>
      </w:r>
      <w:r>
        <w:rPr>
          <w:b/>
          <w:bCs/>
          <w:u w:val="single"/>
          <w:rtl/>
        </w:rPr>
        <w:t>עד יום 28 במאי 2023 בשעה 13:00</w:t>
      </w:r>
      <w:r>
        <w:rPr>
          <w:rtl/>
        </w:rPr>
        <w:t>. במועד זה עליו להתייצב לריצוי עונשו בבס"כ 416.</w:t>
      </w:r>
    </w:p>
    <w:p w14:paraId="62764865" w14:textId="77777777" w:rsidR="00F879F9" w:rsidRDefault="00F879F9" w:rsidP="00F879F9">
      <w:pPr>
        <w:outlineLvl w:val="0"/>
      </w:pPr>
    </w:p>
    <w:p w14:paraId="6EC43370" w14:textId="77777777" w:rsidR="00F879F9" w:rsidRDefault="00F879F9" w:rsidP="00F879F9">
      <w:pPr>
        <w:outlineLvl w:val="0"/>
        <w:rPr>
          <w:rtl/>
        </w:rPr>
      </w:pPr>
      <w:r>
        <w:rPr>
          <w:rtl/>
        </w:rPr>
        <w:t xml:space="preserve">ניתנה והודעה היום, ג' בסיוון התשפ"ג, 23 במאי 2023, בפומבי ובמעמד הצדדים. </w:t>
      </w:r>
    </w:p>
    <w:p w14:paraId="48F96A8D" w14:textId="6A6D28BD" w:rsidR="00F879F9" w:rsidRDefault="00F879F9" w:rsidP="00F879F9">
      <w:pPr>
        <w:rPr>
          <w:rtl/>
        </w:rPr>
      </w:pPr>
      <w:r>
        <w:rPr>
          <w:rtl/>
        </w:rPr>
        <w:tab/>
      </w:r>
      <w:r>
        <w:rPr>
          <w:rtl/>
        </w:rPr>
        <w:tab/>
      </w:r>
      <w:r>
        <w:rPr>
          <w:rtl/>
        </w:rPr>
        <w:tab/>
      </w:r>
      <w:r>
        <w:rPr>
          <w:rtl/>
        </w:rPr>
        <w:tab/>
      </w:r>
      <w:r>
        <w:rPr>
          <w:rtl/>
        </w:rPr>
        <w:tab/>
      </w:r>
      <w:r>
        <w:rPr>
          <w:rtl/>
        </w:rPr>
        <w:tab/>
      </w:r>
    </w:p>
    <w:p w14:paraId="464F7E16" w14:textId="43256E8A" w:rsidR="00DD1E5F" w:rsidRDefault="00DD1E5F">
      <w:pPr>
        <w:rPr>
          <w:rtl/>
        </w:rPr>
      </w:pPr>
    </w:p>
    <w:p w14:paraId="0E0E8372" w14:textId="77777777" w:rsidR="004D2DDD" w:rsidRDefault="004D2DDD">
      <w:pPr>
        <w:rPr>
          <w:rtl/>
        </w:rPr>
      </w:pPr>
    </w:p>
    <w:p w14:paraId="5C7E34E7" w14:textId="16571D0E" w:rsidR="004D2DDD" w:rsidRDefault="004D2DDD" w:rsidP="00731EDB">
      <w:pPr>
        <w:ind w:left="-58" w:right="-567"/>
        <w:rPr>
          <w:rFonts w:ascii="David" w:hAnsi="David"/>
          <w:b/>
          <w:bCs/>
          <w:rtl/>
        </w:rPr>
      </w:pPr>
      <w:bookmarkStart w:id="1" w:name="_Hlk122599666"/>
      <w:r>
        <w:rPr>
          <w:rFonts w:ascii="David" w:hAnsi="David" w:hint="cs"/>
          <w:b/>
          <w:bCs/>
          <w:rtl/>
        </w:rPr>
        <w:t xml:space="preserve">                                                                                                 _______________________</w:t>
      </w:r>
      <w:r w:rsidR="0040664B">
        <w:rPr>
          <w:rFonts w:ascii="David" w:hAnsi="David" w:hint="cs"/>
          <w:b/>
          <w:bCs/>
          <w:rtl/>
        </w:rPr>
        <w:t>_</w:t>
      </w:r>
    </w:p>
    <w:p w14:paraId="204D5EFA" w14:textId="2D1B9606" w:rsidR="004D2DDD" w:rsidRDefault="004D2DDD" w:rsidP="004D2DDD">
      <w:pPr>
        <w:ind w:left="-58" w:right="-567"/>
        <w:rPr>
          <w:rFonts w:ascii="David" w:hAnsi="David"/>
          <w:b/>
          <w:bCs/>
          <w:rtl/>
        </w:rPr>
      </w:pPr>
      <w:r>
        <w:rPr>
          <w:rFonts w:ascii="David" w:hAnsi="David" w:hint="cs"/>
          <w:b/>
          <w:bCs/>
          <w:rtl/>
        </w:rPr>
        <w:t xml:space="preserve">                                                                                                 תא"ל              נועה            </w:t>
      </w:r>
      <w:r w:rsidR="0040664B">
        <w:rPr>
          <w:rFonts w:ascii="David" w:hAnsi="David" w:hint="cs"/>
          <w:b/>
          <w:bCs/>
          <w:rtl/>
        </w:rPr>
        <w:t xml:space="preserve"> </w:t>
      </w:r>
      <w:r>
        <w:rPr>
          <w:rFonts w:ascii="David" w:hAnsi="David" w:hint="cs"/>
          <w:b/>
          <w:bCs/>
          <w:rtl/>
        </w:rPr>
        <w:t xml:space="preserve">   זומר </w:t>
      </w:r>
    </w:p>
    <w:p w14:paraId="06E6E632" w14:textId="160B14C9" w:rsidR="004D2DDD" w:rsidRDefault="004D2DDD" w:rsidP="004D2DDD">
      <w:pPr>
        <w:ind w:left="-58" w:right="-567"/>
        <w:rPr>
          <w:rFonts w:ascii="David" w:hAnsi="David"/>
          <w:b/>
          <w:bCs/>
          <w:rtl/>
        </w:rPr>
      </w:pPr>
      <w:r>
        <w:rPr>
          <w:rFonts w:ascii="David" w:hAnsi="David" w:hint="cs"/>
          <w:b/>
          <w:bCs/>
          <w:rtl/>
        </w:rPr>
        <w:t xml:space="preserve">                                                                                                 המשנה לנשיאה בית הדין הצבאי</w:t>
      </w:r>
    </w:p>
    <w:p w14:paraId="384D7C59" w14:textId="58A3C0B9" w:rsidR="004D2DDD" w:rsidRDefault="004D2DDD" w:rsidP="004D2DDD">
      <w:pPr>
        <w:ind w:left="-58" w:right="-567"/>
        <w:rPr>
          <w:rFonts w:ascii="David" w:hAnsi="David"/>
          <w:b/>
          <w:bCs/>
          <w:rtl/>
        </w:rPr>
      </w:pPr>
      <w:r>
        <w:rPr>
          <w:rFonts w:ascii="David" w:hAnsi="David" w:hint="cs"/>
          <w:b/>
          <w:bCs/>
          <w:rtl/>
        </w:rPr>
        <w:t xml:space="preserve">                                                                                                 ל      ע      ר    ע      ו     ר      י    ם     </w:t>
      </w:r>
    </w:p>
    <w:p w14:paraId="0D0B35C4" w14:textId="77777777" w:rsidR="004D2DDD" w:rsidRDefault="004D2DDD" w:rsidP="004D2DDD">
      <w:pPr>
        <w:ind w:left="-58" w:right="-567"/>
        <w:rPr>
          <w:rFonts w:ascii="David" w:hAnsi="David"/>
          <w:b/>
          <w:bCs/>
          <w:rtl/>
        </w:rPr>
      </w:pPr>
    </w:p>
    <w:p w14:paraId="4798C56B" w14:textId="02AC21D9" w:rsidR="004D2DDD" w:rsidRDefault="004D2DDD" w:rsidP="004D2DDD">
      <w:pPr>
        <w:ind w:left="-58" w:right="-567"/>
        <w:rPr>
          <w:rFonts w:ascii="David" w:hAnsi="David"/>
          <w:b/>
          <w:bCs/>
          <w:rtl/>
        </w:rPr>
      </w:pPr>
      <w:r>
        <w:rPr>
          <w:rFonts w:ascii="David" w:hAnsi="David" w:hint="cs"/>
          <w:b/>
          <w:bCs/>
          <w:rtl/>
        </w:rPr>
        <w:t xml:space="preserve"> </w:t>
      </w:r>
    </w:p>
    <w:p w14:paraId="37628F24" w14:textId="77777777" w:rsidR="004D2DDD" w:rsidRDefault="004D2DDD" w:rsidP="004D2DDD">
      <w:pPr>
        <w:ind w:left="-58" w:right="-567"/>
        <w:rPr>
          <w:rFonts w:ascii="David" w:hAnsi="David"/>
          <w:b/>
          <w:bCs/>
          <w:rtl/>
        </w:rPr>
      </w:pPr>
    </w:p>
    <w:p w14:paraId="19011B0D" w14:textId="58631FF7" w:rsidR="004D2DDD" w:rsidRPr="000B7E52" w:rsidRDefault="004D2DDD" w:rsidP="004D2DDD">
      <w:pPr>
        <w:ind w:left="-58" w:right="-567"/>
        <w:rPr>
          <w:rFonts w:ascii="David" w:hAnsi="David"/>
          <w:b/>
          <w:bCs/>
          <w:rtl/>
        </w:rPr>
      </w:pPr>
      <w:r w:rsidRPr="000B7E52">
        <w:rPr>
          <w:rFonts w:ascii="David" w:hAnsi="David"/>
          <w:b/>
          <w:bCs/>
          <w:rtl/>
        </w:rPr>
        <w:t>חתימת המגיה: _______________________________</w:t>
      </w:r>
      <w:r w:rsidR="00731EDB">
        <w:rPr>
          <w:rFonts w:ascii="David" w:hAnsi="David" w:hint="cs"/>
          <w:b/>
          <w:bCs/>
          <w:rtl/>
        </w:rPr>
        <w:t>_</w:t>
      </w:r>
      <w:r w:rsidRPr="000B7E52">
        <w:rPr>
          <w:rFonts w:ascii="David" w:hAnsi="David"/>
          <w:b/>
          <w:bCs/>
          <w:rtl/>
        </w:rPr>
        <w:t xml:space="preserve">      העתק         נאמן       למקור             </w:t>
      </w:r>
    </w:p>
    <w:p w14:paraId="5A7773D9" w14:textId="19F7B95E" w:rsidR="004D2DDD" w:rsidRPr="000B7E52" w:rsidRDefault="004D2DDD" w:rsidP="004D2DDD">
      <w:pPr>
        <w:ind w:left="-58" w:right="-567"/>
        <w:rPr>
          <w:rFonts w:ascii="David" w:hAnsi="David"/>
          <w:b/>
          <w:bCs/>
          <w:rtl/>
        </w:rPr>
      </w:pPr>
      <w:r w:rsidRPr="000B7E52">
        <w:rPr>
          <w:rFonts w:ascii="David" w:hAnsi="David"/>
          <w:b/>
          <w:bCs/>
          <w:rtl/>
        </w:rPr>
        <w:t xml:space="preserve">                                                                                 </w:t>
      </w:r>
      <w:r w:rsidRPr="000B7E52">
        <w:rPr>
          <w:rFonts w:ascii="David" w:hAnsi="David" w:hint="cs"/>
          <w:b/>
          <w:bCs/>
          <w:rtl/>
        </w:rPr>
        <w:t xml:space="preserve">            </w:t>
      </w:r>
      <w:r w:rsidRPr="000B7E52">
        <w:rPr>
          <w:rFonts w:ascii="David" w:hAnsi="David"/>
          <w:b/>
          <w:bCs/>
          <w:rtl/>
        </w:rPr>
        <w:t xml:space="preserve">          </w:t>
      </w:r>
      <w:r>
        <w:rPr>
          <w:rFonts w:ascii="David" w:hAnsi="David" w:hint="cs"/>
          <w:b/>
          <w:bCs/>
          <w:rtl/>
        </w:rPr>
        <w:t xml:space="preserve"> </w:t>
      </w:r>
      <w:r w:rsidR="00731EDB">
        <w:rPr>
          <w:rFonts w:ascii="David" w:hAnsi="David" w:hint="cs"/>
          <w:b/>
          <w:bCs/>
          <w:rtl/>
        </w:rPr>
        <w:t xml:space="preserve">  </w:t>
      </w:r>
      <w:r w:rsidRPr="000B7E52">
        <w:rPr>
          <w:rFonts w:ascii="David" w:hAnsi="David"/>
          <w:b/>
          <w:bCs/>
          <w:rtl/>
        </w:rPr>
        <w:t xml:space="preserve">סרן           </w:t>
      </w:r>
      <w:r w:rsidRPr="000B7E52">
        <w:rPr>
          <w:rFonts w:ascii="David" w:hAnsi="David" w:hint="cs"/>
          <w:b/>
          <w:bCs/>
          <w:rtl/>
        </w:rPr>
        <w:t xml:space="preserve"> </w:t>
      </w:r>
      <w:r w:rsidRPr="000B7E52">
        <w:rPr>
          <w:rFonts w:ascii="David" w:hAnsi="David"/>
          <w:b/>
          <w:bCs/>
          <w:rtl/>
        </w:rPr>
        <w:t xml:space="preserve"> כפיר            לב  </w:t>
      </w:r>
    </w:p>
    <w:p w14:paraId="33A43987" w14:textId="2BA326FE" w:rsidR="004D2DDD" w:rsidRPr="000B7E52" w:rsidRDefault="004D2DDD" w:rsidP="004D2DDD">
      <w:pPr>
        <w:ind w:left="-58" w:right="-567"/>
        <w:rPr>
          <w:rFonts w:ascii="David" w:hAnsi="David"/>
          <w:b/>
          <w:bCs/>
          <w:rtl/>
        </w:rPr>
      </w:pPr>
      <w:r w:rsidRPr="000B7E52">
        <w:rPr>
          <w:rFonts w:ascii="David" w:hAnsi="David"/>
          <w:b/>
          <w:bCs/>
          <w:rtl/>
        </w:rPr>
        <w:t xml:space="preserve">  תאריך: ____________________________________      </w:t>
      </w:r>
      <w:r w:rsidR="00731EDB">
        <w:rPr>
          <w:rFonts w:ascii="David" w:hAnsi="David" w:hint="cs"/>
          <w:b/>
          <w:bCs/>
          <w:rtl/>
        </w:rPr>
        <w:t xml:space="preserve"> </w:t>
      </w:r>
      <w:r w:rsidR="0040664B">
        <w:rPr>
          <w:rFonts w:ascii="David" w:hAnsi="David" w:hint="cs"/>
          <w:b/>
          <w:bCs/>
          <w:rtl/>
        </w:rPr>
        <w:t xml:space="preserve"> </w:t>
      </w:r>
      <w:r w:rsidRPr="000B7E52">
        <w:rPr>
          <w:rFonts w:ascii="David" w:hAnsi="David"/>
          <w:b/>
          <w:bCs/>
          <w:rtl/>
        </w:rPr>
        <w:t>קצין            בית           הדין</w:t>
      </w:r>
      <w:bookmarkEnd w:id="1"/>
    </w:p>
    <w:p w14:paraId="14A29B1F" w14:textId="67905EF3" w:rsidR="00F879F9" w:rsidRDefault="00F879F9"/>
    <w:sectPr w:rsidR="00F879F9" w:rsidSect="00F879F9">
      <w:headerReference w:type="even" r:id="rId10"/>
      <w:headerReference w:type="default" r:id="rId11"/>
      <w:footerReference w:type="default" r:id="rId12"/>
      <w:headerReference w:type="first" r:id="rId13"/>
      <w:pgSz w:w="11906" w:h="16838"/>
      <w:pgMar w:top="1418" w:right="1418" w:bottom="1418" w:left="1418" w:header="708" w:footer="708" w:gutter="0"/>
      <w:cols w:space="708"/>
      <w:bidi/>
      <w:rtlGutter/>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E13BE" w14:textId="77777777" w:rsidR="00386069" w:rsidRDefault="00386069" w:rsidP="00F879F9">
      <w:pPr>
        <w:spacing w:line="240" w:lineRule="auto"/>
      </w:pPr>
      <w:r>
        <w:separator/>
      </w:r>
    </w:p>
  </w:endnote>
  <w:endnote w:type="continuationSeparator" w:id="0">
    <w:p w14:paraId="17570857" w14:textId="77777777" w:rsidR="00386069" w:rsidRDefault="00386069" w:rsidP="00F879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77944770"/>
      <w:docPartObj>
        <w:docPartGallery w:val="Page Numbers (Bottom of Page)"/>
        <w:docPartUnique/>
      </w:docPartObj>
    </w:sdtPr>
    <w:sdtContent>
      <w:p w14:paraId="3E34773D" w14:textId="118589C7" w:rsidR="00F879F9" w:rsidRDefault="00F879F9">
        <w:pPr>
          <w:pStyle w:val="a5"/>
          <w:jc w:val="center"/>
        </w:pPr>
        <w:r>
          <w:fldChar w:fldCharType="begin"/>
        </w:r>
        <w:r>
          <w:instrText>PAGE   \* MERGEFORMAT</w:instrText>
        </w:r>
        <w:r>
          <w:fldChar w:fldCharType="separate"/>
        </w:r>
        <w:r>
          <w:rPr>
            <w:rtl/>
            <w:lang w:val="he-IL"/>
          </w:rPr>
          <w:t>2</w:t>
        </w:r>
        <w:r>
          <w:fldChar w:fldCharType="end"/>
        </w:r>
      </w:p>
    </w:sdtContent>
  </w:sdt>
  <w:p w14:paraId="3FE8E877" w14:textId="77777777" w:rsidR="00F879F9" w:rsidRDefault="00F879F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FE3F0" w14:textId="77777777" w:rsidR="00386069" w:rsidRDefault="00386069" w:rsidP="00F879F9">
      <w:pPr>
        <w:spacing w:line="240" w:lineRule="auto"/>
      </w:pPr>
      <w:r>
        <w:separator/>
      </w:r>
    </w:p>
  </w:footnote>
  <w:footnote w:type="continuationSeparator" w:id="0">
    <w:p w14:paraId="7A5336F3" w14:textId="77777777" w:rsidR="00386069" w:rsidRDefault="00386069" w:rsidP="00F879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17E25" w14:textId="2A611D09" w:rsidR="0017628D" w:rsidRDefault="0017628D">
    <w:pPr>
      <w:pStyle w:val="a3"/>
    </w:pPr>
    <w:r>
      <w:rPr>
        <w:noProof/>
      </w:rPr>
      <mc:AlternateContent>
        <mc:Choice Requires="wps">
          <w:drawing>
            <wp:anchor distT="0" distB="0" distL="0" distR="0" simplePos="0" relativeHeight="251659264" behindDoc="0" locked="0" layoutInCell="1" allowOverlap="1" wp14:anchorId="6AA3A062" wp14:editId="50532543">
              <wp:simplePos x="635" y="635"/>
              <wp:positionH relativeFrom="column">
                <wp:align>center</wp:align>
              </wp:positionH>
              <wp:positionV relativeFrom="paragraph">
                <wp:posOffset>635</wp:posOffset>
              </wp:positionV>
              <wp:extent cx="443865" cy="443865"/>
              <wp:effectExtent l="0" t="0" r="6985" b="15240"/>
              <wp:wrapSquare wrapText="bothSides"/>
              <wp:docPr id="8209665" name="תיבת טקסט 2"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1DDD1F" w14:textId="2DB8DF2E" w:rsidR="0017628D" w:rsidRPr="0017628D" w:rsidRDefault="0017628D">
                          <w:pPr>
                            <w:rPr>
                              <w:rFonts w:ascii="Calibri" w:eastAsia="Calibri" w:hAnsi="Calibri" w:cs="Calibri"/>
                              <w:noProof/>
                              <w:color w:val="000000"/>
                              <w:sz w:val="20"/>
                              <w:szCs w:val="20"/>
                            </w:rPr>
                          </w:pPr>
                          <w:r w:rsidRPr="0017628D">
                            <w:rPr>
                              <w:rFonts w:ascii="Calibri" w:eastAsia="Calibri" w:hAnsi="Calibri" w:cs="Calibri"/>
                              <w:noProof/>
                              <w:color w:val="000000"/>
                              <w:sz w:val="20"/>
                              <w:szCs w:val="20"/>
                              <w:rtl/>
                            </w:rPr>
                            <w:t>- בלמ"ס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AA3A062" id="_x0000_t202" coordsize="21600,21600" o:spt="202" path="m,l,21600r21600,l21600,xe">
              <v:stroke joinstyle="miter"/>
              <v:path gradientshapeok="t" o:connecttype="rect"/>
            </v:shapetype>
            <v:shape id="תיבת טקסט 2" o:spid="_x0000_s1026" type="#_x0000_t202" alt="- בלמ&quot;ס -" style="position:absolute;left:0;text-align:left;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6D1DDD1F" w14:textId="2DB8DF2E" w:rsidR="0017628D" w:rsidRPr="0017628D" w:rsidRDefault="0017628D">
                    <w:pPr>
                      <w:rPr>
                        <w:rFonts w:ascii="Calibri" w:eastAsia="Calibri" w:hAnsi="Calibri" w:cs="Calibri"/>
                        <w:noProof/>
                        <w:color w:val="000000"/>
                        <w:sz w:val="20"/>
                        <w:szCs w:val="20"/>
                      </w:rPr>
                    </w:pPr>
                    <w:r w:rsidRPr="0017628D">
                      <w:rPr>
                        <w:rFonts w:ascii="Calibri" w:eastAsia="Calibri" w:hAnsi="Calibri" w:cs="Calibri"/>
                        <w:noProof/>
                        <w:color w:val="000000"/>
                        <w:sz w:val="20"/>
                        <w:szCs w:val="20"/>
                        <w:rtl/>
                      </w:rPr>
                      <w:t>- בלמ"ס -</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767DC" w14:textId="7D291803" w:rsidR="00F879F9" w:rsidRDefault="00F879F9" w:rsidP="00F879F9">
    <w:pPr>
      <w:pStyle w:val="a3"/>
      <w:tabs>
        <w:tab w:val="clear" w:pos="4153"/>
        <w:tab w:val="clear" w:pos="8306"/>
        <w:tab w:val="center" w:pos="4535"/>
        <w:tab w:val="right" w:pos="9070"/>
      </w:tabs>
      <w:rPr>
        <w:rtl/>
      </w:rPr>
    </w:pPr>
    <w:r>
      <w:rPr>
        <w:rFonts w:hint="cs"/>
        <w:rtl/>
      </w:rPr>
      <w:t xml:space="preserve"> </w:t>
    </w:r>
    <w:r>
      <w:tab/>
    </w:r>
    <w:r w:rsidR="009A127D">
      <w:rPr>
        <w:rFonts w:hint="cs"/>
        <w:rtl/>
      </w:rPr>
      <w:t>ב</w:t>
    </w:r>
    <w:r>
      <w:rPr>
        <w:rFonts w:hint="cs"/>
        <w:rtl/>
      </w:rPr>
      <w:t xml:space="preserve"> </w:t>
    </w:r>
    <w:r w:rsidR="009A127D">
      <w:rPr>
        <w:rFonts w:hint="cs"/>
        <w:rtl/>
      </w:rPr>
      <w:t>ל</w:t>
    </w:r>
    <w:r>
      <w:rPr>
        <w:rFonts w:hint="cs"/>
        <w:rtl/>
      </w:rPr>
      <w:t xml:space="preserve"> </w:t>
    </w:r>
    <w:r w:rsidR="009A127D">
      <w:rPr>
        <w:rFonts w:hint="cs"/>
        <w:rtl/>
      </w:rPr>
      <w:t>מ</w:t>
    </w:r>
    <w:r>
      <w:rPr>
        <w:rFonts w:hint="cs"/>
        <w:rtl/>
      </w:rPr>
      <w:t xml:space="preserve"> </w:t>
    </w:r>
    <w:r w:rsidR="009A127D">
      <w:rPr>
        <w:rFonts w:hint="cs"/>
        <w:rtl/>
      </w:rPr>
      <w:t>"</w:t>
    </w:r>
    <w:r>
      <w:rPr>
        <w:rFonts w:hint="cs"/>
        <w:rtl/>
      </w:rPr>
      <w:t xml:space="preserve"> </w:t>
    </w:r>
    <w:r w:rsidR="009A127D">
      <w:rPr>
        <w:rFonts w:hint="cs"/>
        <w:rtl/>
      </w:rPr>
      <w:t>ס</w:t>
    </w:r>
    <w:r w:rsidR="004D2DDD">
      <w:rPr>
        <w:rFonts w:hint="cs"/>
        <w:rtl/>
      </w:rPr>
      <w:t xml:space="preserve"> </w:t>
    </w:r>
    <w:r>
      <w:rPr>
        <w:rtl/>
      </w:rPr>
      <w:tab/>
    </w:r>
    <w:r w:rsidR="004D2DDD">
      <w:rPr>
        <w:rFonts w:hint="cs"/>
        <w:rtl/>
      </w:rPr>
      <w:t xml:space="preserve"> </w:t>
    </w:r>
    <w:r w:rsidR="00EC369B">
      <w:rPr>
        <w:rFonts w:hint="cs"/>
        <w:rtl/>
      </w:rPr>
      <w:t>ב"ש</w:t>
    </w:r>
    <w:r>
      <w:rPr>
        <w:rFonts w:hint="cs"/>
        <w:rtl/>
      </w:rPr>
      <w:t>/</w:t>
    </w:r>
    <w:r w:rsidR="00731EDB">
      <w:rPr>
        <w:rFonts w:hint="cs"/>
        <w:rtl/>
      </w:rPr>
      <w:t>4</w:t>
    </w:r>
    <w:r w:rsidR="00295EA1">
      <w:rPr>
        <w:rFonts w:hint="cs"/>
        <w:rtl/>
      </w:rPr>
      <w:t>6</w:t>
    </w:r>
    <w:r>
      <w:rPr>
        <w:rFonts w:hint="cs"/>
        <w:rtl/>
      </w:rPr>
      <w:t>/23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1DD14" w14:textId="2ABF8312" w:rsidR="0017628D" w:rsidRDefault="0017628D">
    <w:pPr>
      <w:pStyle w:val="a3"/>
    </w:pPr>
    <w:r>
      <w:rPr>
        <w:noProof/>
      </w:rPr>
      <mc:AlternateContent>
        <mc:Choice Requires="wps">
          <w:drawing>
            <wp:anchor distT="0" distB="0" distL="0" distR="0" simplePos="0" relativeHeight="251658240" behindDoc="0" locked="0" layoutInCell="1" allowOverlap="1" wp14:anchorId="10141DB0" wp14:editId="12E42115">
              <wp:simplePos x="635" y="635"/>
              <wp:positionH relativeFrom="column">
                <wp:align>center</wp:align>
              </wp:positionH>
              <wp:positionV relativeFrom="paragraph">
                <wp:posOffset>635</wp:posOffset>
              </wp:positionV>
              <wp:extent cx="443865" cy="443865"/>
              <wp:effectExtent l="0" t="0" r="6985" b="15240"/>
              <wp:wrapSquare wrapText="bothSides"/>
              <wp:docPr id="1057848448" name="תיבת טקסט 1"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80E529" w14:textId="17E427B8" w:rsidR="0017628D" w:rsidRPr="0017628D" w:rsidRDefault="0017628D">
                          <w:pPr>
                            <w:rPr>
                              <w:rFonts w:ascii="Calibri" w:eastAsia="Calibri" w:hAnsi="Calibri" w:cs="Calibri"/>
                              <w:noProof/>
                              <w:color w:val="000000"/>
                              <w:sz w:val="20"/>
                              <w:szCs w:val="20"/>
                            </w:rPr>
                          </w:pPr>
                          <w:r w:rsidRPr="0017628D">
                            <w:rPr>
                              <w:rFonts w:ascii="Calibri" w:eastAsia="Calibri" w:hAnsi="Calibri" w:cs="Calibri"/>
                              <w:noProof/>
                              <w:color w:val="000000"/>
                              <w:sz w:val="20"/>
                              <w:szCs w:val="20"/>
                              <w:rtl/>
                            </w:rPr>
                            <w:t>- בלמ"ס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0141DB0" id="_x0000_t202" coordsize="21600,21600" o:spt="202" path="m,l,21600r21600,l21600,xe">
              <v:stroke joinstyle="miter"/>
              <v:path gradientshapeok="t" o:connecttype="rect"/>
            </v:shapetype>
            <v:shape id="תיבת טקסט 1" o:spid="_x0000_s1027" type="#_x0000_t202" alt="- בלמ&quot;ס -" style="position:absolute;left:0;text-align:left;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1C80E529" w14:textId="17E427B8" w:rsidR="0017628D" w:rsidRPr="0017628D" w:rsidRDefault="0017628D">
                    <w:pPr>
                      <w:rPr>
                        <w:rFonts w:ascii="Calibri" w:eastAsia="Calibri" w:hAnsi="Calibri" w:cs="Calibri"/>
                        <w:noProof/>
                        <w:color w:val="000000"/>
                        <w:sz w:val="20"/>
                        <w:szCs w:val="20"/>
                      </w:rPr>
                    </w:pPr>
                    <w:r w:rsidRPr="0017628D">
                      <w:rPr>
                        <w:rFonts w:ascii="Calibri" w:eastAsia="Calibri" w:hAnsi="Calibri" w:cs="Calibri"/>
                        <w:noProof/>
                        <w:color w:val="000000"/>
                        <w:sz w:val="20"/>
                        <w:szCs w:val="20"/>
                        <w:rtl/>
                      </w:rPr>
                      <w:t>- בלמ"ס -</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D6768"/>
    <w:multiLevelType w:val="hybridMultilevel"/>
    <w:tmpl w:val="4226FFC6"/>
    <w:lvl w:ilvl="0" w:tplc="4FD4D314">
      <w:start w:val="1"/>
      <w:numFmt w:val="decimal"/>
      <w:suff w:val="space"/>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915378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9F9"/>
    <w:rsid w:val="00152849"/>
    <w:rsid w:val="0017628D"/>
    <w:rsid w:val="00295EA1"/>
    <w:rsid w:val="003308CD"/>
    <w:rsid w:val="00386069"/>
    <w:rsid w:val="003B400B"/>
    <w:rsid w:val="003E3A04"/>
    <w:rsid w:val="0040664B"/>
    <w:rsid w:val="004D2DDD"/>
    <w:rsid w:val="00731EDB"/>
    <w:rsid w:val="008433CE"/>
    <w:rsid w:val="0086259D"/>
    <w:rsid w:val="009A127D"/>
    <w:rsid w:val="00DD1E5F"/>
    <w:rsid w:val="00E02DE5"/>
    <w:rsid w:val="00EC369B"/>
    <w:rsid w:val="00F879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D2980"/>
  <w15:chartTrackingRefBased/>
  <w15:docId w15:val="{0922B8B1-8298-4C1A-85FF-E2F389BE9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79F9"/>
    <w:pPr>
      <w:bidi/>
      <w:spacing w:after="0" w:line="360" w:lineRule="auto"/>
      <w:jc w:val="both"/>
    </w:pPr>
    <w:rPr>
      <w:rFonts w:ascii="Times New Roman" w:eastAsia="Times New Roman" w:hAnsi="Times New Roman" w:cs="David"/>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79F9"/>
    <w:pPr>
      <w:tabs>
        <w:tab w:val="center" w:pos="4153"/>
        <w:tab w:val="right" w:pos="8306"/>
      </w:tabs>
      <w:spacing w:line="240" w:lineRule="auto"/>
    </w:pPr>
  </w:style>
  <w:style w:type="character" w:customStyle="1" w:styleId="a4">
    <w:name w:val="כותרת עליונה תו"/>
    <w:basedOn w:val="a0"/>
    <w:link w:val="a3"/>
    <w:uiPriority w:val="99"/>
    <w:rsid w:val="00F879F9"/>
    <w:rPr>
      <w:rFonts w:ascii="Times New Roman" w:eastAsia="Times New Roman" w:hAnsi="Times New Roman" w:cs="David"/>
      <w:sz w:val="28"/>
      <w:szCs w:val="28"/>
    </w:rPr>
  </w:style>
  <w:style w:type="paragraph" w:styleId="a5">
    <w:name w:val="footer"/>
    <w:basedOn w:val="a"/>
    <w:link w:val="a6"/>
    <w:uiPriority w:val="99"/>
    <w:unhideWhenUsed/>
    <w:rsid w:val="00F879F9"/>
    <w:pPr>
      <w:tabs>
        <w:tab w:val="center" w:pos="4153"/>
        <w:tab w:val="right" w:pos="8306"/>
      </w:tabs>
      <w:spacing w:line="240" w:lineRule="auto"/>
    </w:pPr>
  </w:style>
  <w:style w:type="character" w:customStyle="1" w:styleId="a6">
    <w:name w:val="כותרת תחתונה תו"/>
    <w:basedOn w:val="a0"/>
    <w:link w:val="a5"/>
    <w:uiPriority w:val="99"/>
    <w:rsid w:val="00F879F9"/>
    <w:rPr>
      <w:rFonts w:ascii="Times New Roman" w:eastAsia="Times New Roman" w:hAnsi="Times New Roman" w:cs="David"/>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074066">
      <w:bodyDiv w:val="1"/>
      <w:marLeft w:val="0"/>
      <w:marRight w:val="0"/>
      <w:marTop w:val="0"/>
      <w:marBottom w:val="0"/>
      <w:divBdr>
        <w:top w:val="none" w:sz="0" w:space="0" w:color="auto"/>
        <w:left w:val="none" w:sz="0" w:space="0" w:color="auto"/>
        <w:bottom w:val="none" w:sz="0" w:space="0" w:color="auto"/>
        <w:right w:val="none" w:sz="0" w:space="0" w:color="auto"/>
      </w:divBdr>
    </w:div>
    <w:div w:id="191489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F67C4-944C-46C9-B842-D6D32C2D0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732</Words>
  <Characters>4175</Characters>
  <Application>Microsoft Office Word</Application>
  <DocSecurity>0</DocSecurity>
  <Lines>34</Lines>
  <Paragraphs>9</Paragraphs>
  <ScaleCrop>false</ScaleCrop>
  <HeadingPairs>
    <vt:vector size="2" baseType="variant">
      <vt:variant>
        <vt:lpstr>שם</vt:lpstr>
      </vt:variant>
      <vt:variant>
        <vt:i4>1</vt:i4>
      </vt:variant>
    </vt:vector>
  </HeadingPairs>
  <TitlesOfParts>
    <vt:vector size="1" baseType="lpstr">
      <vt:lpstr/>
    </vt:vector>
  </TitlesOfParts>
  <Company>MOD</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מאי משש - יבד"ץ 205/בית הדין לערעורים/משקי"ת משפט/</dc:creator>
  <cp:keywords/>
  <dc:description/>
  <cp:lastModifiedBy>אבי הראל</cp:lastModifiedBy>
  <cp:revision>5</cp:revision>
  <dcterms:created xsi:type="dcterms:W3CDTF">2023-06-01T09:09:00Z</dcterms:created>
  <dcterms:modified xsi:type="dcterms:W3CDTF">2023-06-01T13:49:00Z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3f0d7c80,7d4501,14b4ad10</vt:lpwstr>
  </property>
  <property fmtid="{D5CDD505-2E9C-101B-9397-08002B2CF9AE}" pid="3" name="ClassificationContentMarkingHeaderFontProps">
    <vt:lpwstr>#000000,10,Calibri</vt:lpwstr>
  </property>
  <property fmtid="{D5CDD505-2E9C-101B-9397-08002B2CF9AE}" pid="4" name="ClassificationContentMarkingHeaderText">
    <vt:lpwstr>- בלמ"ס -</vt:lpwstr>
  </property>
  <property fmtid="{D5CDD505-2E9C-101B-9397-08002B2CF9AE}" pid="5" name="MSIP_Label_701b9bfc-c426-492e-a46c-1a922d5fe54b_Enabled">
    <vt:lpwstr>true</vt:lpwstr>
  </property>
  <property fmtid="{D5CDD505-2E9C-101B-9397-08002B2CF9AE}" pid="6" name="MSIP_Label_701b9bfc-c426-492e-a46c-1a922d5fe54b_SetDate">
    <vt:lpwstr>2023-06-01T13:48:50Z</vt:lpwstr>
  </property>
  <property fmtid="{D5CDD505-2E9C-101B-9397-08002B2CF9AE}" pid="7" name="MSIP_Label_701b9bfc-c426-492e-a46c-1a922d5fe54b_Method">
    <vt:lpwstr>Privileged</vt:lpwstr>
  </property>
  <property fmtid="{D5CDD505-2E9C-101B-9397-08002B2CF9AE}" pid="8" name="MSIP_Label_701b9bfc-c426-492e-a46c-1a922d5fe54b_Name">
    <vt:lpwstr>בלמ"ס</vt:lpwstr>
  </property>
  <property fmtid="{D5CDD505-2E9C-101B-9397-08002B2CF9AE}" pid="9" name="MSIP_Label_701b9bfc-c426-492e-a46c-1a922d5fe54b_SiteId">
    <vt:lpwstr>78820852-55fa-450b-908d-45c0d911e76b</vt:lpwstr>
  </property>
  <property fmtid="{D5CDD505-2E9C-101B-9397-08002B2CF9AE}" pid="10" name="MSIP_Label_701b9bfc-c426-492e-a46c-1a922d5fe54b_ActionId">
    <vt:lpwstr>4505a8a2-e24b-4053-af5b-bbaec0be6cf9</vt:lpwstr>
  </property>
  <property fmtid="{D5CDD505-2E9C-101B-9397-08002B2CF9AE}" pid="11" name="MSIP_Label_701b9bfc-c426-492e-a46c-1a922d5fe54b_ContentBits">
    <vt:lpwstr>1</vt:lpwstr>
  </property>
</Properties>
</file>