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26DB8" w14:textId="6EC012C6" w:rsidR="00057493" w:rsidRDefault="00057493" w:rsidP="00954D53">
      <w:pPr>
        <w:tabs>
          <w:tab w:val="right" w:pos="6328"/>
        </w:tabs>
        <w:spacing w:line="480" w:lineRule="auto"/>
        <w:ind w:right="1985"/>
        <w:rPr>
          <w:rtl/>
        </w:rPr>
      </w:pPr>
      <w:r w:rsidRPr="00C02D29">
        <w:rPr>
          <w:noProof/>
        </w:rPr>
        <w:drawing>
          <wp:inline distT="0" distB="0" distL="0" distR="0" wp14:anchorId="798679A6" wp14:editId="0ED79A11">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C02D29">
        <w:rPr>
          <w:noProof/>
        </w:rPr>
        <w:drawing>
          <wp:inline distT="0" distB="0" distL="0" distR="0" wp14:anchorId="36F5D5A8" wp14:editId="39BEBD01">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80FFDEA" w14:textId="17A41F93" w:rsidR="00F36E10" w:rsidRPr="00F36E10" w:rsidRDefault="00F36E10" w:rsidP="00F36E10">
      <w:pPr>
        <w:spacing w:after="0" w:line="480" w:lineRule="auto"/>
        <w:jc w:val="center"/>
        <w:rPr>
          <w:rFonts w:ascii="Times New Roman" w:eastAsia="Times New Roman" w:hAnsi="Times New Roman" w:cs="David"/>
          <w:b/>
          <w:bCs/>
          <w:sz w:val="28"/>
          <w:szCs w:val="28"/>
          <w:u w:val="single"/>
          <w:rtl/>
        </w:rPr>
      </w:pPr>
      <w:r w:rsidRPr="00F36E10">
        <w:rPr>
          <w:rFonts w:ascii="Times New Roman" w:eastAsia="Times New Roman" w:hAnsi="Times New Roman" w:cs="David"/>
          <w:b/>
          <w:bCs/>
          <w:sz w:val="28"/>
          <w:szCs w:val="28"/>
          <w:u w:val="single"/>
          <w:rtl/>
        </w:rPr>
        <w:t>בבית הדין הצבאי לערעורים</w:t>
      </w:r>
    </w:p>
    <w:p w14:paraId="274F6DF6" w14:textId="77777777" w:rsidR="00B636F1" w:rsidRDefault="00B636F1" w:rsidP="00F36E10">
      <w:pPr>
        <w:spacing w:after="0" w:line="480" w:lineRule="auto"/>
        <w:jc w:val="both"/>
        <w:rPr>
          <w:rFonts w:ascii="Times New Roman" w:eastAsia="Times New Roman" w:hAnsi="Times New Roman" w:cs="David"/>
          <w:b/>
          <w:bCs/>
          <w:sz w:val="28"/>
          <w:szCs w:val="28"/>
          <w:u w:val="single"/>
          <w:rtl/>
        </w:rPr>
      </w:pPr>
    </w:p>
    <w:p w14:paraId="7832FC5A" w14:textId="386F77B0" w:rsidR="00F36E10" w:rsidRPr="00F36E10" w:rsidRDefault="00F36E10" w:rsidP="00F36E10">
      <w:pPr>
        <w:spacing w:after="0" w:line="480" w:lineRule="auto"/>
        <w:jc w:val="both"/>
        <w:rPr>
          <w:rFonts w:ascii="Times New Roman" w:eastAsia="Times New Roman" w:hAnsi="Times New Roman" w:cs="David"/>
          <w:sz w:val="28"/>
          <w:szCs w:val="28"/>
          <w:rtl/>
        </w:rPr>
      </w:pPr>
      <w:r w:rsidRPr="00F36E10">
        <w:rPr>
          <w:rFonts w:ascii="Times New Roman" w:eastAsia="Times New Roman" w:hAnsi="Times New Roman" w:cs="David"/>
          <w:sz w:val="28"/>
          <w:szCs w:val="28"/>
          <w:rtl/>
        </w:rPr>
        <w:t>בפני:</w:t>
      </w:r>
    </w:p>
    <w:p w14:paraId="57081064" w14:textId="2C0CD997" w:rsidR="00F36E10" w:rsidRPr="00F36E10" w:rsidRDefault="00F36E10" w:rsidP="00F36E10">
      <w:pPr>
        <w:spacing w:after="0" w:line="360" w:lineRule="auto"/>
        <w:jc w:val="center"/>
        <w:rPr>
          <w:rFonts w:ascii="Times New Roman" w:eastAsia="Times New Roman" w:hAnsi="Times New Roman" w:cs="David"/>
          <w:sz w:val="28"/>
          <w:szCs w:val="28"/>
          <w:rtl/>
        </w:rPr>
      </w:pPr>
      <w:r w:rsidRPr="00F36E10">
        <w:rPr>
          <w:rFonts w:ascii="Times New Roman" w:eastAsia="Times New Roman" w:hAnsi="Times New Roman" w:cs="David" w:hint="cs"/>
          <w:b/>
          <w:bCs/>
          <w:sz w:val="28"/>
          <w:szCs w:val="28"/>
          <w:rtl/>
        </w:rPr>
        <w:t xml:space="preserve">אל"ם </w:t>
      </w:r>
      <w:r w:rsidR="002B0B23">
        <w:rPr>
          <w:rFonts w:ascii="Times New Roman" w:eastAsia="Times New Roman" w:hAnsi="Times New Roman" w:cs="David" w:hint="cs"/>
          <w:b/>
          <w:bCs/>
          <w:sz w:val="28"/>
          <w:szCs w:val="28"/>
          <w:rtl/>
        </w:rPr>
        <w:t>מאיה גולדשמידט</w:t>
      </w:r>
      <w:r w:rsidRPr="00F36E10">
        <w:rPr>
          <w:rFonts w:ascii="Times New Roman" w:eastAsia="Times New Roman" w:hAnsi="Times New Roman" w:cs="David"/>
          <w:b/>
          <w:bCs/>
          <w:sz w:val="28"/>
          <w:szCs w:val="28"/>
          <w:rtl/>
        </w:rPr>
        <w:t>–</w:t>
      </w:r>
      <w:r w:rsidRPr="00F36E10">
        <w:rPr>
          <w:rFonts w:ascii="Times New Roman" w:eastAsia="Times New Roman" w:hAnsi="Times New Roman" w:cs="David" w:hint="cs"/>
          <w:sz w:val="28"/>
          <w:szCs w:val="28"/>
          <w:rtl/>
        </w:rPr>
        <w:t xml:space="preserve"> שופטת</w:t>
      </w:r>
    </w:p>
    <w:p w14:paraId="6B69A45E" w14:textId="77777777" w:rsidR="00F36E10" w:rsidRPr="00F36E10" w:rsidRDefault="00F36E10" w:rsidP="00F36E10">
      <w:pPr>
        <w:spacing w:before="360" w:after="0" w:line="480" w:lineRule="auto"/>
        <w:jc w:val="both"/>
        <w:rPr>
          <w:rFonts w:ascii="Times New Roman" w:eastAsia="Times New Roman" w:hAnsi="Times New Roman" w:cs="David"/>
          <w:sz w:val="28"/>
          <w:szCs w:val="28"/>
          <w:rtl/>
        </w:rPr>
      </w:pPr>
      <w:r w:rsidRPr="00F36E10">
        <w:rPr>
          <w:rFonts w:ascii="Times New Roman" w:eastAsia="Times New Roman" w:hAnsi="Times New Roman" w:cs="David"/>
          <w:sz w:val="28"/>
          <w:szCs w:val="28"/>
          <w:rtl/>
        </w:rPr>
        <w:t>בעניין:</w:t>
      </w:r>
    </w:p>
    <w:p w14:paraId="649D5E6B" w14:textId="0D7D57C6" w:rsidR="00F36E10" w:rsidRPr="00F36E10" w:rsidRDefault="00F36E10" w:rsidP="00F36E10">
      <w:pPr>
        <w:spacing w:after="0" w:line="240" w:lineRule="auto"/>
        <w:jc w:val="center"/>
        <w:rPr>
          <w:rFonts w:ascii="Times New Roman" w:eastAsia="Times New Roman" w:hAnsi="Times New Roman" w:cs="David"/>
          <w:b/>
          <w:bCs/>
          <w:sz w:val="28"/>
          <w:szCs w:val="28"/>
          <w:u w:val="single"/>
          <w:rtl/>
        </w:rPr>
      </w:pPr>
      <w:r w:rsidRPr="00F36E10">
        <w:rPr>
          <w:rFonts w:ascii="Times New Roman" w:eastAsia="Times New Roman" w:hAnsi="Times New Roman" w:cs="David" w:hint="cs"/>
          <w:b/>
          <w:bCs/>
          <w:sz w:val="28"/>
          <w:szCs w:val="28"/>
          <w:rtl/>
        </w:rPr>
        <w:t>התובע הצבאי הראשי</w:t>
      </w:r>
      <w:r w:rsidRPr="00F36E10">
        <w:rPr>
          <w:rFonts w:ascii="Times New Roman" w:eastAsia="Times New Roman" w:hAnsi="Times New Roman" w:cs="David"/>
          <w:b/>
          <w:bCs/>
          <w:sz w:val="28"/>
          <w:szCs w:val="28"/>
          <w:rtl/>
        </w:rPr>
        <w:t xml:space="preserve"> –</w:t>
      </w:r>
      <w:r w:rsidRPr="00F36E10">
        <w:rPr>
          <w:rFonts w:ascii="Times New Roman" w:eastAsia="Times New Roman" w:hAnsi="Times New Roman" w:cs="David"/>
          <w:sz w:val="28"/>
          <w:szCs w:val="28"/>
          <w:rtl/>
        </w:rPr>
        <w:t xml:space="preserve"> ה</w:t>
      </w:r>
      <w:r>
        <w:rPr>
          <w:rFonts w:ascii="Times New Roman" w:eastAsia="Times New Roman" w:hAnsi="Times New Roman" w:cs="David" w:hint="cs"/>
          <w:sz w:val="28"/>
          <w:szCs w:val="28"/>
          <w:rtl/>
        </w:rPr>
        <w:t>מערער</w:t>
      </w:r>
      <w:r w:rsidRPr="00F36E10">
        <w:rPr>
          <w:rFonts w:ascii="Times New Roman" w:eastAsia="Times New Roman" w:hAnsi="Times New Roman" w:cs="David"/>
          <w:sz w:val="28"/>
          <w:szCs w:val="28"/>
          <w:rtl/>
        </w:rPr>
        <w:t xml:space="preserve"> </w:t>
      </w:r>
      <w:r w:rsidRPr="00F36E10">
        <w:rPr>
          <w:rFonts w:ascii="Times New Roman" w:eastAsia="Times New Roman" w:hAnsi="Times New Roman" w:cs="David" w:hint="cs"/>
          <w:sz w:val="28"/>
          <w:szCs w:val="28"/>
          <w:rtl/>
        </w:rPr>
        <w:t xml:space="preserve">(ע"י ב"כ, </w:t>
      </w:r>
      <w:r w:rsidR="00FE5823">
        <w:rPr>
          <w:rFonts w:ascii="Times New Roman" w:eastAsia="Times New Roman" w:hAnsi="Times New Roman" w:cs="David" w:hint="cs"/>
          <w:sz w:val="28"/>
          <w:szCs w:val="28"/>
          <w:rtl/>
        </w:rPr>
        <w:t>סרן אנסטסיה יעקובסון</w:t>
      </w:r>
      <w:r w:rsidRPr="00F36E10">
        <w:rPr>
          <w:rFonts w:ascii="Times New Roman" w:eastAsia="Times New Roman" w:hAnsi="Times New Roman" w:cs="David" w:hint="cs"/>
          <w:sz w:val="28"/>
          <w:szCs w:val="28"/>
          <w:rtl/>
        </w:rPr>
        <w:t>)</w:t>
      </w:r>
    </w:p>
    <w:p w14:paraId="235E4D51" w14:textId="43BE3916" w:rsidR="00F36E10" w:rsidRDefault="00F36E10" w:rsidP="00F36E10">
      <w:pPr>
        <w:spacing w:after="0" w:line="240" w:lineRule="auto"/>
        <w:jc w:val="center"/>
        <w:rPr>
          <w:rFonts w:ascii="Times New Roman" w:eastAsia="Times New Roman" w:hAnsi="Times New Roman" w:cs="David"/>
          <w:sz w:val="24"/>
          <w:szCs w:val="28"/>
          <w:rtl/>
        </w:rPr>
      </w:pPr>
    </w:p>
    <w:p w14:paraId="333F7794" w14:textId="77777777" w:rsidR="00F36E10" w:rsidRPr="00F36E10" w:rsidRDefault="00F36E10" w:rsidP="00F36E10">
      <w:pPr>
        <w:spacing w:after="0" w:line="240" w:lineRule="auto"/>
        <w:jc w:val="center"/>
        <w:rPr>
          <w:rFonts w:ascii="Times New Roman" w:eastAsia="Times New Roman" w:hAnsi="Times New Roman" w:cs="David"/>
          <w:sz w:val="24"/>
          <w:szCs w:val="28"/>
          <w:rtl/>
        </w:rPr>
      </w:pPr>
    </w:p>
    <w:p w14:paraId="127F6DBE" w14:textId="77777777" w:rsidR="00F36E10" w:rsidRDefault="00F36E10" w:rsidP="00F36E10">
      <w:pPr>
        <w:spacing w:after="0" w:line="240" w:lineRule="auto"/>
        <w:jc w:val="center"/>
        <w:rPr>
          <w:rFonts w:ascii="Times New Roman" w:eastAsia="Times New Roman" w:hAnsi="Times New Roman" w:cs="David"/>
          <w:b/>
          <w:bCs/>
          <w:sz w:val="28"/>
          <w:szCs w:val="28"/>
          <w:rtl/>
        </w:rPr>
      </w:pPr>
      <w:r w:rsidRPr="00F36E10">
        <w:rPr>
          <w:rFonts w:ascii="Times New Roman" w:eastAsia="Times New Roman" w:hAnsi="Times New Roman" w:cs="David"/>
          <w:b/>
          <w:bCs/>
          <w:sz w:val="28"/>
          <w:szCs w:val="28"/>
          <w:rtl/>
        </w:rPr>
        <w:t>נ ג ד</w:t>
      </w:r>
    </w:p>
    <w:p w14:paraId="0486D5A1" w14:textId="77777777" w:rsidR="00F36E10" w:rsidRDefault="00F36E10" w:rsidP="00F36E10">
      <w:pPr>
        <w:spacing w:after="0" w:line="240" w:lineRule="auto"/>
        <w:jc w:val="center"/>
        <w:rPr>
          <w:rFonts w:ascii="Times New Roman" w:eastAsia="Times New Roman" w:hAnsi="Times New Roman" w:cs="David"/>
          <w:b/>
          <w:bCs/>
          <w:sz w:val="28"/>
          <w:szCs w:val="28"/>
          <w:rtl/>
        </w:rPr>
      </w:pPr>
    </w:p>
    <w:p w14:paraId="063EEEEE" w14:textId="4CF5B05D" w:rsidR="00F36E10" w:rsidRPr="00F36E10" w:rsidRDefault="00F36E10" w:rsidP="00F36E10">
      <w:pPr>
        <w:spacing w:after="0" w:line="240" w:lineRule="auto"/>
        <w:jc w:val="center"/>
        <w:rPr>
          <w:rFonts w:ascii="Times New Roman" w:eastAsia="Times New Roman" w:hAnsi="Times New Roman" w:cs="David"/>
          <w:sz w:val="24"/>
          <w:szCs w:val="28"/>
          <w:rtl/>
        </w:rPr>
      </w:pPr>
      <w:r w:rsidRPr="00F36E10">
        <w:rPr>
          <w:rFonts w:ascii="Times New Roman" w:eastAsia="Times New Roman" w:hAnsi="Times New Roman" w:cs="David"/>
          <w:b/>
          <w:bCs/>
          <w:sz w:val="28"/>
          <w:szCs w:val="28"/>
          <w:rtl/>
        </w:rPr>
        <w:br/>
      </w:r>
      <w:r w:rsidR="00050805">
        <w:rPr>
          <w:rFonts w:ascii="Times New Roman" w:eastAsia="Times New Roman" w:hAnsi="Times New Roman" w:cs="David" w:hint="cs"/>
          <w:b/>
          <w:bCs/>
          <w:sz w:val="28"/>
          <w:szCs w:val="28"/>
          <w:rtl/>
        </w:rPr>
        <w:t>***</w:t>
      </w:r>
      <w:r w:rsidRPr="00F36E10">
        <w:rPr>
          <w:rFonts w:ascii="Times New Roman" w:eastAsia="Times New Roman" w:hAnsi="Times New Roman" w:cs="David"/>
          <w:b/>
          <w:bCs/>
          <w:sz w:val="28"/>
          <w:szCs w:val="28"/>
          <w:rtl/>
        </w:rPr>
        <w:t xml:space="preserve"> רס"ן ת</w:t>
      </w:r>
      <w:r w:rsidR="00954D53">
        <w:rPr>
          <w:rFonts w:ascii="Times New Roman" w:eastAsia="Times New Roman" w:hAnsi="Times New Roman" w:cs="David" w:hint="cs"/>
          <w:b/>
          <w:bCs/>
          <w:sz w:val="28"/>
          <w:szCs w:val="28"/>
          <w:rtl/>
        </w:rPr>
        <w:t>' ג'</w:t>
      </w:r>
      <w:r w:rsidRPr="00F36E10">
        <w:rPr>
          <w:rFonts w:ascii="Times New Roman" w:eastAsia="Times New Roman" w:hAnsi="Times New Roman" w:cs="David"/>
          <w:b/>
          <w:bCs/>
          <w:sz w:val="28"/>
          <w:szCs w:val="28"/>
          <w:rtl/>
        </w:rPr>
        <w:t xml:space="preserve"> –</w:t>
      </w:r>
      <w:r w:rsidRPr="00F36E10">
        <w:rPr>
          <w:rFonts w:ascii="Times New Roman" w:eastAsia="Times New Roman" w:hAnsi="Times New Roman" w:cs="David"/>
          <w:sz w:val="28"/>
          <w:szCs w:val="28"/>
          <w:rtl/>
        </w:rPr>
        <w:t xml:space="preserve"> המ</w:t>
      </w:r>
      <w:r>
        <w:rPr>
          <w:rFonts w:ascii="Times New Roman" w:eastAsia="Times New Roman" w:hAnsi="Times New Roman" w:cs="David" w:hint="cs"/>
          <w:sz w:val="28"/>
          <w:szCs w:val="28"/>
          <w:rtl/>
        </w:rPr>
        <w:t>שיב</w:t>
      </w:r>
      <w:r w:rsidRPr="00F36E10">
        <w:rPr>
          <w:rFonts w:ascii="Times New Roman" w:eastAsia="Times New Roman" w:hAnsi="Times New Roman" w:cs="David"/>
          <w:sz w:val="28"/>
          <w:szCs w:val="28"/>
          <w:rtl/>
        </w:rPr>
        <w:t xml:space="preserve"> </w:t>
      </w:r>
      <w:r w:rsidR="00FE5823">
        <w:rPr>
          <w:rFonts w:ascii="Times New Roman" w:eastAsia="Times New Roman" w:hAnsi="Times New Roman" w:cs="David" w:hint="cs"/>
          <w:sz w:val="24"/>
          <w:szCs w:val="28"/>
          <w:rtl/>
        </w:rPr>
        <w:t>(ע"י ב"כ, סרן יוסי אלבז)</w:t>
      </w:r>
    </w:p>
    <w:p w14:paraId="3760C1E1" w14:textId="77777777" w:rsidR="00F36E10" w:rsidRPr="00F36E10" w:rsidRDefault="00F36E10" w:rsidP="00F36E10">
      <w:pPr>
        <w:spacing w:after="0" w:line="240" w:lineRule="auto"/>
        <w:jc w:val="center"/>
        <w:rPr>
          <w:rFonts w:ascii="Times New Roman" w:eastAsia="Times New Roman" w:hAnsi="Times New Roman" w:cs="David"/>
          <w:sz w:val="24"/>
          <w:szCs w:val="28"/>
          <w:rtl/>
        </w:rPr>
      </w:pPr>
    </w:p>
    <w:p w14:paraId="43B663AB" w14:textId="12AABC3F" w:rsidR="00F36E10" w:rsidRPr="00F36E10" w:rsidRDefault="00F36E10" w:rsidP="00F36E10">
      <w:pPr>
        <w:spacing w:before="600" w:after="480" w:line="360" w:lineRule="auto"/>
        <w:jc w:val="both"/>
        <w:rPr>
          <w:rFonts w:ascii="Times New Roman" w:eastAsia="Times New Roman" w:hAnsi="Times New Roman" w:cs="David"/>
          <w:b/>
          <w:bCs/>
          <w:sz w:val="24"/>
          <w:szCs w:val="28"/>
          <w:u w:val="single"/>
        </w:rPr>
      </w:pPr>
      <w:r w:rsidRPr="00F36E10">
        <w:rPr>
          <w:rFonts w:ascii="Times New Roman" w:eastAsia="Times New Roman" w:hAnsi="Times New Roman" w:cs="David" w:hint="cs"/>
          <w:sz w:val="28"/>
          <w:szCs w:val="28"/>
          <w:rtl/>
        </w:rPr>
        <w:t>ערעור על פסק דין של בית הדין הצבאי לתעבורה במחוז</w:t>
      </w:r>
      <w:r w:rsidR="00FE5823">
        <w:rPr>
          <w:rFonts w:ascii="Times New Roman" w:eastAsia="Times New Roman" w:hAnsi="Times New Roman" w:cs="David" w:hint="cs"/>
          <w:sz w:val="28"/>
          <w:szCs w:val="28"/>
          <w:rtl/>
        </w:rPr>
        <w:t xml:space="preserve"> </w:t>
      </w:r>
      <w:r w:rsidRPr="00F36E10">
        <w:rPr>
          <w:rFonts w:ascii="Times New Roman" w:eastAsia="Times New Roman" w:hAnsi="Times New Roman" w:cs="David" w:hint="cs"/>
          <w:sz w:val="28"/>
          <w:szCs w:val="28"/>
          <w:rtl/>
        </w:rPr>
        <w:t xml:space="preserve">שיפוטי </w:t>
      </w:r>
      <w:r>
        <w:rPr>
          <w:rFonts w:ascii="Times New Roman" w:eastAsia="Times New Roman" w:hAnsi="Times New Roman" w:cs="David" w:hint="cs"/>
          <w:sz w:val="28"/>
          <w:szCs w:val="28"/>
          <w:rtl/>
        </w:rPr>
        <w:t>מרכז</w:t>
      </w:r>
      <w:r w:rsidRPr="00F36E10">
        <w:rPr>
          <w:rFonts w:ascii="Times New Roman" w:eastAsia="Times New Roman" w:hAnsi="Times New Roman" w:cs="David" w:hint="cs"/>
          <w:sz w:val="28"/>
          <w:szCs w:val="28"/>
          <w:rtl/>
        </w:rPr>
        <w:t xml:space="preserve"> שניתן בתיק </w:t>
      </w:r>
      <w:r>
        <w:rPr>
          <w:rFonts w:ascii="Times New Roman" w:eastAsia="Times New Roman" w:hAnsi="Times New Roman" w:cs="David" w:hint="cs"/>
          <w:sz w:val="28"/>
          <w:szCs w:val="28"/>
          <w:rtl/>
        </w:rPr>
        <w:t>מרכז</w:t>
      </w:r>
      <w:r w:rsidRPr="00F36E10">
        <w:rPr>
          <w:rFonts w:ascii="Times New Roman" w:eastAsia="Times New Roman" w:hAnsi="Times New Roman" w:cs="David" w:hint="cs"/>
          <w:sz w:val="28"/>
          <w:szCs w:val="28"/>
          <w:rtl/>
        </w:rPr>
        <w:t xml:space="preserve"> (תעבורה) </w:t>
      </w:r>
      <w:r>
        <w:rPr>
          <w:rFonts w:ascii="Times New Roman" w:eastAsia="Times New Roman" w:hAnsi="Times New Roman" w:cs="David" w:hint="cs"/>
          <w:sz w:val="28"/>
          <w:szCs w:val="28"/>
          <w:rtl/>
        </w:rPr>
        <w:t>74</w:t>
      </w:r>
      <w:r w:rsidRPr="00F36E10">
        <w:rPr>
          <w:rFonts w:ascii="Times New Roman" w:eastAsia="Times New Roman" w:hAnsi="Times New Roman" w:cs="David" w:hint="cs"/>
          <w:sz w:val="28"/>
          <w:szCs w:val="28"/>
          <w:rtl/>
        </w:rPr>
        <w:t>/21 (</w:t>
      </w:r>
      <w:r>
        <w:rPr>
          <w:rFonts w:ascii="Times New Roman" w:eastAsia="Times New Roman" w:hAnsi="Times New Roman" w:cs="David" w:hint="cs"/>
          <w:sz w:val="28"/>
          <w:szCs w:val="28"/>
          <w:rtl/>
        </w:rPr>
        <w:t xml:space="preserve">רס"ן (מיל') צביקה פרנקל </w:t>
      </w:r>
      <w:r w:rsidRPr="00F36E10">
        <w:rPr>
          <w:rFonts w:ascii="Times New Roman" w:eastAsia="Times New Roman" w:hAnsi="Times New Roman" w:cs="David"/>
          <w:sz w:val="28"/>
          <w:szCs w:val="28"/>
          <w:rtl/>
        </w:rPr>
        <w:t>–</w:t>
      </w:r>
      <w:r w:rsidRPr="00F36E10">
        <w:rPr>
          <w:rFonts w:ascii="Times New Roman" w:eastAsia="Times New Roman" w:hAnsi="Times New Roman" w:cs="David" w:hint="cs"/>
          <w:sz w:val="28"/>
          <w:szCs w:val="28"/>
          <w:rtl/>
        </w:rPr>
        <w:t xml:space="preserve"> שופט) ביום </w:t>
      </w:r>
      <w:r>
        <w:rPr>
          <w:rFonts w:ascii="Times New Roman" w:eastAsia="Times New Roman" w:hAnsi="Times New Roman" w:cs="David" w:hint="cs"/>
          <w:sz w:val="28"/>
          <w:szCs w:val="28"/>
          <w:rtl/>
        </w:rPr>
        <w:t>24 לפברואר 2022</w:t>
      </w:r>
      <w:r w:rsidRPr="00F36E10">
        <w:rPr>
          <w:rFonts w:ascii="Times New Roman" w:eastAsia="Times New Roman" w:hAnsi="Times New Roman" w:cs="David" w:hint="cs"/>
          <w:sz w:val="28"/>
          <w:szCs w:val="28"/>
          <w:rtl/>
        </w:rPr>
        <w:t>. הערעור  התקבל.</w:t>
      </w:r>
      <w:r w:rsidRPr="00F36E10">
        <w:rPr>
          <w:rFonts w:ascii="Times New Roman" w:eastAsia="Times New Roman" w:hAnsi="Times New Roman" w:cs="David" w:hint="cs"/>
          <w:b/>
          <w:bCs/>
          <w:sz w:val="28"/>
          <w:szCs w:val="28"/>
          <w:u w:val="single"/>
          <w:rtl/>
        </w:rPr>
        <w:t xml:space="preserve">       </w:t>
      </w:r>
    </w:p>
    <w:p w14:paraId="60A30A23" w14:textId="6BA0B907" w:rsidR="00C757A9" w:rsidRDefault="00C757A9" w:rsidP="00AD74F9">
      <w:pPr>
        <w:pStyle w:val="a3"/>
        <w:spacing w:after="0" w:line="360" w:lineRule="auto"/>
        <w:jc w:val="center"/>
        <w:rPr>
          <w:rFonts w:cs="David"/>
          <w:b/>
          <w:bCs/>
          <w:sz w:val="28"/>
          <w:szCs w:val="28"/>
          <w:u w:val="single"/>
          <w:rtl/>
        </w:rPr>
      </w:pPr>
      <w:r>
        <w:rPr>
          <w:rFonts w:cs="David" w:hint="cs"/>
          <w:b/>
          <w:bCs/>
          <w:sz w:val="28"/>
          <w:szCs w:val="28"/>
          <w:u w:val="single"/>
          <w:rtl/>
        </w:rPr>
        <w:t>פ</w:t>
      </w:r>
      <w:r w:rsidR="00FE5823">
        <w:rPr>
          <w:rFonts w:cs="David" w:hint="cs"/>
          <w:b/>
          <w:bCs/>
          <w:sz w:val="28"/>
          <w:szCs w:val="28"/>
          <w:u w:val="single"/>
          <w:rtl/>
        </w:rPr>
        <w:t xml:space="preserve"> </w:t>
      </w:r>
      <w:r>
        <w:rPr>
          <w:rFonts w:cs="David" w:hint="cs"/>
          <w:b/>
          <w:bCs/>
          <w:sz w:val="28"/>
          <w:szCs w:val="28"/>
          <w:u w:val="single"/>
          <w:rtl/>
        </w:rPr>
        <w:t>ס</w:t>
      </w:r>
      <w:r w:rsidR="00FE5823">
        <w:rPr>
          <w:rFonts w:cs="David" w:hint="cs"/>
          <w:b/>
          <w:bCs/>
          <w:sz w:val="28"/>
          <w:szCs w:val="28"/>
          <w:u w:val="single"/>
          <w:rtl/>
        </w:rPr>
        <w:t xml:space="preserve"> </w:t>
      </w:r>
      <w:r>
        <w:rPr>
          <w:rFonts w:cs="David" w:hint="cs"/>
          <w:b/>
          <w:bCs/>
          <w:sz w:val="28"/>
          <w:szCs w:val="28"/>
          <w:u w:val="single"/>
          <w:rtl/>
        </w:rPr>
        <w:t>ק</w:t>
      </w:r>
      <w:r w:rsidR="00FE5823">
        <w:rPr>
          <w:rFonts w:cs="David" w:hint="cs"/>
          <w:b/>
          <w:bCs/>
          <w:sz w:val="28"/>
          <w:szCs w:val="28"/>
          <w:u w:val="single"/>
          <w:rtl/>
        </w:rPr>
        <w:t xml:space="preserve">  -</w:t>
      </w:r>
      <w:r>
        <w:rPr>
          <w:rFonts w:cs="David" w:hint="cs"/>
          <w:b/>
          <w:bCs/>
          <w:sz w:val="28"/>
          <w:szCs w:val="28"/>
          <w:u w:val="single"/>
          <w:rtl/>
        </w:rPr>
        <w:t xml:space="preserve"> </w:t>
      </w:r>
      <w:r w:rsidR="00FE5823">
        <w:rPr>
          <w:rFonts w:cs="David" w:hint="cs"/>
          <w:b/>
          <w:bCs/>
          <w:sz w:val="28"/>
          <w:szCs w:val="28"/>
          <w:u w:val="single"/>
          <w:rtl/>
        </w:rPr>
        <w:t xml:space="preserve"> </w:t>
      </w:r>
      <w:r>
        <w:rPr>
          <w:rFonts w:cs="David" w:hint="cs"/>
          <w:b/>
          <w:bCs/>
          <w:sz w:val="28"/>
          <w:szCs w:val="28"/>
          <w:u w:val="single"/>
          <w:rtl/>
        </w:rPr>
        <w:t>ד</w:t>
      </w:r>
      <w:r w:rsidR="00FE5823">
        <w:rPr>
          <w:rFonts w:cs="David" w:hint="cs"/>
          <w:b/>
          <w:bCs/>
          <w:sz w:val="28"/>
          <w:szCs w:val="28"/>
          <w:u w:val="single"/>
          <w:rtl/>
        </w:rPr>
        <w:t xml:space="preserve"> </w:t>
      </w:r>
      <w:r>
        <w:rPr>
          <w:rFonts w:cs="David" w:hint="cs"/>
          <w:b/>
          <w:bCs/>
          <w:sz w:val="28"/>
          <w:szCs w:val="28"/>
          <w:u w:val="single"/>
          <w:rtl/>
        </w:rPr>
        <w:t>י</w:t>
      </w:r>
      <w:r w:rsidR="00FE5823">
        <w:rPr>
          <w:rFonts w:cs="David" w:hint="cs"/>
          <w:b/>
          <w:bCs/>
          <w:sz w:val="28"/>
          <w:szCs w:val="28"/>
          <w:u w:val="single"/>
          <w:rtl/>
        </w:rPr>
        <w:t xml:space="preserve"> </w:t>
      </w:r>
      <w:r>
        <w:rPr>
          <w:rFonts w:cs="David" w:hint="cs"/>
          <w:b/>
          <w:bCs/>
          <w:sz w:val="28"/>
          <w:szCs w:val="28"/>
          <w:u w:val="single"/>
          <w:rtl/>
        </w:rPr>
        <w:t xml:space="preserve">ן </w:t>
      </w:r>
    </w:p>
    <w:p w14:paraId="69C8B981" w14:textId="77777777" w:rsidR="009563B0" w:rsidRPr="00C757A9" w:rsidRDefault="009563B0" w:rsidP="00AD74F9">
      <w:pPr>
        <w:pStyle w:val="a3"/>
        <w:spacing w:after="0" w:line="360" w:lineRule="auto"/>
        <w:jc w:val="center"/>
        <w:rPr>
          <w:rFonts w:cs="David"/>
          <w:b/>
          <w:bCs/>
          <w:sz w:val="28"/>
          <w:szCs w:val="28"/>
          <w:u w:val="single"/>
          <w:rtl/>
        </w:rPr>
      </w:pPr>
    </w:p>
    <w:p w14:paraId="54816D11" w14:textId="5E0B3449" w:rsidR="00A92DEB" w:rsidRDefault="00332557"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המשיב, </w:t>
      </w:r>
      <w:r w:rsidR="00364903">
        <w:rPr>
          <w:rFonts w:cs="David" w:hint="cs"/>
          <w:sz w:val="28"/>
          <w:szCs w:val="28"/>
          <w:rtl/>
        </w:rPr>
        <w:t xml:space="preserve">רס"ן </w:t>
      </w:r>
      <w:r w:rsidR="00954D53">
        <w:rPr>
          <w:rFonts w:cs="David" w:hint="cs"/>
          <w:sz w:val="28"/>
          <w:szCs w:val="28"/>
          <w:rtl/>
        </w:rPr>
        <w:t xml:space="preserve">ת' </w:t>
      </w:r>
      <w:r w:rsidR="00364903">
        <w:rPr>
          <w:rFonts w:cs="David" w:hint="cs"/>
          <w:sz w:val="28"/>
          <w:szCs w:val="28"/>
        </w:rPr>
        <w:t xml:space="preserve"> </w:t>
      </w:r>
      <w:r w:rsidR="00954D53">
        <w:rPr>
          <w:rFonts w:cs="David" w:hint="cs"/>
          <w:sz w:val="28"/>
          <w:szCs w:val="28"/>
          <w:rtl/>
        </w:rPr>
        <w:t>ג'</w:t>
      </w:r>
      <w:r w:rsidR="00364903">
        <w:rPr>
          <w:rFonts w:cs="David" w:hint="cs"/>
          <w:sz w:val="28"/>
          <w:szCs w:val="28"/>
          <w:rtl/>
        </w:rPr>
        <w:t xml:space="preserve"> </w:t>
      </w:r>
      <w:r>
        <w:rPr>
          <w:rFonts w:cs="David" w:hint="cs"/>
          <w:sz w:val="28"/>
          <w:szCs w:val="28"/>
          <w:rtl/>
        </w:rPr>
        <w:t>הורשע</w:t>
      </w:r>
      <w:r w:rsidR="00390B93">
        <w:rPr>
          <w:rFonts w:cs="David" w:hint="cs"/>
          <w:sz w:val="28"/>
          <w:szCs w:val="28"/>
          <w:rtl/>
        </w:rPr>
        <w:t xml:space="preserve">, </w:t>
      </w:r>
      <w:r>
        <w:rPr>
          <w:rFonts w:cs="David" w:hint="cs"/>
          <w:sz w:val="28"/>
          <w:szCs w:val="28"/>
          <w:rtl/>
        </w:rPr>
        <w:t xml:space="preserve">לאחר שמיעת ראיות, </w:t>
      </w:r>
      <w:r w:rsidR="007332A9" w:rsidRPr="007B6BF4">
        <w:rPr>
          <w:rFonts w:cs="David" w:hint="cs"/>
          <w:sz w:val="28"/>
          <w:szCs w:val="28"/>
          <w:rtl/>
        </w:rPr>
        <w:t>בעבירה של</w:t>
      </w:r>
      <w:r>
        <w:rPr>
          <w:rFonts w:cs="David" w:hint="cs"/>
          <w:sz w:val="28"/>
          <w:szCs w:val="28"/>
          <w:rtl/>
        </w:rPr>
        <w:t xml:space="preserve"> שימוש בטלפון בעת שהרכב נע</w:t>
      </w:r>
      <w:r w:rsidR="00390B93">
        <w:rPr>
          <w:rFonts w:cs="David" w:hint="cs"/>
          <w:sz w:val="28"/>
          <w:szCs w:val="28"/>
          <w:rtl/>
        </w:rPr>
        <w:t>,</w:t>
      </w:r>
      <w:r>
        <w:rPr>
          <w:rFonts w:cs="David" w:hint="cs"/>
          <w:sz w:val="28"/>
          <w:szCs w:val="28"/>
          <w:rtl/>
        </w:rPr>
        <w:t xml:space="preserve"> שלא באמצעות דיבורית</w:t>
      </w:r>
      <w:r w:rsidR="007332A9" w:rsidRPr="007B6BF4">
        <w:rPr>
          <w:rFonts w:cs="David" w:hint="cs"/>
          <w:sz w:val="28"/>
          <w:szCs w:val="28"/>
          <w:rtl/>
        </w:rPr>
        <w:t xml:space="preserve">, לפי תקנה </w:t>
      </w:r>
      <w:r>
        <w:rPr>
          <w:rFonts w:cs="David" w:hint="cs"/>
          <w:sz w:val="28"/>
          <w:szCs w:val="28"/>
          <w:rtl/>
        </w:rPr>
        <w:t>28(ב)</w:t>
      </w:r>
      <w:r w:rsidR="007332A9" w:rsidRPr="007B6BF4">
        <w:rPr>
          <w:rFonts w:cs="David" w:hint="cs"/>
          <w:sz w:val="28"/>
          <w:szCs w:val="28"/>
          <w:rtl/>
        </w:rPr>
        <w:t xml:space="preserve"> לתקנות התעבורה, התשכ"א-1961</w:t>
      </w:r>
      <w:r w:rsidR="00A92DEB">
        <w:rPr>
          <w:rFonts w:cs="David" w:hint="cs"/>
          <w:sz w:val="28"/>
          <w:szCs w:val="28"/>
          <w:rtl/>
        </w:rPr>
        <w:t>.</w:t>
      </w:r>
      <w:r>
        <w:rPr>
          <w:rFonts w:cs="David" w:hint="cs"/>
          <w:sz w:val="28"/>
          <w:szCs w:val="28"/>
          <w:rtl/>
        </w:rPr>
        <w:t xml:space="preserve"> כעולה מהכרעת הדין בעניינו, </w:t>
      </w:r>
      <w:r w:rsidR="00236E2F">
        <w:rPr>
          <w:rFonts w:cs="David" w:hint="cs"/>
          <w:sz w:val="28"/>
          <w:szCs w:val="28"/>
          <w:rtl/>
        </w:rPr>
        <w:t>נסע המשיב ביום 4 באפריל 2021, בשעה 10:45, ברכב צבאי מסוג "מיצובישי אטראז</w:t>
      </w:r>
      <w:r w:rsidR="00390B93">
        <w:rPr>
          <w:rFonts w:cs="David" w:hint="cs"/>
          <w:sz w:val="28"/>
          <w:szCs w:val="28"/>
          <w:rtl/>
        </w:rPr>
        <w:t>'</w:t>
      </w:r>
      <w:r w:rsidR="00236E2F">
        <w:rPr>
          <w:rFonts w:cs="David" w:hint="cs"/>
          <w:sz w:val="28"/>
          <w:szCs w:val="28"/>
          <w:rtl/>
        </w:rPr>
        <w:t>" בצומת השלום, מכיוון מערב למזרח, בסמוך למגד</w:t>
      </w:r>
      <w:r w:rsidR="00364903">
        <w:rPr>
          <w:rFonts w:cs="David" w:hint="cs"/>
          <w:sz w:val="28"/>
          <w:szCs w:val="28"/>
          <w:rtl/>
        </w:rPr>
        <w:t>לי</w:t>
      </w:r>
      <w:r w:rsidR="00236E2F">
        <w:rPr>
          <w:rFonts w:cs="David" w:hint="cs"/>
          <w:sz w:val="28"/>
          <w:szCs w:val="28"/>
          <w:rtl/>
        </w:rPr>
        <w:t xml:space="preserve"> עזריאלי</w:t>
      </w:r>
      <w:r w:rsidR="00364903">
        <w:rPr>
          <w:rFonts w:cs="David" w:hint="cs"/>
          <w:sz w:val="28"/>
          <w:szCs w:val="28"/>
          <w:rtl/>
        </w:rPr>
        <w:t>;</w:t>
      </w:r>
      <w:r w:rsidR="00236E2F">
        <w:rPr>
          <w:rFonts w:cs="David" w:hint="cs"/>
          <w:sz w:val="28"/>
          <w:szCs w:val="28"/>
          <w:rtl/>
        </w:rPr>
        <w:t xml:space="preserve"> ובעת נסיעתו השתמש במכשיר הטלפון הנייד</w:t>
      </w:r>
      <w:r w:rsidR="00390B93">
        <w:rPr>
          <w:rFonts w:cs="David" w:hint="cs"/>
          <w:sz w:val="28"/>
          <w:szCs w:val="28"/>
          <w:rtl/>
        </w:rPr>
        <w:t xml:space="preserve"> שלא באמצעות דיבורית, תוך ש</w:t>
      </w:r>
      <w:r w:rsidR="00236E2F">
        <w:rPr>
          <w:rFonts w:cs="David" w:hint="cs"/>
          <w:sz w:val="28"/>
          <w:szCs w:val="28"/>
          <w:rtl/>
        </w:rPr>
        <w:t xml:space="preserve">נגע במסך הטלפון מעל </w:t>
      </w:r>
      <w:r w:rsidR="00390B93">
        <w:rPr>
          <w:rFonts w:cs="David" w:hint="cs"/>
          <w:sz w:val="28"/>
          <w:szCs w:val="28"/>
          <w:rtl/>
        </w:rPr>
        <w:t xml:space="preserve">ארבע </w:t>
      </w:r>
      <w:r w:rsidR="00236E2F">
        <w:rPr>
          <w:rFonts w:cs="David" w:hint="cs"/>
          <w:sz w:val="28"/>
          <w:szCs w:val="28"/>
          <w:rtl/>
        </w:rPr>
        <w:t xml:space="preserve">נגיעות ומבטו מופנה אל הטלפון. </w:t>
      </w:r>
    </w:p>
    <w:p w14:paraId="044211E7" w14:textId="6700F4F7" w:rsidR="00236E2F" w:rsidRDefault="00364903"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בעת קביעת עונשו של המשיב</w:t>
      </w:r>
      <w:r w:rsidR="00236E2F">
        <w:rPr>
          <w:rFonts w:cs="David" w:hint="cs"/>
          <w:sz w:val="28"/>
          <w:szCs w:val="28"/>
          <w:rtl/>
        </w:rPr>
        <w:t xml:space="preserve">, </w:t>
      </w:r>
      <w:r w:rsidR="00390B93">
        <w:rPr>
          <w:rFonts w:cs="David" w:hint="cs"/>
          <w:sz w:val="28"/>
          <w:szCs w:val="28"/>
          <w:rtl/>
        </w:rPr>
        <w:t xml:space="preserve">ציין בית הדין קמא הנכבד כי נסיבות האירוע אינן חמורות. כן </w:t>
      </w:r>
      <w:r w:rsidR="00236E2F">
        <w:rPr>
          <w:rFonts w:cs="David" w:hint="cs"/>
          <w:sz w:val="28"/>
          <w:szCs w:val="28"/>
          <w:rtl/>
        </w:rPr>
        <w:t>מצא להתחשב בוותק של המשיב בנהיגה (למעלה מ</w:t>
      </w:r>
      <w:r w:rsidR="00390B93">
        <w:rPr>
          <w:rFonts w:cs="David" w:hint="cs"/>
          <w:sz w:val="28"/>
          <w:szCs w:val="28"/>
          <w:rtl/>
        </w:rPr>
        <w:t>עשר</w:t>
      </w:r>
      <w:r w:rsidR="00236E2F">
        <w:rPr>
          <w:rFonts w:cs="David" w:hint="cs"/>
          <w:sz w:val="28"/>
          <w:szCs w:val="28"/>
          <w:rtl/>
        </w:rPr>
        <w:t xml:space="preserve"> שנים), </w:t>
      </w:r>
      <w:r w:rsidR="00390B93">
        <w:rPr>
          <w:rFonts w:cs="David" w:hint="cs"/>
          <w:sz w:val="28"/>
          <w:szCs w:val="28"/>
          <w:rtl/>
        </w:rPr>
        <w:t>ו</w:t>
      </w:r>
      <w:r w:rsidR="00236E2F">
        <w:rPr>
          <w:rFonts w:cs="David" w:hint="cs"/>
          <w:sz w:val="28"/>
          <w:szCs w:val="28"/>
          <w:rtl/>
        </w:rPr>
        <w:t xml:space="preserve">בכך שעברו התעבורתי אינו מכביד. </w:t>
      </w:r>
      <w:r w:rsidR="00390B93">
        <w:rPr>
          <w:rFonts w:cs="David" w:hint="cs"/>
          <w:sz w:val="28"/>
          <w:szCs w:val="28"/>
          <w:rtl/>
        </w:rPr>
        <w:t xml:space="preserve">הודגש, כי </w:t>
      </w:r>
      <w:r w:rsidR="00087933">
        <w:rPr>
          <w:rFonts w:cs="David" w:hint="cs"/>
          <w:sz w:val="28"/>
          <w:szCs w:val="28"/>
          <w:rtl/>
        </w:rPr>
        <w:t xml:space="preserve">בית הדין </w:t>
      </w:r>
      <w:r w:rsidR="00236E2F">
        <w:rPr>
          <w:rFonts w:cs="David" w:hint="cs"/>
          <w:sz w:val="28"/>
          <w:szCs w:val="28"/>
          <w:rtl/>
        </w:rPr>
        <w:t xml:space="preserve">התרשם מהמשיב כקצין ערכי </w:t>
      </w:r>
      <w:r w:rsidR="00236E2F">
        <w:rPr>
          <w:rFonts w:cs="David" w:hint="cs"/>
          <w:sz w:val="28"/>
          <w:szCs w:val="28"/>
          <w:rtl/>
        </w:rPr>
        <w:lastRenderedPageBreak/>
        <w:t>ו</w:t>
      </w:r>
      <w:r w:rsidR="00390B93">
        <w:rPr>
          <w:rFonts w:cs="David" w:hint="cs"/>
          <w:sz w:val="28"/>
          <w:szCs w:val="28"/>
          <w:rtl/>
        </w:rPr>
        <w:t>כ</w:t>
      </w:r>
      <w:r w:rsidR="00236E2F">
        <w:rPr>
          <w:rFonts w:cs="David" w:hint="cs"/>
          <w:sz w:val="28"/>
          <w:szCs w:val="28"/>
          <w:rtl/>
        </w:rPr>
        <w:t xml:space="preserve">מפקד, אשר אחראי </w:t>
      </w:r>
      <w:r w:rsidR="00087933">
        <w:rPr>
          <w:rFonts w:cs="David" w:hint="cs"/>
          <w:sz w:val="28"/>
          <w:szCs w:val="28"/>
          <w:rtl/>
        </w:rPr>
        <w:t xml:space="preserve">על </w:t>
      </w:r>
      <w:r w:rsidR="00236E2F">
        <w:rPr>
          <w:rFonts w:cs="David" w:hint="cs"/>
          <w:sz w:val="28"/>
          <w:szCs w:val="28"/>
          <w:rtl/>
        </w:rPr>
        <w:t>חינוך הלוחמים שתחת פיקודו לזהירות בדרכים. לאור האמור</w:t>
      </w:r>
      <w:r w:rsidR="00390B93">
        <w:rPr>
          <w:rFonts w:cs="David" w:hint="cs"/>
          <w:sz w:val="28"/>
          <w:szCs w:val="28"/>
          <w:rtl/>
        </w:rPr>
        <w:t>,</w:t>
      </w:r>
      <w:r w:rsidR="00236E2F">
        <w:rPr>
          <w:rFonts w:cs="David" w:hint="cs"/>
          <w:sz w:val="28"/>
          <w:szCs w:val="28"/>
          <w:rtl/>
        </w:rPr>
        <w:t xml:space="preserve"> </w:t>
      </w:r>
      <w:r w:rsidR="00390B93">
        <w:rPr>
          <w:rFonts w:cs="David" w:hint="cs"/>
          <w:sz w:val="28"/>
          <w:szCs w:val="28"/>
          <w:rtl/>
        </w:rPr>
        <w:t xml:space="preserve">נגזר </w:t>
      </w:r>
      <w:r w:rsidR="00236E2F">
        <w:rPr>
          <w:rFonts w:cs="David" w:hint="cs"/>
          <w:sz w:val="28"/>
          <w:szCs w:val="28"/>
          <w:rtl/>
        </w:rPr>
        <w:t xml:space="preserve">על המשיב </w:t>
      </w:r>
      <w:r w:rsidR="00390B93">
        <w:rPr>
          <w:rFonts w:cs="David" w:hint="cs"/>
          <w:sz w:val="28"/>
          <w:szCs w:val="28"/>
          <w:rtl/>
        </w:rPr>
        <w:t xml:space="preserve">עונש של </w:t>
      </w:r>
      <w:r w:rsidR="00236E2F">
        <w:rPr>
          <w:rFonts w:cs="David" w:hint="cs"/>
          <w:sz w:val="28"/>
          <w:szCs w:val="28"/>
          <w:rtl/>
        </w:rPr>
        <w:t xml:space="preserve">קנס בסך 600 ש"ח. </w:t>
      </w:r>
    </w:p>
    <w:p w14:paraId="75B56D88" w14:textId="0666E7E2" w:rsidR="00236E2F" w:rsidRDefault="00332557" w:rsidP="00F36E10">
      <w:pPr>
        <w:numPr>
          <w:ilvl w:val="0"/>
          <w:numId w:val="1"/>
        </w:numPr>
        <w:tabs>
          <w:tab w:val="left" w:pos="226"/>
        </w:tabs>
        <w:spacing w:after="0" w:line="360" w:lineRule="auto"/>
        <w:ind w:left="-58" w:firstLine="0"/>
        <w:jc w:val="both"/>
        <w:rPr>
          <w:rFonts w:cs="David"/>
          <w:sz w:val="28"/>
          <w:szCs w:val="28"/>
        </w:rPr>
      </w:pPr>
      <w:r w:rsidRPr="00C21AED">
        <w:rPr>
          <w:rFonts w:cs="David" w:hint="cs"/>
          <w:sz w:val="28"/>
          <w:szCs w:val="28"/>
          <w:rtl/>
        </w:rPr>
        <w:t xml:space="preserve">התביעה לא השלימה עם קולת העונש, </w:t>
      </w:r>
      <w:r w:rsidR="00493BC3" w:rsidRPr="00C21AED">
        <w:rPr>
          <w:rFonts w:cs="David" w:hint="cs"/>
          <w:sz w:val="28"/>
          <w:szCs w:val="28"/>
          <w:rtl/>
        </w:rPr>
        <w:t>ועתרה להחמרת רכיב הקנס, וכן להוספת רכיב של פסיל</w:t>
      </w:r>
      <w:r w:rsidR="00AC22F9">
        <w:rPr>
          <w:rFonts w:cs="David" w:hint="cs"/>
          <w:sz w:val="28"/>
          <w:szCs w:val="28"/>
          <w:rtl/>
        </w:rPr>
        <w:t xml:space="preserve">ה על תנאי של </w:t>
      </w:r>
      <w:r w:rsidR="00493BC3" w:rsidRPr="00C21AED">
        <w:rPr>
          <w:rFonts w:cs="David" w:hint="cs"/>
          <w:sz w:val="28"/>
          <w:szCs w:val="28"/>
          <w:rtl/>
        </w:rPr>
        <w:t xml:space="preserve">רישיונות נהיגה. </w:t>
      </w:r>
    </w:p>
    <w:p w14:paraId="21ADA961" w14:textId="77777777" w:rsidR="00F36E10" w:rsidRPr="00F36E10" w:rsidRDefault="00F36E10" w:rsidP="000F78E6">
      <w:pPr>
        <w:pStyle w:val="a3"/>
        <w:spacing w:after="0" w:line="360" w:lineRule="auto"/>
        <w:jc w:val="both"/>
        <w:rPr>
          <w:rFonts w:cs="David"/>
          <w:sz w:val="4"/>
          <w:szCs w:val="4"/>
          <w:u w:val="single"/>
          <w:rtl/>
        </w:rPr>
      </w:pPr>
    </w:p>
    <w:p w14:paraId="1A1D49DA" w14:textId="505D2DAA" w:rsidR="00236E2F" w:rsidRPr="00FE5823" w:rsidRDefault="00236E2F" w:rsidP="000F78E6">
      <w:pPr>
        <w:spacing w:after="0" w:line="360" w:lineRule="auto"/>
        <w:jc w:val="both"/>
        <w:rPr>
          <w:rFonts w:cs="David"/>
          <w:b/>
          <w:bCs/>
          <w:sz w:val="28"/>
          <w:szCs w:val="28"/>
          <w:u w:val="single"/>
          <w:rtl/>
        </w:rPr>
      </w:pPr>
      <w:r w:rsidRPr="00FE5823">
        <w:rPr>
          <w:rFonts w:cs="David" w:hint="cs"/>
          <w:b/>
          <w:bCs/>
          <w:sz w:val="28"/>
          <w:szCs w:val="28"/>
          <w:u w:val="single"/>
          <w:rtl/>
        </w:rPr>
        <w:t xml:space="preserve">טיעוני הצדדים </w:t>
      </w:r>
    </w:p>
    <w:p w14:paraId="761FD49D" w14:textId="77777777" w:rsidR="00054E12" w:rsidRPr="00236E2F" w:rsidRDefault="00054E12" w:rsidP="000F78E6">
      <w:pPr>
        <w:pStyle w:val="a3"/>
        <w:spacing w:after="0" w:line="360" w:lineRule="auto"/>
        <w:jc w:val="both"/>
        <w:rPr>
          <w:rFonts w:cs="David"/>
          <w:sz w:val="28"/>
          <w:szCs w:val="28"/>
          <w:u w:val="single"/>
          <w:rtl/>
        </w:rPr>
      </w:pPr>
    </w:p>
    <w:p w14:paraId="51644205" w14:textId="245C7908" w:rsidR="00236E2F" w:rsidRDefault="00236E2F"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במסגרת ערעורה</w:t>
      </w:r>
      <w:r w:rsidR="00390B93">
        <w:rPr>
          <w:rFonts w:cs="David" w:hint="cs"/>
          <w:sz w:val="28"/>
          <w:szCs w:val="28"/>
          <w:rtl/>
        </w:rPr>
        <w:t>,</w:t>
      </w:r>
      <w:r>
        <w:rPr>
          <w:rFonts w:cs="David" w:hint="cs"/>
          <w:sz w:val="28"/>
          <w:szCs w:val="28"/>
          <w:rtl/>
        </w:rPr>
        <w:t xml:space="preserve"> הלינה התביעה על כך שבית הדין קמא נמנע מקביעת מתחם </w:t>
      </w:r>
      <w:r w:rsidR="00390B93">
        <w:rPr>
          <w:rFonts w:cs="David" w:hint="cs"/>
          <w:sz w:val="28"/>
          <w:szCs w:val="28"/>
          <w:rtl/>
        </w:rPr>
        <w:t xml:space="preserve">עונש </w:t>
      </w:r>
      <w:r>
        <w:rPr>
          <w:rFonts w:cs="David" w:hint="cs"/>
          <w:sz w:val="28"/>
          <w:szCs w:val="28"/>
          <w:rtl/>
        </w:rPr>
        <w:t xml:space="preserve">הולם, כנדרש בהתאם לתיקון 113 לחוק העונשין, </w:t>
      </w:r>
      <w:r w:rsidR="00390B93">
        <w:rPr>
          <w:rFonts w:cs="David" w:hint="cs"/>
          <w:sz w:val="28"/>
          <w:szCs w:val="28"/>
          <w:rtl/>
        </w:rPr>
        <w:t>ה</w:t>
      </w:r>
      <w:r>
        <w:rPr>
          <w:rFonts w:cs="David" w:hint="cs"/>
          <w:sz w:val="28"/>
          <w:szCs w:val="28"/>
          <w:rtl/>
        </w:rPr>
        <w:t xml:space="preserve">תשל"ז </w:t>
      </w:r>
      <w:r w:rsidR="00FA2083">
        <w:rPr>
          <w:rFonts w:cs="David" w:hint="cs"/>
          <w:sz w:val="28"/>
          <w:szCs w:val="28"/>
          <w:rtl/>
        </w:rPr>
        <w:t>-</w:t>
      </w:r>
      <w:r>
        <w:rPr>
          <w:rFonts w:cs="David" w:hint="cs"/>
          <w:sz w:val="28"/>
          <w:szCs w:val="28"/>
          <w:rtl/>
        </w:rPr>
        <w:t xml:space="preserve"> 1977. </w:t>
      </w:r>
      <w:r w:rsidR="00B379E2">
        <w:rPr>
          <w:rFonts w:cs="David" w:hint="cs"/>
          <w:sz w:val="28"/>
          <w:szCs w:val="28"/>
          <w:rtl/>
        </w:rPr>
        <w:t xml:space="preserve">עוד טענה, כי יש במעשיו של המשיב כדי ליצור סיכון של ממש לעוברי הדרך, שכן שימוש בטלפון נייד עשוי להסיח את דעתו של הנהג מן הדרך ולצמצם את יכולת שליטתו ברכב. היבט נוסף של חומרה </w:t>
      </w:r>
      <w:r w:rsidR="00867E68">
        <w:rPr>
          <w:rFonts w:cs="David" w:hint="cs"/>
          <w:sz w:val="28"/>
          <w:szCs w:val="28"/>
          <w:rtl/>
        </w:rPr>
        <w:t>ש</w:t>
      </w:r>
      <w:r w:rsidR="00B379E2">
        <w:rPr>
          <w:rFonts w:cs="David" w:hint="cs"/>
          <w:sz w:val="28"/>
          <w:szCs w:val="28"/>
          <w:rtl/>
        </w:rPr>
        <w:t xml:space="preserve">אליו הפנתה התביעה עניינו בכך שהמשיב הוא קצין בצה"ל, הנדרש לשמש דוגמה ומופת בהתנהגותו ולחנך את פקודיו. </w:t>
      </w:r>
      <w:r w:rsidR="004A1124">
        <w:rPr>
          <w:rFonts w:cs="David" w:hint="cs"/>
          <w:sz w:val="28"/>
          <w:szCs w:val="28"/>
          <w:rtl/>
        </w:rPr>
        <w:t xml:space="preserve">כמו כן לא נמצאו בעניינו נסיבות מיוחדות המצדיקות </w:t>
      </w:r>
      <w:r w:rsidR="000D2FC0">
        <w:rPr>
          <w:rFonts w:cs="David" w:hint="cs"/>
          <w:sz w:val="28"/>
          <w:szCs w:val="28"/>
          <w:rtl/>
        </w:rPr>
        <w:t xml:space="preserve">הקלה ביחס למדיניות הענישה הנהוגה. </w:t>
      </w:r>
    </w:p>
    <w:p w14:paraId="0E45A6D7" w14:textId="1D78E068" w:rsidR="00B379E2" w:rsidRDefault="00B379E2"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התביעה הפנתה לפסיקה רבה המלמדת</w:t>
      </w:r>
      <w:r w:rsidR="000D2FC0">
        <w:rPr>
          <w:rFonts w:cs="David" w:hint="cs"/>
          <w:sz w:val="28"/>
          <w:szCs w:val="28"/>
          <w:rtl/>
        </w:rPr>
        <w:t>, לשיטתה, על מדיניות הענישה הנהוגה.</w:t>
      </w:r>
      <w:r w:rsidR="00E56966">
        <w:rPr>
          <w:rFonts w:cs="David" w:hint="cs"/>
          <w:sz w:val="28"/>
          <w:szCs w:val="28"/>
          <w:rtl/>
        </w:rPr>
        <w:t xml:space="preserve"> להשקפתה, </w:t>
      </w:r>
      <w:r>
        <w:rPr>
          <w:rFonts w:cs="David" w:hint="cs"/>
          <w:sz w:val="28"/>
          <w:szCs w:val="28"/>
          <w:rtl/>
        </w:rPr>
        <w:t xml:space="preserve">אין בשינוי שנערך </w:t>
      </w:r>
      <w:r w:rsidR="00E56966">
        <w:rPr>
          <w:rFonts w:cs="David" w:hint="cs"/>
          <w:sz w:val="28"/>
          <w:szCs w:val="28"/>
          <w:rtl/>
        </w:rPr>
        <w:t xml:space="preserve">בעת האחרונה </w:t>
      </w:r>
      <w:r>
        <w:rPr>
          <w:rFonts w:cs="David" w:hint="cs"/>
          <w:sz w:val="28"/>
          <w:szCs w:val="28"/>
          <w:rtl/>
        </w:rPr>
        <w:t>במדיניות</w:t>
      </w:r>
      <w:r w:rsidR="00E56966">
        <w:rPr>
          <w:rFonts w:cs="David" w:hint="cs"/>
          <w:sz w:val="28"/>
          <w:szCs w:val="28"/>
          <w:rtl/>
        </w:rPr>
        <w:t xml:space="preserve"> התביעה,</w:t>
      </w:r>
      <w:r>
        <w:rPr>
          <w:rFonts w:cs="David" w:hint="cs"/>
          <w:sz w:val="28"/>
          <w:szCs w:val="28"/>
          <w:rtl/>
        </w:rPr>
        <w:t xml:space="preserve"> </w:t>
      </w:r>
      <w:r w:rsidR="004A1124">
        <w:rPr>
          <w:rFonts w:cs="David" w:hint="cs"/>
          <w:sz w:val="28"/>
          <w:szCs w:val="28"/>
          <w:rtl/>
        </w:rPr>
        <w:t>שעניינ</w:t>
      </w:r>
      <w:r w:rsidR="00F14E76">
        <w:rPr>
          <w:rFonts w:cs="David" w:hint="cs"/>
          <w:sz w:val="28"/>
          <w:szCs w:val="28"/>
          <w:rtl/>
        </w:rPr>
        <w:t>ו</w:t>
      </w:r>
      <w:r w:rsidR="004A1124">
        <w:rPr>
          <w:rFonts w:cs="David" w:hint="cs"/>
          <w:sz w:val="28"/>
          <w:szCs w:val="28"/>
          <w:rtl/>
        </w:rPr>
        <w:t xml:space="preserve"> </w:t>
      </w:r>
      <w:r w:rsidR="00E56966">
        <w:rPr>
          <w:rFonts w:cs="David" w:hint="cs"/>
          <w:sz w:val="28"/>
          <w:szCs w:val="28"/>
          <w:rtl/>
        </w:rPr>
        <w:t xml:space="preserve">מתן האפשרות להיקשרות </w:t>
      </w:r>
      <w:r w:rsidR="000D2FC0">
        <w:rPr>
          <w:rFonts w:cs="David" w:hint="cs"/>
          <w:sz w:val="28"/>
          <w:szCs w:val="28"/>
          <w:rtl/>
        </w:rPr>
        <w:t>ב</w:t>
      </w:r>
      <w:r w:rsidR="004A1124">
        <w:rPr>
          <w:rFonts w:cs="David" w:hint="cs"/>
          <w:sz w:val="28"/>
          <w:szCs w:val="28"/>
          <w:rtl/>
        </w:rPr>
        <w:t>הסדרי טיעון מובנים בעבירות תעבורה</w:t>
      </w:r>
      <w:r w:rsidR="00E56966">
        <w:rPr>
          <w:rFonts w:cs="David" w:hint="cs"/>
          <w:sz w:val="28"/>
          <w:szCs w:val="28"/>
          <w:rtl/>
        </w:rPr>
        <w:t xml:space="preserve"> </w:t>
      </w:r>
      <w:r w:rsidR="00F14E76">
        <w:rPr>
          <w:rFonts w:cs="David" w:hint="cs"/>
          <w:sz w:val="28"/>
          <w:szCs w:val="28"/>
          <w:rtl/>
        </w:rPr>
        <w:t xml:space="preserve">במקרים המתאימים </w:t>
      </w:r>
      <w:r w:rsidR="00E56966">
        <w:rPr>
          <w:rFonts w:cs="David" w:hint="cs"/>
          <w:sz w:val="28"/>
          <w:szCs w:val="28"/>
          <w:rtl/>
        </w:rPr>
        <w:t>(באופן שיש בו כדי להשוות את המצב בעבירות של ברירת משפט לענישה שנקבעה בצו התעבורה (עבירות קנס)</w:t>
      </w:r>
      <w:r w:rsidR="00E56966">
        <w:rPr>
          <w:rFonts w:cs="David" w:hint="cs"/>
          <w:sz w:val="28"/>
          <w:szCs w:val="28"/>
        </w:rPr>
        <w:t xml:space="preserve"> </w:t>
      </w:r>
      <w:r w:rsidR="00E56966">
        <w:rPr>
          <w:rFonts w:cs="David" w:hint="cs"/>
          <w:sz w:val="28"/>
          <w:szCs w:val="28"/>
          <w:rtl/>
        </w:rPr>
        <w:t>התשס"ב</w:t>
      </w:r>
      <w:r w:rsidR="00F36E10">
        <w:rPr>
          <w:rFonts w:cs="David" w:hint="cs"/>
          <w:sz w:val="28"/>
          <w:szCs w:val="28"/>
          <w:rtl/>
        </w:rPr>
        <w:t>-2002</w:t>
      </w:r>
      <w:r w:rsidR="00E56966">
        <w:rPr>
          <w:rFonts w:cs="David" w:hint="cs"/>
          <w:sz w:val="28"/>
          <w:szCs w:val="28"/>
          <w:rtl/>
        </w:rPr>
        <w:t xml:space="preserve"> (להלן: "צו הקנסות"))</w:t>
      </w:r>
      <w:r w:rsidR="004A1124">
        <w:rPr>
          <w:rFonts w:cs="David" w:hint="cs"/>
          <w:sz w:val="28"/>
          <w:szCs w:val="28"/>
          <w:rtl/>
        </w:rPr>
        <w:t xml:space="preserve">, כדי להשליך על מדיניות הענישה, מקום </w:t>
      </w:r>
      <w:r w:rsidR="000D2FC0">
        <w:rPr>
          <w:rFonts w:cs="David" w:hint="cs"/>
          <w:sz w:val="28"/>
          <w:szCs w:val="28"/>
          <w:rtl/>
        </w:rPr>
        <w:t>ש</w:t>
      </w:r>
      <w:r w:rsidR="004A1124">
        <w:rPr>
          <w:rFonts w:cs="David" w:hint="cs"/>
          <w:sz w:val="28"/>
          <w:szCs w:val="28"/>
          <w:rtl/>
        </w:rPr>
        <w:t xml:space="preserve">בו בחר נאשם שלא להיקשר עם התביעה בהסדר טיעון, אלא לנהל את עניינו בבית הדין. נטען, כי הקלה </w:t>
      </w:r>
      <w:r w:rsidR="000D2FC0">
        <w:rPr>
          <w:rFonts w:cs="David" w:hint="cs"/>
          <w:sz w:val="28"/>
          <w:szCs w:val="28"/>
          <w:rtl/>
        </w:rPr>
        <w:t xml:space="preserve">בעונשו של מי </w:t>
      </w:r>
      <w:r w:rsidR="004A1124">
        <w:rPr>
          <w:rFonts w:cs="David" w:hint="cs"/>
          <w:sz w:val="28"/>
          <w:szCs w:val="28"/>
          <w:rtl/>
        </w:rPr>
        <w:t>שהורשע בדין</w:t>
      </w:r>
      <w:r w:rsidR="00F14E76">
        <w:rPr>
          <w:rFonts w:cs="David" w:hint="cs"/>
          <w:sz w:val="28"/>
          <w:szCs w:val="28"/>
          <w:rtl/>
        </w:rPr>
        <w:t>,</w:t>
      </w:r>
      <w:r w:rsidR="004A1124">
        <w:rPr>
          <w:rFonts w:cs="David" w:hint="cs"/>
          <w:sz w:val="28"/>
          <w:szCs w:val="28"/>
          <w:rtl/>
        </w:rPr>
        <w:t xml:space="preserve"> מעבר ל</w:t>
      </w:r>
      <w:r w:rsidR="00E53D1F">
        <w:rPr>
          <w:rFonts w:cs="David" w:hint="cs"/>
          <w:sz w:val="28"/>
          <w:szCs w:val="28"/>
          <w:rtl/>
        </w:rPr>
        <w:t xml:space="preserve">עונשים הנקובים </w:t>
      </w:r>
      <w:r w:rsidR="004A1124">
        <w:rPr>
          <w:rFonts w:cs="David" w:hint="cs"/>
          <w:sz w:val="28"/>
          <w:szCs w:val="28"/>
          <w:rtl/>
        </w:rPr>
        <w:t xml:space="preserve">בצו </w:t>
      </w:r>
      <w:r w:rsidR="00F14E76">
        <w:rPr>
          <w:rFonts w:cs="David" w:hint="cs"/>
          <w:sz w:val="28"/>
          <w:szCs w:val="28"/>
          <w:rtl/>
        </w:rPr>
        <w:t>הקנסות,</w:t>
      </w:r>
      <w:r w:rsidR="004A1124">
        <w:rPr>
          <w:rFonts w:cs="David" w:hint="cs"/>
          <w:sz w:val="28"/>
          <w:szCs w:val="28"/>
          <w:rtl/>
        </w:rPr>
        <w:t xml:space="preserve"> תיצור "תמריץ הפוך"</w:t>
      </w:r>
      <w:r w:rsidR="00E53D1F">
        <w:rPr>
          <w:rFonts w:cs="David" w:hint="cs"/>
          <w:sz w:val="28"/>
          <w:szCs w:val="28"/>
          <w:rtl/>
        </w:rPr>
        <w:t>,</w:t>
      </w:r>
      <w:r w:rsidR="004A1124">
        <w:rPr>
          <w:rFonts w:cs="David" w:hint="cs"/>
          <w:sz w:val="28"/>
          <w:szCs w:val="28"/>
          <w:rtl/>
        </w:rPr>
        <w:t xml:space="preserve"> </w:t>
      </w:r>
      <w:r w:rsidR="00E53D1F">
        <w:rPr>
          <w:rFonts w:cs="David" w:hint="cs"/>
          <w:sz w:val="28"/>
          <w:szCs w:val="28"/>
          <w:rtl/>
        </w:rPr>
        <w:t>ש</w:t>
      </w:r>
      <w:r w:rsidR="004A1124">
        <w:rPr>
          <w:rFonts w:cs="David" w:hint="cs"/>
          <w:sz w:val="28"/>
          <w:szCs w:val="28"/>
          <w:rtl/>
        </w:rPr>
        <w:t xml:space="preserve">לפיו יעדיפו נאשמים לנהל את הדיון בעניינם, </w:t>
      </w:r>
      <w:r w:rsidR="00E53D1F">
        <w:rPr>
          <w:rFonts w:cs="David" w:hint="cs"/>
          <w:sz w:val="28"/>
          <w:szCs w:val="28"/>
          <w:rtl/>
        </w:rPr>
        <w:t xml:space="preserve">אף אם </w:t>
      </w:r>
      <w:r w:rsidR="004A1124">
        <w:rPr>
          <w:rFonts w:cs="David" w:hint="cs"/>
          <w:sz w:val="28"/>
          <w:szCs w:val="28"/>
          <w:rtl/>
        </w:rPr>
        <w:t>מדובר בניהול הליכי סרק</w:t>
      </w:r>
      <w:r w:rsidR="00E53D1F">
        <w:rPr>
          <w:rFonts w:cs="David" w:hint="cs"/>
          <w:sz w:val="28"/>
          <w:szCs w:val="28"/>
          <w:rtl/>
        </w:rPr>
        <w:t>.</w:t>
      </w:r>
    </w:p>
    <w:p w14:paraId="211E4499" w14:textId="35463818" w:rsidR="00C21AED" w:rsidRDefault="00C21AED"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בעקבות הערותיי במהלך הדיון, מסרה התביעה כי אינה מבקשת למצות את הדין עם המערער, ולפיכך חזרה בה מעתירתה להחמיר ברכיב הקנס. עם זאת עמדה על העתירה </w:t>
      </w:r>
      <w:r w:rsidR="00E53D1F">
        <w:rPr>
          <w:rFonts w:cs="David" w:hint="cs"/>
          <w:sz w:val="28"/>
          <w:szCs w:val="28"/>
          <w:rtl/>
        </w:rPr>
        <w:t xml:space="preserve">להשית על המשיב </w:t>
      </w:r>
      <w:r>
        <w:rPr>
          <w:rFonts w:cs="David" w:hint="cs"/>
          <w:sz w:val="28"/>
          <w:szCs w:val="28"/>
          <w:rtl/>
        </w:rPr>
        <w:t xml:space="preserve">עונש </w:t>
      </w:r>
      <w:r w:rsidR="00E53D1F">
        <w:rPr>
          <w:rFonts w:cs="David" w:hint="cs"/>
          <w:sz w:val="28"/>
          <w:szCs w:val="28"/>
          <w:rtl/>
        </w:rPr>
        <w:t xml:space="preserve">של </w:t>
      </w:r>
      <w:r>
        <w:rPr>
          <w:rFonts w:cs="David" w:hint="cs"/>
          <w:sz w:val="28"/>
          <w:szCs w:val="28"/>
          <w:rtl/>
        </w:rPr>
        <w:t xml:space="preserve">פסילה מותנית, לצרכי הרתעה אישית, ולו לתקופה קצרה. </w:t>
      </w:r>
    </w:p>
    <w:p w14:paraId="213A67CB" w14:textId="08D9A05B" w:rsidR="004A1124" w:rsidRDefault="00C21AED"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ההגנה עתרה לדחיית הערעור</w:t>
      </w:r>
      <w:r w:rsidR="00E53D1F">
        <w:rPr>
          <w:rFonts w:cs="David" w:hint="cs"/>
          <w:sz w:val="28"/>
          <w:szCs w:val="28"/>
          <w:rtl/>
        </w:rPr>
        <w:t>,</w:t>
      </w:r>
      <w:r>
        <w:rPr>
          <w:rFonts w:cs="David" w:hint="cs"/>
          <w:sz w:val="28"/>
          <w:szCs w:val="28"/>
          <w:rtl/>
        </w:rPr>
        <w:t xml:space="preserve"> ולחלופין </w:t>
      </w:r>
      <w:r w:rsidR="00E53D1F">
        <w:rPr>
          <w:rFonts w:cs="David" w:hint="cs"/>
          <w:sz w:val="28"/>
          <w:szCs w:val="28"/>
          <w:rtl/>
        </w:rPr>
        <w:t xml:space="preserve">ביקשה, כי אם אמצא להחמיר את עונשו של המשיב, תתבטא ההחמרה </w:t>
      </w:r>
      <w:r>
        <w:rPr>
          <w:rFonts w:cs="David" w:hint="cs"/>
          <w:sz w:val="28"/>
          <w:szCs w:val="28"/>
          <w:rtl/>
        </w:rPr>
        <w:t>בהגדל</w:t>
      </w:r>
      <w:r w:rsidR="00E53D1F">
        <w:rPr>
          <w:rFonts w:cs="David" w:hint="cs"/>
          <w:sz w:val="28"/>
          <w:szCs w:val="28"/>
          <w:rtl/>
        </w:rPr>
        <w:t xml:space="preserve">ת </w:t>
      </w:r>
      <w:r>
        <w:rPr>
          <w:rFonts w:cs="David" w:hint="cs"/>
          <w:sz w:val="28"/>
          <w:szCs w:val="28"/>
          <w:rtl/>
        </w:rPr>
        <w:t>הקנס</w:t>
      </w:r>
      <w:r w:rsidR="00E53D1F">
        <w:rPr>
          <w:rFonts w:cs="David" w:hint="cs"/>
          <w:sz w:val="28"/>
          <w:szCs w:val="28"/>
          <w:rtl/>
        </w:rPr>
        <w:t>,</w:t>
      </w:r>
      <w:r>
        <w:rPr>
          <w:rFonts w:cs="David" w:hint="cs"/>
          <w:sz w:val="28"/>
          <w:szCs w:val="28"/>
          <w:rtl/>
        </w:rPr>
        <w:t xml:space="preserve"> ולא בהוספת פסילה מותנית. </w:t>
      </w:r>
      <w:r w:rsidR="00815A5E">
        <w:rPr>
          <w:rFonts w:cs="David" w:hint="cs"/>
          <w:sz w:val="28"/>
          <w:szCs w:val="28"/>
          <w:rtl/>
        </w:rPr>
        <w:t xml:space="preserve">בטיעוניה הדגישה, כי צו הקנסות לא הוחל על ההליכים בצה"ל, ועל כן טענת התביעה </w:t>
      </w:r>
      <w:r w:rsidR="00E53D1F">
        <w:rPr>
          <w:rFonts w:cs="David" w:hint="cs"/>
          <w:sz w:val="28"/>
          <w:szCs w:val="28"/>
          <w:rtl/>
        </w:rPr>
        <w:t>בעניין זה אינה רלוונטית</w:t>
      </w:r>
      <w:r w:rsidR="00815A5E">
        <w:rPr>
          <w:rFonts w:cs="David" w:hint="cs"/>
          <w:sz w:val="28"/>
          <w:szCs w:val="28"/>
          <w:rtl/>
        </w:rPr>
        <w:t xml:space="preserve">; כן הדגישה כי גם </w:t>
      </w:r>
      <w:r w:rsidR="00E53D1F">
        <w:rPr>
          <w:rFonts w:cs="David" w:hint="cs"/>
          <w:sz w:val="28"/>
          <w:szCs w:val="28"/>
          <w:rtl/>
        </w:rPr>
        <w:t>במערכת השיפוט הכללית</w:t>
      </w:r>
      <w:r w:rsidR="00815A5E">
        <w:rPr>
          <w:rFonts w:cs="David" w:hint="cs"/>
          <w:sz w:val="28"/>
          <w:szCs w:val="28"/>
          <w:rtl/>
        </w:rPr>
        <w:t xml:space="preserve">, </w:t>
      </w:r>
      <w:r w:rsidR="00AC22F9">
        <w:rPr>
          <w:rFonts w:cs="David" w:hint="cs"/>
          <w:sz w:val="28"/>
          <w:szCs w:val="28"/>
          <w:rtl/>
        </w:rPr>
        <w:t xml:space="preserve">מדיניות </w:t>
      </w:r>
      <w:r w:rsidR="00E53D1F">
        <w:rPr>
          <w:rFonts w:cs="David" w:hint="cs"/>
          <w:sz w:val="28"/>
          <w:szCs w:val="28"/>
          <w:rtl/>
        </w:rPr>
        <w:t>הענישה הנ</w:t>
      </w:r>
      <w:r w:rsidR="00AC22F9">
        <w:rPr>
          <w:rFonts w:cs="David" w:hint="cs"/>
          <w:sz w:val="28"/>
          <w:szCs w:val="28"/>
          <w:rtl/>
        </w:rPr>
        <w:t>ו</w:t>
      </w:r>
      <w:r w:rsidR="00E53D1F">
        <w:rPr>
          <w:rFonts w:cs="David" w:hint="cs"/>
          <w:sz w:val="28"/>
          <w:szCs w:val="28"/>
          <w:rtl/>
        </w:rPr>
        <w:t>הג</w:t>
      </w:r>
      <w:r w:rsidR="00AC22F9">
        <w:rPr>
          <w:rFonts w:cs="David" w:hint="cs"/>
          <w:sz w:val="28"/>
          <w:szCs w:val="28"/>
          <w:rtl/>
        </w:rPr>
        <w:t xml:space="preserve">ת </w:t>
      </w:r>
      <w:r w:rsidR="00E53D1F">
        <w:rPr>
          <w:rFonts w:cs="David" w:hint="cs"/>
          <w:sz w:val="28"/>
          <w:szCs w:val="28"/>
          <w:rtl/>
        </w:rPr>
        <w:t xml:space="preserve">תואמת את </w:t>
      </w:r>
      <w:r w:rsidR="00815A5E">
        <w:rPr>
          <w:rFonts w:cs="David" w:hint="cs"/>
          <w:sz w:val="28"/>
          <w:szCs w:val="28"/>
          <w:rtl/>
        </w:rPr>
        <w:t xml:space="preserve">העונשים </w:t>
      </w:r>
      <w:r w:rsidR="00E53D1F">
        <w:rPr>
          <w:rFonts w:cs="David" w:hint="cs"/>
          <w:sz w:val="28"/>
          <w:szCs w:val="28"/>
          <w:rtl/>
        </w:rPr>
        <w:t xml:space="preserve">הנקובים </w:t>
      </w:r>
      <w:r w:rsidR="00815A5E">
        <w:rPr>
          <w:rFonts w:cs="David" w:hint="cs"/>
          <w:sz w:val="28"/>
          <w:szCs w:val="28"/>
          <w:rtl/>
        </w:rPr>
        <w:t xml:space="preserve">בצו הקנסות, </w:t>
      </w:r>
      <w:r w:rsidR="00AC22F9">
        <w:rPr>
          <w:rFonts w:cs="David" w:hint="cs"/>
          <w:sz w:val="28"/>
          <w:szCs w:val="28"/>
          <w:rtl/>
        </w:rPr>
        <w:t xml:space="preserve">ואינה כוללת </w:t>
      </w:r>
      <w:r w:rsidR="00E53D1F">
        <w:rPr>
          <w:rFonts w:cs="David" w:hint="cs"/>
          <w:sz w:val="28"/>
          <w:szCs w:val="28"/>
          <w:rtl/>
        </w:rPr>
        <w:t xml:space="preserve">רכיב של </w:t>
      </w:r>
      <w:r w:rsidR="00815A5E">
        <w:rPr>
          <w:rFonts w:cs="David" w:hint="cs"/>
          <w:sz w:val="28"/>
          <w:szCs w:val="28"/>
          <w:rtl/>
        </w:rPr>
        <w:t xml:space="preserve">פסילה מותנית. </w:t>
      </w:r>
    </w:p>
    <w:p w14:paraId="58AC91CA" w14:textId="5BC2A870" w:rsidR="00815A5E" w:rsidRDefault="00F14E76"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לטענת </w:t>
      </w:r>
      <w:r w:rsidR="00815A5E">
        <w:rPr>
          <w:rFonts w:cs="David" w:hint="cs"/>
          <w:sz w:val="28"/>
          <w:szCs w:val="28"/>
          <w:rtl/>
        </w:rPr>
        <w:t>ההגנה</w:t>
      </w:r>
      <w:r>
        <w:rPr>
          <w:rFonts w:cs="David" w:hint="cs"/>
          <w:sz w:val="28"/>
          <w:szCs w:val="28"/>
          <w:rtl/>
        </w:rPr>
        <w:t>,</w:t>
      </w:r>
      <w:r w:rsidR="00815A5E">
        <w:rPr>
          <w:rFonts w:cs="David" w:hint="cs"/>
          <w:sz w:val="28"/>
          <w:szCs w:val="28"/>
          <w:rtl/>
        </w:rPr>
        <w:t xml:space="preserve"> העבירה </w:t>
      </w:r>
      <w:r w:rsidR="00E53D1F">
        <w:rPr>
          <w:rFonts w:cs="David" w:hint="cs"/>
          <w:sz w:val="28"/>
          <w:szCs w:val="28"/>
          <w:rtl/>
        </w:rPr>
        <w:t>ש</w:t>
      </w:r>
      <w:r w:rsidR="00815A5E">
        <w:rPr>
          <w:rFonts w:cs="David" w:hint="cs"/>
          <w:sz w:val="28"/>
          <w:szCs w:val="28"/>
          <w:rtl/>
        </w:rPr>
        <w:t xml:space="preserve">בגינה הורשע המשיב </w:t>
      </w:r>
      <w:r w:rsidR="00E53D1F">
        <w:rPr>
          <w:rFonts w:cs="David" w:hint="cs"/>
          <w:sz w:val="28"/>
          <w:szCs w:val="28"/>
          <w:rtl/>
        </w:rPr>
        <w:t xml:space="preserve">בוצעה לפני </w:t>
      </w:r>
      <w:r w:rsidR="00815A5E">
        <w:rPr>
          <w:rFonts w:cs="David" w:hint="cs"/>
          <w:sz w:val="28"/>
          <w:szCs w:val="28"/>
          <w:rtl/>
        </w:rPr>
        <w:t>למעלה משנה</w:t>
      </w:r>
      <w:r>
        <w:rPr>
          <w:rFonts w:cs="David" w:hint="cs"/>
          <w:sz w:val="28"/>
          <w:szCs w:val="28"/>
          <w:rtl/>
        </w:rPr>
        <w:t>,</w:t>
      </w:r>
      <w:r w:rsidR="00815A5E">
        <w:rPr>
          <w:rFonts w:cs="David" w:hint="cs"/>
          <w:sz w:val="28"/>
          <w:szCs w:val="28"/>
          <w:rtl/>
        </w:rPr>
        <w:t xml:space="preserve"> והעובדה כי המשיב לא הסתבך בינתיים בעבירה נוספת מעידה על כך שהושג</w:t>
      </w:r>
      <w:r w:rsidR="00E53D1F">
        <w:rPr>
          <w:rFonts w:cs="David" w:hint="cs"/>
          <w:sz w:val="28"/>
          <w:szCs w:val="28"/>
          <w:rtl/>
        </w:rPr>
        <w:t>ה</w:t>
      </w:r>
      <w:r w:rsidR="00815A5E">
        <w:rPr>
          <w:rFonts w:cs="David" w:hint="cs"/>
          <w:sz w:val="28"/>
          <w:szCs w:val="28"/>
          <w:rtl/>
        </w:rPr>
        <w:t xml:space="preserve"> </w:t>
      </w:r>
      <w:r w:rsidR="00E53D1F">
        <w:rPr>
          <w:rFonts w:cs="David" w:hint="cs"/>
          <w:sz w:val="28"/>
          <w:szCs w:val="28"/>
          <w:rtl/>
        </w:rPr>
        <w:t xml:space="preserve">ההרתעה שאותה </w:t>
      </w:r>
      <w:r w:rsidR="00E53D1F">
        <w:rPr>
          <w:rFonts w:cs="David" w:hint="cs"/>
          <w:sz w:val="28"/>
          <w:szCs w:val="28"/>
          <w:rtl/>
        </w:rPr>
        <w:lastRenderedPageBreak/>
        <w:t>מבקשת התביעה להשיג באמצעות ה</w:t>
      </w:r>
      <w:r w:rsidR="00815A5E">
        <w:rPr>
          <w:rFonts w:cs="David" w:hint="cs"/>
          <w:sz w:val="28"/>
          <w:szCs w:val="28"/>
          <w:rtl/>
        </w:rPr>
        <w:t xml:space="preserve">פסילה </w:t>
      </w:r>
      <w:r w:rsidR="00E53D1F">
        <w:rPr>
          <w:rFonts w:cs="David" w:hint="cs"/>
          <w:sz w:val="28"/>
          <w:szCs w:val="28"/>
          <w:rtl/>
        </w:rPr>
        <w:t>ה</w:t>
      </w:r>
      <w:r w:rsidR="00815A5E">
        <w:rPr>
          <w:rFonts w:cs="David" w:hint="cs"/>
          <w:sz w:val="28"/>
          <w:szCs w:val="28"/>
          <w:rtl/>
        </w:rPr>
        <w:t xml:space="preserve">מותנית. </w:t>
      </w:r>
      <w:r>
        <w:rPr>
          <w:rFonts w:cs="David" w:hint="cs"/>
          <w:sz w:val="28"/>
          <w:szCs w:val="28"/>
          <w:rtl/>
        </w:rPr>
        <w:t xml:space="preserve">עוד הפנתה ההגנה </w:t>
      </w:r>
      <w:r w:rsidR="00815A5E">
        <w:rPr>
          <w:rFonts w:cs="David" w:hint="cs"/>
          <w:sz w:val="28"/>
          <w:szCs w:val="28"/>
          <w:rtl/>
        </w:rPr>
        <w:t>לנסיבות המקלות של האירוע לשיטתה, בשים לב לכך שהמשיב נהג במהירות איטית ביותר</w:t>
      </w:r>
      <w:r w:rsidR="003851F4">
        <w:rPr>
          <w:rFonts w:cs="David" w:hint="cs"/>
          <w:sz w:val="28"/>
          <w:szCs w:val="28"/>
          <w:rtl/>
        </w:rPr>
        <w:t>,</w:t>
      </w:r>
      <w:r w:rsidR="00815A5E">
        <w:rPr>
          <w:rFonts w:cs="David" w:hint="cs"/>
          <w:sz w:val="28"/>
          <w:szCs w:val="28"/>
          <w:rtl/>
        </w:rPr>
        <w:t xml:space="preserve"> לפני </w:t>
      </w:r>
      <w:r w:rsidR="003851F4">
        <w:rPr>
          <w:rFonts w:cs="David" w:hint="cs"/>
          <w:sz w:val="28"/>
          <w:szCs w:val="28"/>
          <w:rtl/>
        </w:rPr>
        <w:t xml:space="preserve">כניסה לצומת מרומזר, </w:t>
      </w:r>
      <w:r w:rsidR="00815A5E">
        <w:rPr>
          <w:rFonts w:cs="David" w:hint="cs"/>
          <w:sz w:val="28"/>
          <w:szCs w:val="28"/>
          <w:rtl/>
        </w:rPr>
        <w:t>בעת ביצוע העבירה</w:t>
      </w:r>
      <w:r w:rsidR="005B001E">
        <w:rPr>
          <w:rFonts w:cs="David" w:hint="cs"/>
          <w:sz w:val="28"/>
          <w:szCs w:val="28"/>
          <w:rtl/>
        </w:rPr>
        <w:t>; לנסיבותיו האישיות של המשיב, הממלא תפקיד מבצעי ומשמעותי בחיל הים ו</w:t>
      </w:r>
      <w:r w:rsidR="003851F4">
        <w:rPr>
          <w:rFonts w:cs="David" w:hint="cs"/>
          <w:sz w:val="28"/>
          <w:szCs w:val="28"/>
          <w:rtl/>
        </w:rPr>
        <w:t>לכך ש</w:t>
      </w:r>
      <w:r w:rsidR="005B001E">
        <w:rPr>
          <w:rFonts w:cs="David" w:hint="cs"/>
          <w:sz w:val="28"/>
          <w:szCs w:val="28"/>
          <w:rtl/>
        </w:rPr>
        <w:t xml:space="preserve">עברו התעבורתי אינו מכביד. </w:t>
      </w:r>
    </w:p>
    <w:p w14:paraId="6F61D150" w14:textId="1244732C" w:rsidR="00815A5E" w:rsidRDefault="00815A5E"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טענה נוספת של ההגנה, היא כי במסגרת טופס ההסדר המובנה שאליו מופנים הנאשמים במסגרת כתב האישום, לא מופיעה כל התראה שלפיה </w:t>
      </w:r>
      <w:r w:rsidR="00F14E76">
        <w:rPr>
          <w:rFonts w:cs="David" w:hint="cs"/>
          <w:sz w:val="28"/>
          <w:szCs w:val="28"/>
          <w:rtl/>
        </w:rPr>
        <w:t>פניה ל</w:t>
      </w:r>
      <w:r>
        <w:rPr>
          <w:rFonts w:cs="David" w:hint="cs"/>
          <w:sz w:val="28"/>
          <w:szCs w:val="28"/>
          <w:rtl/>
        </w:rPr>
        <w:t xml:space="preserve">הליך משפטי חלף היקשרות בהסדר משמעה סכנה של עתירה מטעם התביעה להשתת פסילה מותנית. </w:t>
      </w:r>
      <w:r w:rsidR="004F6F40">
        <w:rPr>
          <w:rFonts w:cs="David" w:hint="cs"/>
          <w:sz w:val="28"/>
          <w:szCs w:val="28"/>
          <w:rtl/>
        </w:rPr>
        <w:t xml:space="preserve">ההגנה הפנתה לרע"פ 5465/13 </w:t>
      </w:r>
      <w:r w:rsidR="004F6F40">
        <w:rPr>
          <w:rFonts w:cs="David" w:hint="cs"/>
          <w:b/>
          <w:bCs/>
          <w:sz w:val="28"/>
          <w:szCs w:val="28"/>
          <w:rtl/>
        </w:rPr>
        <w:t>מור נ' מדינת ישראל</w:t>
      </w:r>
      <w:r w:rsidR="004F6F40">
        <w:rPr>
          <w:rFonts w:cs="David" w:hint="cs"/>
          <w:sz w:val="28"/>
          <w:szCs w:val="28"/>
          <w:rtl/>
        </w:rPr>
        <w:t xml:space="preserve"> (</w:t>
      </w:r>
      <w:r w:rsidR="00FE5823">
        <w:rPr>
          <w:rFonts w:cs="David" w:hint="cs"/>
          <w:sz w:val="28"/>
          <w:szCs w:val="28"/>
          <w:rtl/>
        </w:rPr>
        <w:t xml:space="preserve">לא פורסם, </w:t>
      </w:r>
      <w:r w:rsidR="004F6F40">
        <w:rPr>
          <w:rFonts w:cs="David" w:hint="cs"/>
          <w:sz w:val="28"/>
          <w:szCs w:val="28"/>
          <w:rtl/>
        </w:rPr>
        <w:t xml:space="preserve">15.12.2014) וטענה כי ניתן ללמוד מהאמור שם, שאי מתן אזהרה כאמור לנאשם, משמעה כי אין מקום להחמרה בעונשו. </w:t>
      </w:r>
    </w:p>
    <w:p w14:paraId="16A7EF96" w14:textId="1284E6C3" w:rsidR="004F6F40" w:rsidRDefault="004F6F40" w:rsidP="000F78E6">
      <w:pPr>
        <w:pStyle w:val="a3"/>
        <w:spacing w:after="0" w:line="360" w:lineRule="auto"/>
        <w:jc w:val="both"/>
        <w:rPr>
          <w:rFonts w:cs="David"/>
          <w:sz w:val="28"/>
          <w:szCs w:val="28"/>
          <w:rtl/>
        </w:rPr>
      </w:pPr>
    </w:p>
    <w:p w14:paraId="439F1B58" w14:textId="77777777" w:rsidR="005B001E" w:rsidRPr="00F36E10" w:rsidRDefault="005B001E" w:rsidP="00F36E10">
      <w:pPr>
        <w:tabs>
          <w:tab w:val="left" w:pos="226"/>
        </w:tabs>
        <w:spacing w:after="0" w:line="360" w:lineRule="auto"/>
        <w:ind w:left="-58"/>
        <w:jc w:val="both"/>
        <w:rPr>
          <w:rFonts w:ascii="Times New Roman" w:eastAsia="Times New Roman" w:hAnsi="Times New Roman" w:cs="David"/>
          <w:b/>
          <w:bCs/>
          <w:sz w:val="24"/>
          <w:szCs w:val="28"/>
          <w:u w:val="single"/>
          <w:rtl/>
        </w:rPr>
      </w:pPr>
      <w:r w:rsidRPr="00F36E10">
        <w:rPr>
          <w:rFonts w:ascii="Times New Roman" w:eastAsia="Times New Roman" w:hAnsi="Times New Roman" w:cs="David" w:hint="cs"/>
          <w:b/>
          <w:bCs/>
          <w:sz w:val="24"/>
          <w:szCs w:val="28"/>
          <w:u w:val="single"/>
          <w:rtl/>
        </w:rPr>
        <w:t xml:space="preserve">דיון והכרעה </w:t>
      </w:r>
    </w:p>
    <w:p w14:paraId="49E8CE3E" w14:textId="77777777" w:rsidR="005B001E" w:rsidRPr="00B636F1" w:rsidRDefault="005B001E" w:rsidP="000F78E6">
      <w:pPr>
        <w:pStyle w:val="a3"/>
        <w:spacing w:after="0" w:line="360" w:lineRule="auto"/>
        <w:jc w:val="both"/>
        <w:rPr>
          <w:rFonts w:cs="David"/>
          <w:sz w:val="10"/>
          <w:szCs w:val="10"/>
        </w:rPr>
      </w:pPr>
    </w:p>
    <w:p w14:paraId="033D011C" w14:textId="2BBF4B76" w:rsidR="004A3084" w:rsidRDefault="00E40D67"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בפרק ז' </w:t>
      </w:r>
      <w:r w:rsidRPr="0021232B">
        <w:rPr>
          <w:rFonts w:cs="David" w:hint="cs"/>
          <w:sz w:val="28"/>
          <w:szCs w:val="28"/>
          <w:rtl/>
        </w:rPr>
        <w:t xml:space="preserve">לחוק סדר הדין הפלילי [נוסח משולב], התשמ"ב </w:t>
      </w:r>
      <w:r w:rsidR="00475524">
        <w:rPr>
          <w:rFonts w:cs="David" w:hint="cs"/>
          <w:sz w:val="28"/>
          <w:szCs w:val="28"/>
          <w:rtl/>
        </w:rPr>
        <w:t>-</w:t>
      </w:r>
      <w:r w:rsidRPr="0021232B">
        <w:rPr>
          <w:rFonts w:cs="David" w:hint="cs"/>
          <w:sz w:val="28"/>
          <w:szCs w:val="28"/>
          <w:rtl/>
        </w:rPr>
        <w:t xml:space="preserve"> 1982</w:t>
      </w:r>
      <w:r w:rsidR="00772F29" w:rsidRPr="0021232B">
        <w:rPr>
          <w:rFonts w:cs="David" w:hint="cs"/>
          <w:sz w:val="28"/>
          <w:szCs w:val="28"/>
          <w:rtl/>
        </w:rPr>
        <w:t xml:space="preserve"> נקבעו  סדרי דין מיוחדים</w:t>
      </w:r>
      <w:r>
        <w:rPr>
          <w:rFonts w:cs="David" w:hint="cs"/>
          <w:sz w:val="28"/>
          <w:szCs w:val="28"/>
          <w:rtl/>
        </w:rPr>
        <w:t xml:space="preserve"> עבור עבירות </w:t>
      </w:r>
      <w:r w:rsidR="00E53D1F">
        <w:rPr>
          <w:rFonts w:cs="David" w:hint="cs"/>
          <w:sz w:val="28"/>
          <w:szCs w:val="28"/>
          <w:rtl/>
        </w:rPr>
        <w:t xml:space="preserve">שהוגדרו </w:t>
      </w:r>
      <w:r>
        <w:rPr>
          <w:rFonts w:cs="David" w:hint="cs"/>
          <w:sz w:val="28"/>
          <w:szCs w:val="28"/>
          <w:rtl/>
        </w:rPr>
        <w:t xml:space="preserve">כ"ברירת משפט". </w:t>
      </w:r>
      <w:r w:rsidR="0087773A">
        <w:rPr>
          <w:rFonts w:cs="David" w:hint="cs"/>
          <w:sz w:val="28"/>
          <w:szCs w:val="28"/>
          <w:rtl/>
        </w:rPr>
        <w:t xml:space="preserve">למואשמים בביצוען של עבירות אלה נשלחת הודעת קנס, </w:t>
      </w:r>
      <w:r w:rsidR="00453F56">
        <w:rPr>
          <w:rFonts w:cs="David" w:hint="cs"/>
          <w:sz w:val="28"/>
          <w:szCs w:val="28"/>
          <w:rtl/>
        </w:rPr>
        <w:t>ו</w:t>
      </w:r>
      <w:r w:rsidR="0087773A">
        <w:rPr>
          <w:rFonts w:cs="David" w:hint="cs"/>
          <w:sz w:val="28"/>
          <w:szCs w:val="28"/>
          <w:rtl/>
        </w:rPr>
        <w:t xml:space="preserve">ניתנת להם </w:t>
      </w:r>
      <w:r>
        <w:rPr>
          <w:rFonts w:cs="David" w:hint="cs"/>
          <w:sz w:val="28"/>
          <w:szCs w:val="28"/>
          <w:rtl/>
        </w:rPr>
        <w:t xml:space="preserve">הבחירה, </w:t>
      </w:r>
      <w:r w:rsidR="00772F29" w:rsidRPr="0021232B">
        <w:rPr>
          <w:rFonts w:cs="David" w:hint="cs"/>
          <w:sz w:val="28"/>
          <w:szCs w:val="28"/>
          <w:rtl/>
        </w:rPr>
        <w:t>האם לשלם את הקנס (תשלום שדינו כדין הרשעה בעבירה)</w:t>
      </w:r>
      <w:r w:rsidR="00772F29" w:rsidRPr="0021232B">
        <w:rPr>
          <w:rFonts w:cs="David" w:hint="cs"/>
          <w:sz w:val="28"/>
          <w:szCs w:val="28"/>
        </w:rPr>
        <w:t xml:space="preserve"> </w:t>
      </w:r>
      <w:r w:rsidR="00772F29" w:rsidRPr="0021232B">
        <w:rPr>
          <w:rFonts w:cs="David" w:hint="cs"/>
          <w:sz w:val="28"/>
          <w:szCs w:val="28"/>
          <w:rtl/>
        </w:rPr>
        <w:t xml:space="preserve">או לבקש להישפט </w:t>
      </w:r>
      <w:r w:rsidR="00A63839" w:rsidRPr="0021232B">
        <w:rPr>
          <w:rFonts w:cs="David" w:hint="cs"/>
          <w:sz w:val="28"/>
          <w:szCs w:val="28"/>
          <w:rtl/>
        </w:rPr>
        <w:t xml:space="preserve"> </w:t>
      </w:r>
      <w:r w:rsidR="00772F29" w:rsidRPr="0021232B">
        <w:rPr>
          <w:rFonts w:cs="David" w:hint="cs"/>
          <w:sz w:val="28"/>
          <w:szCs w:val="28"/>
          <w:rtl/>
        </w:rPr>
        <w:t xml:space="preserve">בבית המשפט. </w:t>
      </w:r>
      <w:r w:rsidR="00A63839" w:rsidRPr="0021232B">
        <w:rPr>
          <w:rFonts w:cs="David" w:hint="cs"/>
          <w:sz w:val="28"/>
          <w:szCs w:val="28"/>
          <w:rtl/>
        </w:rPr>
        <w:t xml:space="preserve">בסעיף 230 לחוק סדר הדין הפלילי נקבע, כי מקום </w:t>
      </w:r>
      <w:r w:rsidR="0087773A">
        <w:rPr>
          <w:rFonts w:cs="David" w:hint="cs"/>
          <w:sz w:val="28"/>
          <w:szCs w:val="28"/>
          <w:rtl/>
        </w:rPr>
        <w:t>ש</w:t>
      </w:r>
      <w:r w:rsidR="00A63839" w:rsidRPr="0021232B">
        <w:rPr>
          <w:rFonts w:cs="David" w:hint="cs"/>
          <w:sz w:val="28"/>
          <w:szCs w:val="28"/>
          <w:rtl/>
        </w:rPr>
        <w:t xml:space="preserve">בו הורשע אדם בבית המשפט בגין העבירה ונגזר דינו לקנס </w:t>
      </w:r>
      <w:r w:rsidR="00793429" w:rsidRPr="0021232B">
        <w:rPr>
          <w:rFonts w:cs="David" w:hint="cs"/>
          <w:sz w:val="28"/>
          <w:szCs w:val="28"/>
          <w:rtl/>
        </w:rPr>
        <w:t>-</w:t>
      </w:r>
      <w:r w:rsidR="00A63839" w:rsidRPr="0021232B">
        <w:rPr>
          <w:rFonts w:cs="David" w:hint="cs"/>
          <w:sz w:val="28"/>
          <w:szCs w:val="28"/>
          <w:rtl/>
        </w:rPr>
        <w:t xml:space="preserve"> </w:t>
      </w:r>
      <w:r w:rsidR="00793429" w:rsidRPr="0021232B">
        <w:rPr>
          <w:rFonts w:cs="David" w:hint="cs"/>
          <w:sz w:val="28"/>
          <w:szCs w:val="28"/>
          <w:rtl/>
        </w:rPr>
        <w:t xml:space="preserve">לא יפחת הקנס מהסכום הקבוע בהודעת תשלום הקנס "אלא אם ראה בית המשפט נסיבות מיוחדות המצדיקות הפחתתו". </w:t>
      </w:r>
      <w:r w:rsidR="00DA3039" w:rsidRPr="0021232B">
        <w:rPr>
          <w:rFonts w:cs="David" w:hint="cs"/>
          <w:sz w:val="28"/>
          <w:szCs w:val="28"/>
          <w:rtl/>
        </w:rPr>
        <w:t>בהמשך לכך נקבע</w:t>
      </w:r>
      <w:r w:rsidR="0021232B">
        <w:rPr>
          <w:rFonts w:cs="David" w:hint="cs"/>
          <w:sz w:val="28"/>
          <w:szCs w:val="28"/>
          <w:rtl/>
        </w:rPr>
        <w:t>ו</w:t>
      </w:r>
      <w:r w:rsidR="00DA3039" w:rsidRPr="0021232B">
        <w:rPr>
          <w:rFonts w:cs="David" w:hint="cs"/>
          <w:sz w:val="28"/>
          <w:szCs w:val="28"/>
          <w:rtl/>
        </w:rPr>
        <w:t xml:space="preserve"> </w:t>
      </w:r>
      <w:r w:rsidR="0021232B" w:rsidRPr="0021232B">
        <w:rPr>
          <w:rFonts w:cs="David" w:hint="cs"/>
          <w:sz w:val="28"/>
          <w:szCs w:val="28"/>
          <w:rtl/>
        </w:rPr>
        <w:t>ב</w:t>
      </w:r>
      <w:r w:rsidR="00DA3039" w:rsidRPr="0021232B">
        <w:rPr>
          <w:rFonts w:cs="David" w:hint="cs"/>
          <w:sz w:val="28"/>
          <w:szCs w:val="28"/>
          <w:rtl/>
        </w:rPr>
        <w:t>צ</w:t>
      </w:r>
      <w:r w:rsidR="001A7ACA">
        <w:rPr>
          <w:rFonts w:cs="David" w:hint="cs"/>
          <w:sz w:val="28"/>
          <w:szCs w:val="28"/>
          <w:rtl/>
        </w:rPr>
        <w:t>ו</w:t>
      </w:r>
      <w:r w:rsidR="00DA3039" w:rsidRPr="0021232B">
        <w:rPr>
          <w:rFonts w:cs="David" w:hint="cs"/>
          <w:sz w:val="28"/>
          <w:szCs w:val="28"/>
          <w:rtl/>
        </w:rPr>
        <w:t>ו</w:t>
      </w:r>
      <w:r>
        <w:rPr>
          <w:rFonts w:cs="David" w:hint="cs"/>
          <w:sz w:val="28"/>
          <w:szCs w:val="28"/>
          <w:rtl/>
        </w:rPr>
        <w:t>ים שונים, לרבות בצו הקנסות (העוסק בעבירות תעבורה)</w:t>
      </w:r>
      <w:r w:rsidR="00DA3039" w:rsidRPr="0021232B">
        <w:rPr>
          <w:rFonts w:cs="David" w:hint="cs"/>
          <w:sz w:val="28"/>
          <w:szCs w:val="28"/>
          <w:rtl/>
        </w:rPr>
        <w:t xml:space="preserve"> </w:t>
      </w:r>
      <w:r>
        <w:rPr>
          <w:rFonts w:cs="David" w:hint="cs"/>
          <w:sz w:val="28"/>
          <w:szCs w:val="28"/>
          <w:rtl/>
        </w:rPr>
        <w:t xml:space="preserve">הסכום הנקוב </w:t>
      </w:r>
      <w:r w:rsidR="001A7ACA">
        <w:rPr>
          <w:rFonts w:cs="David" w:hint="cs"/>
          <w:sz w:val="28"/>
          <w:szCs w:val="28"/>
          <w:rtl/>
        </w:rPr>
        <w:t xml:space="preserve">לקנסות בגין </w:t>
      </w:r>
      <w:r>
        <w:rPr>
          <w:rFonts w:cs="David" w:hint="cs"/>
          <w:sz w:val="28"/>
          <w:szCs w:val="28"/>
          <w:rtl/>
        </w:rPr>
        <w:t xml:space="preserve">סוגי עבירות שונים. סכום הקנס הנקוב לצד העבירה לפי תקנה 28(ב) לתקנות התעבורה, </w:t>
      </w:r>
      <w:r w:rsidR="001A7ACA">
        <w:rPr>
          <w:rFonts w:cs="David" w:hint="cs"/>
          <w:sz w:val="28"/>
          <w:szCs w:val="28"/>
          <w:rtl/>
        </w:rPr>
        <w:t>הנדונה כאן</w:t>
      </w:r>
      <w:r>
        <w:rPr>
          <w:rFonts w:cs="David" w:hint="cs"/>
          <w:sz w:val="28"/>
          <w:szCs w:val="28"/>
          <w:rtl/>
        </w:rPr>
        <w:t xml:space="preserve">, הוא 1,000 </w:t>
      </w:r>
      <w:r w:rsidR="00475524">
        <w:rPr>
          <w:rFonts w:cs="David" w:hint="cs"/>
          <w:sz w:val="28"/>
          <w:szCs w:val="28"/>
          <w:rtl/>
        </w:rPr>
        <w:t xml:space="preserve">ש"ח. </w:t>
      </w:r>
      <w:r>
        <w:rPr>
          <w:rFonts w:cs="David" w:hint="cs"/>
          <w:sz w:val="28"/>
          <w:szCs w:val="28"/>
          <w:rtl/>
        </w:rPr>
        <w:t xml:space="preserve"> </w:t>
      </w:r>
    </w:p>
    <w:p w14:paraId="566047D1" w14:textId="24B81792" w:rsidR="00E40D67" w:rsidRDefault="001A7ACA"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סעיפי </w:t>
      </w:r>
      <w:r w:rsidR="0021232B" w:rsidRPr="0006561D">
        <w:rPr>
          <w:rFonts w:cs="David" w:hint="cs"/>
          <w:sz w:val="28"/>
          <w:szCs w:val="28"/>
          <w:rtl/>
        </w:rPr>
        <w:t xml:space="preserve">ברירת המשפט, </w:t>
      </w:r>
      <w:r>
        <w:rPr>
          <w:rFonts w:cs="David" w:hint="cs"/>
          <w:sz w:val="28"/>
          <w:szCs w:val="28"/>
          <w:rtl/>
        </w:rPr>
        <w:t>ו</w:t>
      </w:r>
      <w:r w:rsidR="0021232B" w:rsidRPr="0006561D">
        <w:rPr>
          <w:rFonts w:cs="David" w:hint="cs"/>
          <w:sz w:val="28"/>
          <w:szCs w:val="28"/>
          <w:rtl/>
        </w:rPr>
        <w:t>צו הקנסות</w:t>
      </w:r>
      <w:r>
        <w:rPr>
          <w:rFonts w:cs="David" w:hint="cs"/>
          <w:sz w:val="28"/>
          <w:szCs w:val="28"/>
          <w:rtl/>
        </w:rPr>
        <w:t xml:space="preserve"> שהוצא מכוחם</w:t>
      </w:r>
      <w:r w:rsidR="0021232B" w:rsidRPr="0006561D">
        <w:rPr>
          <w:rFonts w:cs="David" w:hint="cs"/>
          <w:sz w:val="28"/>
          <w:szCs w:val="28"/>
          <w:rtl/>
        </w:rPr>
        <w:t xml:space="preserve">, לא הוחלו </w:t>
      </w:r>
      <w:r w:rsidR="00E40D67">
        <w:rPr>
          <w:rFonts w:cs="David" w:hint="cs"/>
          <w:sz w:val="28"/>
          <w:szCs w:val="28"/>
          <w:rtl/>
        </w:rPr>
        <w:t xml:space="preserve"> באופן ישיר על </w:t>
      </w:r>
      <w:r w:rsidR="0021232B" w:rsidRPr="0006561D">
        <w:rPr>
          <w:rFonts w:cs="David" w:hint="cs"/>
          <w:sz w:val="28"/>
          <w:szCs w:val="28"/>
          <w:rtl/>
        </w:rPr>
        <w:t>הליכי השפיטה לפי חוק השיפוט הצבאי</w:t>
      </w:r>
      <w:r w:rsidR="009F4D51" w:rsidRPr="0006561D">
        <w:rPr>
          <w:rFonts w:cs="David" w:hint="cs"/>
          <w:sz w:val="28"/>
          <w:szCs w:val="28"/>
          <w:rtl/>
        </w:rPr>
        <w:t xml:space="preserve">. </w:t>
      </w:r>
      <w:r w:rsidR="00D921F6" w:rsidRPr="0006561D">
        <w:rPr>
          <w:rFonts w:cs="David" w:hint="cs"/>
          <w:sz w:val="28"/>
          <w:szCs w:val="28"/>
          <w:rtl/>
        </w:rPr>
        <w:t>בפסיק</w:t>
      </w:r>
      <w:r w:rsidR="00E40D67">
        <w:rPr>
          <w:rFonts w:cs="David" w:hint="cs"/>
          <w:sz w:val="28"/>
          <w:szCs w:val="28"/>
          <w:rtl/>
        </w:rPr>
        <w:t xml:space="preserve">ת </w:t>
      </w:r>
      <w:r w:rsidR="00797455">
        <w:rPr>
          <w:rFonts w:cs="David" w:hint="cs"/>
          <w:sz w:val="28"/>
          <w:szCs w:val="28"/>
          <w:rtl/>
        </w:rPr>
        <w:t>בית המשפט העליון ו</w:t>
      </w:r>
      <w:r w:rsidR="00E40D67">
        <w:rPr>
          <w:rFonts w:cs="David" w:hint="cs"/>
          <w:sz w:val="28"/>
          <w:szCs w:val="28"/>
          <w:rtl/>
        </w:rPr>
        <w:t xml:space="preserve">בתי הדין הצבאיים </w:t>
      </w:r>
      <w:r w:rsidR="00D921F6" w:rsidRPr="0006561D">
        <w:rPr>
          <w:rFonts w:cs="David" w:hint="cs"/>
          <w:sz w:val="28"/>
          <w:szCs w:val="28"/>
          <w:rtl/>
        </w:rPr>
        <w:t xml:space="preserve">נקבע </w:t>
      </w:r>
      <w:r w:rsidR="00E40D67">
        <w:rPr>
          <w:rFonts w:cs="David" w:hint="cs"/>
          <w:sz w:val="28"/>
          <w:szCs w:val="28"/>
          <w:rtl/>
        </w:rPr>
        <w:t xml:space="preserve">מקדמת דנא, </w:t>
      </w:r>
      <w:r w:rsidR="00D921F6" w:rsidRPr="0006561D">
        <w:rPr>
          <w:rFonts w:cs="David" w:hint="cs"/>
          <w:sz w:val="28"/>
          <w:szCs w:val="28"/>
          <w:rtl/>
        </w:rPr>
        <w:t xml:space="preserve">כי מוצדקת אכיפה ייחודית של עבירת תנועה בצבא, בשל המחויבות המוגברת בצה"ל לשמירת חיי אדם, בשל דרישות המשמעת הצבאית </w:t>
      </w:r>
      <w:r w:rsidR="00813BF4" w:rsidRPr="0006561D">
        <w:rPr>
          <w:rFonts w:cs="David" w:hint="cs"/>
          <w:sz w:val="28"/>
          <w:szCs w:val="28"/>
          <w:rtl/>
        </w:rPr>
        <w:t xml:space="preserve">ולאור הנורמות הגבוהות </w:t>
      </w:r>
      <w:r>
        <w:rPr>
          <w:rFonts w:cs="David" w:hint="cs"/>
          <w:sz w:val="28"/>
          <w:szCs w:val="28"/>
          <w:rtl/>
        </w:rPr>
        <w:t>ה</w:t>
      </w:r>
      <w:r w:rsidRPr="0006561D">
        <w:rPr>
          <w:rFonts w:cs="David" w:hint="cs"/>
          <w:sz w:val="28"/>
          <w:szCs w:val="28"/>
          <w:rtl/>
        </w:rPr>
        <w:t xml:space="preserve">מצופות </w:t>
      </w:r>
      <w:r w:rsidR="00813BF4" w:rsidRPr="0006561D">
        <w:rPr>
          <w:rFonts w:cs="David" w:hint="cs"/>
          <w:sz w:val="28"/>
          <w:szCs w:val="28"/>
          <w:rtl/>
        </w:rPr>
        <w:t>ממפקדים וקצינים שעה שהם נוהגים ברכב שניתן להם על ידי הצבא</w:t>
      </w:r>
      <w:r w:rsidR="008478F7" w:rsidRPr="0006561D">
        <w:rPr>
          <w:rFonts w:cs="David" w:hint="cs"/>
          <w:sz w:val="28"/>
          <w:szCs w:val="28"/>
          <w:rtl/>
        </w:rPr>
        <w:t xml:space="preserve"> (</w:t>
      </w:r>
      <w:r w:rsidR="00797455">
        <w:rPr>
          <w:rFonts w:cs="David" w:hint="cs"/>
          <w:sz w:val="28"/>
          <w:szCs w:val="28"/>
          <w:rtl/>
        </w:rPr>
        <w:t xml:space="preserve">רע"פ 2302/91 </w:t>
      </w:r>
      <w:r w:rsidR="00797455">
        <w:rPr>
          <w:rFonts w:cs="David" w:hint="cs"/>
          <w:b/>
          <w:bCs/>
          <w:sz w:val="28"/>
          <w:szCs w:val="28"/>
          <w:rtl/>
        </w:rPr>
        <w:t xml:space="preserve">התובע הצבאי הראשי נ' תא"ל נוה </w:t>
      </w:r>
      <w:r w:rsidR="00797455">
        <w:rPr>
          <w:rFonts w:cs="David" w:hint="cs"/>
          <w:sz w:val="28"/>
          <w:szCs w:val="28"/>
          <w:rtl/>
        </w:rPr>
        <w:t xml:space="preserve">(פ"ד מה(5) 479, עמ' 484-483 (1991); </w:t>
      </w:r>
      <w:r w:rsidR="008478F7" w:rsidRPr="0006561D">
        <w:rPr>
          <w:rFonts w:cs="David" w:hint="cs"/>
          <w:sz w:val="28"/>
          <w:szCs w:val="28"/>
          <w:rtl/>
        </w:rPr>
        <w:t xml:space="preserve">ע"ת 41/00 </w:t>
      </w:r>
      <w:r w:rsidR="008478F7" w:rsidRPr="0006561D">
        <w:rPr>
          <w:rFonts w:cs="David" w:hint="cs"/>
          <w:b/>
          <w:bCs/>
          <w:sz w:val="28"/>
          <w:szCs w:val="28"/>
          <w:rtl/>
        </w:rPr>
        <w:t xml:space="preserve">דמרי נ' התובע הצבאי הראשי </w:t>
      </w:r>
      <w:r w:rsidR="008478F7" w:rsidRPr="0006561D">
        <w:rPr>
          <w:rFonts w:cs="David" w:hint="cs"/>
          <w:sz w:val="28"/>
          <w:szCs w:val="28"/>
          <w:rtl/>
        </w:rPr>
        <w:t xml:space="preserve">(2000); </w:t>
      </w:r>
      <w:r w:rsidR="00797455">
        <w:rPr>
          <w:rFonts w:cs="David" w:hint="cs"/>
          <w:sz w:val="28"/>
          <w:szCs w:val="28"/>
          <w:rtl/>
        </w:rPr>
        <w:t xml:space="preserve">ע"ת/11/15 </w:t>
      </w:r>
      <w:r w:rsidR="00797455">
        <w:rPr>
          <w:rFonts w:cs="David" w:hint="cs"/>
          <w:b/>
          <w:bCs/>
          <w:sz w:val="28"/>
          <w:szCs w:val="28"/>
          <w:rtl/>
        </w:rPr>
        <w:t xml:space="preserve">התובע הצבאי הראשי נ' סא"ל יגר </w:t>
      </w:r>
      <w:r w:rsidR="00797455">
        <w:rPr>
          <w:rFonts w:cs="David" w:hint="cs"/>
          <w:sz w:val="28"/>
          <w:szCs w:val="28"/>
          <w:rtl/>
        </w:rPr>
        <w:t xml:space="preserve">(2015); </w:t>
      </w:r>
      <w:r w:rsidR="00E01F7A" w:rsidRPr="0006561D">
        <w:rPr>
          <w:rFonts w:cs="David" w:hint="cs"/>
          <w:sz w:val="28"/>
          <w:szCs w:val="28"/>
          <w:rtl/>
        </w:rPr>
        <w:t xml:space="preserve">עלב"ש 65/17 </w:t>
      </w:r>
      <w:r w:rsidR="00E01F7A" w:rsidRPr="0006561D">
        <w:rPr>
          <w:rFonts w:cs="David" w:hint="cs"/>
          <w:b/>
          <w:bCs/>
          <w:sz w:val="28"/>
          <w:szCs w:val="28"/>
          <w:rtl/>
        </w:rPr>
        <w:t>רב"ט יוסף נאור נ' התובע הצבאי הראשי</w:t>
      </w:r>
      <w:r w:rsidR="00E01F7A" w:rsidRPr="0006561D">
        <w:rPr>
          <w:rFonts w:cs="David" w:hint="cs"/>
          <w:sz w:val="28"/>
          <w:szCs w:val="28"/>
          <w:rtl/>
        </w:rPr>
        <w:t>, פסקה 17 (2017)</w:t>
      </w:r>
      <w:r w:rsidR="00E01F7A">
        <w:rPr>
          <w:rFonts w:cs="David" w:hint="cs"/>
          <w:sz w:val="28"/>
          <w:szCs w:val="28"/>
          <w:rtl/>
        </w:rPr>
        <w:t xml:space="preserve">; </w:t>
      </w:r>
      <w:r w:rsidR="00797455">
        <w:rPr>
          <w:rFonts w:cs="David" w:hint="cs"/>
          <w:sz w:val="28"/>
          <w:szCs w:val="28"/>
          <w:rtl/>
        </w:rPr>
        <w:t xml:space="preserve">ועוד). </w:t>
      </w:r>
      <w:r w:rsidR="008478F7" w:rsidRPr="0006561D">
        <w:rPr>
          <w:rFonts w:cs="David" w:hint="cs"/>
          <w:sz w:val="28"/>
          <w:szCs w:val="28"/>
          <w:rtl/>
        </w:rPr>
        <w:t xml:space="preserve">על כן, </w:t>
      </w:r>
      <w:r w:rsidR="00E40D67">
        <w:rPr>
          <w:rFonts w:cs="David" w:hint="cs"/>
          <w:sz w:val="28"/>
          <w:szCs w:val="28"/>
          <w:rtl/>
        </w:rPr>
        <w:t xml:space="preserve">ביחס </w:t>
      </w:r>
      <w:r w:rsidR="004A3084" w:rsidRPr="0006561D">
        <w:rPr>
          <w:rFonts w:ascii="David" w:hAnsi="David" w:cs="David" w:hint="cs"/>
          <w:color w:val="000000"/>
          <w:sz w:val="28"/>
          <w:szCs w:val="28"/>
          <w:rtl/>
        </w:rPr>
        <w:t>לסוגים רבים של עבירות ננקטת במערכת הצבאית גישה מחמירה יותר</w:t>
      </w:r>
      <w:r w:rsidR="00A67AD9" w:rsidRPr="0006561D">
        <w:rPr>
          <w:rFonts w:ascii="David" w:hAnsi="David" w:cs="David" w:hint="cs"/>
          <w:color w:val="000000"/>
          <w:sz w:val="28"/>
          <w:szCs w:val="28"/>
          <w:rtl/>
        </w:rPr>
        <w:t xml:space="preserve"> (</w:t>
      </w:r>
      <w:r w:rsidR="004A3084" w:rsidRPr="0006561D">
        <w:rPr>
          <w:rFonts w:ascii="David" w:hAnsi="David" w:cs="David" w:hint="cs"/>
          <w:color w:val="000000"/>
          <w:sz w:val="28"/>
          <w:szCs w:val="28"/>
          <w:rtl/>
        </w:rPr>
        <w:t xml:space="preserve">ע"ת 31/06 </w:t>
      </w:r>
      <w:r w:rsidR="004A3084" w:rsidRPr="0006561D">
        <w:rPr>
          <w:rFonts w:ascii="David" w:hAnsi="David" w:cs="David" w:hint="cs"/>
          <w:b/>
          <w:bCs/>
          <w:color w:val="000000"/>
          <w:sz w:val="28"/>
          <w:szCs w:val="28"/>
          <w:rtl/>
        </w:rPr>
        <w:t>התובע הצבאי הראשי נ' סא"ל מזור</w:t>
      </w:r>
      <w:r w:rsidR="004A3084" w:rsidRPr="0006561D">
        <w:rPr>
          <w:rFonts w:ascii="David" w:hAnsi="David" w:cs="David" w:hint="cs"/>
          <w:color w:val="000000"/>
          <w:sz w:val="28"/>
          <w:szCs w:val="28"/>
          <w:rtl/>
        </w:rPr>
        <w:t>, פסקה 8</w:t>
      </w:r>
      <w:r w:rsidR="004A3084" w:rsidRPr="0006561D">
        <w:rPr>
          <w:rFonts w:ascii="David" w:hAnsi="David" w:cs="David" w:hint="cs"/>
          <w:b/>
          <w:bCs/>
          <w:color w:val="000000"/>
          <w:sz w:val="28"/>
          <w:szCs w:val="28"/>
          <w:rtl/>
        </w:rPr>
        <w:t xml:space="preserve"> </w:t>
      </w:r>
      <w:r w:rsidR="004A3084" w:rsidRPr="0006561D">
        <w:rPr>
          <w:rFonts w:ascii="David" w:hAnsi="David" w:cs="David" w:hint="cs"/>
          <w:color w:val="000000"/>
          <w:sz w:val="28"/>
          <w:szCs w:val="28"/>
          <w:rtl/>
        </w:rPr>
        <w:t>(2008))</w:t>
      </w:r>
      <w:r w:rsidR="00E01F7A">
        <w:rPr>
          <w:rFonts w:ascii="David" w:hAnsi="David" w:cs="David" w:hint="cs"/>
          <w:color w:val="000000"/>
          <w:sz w:val="28"/>
          <w:szCs w:val="28"/>
          <w:rtl/>
        </w:rPr>
        <w:t>.</w:t>
      </w:r>
      <w:r w:rsidR="00E40D67">
        <w:rPr>
          <w:rFonts w:cs="David" w:hint="cs"/>
          <w:sz w:val="28"/>
          <w:szCs w:val="28"/>
          <w:rtl/>
        </w:rPr>
        <w:t xml:space="preserve"> </w:t>
      </w:r>
    </w:p>
    <w:p w14:paraId="46B0030E" w14:textId="13212E17" w:rsidR="0006561D" w:rsidRPr="00BD1DCD" w:rsidRDefault="00BD0F2A" w:rsidP="00F36E10">
      <w:pPr>
        <w:numPr>
          <w:ilvl w:val="0"/>
          <w:numId w:val="1"/>
        </w:numPr>
        <w:tabs>
          <w:tab w:val="left" w:pos="226"/>
        </w:tabs>
        <w:spacing w:after="0" w:line="360" w:lineRule="auto"/>
        <w:ind w:left="-58" w:firstLine="0"/>
        <w:jc w:val="both"/>
        <w:rPr>
          <w:rFonts w:cs="David"/>
          <w:sz w:val="28"/>
          <w:szCs w:val="28"/>
        </w:rPr>
      </w:pPr>
      <w:r w:rsidRPr="00BD1DCD">
        <w:rPr>
          <w:rFonts w:cs="David" w:hint="cs"/>
          <w:sz w:val="28"/>
          <w:szCs w:val="28"/>
          <w:rtl/>
        </w:rPr>
        <w:lastRenderedPageBreak/>
        <w:t xml:space="preserve">בשנת 2019 </w:t>
      </w:r>
      <w:r w:rsidR="00A02593" w:rsidRPr="00BD1DCD">
        <w:rPr>
          <w:rFonts w:cs="David" w:hint="cs"/>
          <w:sz w:val="28"/>
          <w:szCs w:val="28"/>
          <w:rtl/>
        </w:rPr>
        <w:t>חל שינוי במדיניות ההעמדה לדין בעבירות תעבורה</w:t>
      </w:r>
      <w:r w:rsidR="00E01F7A">
        <w:rPr>
          <w:rFonts w:cs="David" w:hint="cs"/>
          <w:sz w:val="28"/>
          <w:szCs w:val="28"/>
          <w:rtl/>
        </w:rPr>
        <w:t>,</w:t>
      </w:r>
      <w:r w:rsidR="00A02593" w:rsidRPr="00BD1DCD">
        <w:rPr>
          <w:rFonts w:cs="David" w:hint="cs"/>
          <w:sz w:val="28"/>
          <w:szCs w:val="28"/>
          <w:rtl/>
        </w:rPr>
        <w:t xml:space="preserve"> </w:t>
      </w:r>
      <w:r w:rsidR="00E01F7A">
        <w:rPr>
          <w:rFonts w:cs="David" w:hint="cs"/>
          <w:sz w:val="28"/>
          <w:szCs w:val="28"/>
          <w:rtl/>
        </w:rPr>
        <w:t>ב</w:t>
      </w:r>
      <w:r w:rsidR="00A02593" w:rsidRPr="00BD1DCD">
        <w:rPr>
          <w:rFonts w:cs="David" w:hint="cs"/>
          <w:sz w:val="28"/>
          <w:szCs w:val="28"/>
          <w:rtl/>
        </w:rPr>
        <w:t xml:space="preserve">עת נכנסה לתוקף הנחיית התביעה הצבאית הראשית, </w:t>
      </w:r>
      <w:r w:rsidR="009858A9" w:rsidRPr="00BD1DCD">
        <w:rPr>
          <w:rFonts w:cs="David" w:hint="cs"/>
          <w:sz w:val="28"/>
          <w:szCs w:val="28"/>
          <w:rtl/>
        </w:rPr>
        <w:t>מס'</w:t>
      </w:r>
      <w:r w:rsidR="00A02593" w:rsidRPr="00BD1DCD">
        <w:rPr>
          <w:rFonts w:cs="David" w:hint="cs"/>
          <w:sz w:val="28"/>
          <w:szCs w:val="28"/>
          <w:rtl/>
        </w:rPr>
        <w:t xml:space="preserve"> 5.01.05 "הסדרי טיעון מובנים בעבירות תעבורה"</w:t>
      </w:r>
      <w:r w:rsidR="009858A9" w:rsidRPr="00BD1DCD">
        <w:rPr>
          <w:rFonts w:cs="David" w:hint="cs"/>
          <w:sz w:val="28"/>
          <w:szCs w:val="28"/>
          <w:rtl/>
        </w:rPr>
        <w:t>.</w:t>
      </w:r>
      <w:r w:rsidR="00F21CFF" w:rsidRPr="00BD1DCD">
        <w:rPr>
          <w:rFonts w:cs="David" w:hint="cs"/>
          <w:sz w:val="28"/>
          <w:szCs w:val="28"/>
          <w:rtl/>
        </w:rPr>
        <w:t xml:space="preserve"> </w:t>
      </w:r>
      <w:r w:rsidR="00BD1DCD" w:rsidRPr="00BD1DCD">
        <w:rPr>
          <w:rFonts w:cs="David" w:hint="cs"/>
          <w:sz w:val="28"/>
          <w:szCs w:val="28"/>
          <w:rtl/>
        </w:rPr>
        <w:t xml:space="preserve">ההנחה הגלומה </w:t>
      </w:r>
      <w:r w:rsidR="009858A9" w:rsidRPr="00BD1DCD">
        <w:rPr>
          <w:rFonts w:cs="David" w:hint="cs"/>
          <w:sz w:val="28"/>
          <w:szCs w:val="28"/>
          <w:rtl/>
        </w:rPr>
        <w:t xml:space="preserve">בבסיס ההנחיה, </w:t>
      </w:r>
      <w:r w:rsidR="00BD1DCD" w:rsidRPr="00BD1DCD">
        <w:rPr>
          <w:rFonts w:cs="David" w:hint="cs"/>
          <w:sz w:val="28"/>
          <w:szCs w:val="28"/>
          <w:rtl/>
        </w:rPr>
        <w:t>היא כי</w:t>
      </w:r>
      <w:r w:rsidR="009858A9" w:rsidRPr="00BD1DCD">
        <w:rPr>
          <w:rFonts w:cs="David" w:hint="cs"/>
          <w:sz w:val="28"/>
          <w:szCs w:val="28"/>
          <w:rtl/>
        </w:rPr>
        <w:t xml:space="preserve"> </w:t>
      </w:r>
      <w:r w:rsidR="00F21CFF" w:rsidRPr="00BD1DCD">
        <w:rPr>
          <w:rFonts w:cs="David" w:hint="cs"/>
          <w:sz w:val="28"/>
          <w:szCs w:val="28"/>
          <w:rtl/>
        </w:rPr>
        <w:t>בהעדר נסיבות חומרה ייחודיות הנלוות לעבירה, יש להשוות ככל הניתן בין אופי הטיפול בעבירות שבוצעו על ידי משרתי צבא לבין הטיפול בעבירות שבוצעו על ידי אזרחים הנוהגים בכלי רכב פרטי, וזאת על ידי יישום מנגנון של הסדרי טיעון מובנים</w:t>
      </w:r>
      <w:r w:rsidR="000F78E6">
        <w:rPr>
          <w:rFonts w:cs="David" w:hint="cs"/>
          <w:sz w:val="28"/>
          <w:szCs w:val="28"/>
          <w:rtl/>
        </w:rPr>
        <w:t xml:space="preserve">, </w:t>
      </w:r>
      <w:r w:rsidR="00A97489">
        <w:rPr>
          <w:rFonts w:cs="David" w:hint="cs"/>
          <w:sz w:val="28"/>
          <w:szCs w:val="28"/>
          <w:rtl/>
        </w:rPr>
        <w:t>במקרים המתאימים. מקום בו מתאים התיק להסדר מובנה, מ</w:t>
      </w:r>
      <w:r w:rsidR="00556000" w:rsidRPr="00BD1DCD">
        <w:rPr>
          <w:rFonts w:cs="David" w:hint="cs"/>
          <w:sz w:val="28"/>
          <w:szCs w:val="28"/>
          <w:rtl/>
        </w:rPr>
        <w:t>צורפת לכתב האישום</w:t>
      </w:r>
      <w:r w:rsidR="001A66D5" w:rsidRPr="00BD1DCD">
        <w:rPr>
          <w:rFonts w:cs="David" w:hint="cs"/>
          <w:sz w:val="28"/>
          <w:szCs w:val="28"/>
          <w:rtl/>
        </w:rPr>
        <w:t xml:space="preserve"> הודעה מטעם התביעה, בדבר האפשרות להיקשר בהסדר טיעון</w:t>
      </w:r>
      <w:r w:rsidR="00E01F7A">
        <w:rPr>
          <w:rFonts w:cs="David" w:hint="cs"/>
          <w:sz w:val="28"/>
          <w:szCs w:val="28"/>
          <w:rtl/>
        </w:rPr>
        <w:t xml:space="preserve">. נכתב </w:t>
      </w:r>
      <w:r w:rsidR="00453F56">
        <w:rPr>
          <w:rFonts w:cs="David" w:hint="cs"/>
          <w:sz w:val="28"/>
          <w:szCs w:val="28"/>
          <w:rtl/>
        </w:rPr>
        <w:t>בהנחיה,</w:t>
      </w:r>
      <w:r w:rsidR="001A66D5" w:rsidRPr="00BD1DCD">
        <w:rPr>
          <w:rFonts w:cs="David" w:hint="cs"/>
          <w:sz w:val="28"/>
          <w:szCs w:val="28"/>
          <w:rtl/>
        </w:rPr>
        <w:t xml:space="preserve"> </w:t>
      </w:r>
      <w:r w:rsidR="00E01F7A">
        <w:rPr>
          <w:rFonts w:cs="David" w:hint="cs"/>
          <w:sz w:val="28"/>
          <w:szCs w:val="28"/>
          <w:rtl/>
        </w:rPr>
        <w:t xml:space="preserve">כי הסדר טיעון כאמור </w:t>
      </w:r>
      <w:r w:rsidR="001A66D5" w:rsidRPr="00BD1DCD">
        <w:rPr>
          <w:rFonts w:cs="David" w:hint="cs"/>
          <w:sz w:val="28"/>
          <w:szCs w:val="28"/>
          <w:rtl/>
        </w:rPr>
        <w:t xml:space="preserve">כולל בקשה לשיפוט </w:t>
      </w:r>
      <w:r w:rsidR="00556000" w:rsidRPr="00BD1DCD">
        <w:rPr>
          <w:rFonts w:cs="David" w:hint="cs"/>
          <w:sz w:val="28"/>
          <w:szCs w:val="28"/>
          <w:rtl/>
        </w:rPr>
        <w:t>ה</w:t>
      </w:r>
      <w:r w:rsidR="001A66D5" w:rsidRPr="00BD1DCD">
        <w:rPr>
          <w:rFonts w:cs="David" w:hint="cs"/>
          <w:sz w:val="28"/>
          <w:szCs w:val="28"/>
          <w:rtl/>
        </w:rPr>
        <w:t xml:space="preserve">נאשם שלא בפניו. </w:t>
      </w:r>
      <w:r w:rsidR="00556000" w:rsidRPr="00BD1DCD">
        <w:rPr>
          <w:rFonts w:cs="David" w:hint="cs"/>
          <w:sz w:val="28"/>
          <w:szCs w:val="28"/>
          <w:rtl/>
        </w:rPr>
        <w:t xml:space="preserve">כאשר </w:t>
      </w:r>
      <w:r w:rsidR="001A66D5" w:rsidRPr="00BD1DCD">
        <w:rPr>
          <w:rFonts w:cs="David" w:hint="cs"/>
          <w:sz w:val="28"/>
          <w:szCs w:val="28"/>
          <w:rtl/>
        </w:rPr>
        <w:t xml:space="preserve">הנאשם הוא משרת קבע </w:t>
      </w:r>
      <w:r w:rsidR="00146751" w:rsidRPr="00BD1DCD">
        <w:rPr>
          <w:rFonts w:cs="David" w:hint="cs"/>
          <w:sz w:val="28"/>
          <w:szCs w:val="28"/>
          <w:rtl/>
        </w:rPr>
        <w:t>-</w:t>
      </w:r>
      <w:r w:rsidR="00A73EAF" w:rsidRPr="00BD1DCD">
        <w:rPr>
          <w:rFonts w:cs="David" w:hint="cs"/>
          <w:sz w:val="28"/>
          <w:szCs w:val="28"/>
          <w:rtl/>
        </w:rPr>
        <w:t xml:space="preserve"> </w:t>
      </w:r>
      <w:r w:rsidR="001A66D5" w:rsidRPr="00BD1DCD">
        <w:rPr>
          <w:rFonts w:cs="David" w:hint="cs"/>
          <w:sz w:val="28"/>
          <w:szCs w:val="28"/>
          <w:rtl/>
        </w:rPr>
        <w:t>ההצעה העונ</w:t>
      </w:r>
      <w:r w:rsidR="00146751" w:rsidRPr="00BD1DCD">
        <w:rPr>
          <w:rFonts w:cs="David" w:hint="cs"/>
          <w:sz w:val="28"/>
          <w:szCs w:val="28"/>
          <w:rtl/>
        </w:rPr>
        <w:t>שי</w:t>
      </w:r>
      <w:r w:rsidR="001A66D5" w:rsidRPr="00BD1DCD">
        <w:rPr>
          <w:rFonts w:cs="David" w:hint="cs"/>
          <w:sz w:val="28"/>
          <w:szCs w:val="28"/>
          <w:rtl/>
        </w:rPr>
        <w:t xml:space="preserve">ת  </w:t>
      </w:r>
      <w:r w:rsidR="00E01F7A">
        <w:rPr>
          <w:rFonts w:cs="David" w:hint="cs"/>
          <w:sz w:val="28"/>
          <w:szCs w:val="28"/>
          <w:rtl/>
        </w:rPr>
        <w:t xml:space="preserve">היא </w:t>
      </w:r>
      <w:r w:rsidR="001A66D5" w:rsidRPr="00BD1DCD">
        <w:rPr>
          <w:rFonts w:cs="David" w:hint="cs"/>
          <w:sz w:val="28"/>
          <w:szCs w:val="28"/>
          <w:rtl/>
        </w:rPr>
        <w:t xml:space="preserve">של קנס כספי ששיעורו </w:t>
      </w:r>
      <w:r w:rsidR="00E01F7A">
        <w:rPr>
          <w:rFonts w:cs="David" w:hint="cs"/>
          <w:sz w:val="28"/>
          <w:szCs w:val="28"/>
          <w:rtl/>
        </w:rPr>
        <w:t xml:space="preserve">זהה לזה הנקוב </w:t>
      </w:r>
      <w:r w:rsidR="001A66D5" w:rsidRPr="00BD1DCD">
        <w:rPr>
          <w:rFonts w:cs="David" w:hint="cs"/>
          <w:sz w:val="28"/>
          <w:szCs w:val="28"/>
          <w:rtl/>
        </w:rPr>
        <w:t>בצו הקנסות.</w:t>
      </w:r>
      <w:r w:rsidR="00BD1DCD" w:rsidRPr="00BD1DCD">
        <w:rPr>
          <w:rFonts w:cs="David" w:hint="cs"/>
          <w:sz w:val="28"/>
          <w:szCs w:val="28"/>
          <w:rtl/>
        </w:rPr>
        <w:t xml:space="preserve"> לצד זאת </w:t>
      </w:r>
      <w:r w:rsidR="00F37C81" w:rsidRPr="00BD1DCD">
        <w:rPr>
          <w:rFonts w:cs="David" w:hint="cs"/>
          <w:sz w:val="28"/>
          <w:szCs w:val="28"/>
          <w:rtl/>
        </w:rPr>
        <w:t xml:space="preserve">נקבע בהנחיה, כי מקום </w:t>
      </w:r>
      <w:r w:rsidR="00E01F7A">
        <w:rPr>
          <w:rFonts w:cs="David" w:hint="cs"/>
          <w:sz w:val="28"/>
          <w:szCs w:val="28"/>
          <w:rtl/>
        </w:rPr>
        <w:t>ש</w:t>
      </w:r>
      <w:r w:rsidR="00F37C81" w:rsidRPr="00BD1DCD">
        <w:rPr>
          <w:rFonts w:cs="David" w:hint="cs"/>
          <w:sz w:val="28"/>
          <w:szCs w:val="28"/>
          <w:rtl/>
        </w:rPr>
        <w:t>בו מבקש הנאשם שלא לקבל את הצעת ההסדר ולהתייצב לדיון בבית הדין לתעבורה</w:t>
      </w:r>
      <w:r w:rsidR="00E01F7A">
        <w:rPr>
          <w:rFonts w:cs="David" w:hint="cs"/>
          <w:sz w:val="28"/>
          <w:szCs w:val="28"/>
          <w:rtl/>
        </w:rPr>
        <w:t>,</w:t>
      </w:r>
      <w:r w:rsidR="00F37C81" w:rsidRPr="00BD1DCD">
        <w:rPr>
          <w:rFonts w:cs="David" w:hint="cs"/>
          <w:sz w:val="28"/>
          <w:szCs w:val="28"/>
          <w:rtl/>
        </w:rPr>
        <w:t xml:space="preserve"> לא תהיה </w:t>
      </w:r>
      <w:r w:rsidR="00BD1DCD">
        <w:rPr>
          <w:rFonts w:cs="David" w:hint="cs"/>
          <w:sz w:val="28"/>
          <w:szCs w:val="28"/>
          <w:rtl/>
        </w:rPr>
        <w:t xml:space="preserve">התביעה </w:t>
      </w:r>
      <w:r w:rsidR="00F37C81" w:rsidRPr="00BD1DCD">
        <w:rPr>
          <w:rFonts w:cs="David" w:hint="cs"/>
          <w:sz w:val="28"/>
          <w:szCs w:val="28"/>
          <w:rtl/>
        </w:rPr>
        <w:t xml:space="preserve">קשורה בהצעת ההסדר המובנה </w:t>
      </w:r>
      <w:r w:rsidR="009C4046">
        <w:rPr>
          <w:rFonts w:cs="David" w:hint="cs"/>
          <w:sz w:val="28"/>
          <w:szCs w:val="28"/>
          <w:rtl/>
        </w:rPr>
        <w:t>ו</w:t>
      </w:r>
      <w:r w:rsidR="00F37C81" w:rsidRPr="00BD1DCD">
        <w:rPr>
          <w:rFonts w:cs="David" w:hint="cs"/>
          <w:sz w:val="28"/>
          <w:szCs w:val="28"/>
          <w:rtl/>
        </w:rPr>
        <w:t>תטען לענישה ההולמת את העבירה</w:t>
      </w:r>
      <w:r w:rsidR="00E01F7A">
        <w:rPr>
          <w:rFonts w:cs="David" w:hint="cs"/>
          <w:sz w:val="28"/>
          <w:szCs w:val="28"/>
          <w:rtl/>
        </w:rPr>
        <w:t>,</w:t>
      </w:r>
      <w:r w:rsidR="00F37C81" w:rsidRPr="00BD1DCD">
        <w:rPr>
          <w:rFonts w:cs="David" w:hint="cs"/>
          <w:sz w:val="28"/>
          <w:szCs w:val="28"/>
          <w:rtl/>
        </w:rPr>
        <w:t xml:space="preserve"> אשר </w:t>
      </w:r>
      <w:r w:rsidR="000203AE" w:rsidRPr="00BD1DCD">
        <w:rPr>
          <w:rFonts w:cs="David" w:hint="cs"/>
          <w:sz w:val="28"/>
          <w:szCs w:val="28"/>
          <w:rtl/>
        </w:rPr>
        <w:t xml:space="preserve">ככלל תהיה חמורה מההצעה להסדר ובכל מקרה לא תפחת ממנו. </w:t>
      </w:r>
    </w:p>
    <w:p w14:paraId="697210AB" w14:textId="489C1438" w:rsidR="000203AE" w:rsidRPr="00F36E10" w:rsidRDefault="000203AE" w:rsidP="00F36E10">
      <w:pPr>
        <w:numPr>
          <w:ilvl w:val="0"/>
          <w:numId w:val="1"/>
        </w:numPr>
        <w:tabs>
          <w:tab w:val="left" w:pos="226"/>
        </w:tabs>
        <w:spacing w:after="0" w:line="360" w:lineRule="auto"/>
        <w:ind w:left="-58" w:firstLine="0"/>
        <w:jc w:val="both"/>
        <w:rPr>
          <w:rFonts w:ascii="David" w:hAnsi="David" w:cs="David"/>
          <w:sz w:val="28"/>
          <w:szCs w:val="28"/>
        </w:rPr>
      </w:pPr>
      <w:r>
        <w:rPr>
          <w:rFonts w:cs="David" w:hint="cs"/>
          <w:sz w:val="28"/>
          <w:szCs w:val="28"/>
          <w:rtl/>
        </w:rPr>
        <w:t>בהמשך לכך</w:t>
      </w:r>
      <w:r w:rsidR="00E01F7A">
        <w:rPr>
          <w:rFonts w:cs="David" w:hint="cs"/>
          <w:sz w:val="28"/>
          <w:szCs w:val="28"/>
          <w:rtl/>
        </w:rPr>
        <w:t xml:space="preserve">, </w:t>
      </w:r>
      <w:r>
        <w:rPr>
          <w:rFonts w:cs="David" w:hint="cs"/>
          <w:sz w:val="28"/>
          <w:szCs w:val="28"/>
          <w:rtl/>
        </w:rPr>
        <w:t>כתבי אישום</w:t>
      </w:r>
      <w:r w:rsidR="00453F56">
        <w:rPr>
          <w:rFonts w:cs="David" w:hint="cs"/>
          <w:sz w:val="28"/>
          <w:szCs w:val="28"/>
          <w:rtl/>
        </w:rPr>
        <w:t xml:space="preserve"> </w:t>
      </w:r>
      <w:r w:rsidR="00E01F7A">
        <w:rPr>
          <w:rFonts w:cs="David" w:hint="cs"/>
          <w:sz w:val="28"/>
          <w:szCs w:val="28"/>
          <w:rtl/>
        </w:rPr>
        <w:t xml:space="preserve">בעבירות המתאימות להסדר </w:t>
      </w:r>
      <w:r w:rsidR="006805A4">
        <w:rPr>
          <w:rFonts w:cs="David" w:hint="cs"/>
          <w:sz w:val="28"/>
          <w:szCs w:val="28"/>
          <w:rtl/>
        </w:rPr>
        <w:t xml:space="preserve">מובנה, </w:t>
      </w:r>
      <w:r w:rsidR="00E01F7A">
        <w:rPr>
          <w:rFonts w:cs="David" w:hint="cs"/>
          <w:sz w:val="28"/>
          <w:szCs w:val="28"/>
          <w:rtl/>
        </w:rPr>
        <w:t>מוגשים כשעליהם "</w:t>
      </w:r>
      <w:r w:rsidR="009C4046">
        <w:rPr>
          <w:rFonts w:cs="David" w:hint="cs"/>
          <w:sz w:val="28"/>
          <w:szCs w:val="28"/>
          <w:rtl/>
        </w:rPr>
        <w:t>ברקוד</w:t>
      </w:r>
      <w:r w:rsidR="00E01F7A">
        <w:rPr>
          <w:rFonts w:cs="David" w:hint="cs"/>
          <w:sz w:val="28"/>
          <w:szCs w:val="28"/>
          <w:rtl/>
        </w:rPr>
        <w:t>",</w:t>
      </w:r>
      <w:r w:rsidR="009C4046">
        <w:rPr>
          <w:rFonts w:cs="David" w:hint="cs"/>
          <w:sz w:val="28"/>
          <w:szCs w:val="28"/>
          <w:rtl/>
        </w:rPr>
        <w:t xml:space="preserve"> </w:t>
      </w:r>
      <w:r w:rsidR="00E01F7A">
        <w:rPr>
          <w:rFonts w:cs="David" w:hint="cs"/>
          <w:sz w:val="28"/>
          <w:szCs w:val="28"/>
          <w:rtl/>
        </w:rPr>
        <w:t xml:space="preserve">אשר </w:t>
      </w:r>
      <w:r w:rsidR="009C4046">
        <w:rPr>
          <w:rFonts w:cs="David" w:hint="cs"/>
          <w:sz w:val="28"/>
          <w:szCs w:val="28"/>
          <w:rtl/>
        </w:rPr>
        <w:t>סריקתו</w:t>
      </w:r>
      <w:r w:rsidR="006805A4">
        <w:rPr>
          <w:rFonts w:cs="David" w:hint="cs"/>
          <w:sz w:val="28"/>
          <w:szCs w:val="28"/>
          <w:rtl/>
        </w:rPr>
        <w:t xml:space="preserve"> מובילה לדף הסבר. ב</w:t>
      </w:r>
      <w:r w:rsidR="009C4046">
        <w:rPr>
          <w:rFonts w:cs="David" w:hint="cs"/>
          <w:sz w:val="28"/>
          <w:szCs w:val="28"/>
          <w:rtl/>
        </w:rPr>
        <w:t xml:space="preserve">מסגרת </w:t>
      </w:r>
      <w:r w:rsidR="006805A4">
        <w:rPr>
          <w:rFonts w:cs="David" w:hint="cs"/>
          <w:sz w:val="28"/>
          <w:szCs w:val="28"/>
          <w:rtl/>
        </w:rPr>
        <w:t xml:space="preserve">דף זה ניתנים </w:t>
      </w:r>
      <w:r w:rsidR="006805A4" w:rsidRPr="00F36E10">
        <w:rPr>
          <w:rFonts w:ascii="David" w:hAnsi="David" w:cs="David" w:hint="cs"/>
          <w:sz w:val="28"/>
          <w:szCs w:val="28"/>
          <w:rtl/>
        </w:rPr>
        <w:t>לנאשם כלל ההסברים</w:t>
      </w:r>
      <w:r w:rsidR="009C4046" w:rsidRPr="00F36E10">
        <w:rPr>
          <w:rFonts w:ascii="David" w:hAnsi="David" w:cs="David" w:hint="cs"/>
          <w:sz w:val="28"/>
          <w:szCs w:val="28"/>
          <w:rtl/>
        </w:rPr>
        <w:t xml:space="preserve"> הנוגעים להיקשרות בהסדר</w:t>
      </w:r>
      <w:r w:rsidR="006805A4" w:rsidRPr="00F36E10">
        <w:rPr>
          <w:rFonts w:ascii="David" w:hAnsi="David" w:cs="David" w:hint="cs"/>
          <w:sz w:val="28"/>
          <w:szCs w:val="28"/>
          <w:rtl/>
        </w:rPr>
        <w:t xml:space="preserve">, </w:t>
      </w:r>
      <w:r w:rsidR="009C4046" w:rsidRPr="00F36E10">
        <w:rPr>
          <w:rFonts w:ascii="David" w:hAnsi="David" w:cs="David" w:hint="cs"/>
          <w:sz w:val="28"/>
          <w:szCs w:val="28"/>
          <w:rtl/>
        </w:rPr>
        <w:t>וכן מופיעה בו הפסקה הבאה: "</w:t>
      </w:r>
      <w:r w:rsidR="006805A4" w:rsidRPr="00F36E10">
        <w:rPr>
          <w:rFonts w:ascii="David" w:hAnsi="David" w:cs="David" w:hint="cs"/>
          <w:sz w:val="28"/>
          <w:szCs w:val="28"/>
          <w:rtl/>
        </w:rPr>
        <w:t xml:space="preserve">הצעת הסדר הטיעון אינה פתוחה למשא ומתן. ככל שתבחר לקיים דיון בבית הדין, הצעת ההסדר לא תהיה עוד בתוקף. אם תבחר לקיים דיון ותורשע, התביעה תעתור לעונש חמור מהצעת ההסדר ויש אפשרות שיוטל עליך עונש חמור מזה שמוצע". </w:t>
      </w:r>
    </w:p>
    <w:p w14:paraId="57F64F21" w14:textId="616A9091" w:rsidR="00383324" w:rsidRDefault="009866C5" w:rsidP="00F36E10">
      <w:pPr>
        <w:numPr>
          <w:ilvl w:val="0"/>
          <w:numId w:val="1"/>
        </w:numPr>
        <w:tabs>
          <w:tab w:val="left" w:pos="226"/>
        </w:tabs>
        <w:spacing w:after="0" w:line="360" w:lineRule="auto"/>
        <w:ind w:left="-58" w:firstLine="0"/>
        <w:jc w:val="both"/>
        <w:rPr>
          <w:rFonts w:cs="David"/>
          <w:sz w:val="28"/>
          <w:szCs w:val="28"/>
        </w:rPr>
      </w:pPr>
      <w:r w:rsidRPr="00F36E10">
        <w:rPr>
          <w:rFonts w:ascii="David" w:hAnsi="David" w:cs="David" w:hint="cs"/>
          <w:sz w:val="28"/>
          <w:szCs w:val="28"/>
          <w:rtl/>
        </w:rPr>
        <w:t>האם יש בהנח</w:t>
      </w:r>
      <w:r w:rsidR="00E01F7A" w:rsidRPr="00F36E10">
        <w:rPr>
          <w:rFonts w:ascii="David" w:hAnsi="David" w:cs="David" w:hint="cs"/>
          <w:sz w:val="28"/>
          <w:szCs w:val="28"/>
          <w:rtl/>
        </w:rPr>
        <w:t>י</w:t>
      </w:r>
      <w:r w:rsidRPr="00F36E10">
        <w:rPr>
          <w:rFonts w:ascii="David" w:hAnsi="David" w:cs="David" w:hint="cs"/>
          <w:sz w:val="28"/>
          <w:szCs w:val="28"/>
          <w:rtl/>
        </w:rPr>
        <w:t xml:space="preserve">ית התביעה כפי שבוארה לעיל, כדי להוביל </w:t>
      </w:r>
      <w:r w:rsidR="00EC1C7B" w:rsidRPr="00F36E10">
        <w:rPr>
          <w:rFonts w:ascii="David" w:hAnsi="David" w:cs="David" w:hint="cs"/>
          <w:sz w:val="28"/>
          <w:szCs w:val="28"/>
          <w:rtl/>
        </w:rPr>
        <w:t>לשינוי במדיניות הענישה שננקטה מקדמת דנא בעבירות התעבורה בצבא</w:t>
      </w:r>
      <w:r w:rsidR="00D46BF4" w:rsidRPr="00F36E10">
        <w:rPr>
          <w:rFonts w:ascii="David" w:hAnsi="David" w:cs="David" w:hint="cs"/>
          <w:sz w:val="28"/>
          <w:szCs w:val="28"/>
          <w:rtl/>
        </w:rPr>
        <w:t xml:space="preserve">, מקום </w:t>
      </w:r>
      <w:r w:rsidR="00E01F7A" w:rsidRPr="00F36E10">
        <w:rPr>
          <w:rFonts w:ascii="David" w:hAnsi="David" w:cs="David" w:hint="cs"/>
          <w:sz w:val="28"/>
          <w:szCs w:val="28"/>
          <w:rtl/>
        </w:rPr>
        <w:t>ש</w:t>
      </w:r>
      <w:r w:rsidR="00D46BF4" w:rsidRPr="00F36E10">
        <w:rPr>
          <w:rFonts w:ascii="David" w:hAnsi="David" w:cs="David" w:hint="cs"/>
          <w:sz w:val="28"/>
          <w:szCs w:val="28"/>
          <w:rtl/>
        </w:rPr>
        <w:t>בו בוחר הנאשם להישפט בפני ערכאה שיפוטית</w:t>
      </w:r>
      <w:r w:rsidR="00EC1C7B" w:rsidRPr="00F36E10">
        <w:rPr>
          <w:rFonts w:ascii="David" w:hAnsi="David" w:cs="David" w:hint="cs"/>
          <w:sz w:val="28"/>
          <w:szCs w:val="28"/>
          <w:rtl/>
        </w:rPr>
        <w:t>? לטעמי התשובה לכך שלילית</w:t>
      </w:r>
      <w:r w:rsidR="00EC1C7B" w:rsidRPr="00D9342E">
        <w:rPr>
          <w:rFonts w:cs="David" w:hint="cs"/>
          <w:sz w:val="28"/>
          <w:szCs w:val="28"/>
          <w:rtl/>
        </w:rPr>
        <w:t xml:space="preserve">. </w:t>
      </w:r>
      <w:r w:rsidR="002B750B" w:rsidRPr="000F78E6">
        <w:rPr>
          <w:rFonts w:cs="David" w:hint="eastAsia"/>
          <w:b/>
          <w:bCs/>
          <w:sz w:val="28"/>
          <w:szCs w:val="28"/>
          <w:rtl/>
        </w:rPr>
        <w:t>מטרתה</w:t>
      </w:r>
      <w:r w:rsidR="002B750B" w:rsidRPr="000F78E6">
        <w:rPr>
          <w:rFonts w:cs="David"/>
          <w:b/>
          <w:bCs/>
          <w:sz w:val="28"/>
          <w:szCs w:val="28"/>
          <w:rtl/>
        </w:rPr>
        <w:t xml:space="preserve"> </w:t>
      </w:r>
      <w:r w:rsidR="00E01F7A" w:rsidRPr="000F78E6">
        <w:rPr>
          <w:rFonts w:cs="David" w:hint="eastAsia"/>
          <w:b/>
          <w:bCs/>
          <w:sz w:val="28"/>
          <w:szCs w:val="28"/>
          <w:rtl/>
        </w:rPr>
        <w:t>של</w:t>
      </w:r>
      <w:r w:rsidR="00E01F7A" w:rsidRPr="000F78E6">
        <w:rPr>
          <w:rFonts w:cs="David"/>
          <w:b/>
          <w:bCs/>
          <w:sz w:val="28"/>
          <w:szCs w:val="28"/>
          <w:rtl/>
        </w:rPr>
        <w:t xml:space="preserve"> המדיניות </w:t>
      </w:r>
      <w:r w:rsidR="002B750B" w:rsidRPr="000F78E6">
        <w:rPr>
          <w:rFonts w:cs="David" w:hint="eastAsia"/>
          <w:b/>
          <w:bCs/>
          <w:sz w:val="28"/>
          <w:szCs w:val="28"/>
          <w:rtl/>
        </w:rPr>
        <w:t>להביא</w:t>
      </w:r>
      <w:r w:rsidR="002B750B" w:rsidRPr="000F78E6">
        <w:rPr>
          <w:rFonts w:cs="David"/>
          <w:b/>
          <w:bCs/>
          <w:sz w:val="28"/>
          <w:szCs w:val="28"/>
          <w:rtl/>
        </w:rPr>
        <w:t xml:space="preserve"> </w:t>
      </w:r>
      <w:r w:rsidR="002B750B" w:rsidRPr="000F78E6">
        <w:rPr>
          <w:rFonts w:cs="David" w:hint="eastAsia"/>
          <w:b/>
          <w:bCs/>
          <w:sz w:val="28"/>
          <w:szCs w:val="28"/>
          <w:rtl/>
        </w:rPr>
        <w:t>לייעול</w:t>
      </w:r>
      <w:r w:rsidR="002B750B" w:rsidRPr="000F78E6">
        <w:rPr>
          <w:rFonts w:cs="David"/>
          <w:b/>
          <w:bCs/>
          <w:sz w:val="28"/>
          <w:szCs w:val="28"/>
          <w:rtl/>
        </w:rPr>
        <w:t xml:space="preserve"> </w:t>
      </w:r>
      <w:r w:rsidR="002B750B" w:rsidRPr="000F78E6">
        <w:rPr>
          <w:rFonts w:cs="David" w:hint="eastAsia"/>
          <w:b/>
          <w:bCs/>
          <w:sz w:val="28"/>
          <w:szCs w:val="28"/>
          <w:rtl/>
        </w:rPr>
        <w:t>ההליכים</w:t>
      </w:r>
      <w:r w:rsidR="002B750B" w:rsidRPr="000F78E6">
        <w:rPr>
          <w:rFonts w:cs="David"/>
          <w:b/>
          <w:bCs/>
          <w:sz w:val="28"/>
          <w:szCs w:val="28"/>
          <w:rtl/>
        </w:rPr>
        <w:t xml:space="preserve"> </w:t>
      </w:r>
      <w:r w:rsidR="002B750B" w:rsidRPr="000F78E6">
        <w:rPr>
          <w:rFonts w:cs="David" w:hint="eastAsia"/>
          <w:b/>
          <w:bCs/>
          <w:sz w:val="28"/>
          <w:szCs w:val="28"/>
          <w:rtl/>
        </w:rPr>
        <w:t>המתקיימים</w:t>
      </w:r>
      <w:r w:rsidR="002B750B" w:rsidRPr="000F78E6">
        <w:rPr>
          <w:rFonts w:cs="David"/>
          <w:b/>
          <w:bCs/>
          <w:sz w:val="28"/>
          <w:szCs w:val="28"/>
          <w:rtl/>
        </w:rPr>
        <w:t xml:space="preserve"> </w:t>
      </w:r>
      <w:r w:rsidR="002B750B" w:rsidRPr="000F78E6">
        <w:rPr>
          <w:rFonts w:cs="David" w:hint="eastAsia"/>
          <w:b/>
          <w:bCs/>
          <w:sz w:val="28"/>
          <w:szCs w:val="28"/>
          <w:rtl/>
        </w:rPr>
        <w:t>במערכת</w:t>
      </w:r>
      <w:r w:rsidR="002B750B" w:rsidRPr="000F78E6">
        <w:rPr>
          <w:rFonts w:cs="David"/>
          <w:b/>
          <w:bCs/>
          <w:sz w:val="28"/>
          <w:szCs w:val="28"/>
          <w:rtl/>
        </w:rPr>
        <w:t xml:space="preserve"> </w:t>
      </w:r>
      <w:r w:rsidR="002B750B" w:rsidRPr="000F78E6">
        <w:rPr>
          <w:rFonts w:cs="David" w:hint="eastAsia"/>
          <w:b/>
          <w:bCs/>
          <w:sz w:val="28"/>
          <w:szCs w:val="28"/>
          <w:rtl/>
        </w:rPr>
        <w:t>הצבאית</w:t>
      </w:r>
      <w:r w:rsidR="00E01F7A">
        <w:rPr>
          <w:rFonts w:cs="David" w:hint="cs"/>
          <w:sz w:val="28"/>
          <w:szCs w:val="28"/>
          <w:rtl/>
        </w:rPr>
        <w:t xml:space="preserve">, גם במחיר </w:t>
      </w:r>
      <w:r w:rsidR="004A7005">
        <w:rPr>
          <w:rFonts w:cs="David" w:hint="cs"/>
          <w:sz w:val="28"/>
          <w:szCs w:val="28"/>
          <w:rtl/>
        </w:rPr>
        <w:t xml:space="preserve">הקלה מסוימת בעונש, לעומת מדיניות הענישה </w:t>
      </w:r>
      <w:r w:rsidR="00E01F7A">
        <w:rPr>
          <w:rFonts w:cs="David" w:hint="cs"/>
          <w:sz w:val="28"/>
          <w:szCs w:val="28"/>
          <w:rtl/>
        </w:rPr>
        <w:t>הנהוגה</w:t>
      </w:r>
      <w:r w:rsidR="004A7005">
        <w:rPr>
          <w:rFonts w:cs="David" w:hint="cs"/>
          <w:sz w:val="28"/>
          <w:szCs w:val="28"/>
          <w:rtl/>
        </w:rPr>
        <w:t xml:space="preserve">; </w:t>
      </w:r>
      <w:r w:rsidR="00E01F7A">
        <w:rPr>
          <w:rFonts w:cs="David" w:hint="cs"/>
          <w:sz w:val="28"/>
          <w:szCs w:val="28"/>
          <w:rtl/>
        </w:rPr>
        <w:t>ו</w:t>
      </w:r>
      <w:r w:rsidR="004A7005">
        <w:rPr>
          <w:rFonts w:cs="David" w:hint="cs"/>
          <w:sz w:val="28"/>
          <w:szCs w:val="28"/>
          <w:rtl/>
        </w:rPr>
        <w:t>אולם</w:t>
      </w:r>
      <w:r w:rsidR="00E01F7A">
        <w:rPr>
          <w:rFonts w:cs="David" w:hint="cs"/>
          <w:sz w:val="28"/>
          <w:szCs w:val="28"/>
          <w:rtl/>
        </w:rPr>
        <w:t>,</w:t>
      </w:r>
      <w:r w:rsidR="004A7005" w:rsidRPr="000F78E6">
        <w:rPr>
          <w:rFonts w:cs="David"/>
          <w:b/>
          <w:bCs/>
          <w:sz w:val="28"/>
          <w:szCs w:val="28"/>
          <w:rtl/>
        </w:rPr>
        <w:t xml:space="preserve"> </w:t>
      </w:r>
      <w:r w:rsidR="00D9342E" w:rsidRPr="000F78E6">
        <w:rPr>
          <w:rFonts w:cs="David" w:hint="eastAsia"/>
          <w:b/>
          <w:bCs/>
          <w:sz w:val="28"/>
          <w:szCs w:val="28"/>
          <w:rtl/>
        </w:rPr>
        <w:t>שיקולי</w:t>
      </w:r>
      <w:r w:rsidR="00D9342E" w:rsidRPr="000F78E6">
        <w:rPr>
          <w:rFonts w:cs="David"/>
          <w:b/>
          <w:bCs/>
          <w:sz w:val="28"/>
          <w:szCs w:val="28"/>
          <w:rtl/>
        </w:rPr>
        <w:t xml:space="preserve"> </w:t>
      </w:r>
      <w:r w:rsidR="00D9342E" w:rsidRPr="000F78E6">
        <w:rPr>
          <w:rFonts w:cs="David" w:hint="eastAsia"/>
          <w:b/>
          <w:bCs/>
          <w:sz w:val="28"/>
          <w:szCs w:val="28"/>
          <w:rtl/>
        </w:rPr>
        <w:t>ההרתעה</w:t>
      </w:r>
      <w:r w:rsidR="00D9342E" w:rsidRPr="000F78E6">
        <w:rPr>
          <w:rFonts w:cs="David"/>
          <w:b/>
          <w:bCs/>
          <w:sz w:val="28"/>
          <w:szCs w:val="28"/>
          <w:rtl/>
        </w:rPr>
        <w:t xml:space="preserve"> </w:t>
      </w:r>
      <w:r w:rsidR="00D9342E" w:rsidRPr="000F78E6">
        <w:rPr>
          <w:rFonts w:cs="David" w:hint="eastAsia"/>
          <w:b/>
          <w:bCs/>
          <w:sz w:val="28"/>
          <w:szCs w:val="28"/>
          <w:rtl/>
        </w:rPr>
        <w:t>הצבאיים</w:t>
      </w:r>
      <w:r w:rsidR="00D9342E" w:rsidRPr="000F78E6">
        <w:rPr>
          <w:rFonts w:cs="David"/>
          <w:b/>
          <w:bCs/>
          <w:sz w:val="28"/>
          <w:szCs w:val="28"/>
          <w:rtl/>
        </w:rPr>
        <w:t xml:space="preserve"> </w:t>
      </w:r>
      <w:r w:rsidR="00D9342E" w:rsidRPr="000F78E6">
        <w:rPr>
          <w:rFonts w:cs="David" w:hint="eastAsia"/>
          <w:b/>
          <w:bCs/>
          <w:sz w:val="28"/>
          <w:szCs w:val="28"/>
          <w:rtl/>
        </w:rPr>
        <w:t>שנדונו</w:t>
      </w:r>
      <w:r w:rsidR="00D9342E" w:rsidRPr="000F78E6">
        <w:rPr>
          <w:rFonts w:cs="David"/>
          <w:b/>
          <w:bCs/>
          <w:sz w:val="28"/>
          <w:szCs w:val="28"/>
          <w:rtl/>
        </w:rPr>
        <w:t xml:space="preserve"> </w:t>
      </w:r>
      <w:r w:rsidR="00D9342E" w:rsidRPr="000F78E6">
        <w:rPr>
          <w:rFonts w:cs="David" w:hint="eastAsia"/>
          <w:b/>
          <w:bCs/>
          <w:sz w:val="28"/>
          <w:szCs w:val="28"/>
          <w:rtl/>
        </w:rPr>
        <w:t>בפסיקה</w:t>
      </w:r>
      <w:r w:rsidR="00D9342E" w:rsidRPr="000F78E6">
        <w:rPr>
          <w:rFonts w:cs="David"/>
          <w:b/>
          <w:bCs/>
          <w:sz w:val="28"/>
          <w:szCs w:val="28"/>
          <w:rtl/>
        </w:rPr>
        <w:t xml:space="preserve"> </w:t>
      </w:r>
      <w:r w:rsidR="00D9342E" w:rsidRPr="000F78E6">
        <w:rPr>
          <w:rFonts w:cs="David" w:hint="eastAsia"/>
          <w:b/>
          <w:bCs/>
          <w:sz w:val="28"/>
          <w:szCs w:val="28"/>
          <w:rtl/>
        </w:rPr>
        <w:t>עודם</w:t>
      </w:r>
      <w:r w:rsidR="00D9342E" w:rsidRPr="000F78E6">
        <w:rPr>
          <w:rFonts w:cs="David"/>
          <w:b/>
          <w:bCs/>
          <w:sz w:val="28"/>
          <w:szCs w:val="28"/>
          <w:rtl/>
        </w:rPr>
        <w:t xml:space="preserve"> </w:t>
      </w:r>
      <w:r w:rsidR="00D9342E" w:rsidRPr="000F78E6">
        <w:rPr>
          <w:rFonts w:cs="David" w:hint="eastAsia"/>
          <w:b/>
          <w:bCs/>
          <w:sz w:val="28"/>
          <w:szCs w:val="28"/>
          <w:rtl/>
        </w:rPr>
        <w:t>קיימים</w:t>
      </w:r>
      <w:r w:rsidR="00D9342E" w:rsidRPr="00D9342E">
        <w:rPr>
          <w:rFonts w:cs="David" w:hint="cs"/>
          <w:sz w:val="28"/>
          <w:szCs w:val="28"/>
          <w:rtl/>
        </w:rPr>
        <w:t xml:space="preserve">, ואין בשינוי המדיניות כדי לפגוע במדיניות הענישה כאשר צרכי הלימה והרתעה </w:t>
      </w:r>
      <w:r w:rsidR="00E01F7A">
        <w:rPr>
          <w:rFonts w:cs="David" w:hint="cs"/>
          <w:sz w:val="28"/>
          <w:szCs w:val="28"/>
          <w:rtl/>
        </w:rPr>
        <w:t xml:space="preserve">מצדיקים זאת </w:t>
      </w:r>
      <w:r w:rsidR="00D9342E" w:rsidRPr="00D9342E">
        <w:rPr>
          <w:rFonts w:cs="David" w:hint="cs"/>
          <w:sz w:val="28"/>
          <w:szCs w:val="28"/>
          <w:rtl/>
        </w:rPr>
        <w:t xml:space="preserve">(ע"ת 8,9/19 </w:t>
      </w:r>
      <w:r w:rsidR="00D9342E" w:rsidRPr="00D9342E">
        <w:rPr>
          <w:rFonts w:cs="David" w:hint="cs"/>
          <w:b/>
          <w:bCs/>
          <w:sz w:val="28"/>
          <w:szCs w:val="28"/>
          <w:rtl/>
        </w:rPr>
        <w:t xml:space="preserve">סמ"ר ורנקו נ' התובע הצבאי הראשי </w:t>
      </w:r>
      <w:r w:rsidR="00D9342E" w:rsidRPr="00D9342E">
        <w:rPr>
          <w:rFonts w:cs="David" w:hint="cs"/>
          <w:sz w:val="28"/>
          <w:szCs w:val="28"/>
          <w:rtl/>
        </w:rPr>
        <w:t xml:space="preserve">(2019)). </w:t>
      </w:r>
    </w:p>
    <w:p w14:paraId="1F468B1E" w14:textId="7B714A44" w:rsidR="009A0DC6" w:rsidRPr="0006561D" w:rsidRDefault="00D9342E" w:rsidP="00F36E10">
      <w:pPr>
        <w:numPr>
          <w:ilvl w:val="0"/>
          <w:numId w:val="1"/>
        </w:numPr>
        <w:tabs>
          <w:tab w:val="left" w:pos="226"/>
        </w:tabs>
        <w:spacing w:after="0" w:line="360" w:lineRule="auto"/>
        <w:ind w:left="-58" w:firstLine="0"/>
        <w:jc w:val="both"/>
        <w:rPr>
          <w:rFonts w:cs="David"/>
          <w:sz w:val="28"/>
          <w:szCs w:val="28"/>
        </w:rPr>
      </w:pPr>
      <w:r w:rsidRPr="009A0DC6">
        <w:rPr>
          <w:rFonts w:cs="David" w:hint="cs"/>
          <w:sz w:val="28"/>
          <w:szCs w:val="28"/>
          <w:rtl/>
        </w:rPr>
        <w:t>המשיב בחר שלא</w:t>
      </w:r>
      <w:r w:rsidR="002B750B" w:rsidRPr="009A0DC6">
        <w:rPr>
          <w:rFonts w:cs="David"/>
          <w:sz w:val="28"/>
          <w:szCs w:val="28"/>
        </w:rPr>
        <w:t xml:space="preserve"> </w:t>
      </w:r>
      <w:r w:rsidR="002B750B" w:rsidRPr="009A0DC6">
        <w:rPr>
          <w:rFonts w:cs="David" w:hint="cs"/>
          <w:sz w:val="28"/>
          <w:szCs w:val="28"/>
          <w:rtl/>
        </w:rPr>
        <w:t xml:space="preserve"> להיקשר עם התביעה בהסדר ולכפור באשמה. מובן כי זוהי זכות העומדת לו על פי דין; אולם </w:t>
      </w:r>
      <w:r w:rsidR="004A7005" w:rsidRPr="009A0DC6">
        <w:rPr>
          <w:rFonts w:cs="David" w:hint="cs"/>
          <w:sz w:val="28"/>
          <w:szCs w:val="28"/>
          <w:rtl/>
        </w:rPr>
        <w:t xml:space="preserve">משמעות הדבר היא כי הוא חושף את עצמו </w:t>
      </w:r>
      <w:r w:rsidR="00591743" w:rsidRPr="009A0DC6">
        <w:rPr>
          <w:rFonts w:cs="David" w:hint="cs"/>
          <w:sz w:val="28"/>
          <w:szCs w:val="28"/>
          <w:rtl/>
        </w:rPr>
        <w:t xml:space="preserve">גם </w:t>
      </w:r>
      <w:r w:rsidR="00E01F7A" w:rsidRPr="009A0DC6">
        <w:rPr>
          <w:rFonts w:cs="David" w:hint="cs"/>
          <w:sz w:val="28"/>
          <w:szCs w:val="28"/>
          <w:rtl/>
        </w:rPr>
        <w:t>ל</w:t>
      </w:r>
      <w:r w:rsidR="00E01F7A">
        <w:rPr>
          <w:rFonts w:cs="David" w:hint="cs"/>
          <w:sz w:val="28"/>
          <w:szCs w:val="28"/>
          <w:rtl/>
        </w:rPr>
        <w:t xml:space="preserve">עתירה </w:t>
      </w:r>
      <w:r w:rsidR="00591743" w:rsidRPr="009A0DC6">
        <w:rPr>
          <w:rFonts w:cs="David" w:hint="cs"/>
          <w:sz w:val="28"/>
          <w:szCs w:val="28"/>
          <w:rtl/>
        </w:rPr>
        <w:t xml:space="preserve">מחמירה יותר </w:t>
      </w:r>
      <w:r w:rsidR="00E01F7A">
        <w:rPr>
          <w:rFonts w:cs="David" w:hint="cs"/>
          <w:sz w:val="28"/>
          <w:szCs w:val="28"/>
          <w:rtl/>
        </w:rPr>
        <w:t xml:space="preserve">של התביעה לעונש </w:t>
      </w:r>
      <w:r w:rsidR="00591743" w:rsidRPr="009A0DC6">
        <w:rPr>
          <w:rFonts w:cs="David" w:hint="cs"/>
          <w:sz w:val="28"/>
          <w:szCs w:val="28"/>
          <w:rtl/>
        </w:rPr>
        <w:t>מזו שהוצעה לו בהסדר המובנה</w:t>
      </w:r>
      <w:r w:rsidR="00E01F7A">
        <w:rPr>
          <w:rFonts w:cs="David" w:hint="cs"/>
          <w:sz w:val="28"/>
          <w:szCs w:val="28"/>
          <w:rtl/>
        </w:rPr>
        <w:t xml:space="preserve">, </w:t>
      </w:r>
      <w:r w:rsidR="00591743" w:rsidRPr="009A0DC6">
        <w:rPr>
          <w:rFonts w:cs="David" w:hint="cs"/>
          <w:sz w:val="28"/>
          <w:szCs w:val="28"/>
          <w:rtl/>
        </w:rPr>
        <w:t xml:space="preserve">לרבות החמרה ברכיב הקנס </w:t>
      </w:r>
      <w:r w:rsidR="00E01F7A" w:rsidRPr="009A0DC6">
        <w:rPr>
          <w:rFonts w:cs="David" w:hint="cs"/>
          <w:sz w:val="28"/>
          <w:szCs w:val="28"/>
          <w:rtl/>
        </w:rPr>
        <w:t>ו</w:t>
      </w:r>
      <w:r w:rsidR="00E01F7A">
        <w:rPr>
          <w:rFonts w:cs="David" w:hint="cs"/>
          <w:sz w:val="28"/>
          <w:szCs w:val="28"/>
          <w:rtl/>
        </w:rPr>
        <w:t xml:space="preserve">לרבות רכיבי </w:t>
      </w:r>
      <w:r w:rsidR="00591743" w:rsidRPr="009A0DC6">
        <w:rPr>
          <w:rFonts w:cs="David" w:hint="cs"/>
          <w:sz w:val="28"/>
          <w:szCs w:val="28"/>
          <w:rtl/>
        </w:rPr>
        <w:t xml:space="preserve">עונש נוספים כגון </w:t>
      </w:r>
      <w:r w:rsidR="00E01F7A" w:rsidRPr="009A0DC6">
        <w:rPr>
          <w:rFonts w:cs="David" w:hint="cs"/>
          <w:sz w:val="28"/>
          <w:szCs w:val="28"/>
          <w:rtl/>
        </w:rPr>
        <w:t>פסיל</w:t>
      </w:r>
      <w:r w:rsidR="00E01F7A">
        <w:rPr>
          <w:rFonts w:cs="David" w:hint="cs"/>
          <w:sz w:val="28"/>
          <w:szCs w:val="28"/>
          <w:rtl/>
        </w:rPr>
        <w:t>ת רישיונות,</w:t>
      </w:r>
      <w:r w:rsidR="00E01F7A" w:rsidRPr="009A0DC6">
        <w:rPr>
          <w:rFonts w:cs="David" w:hint="cs"/>
          <w:sz w:val="28"/>
          <w:szCs w:val="28"/>
          <w:rtl/>
        </w:rPr>
        <w:t xml:space="preserve"> </w:t>
      </w:r>
      <w:r w:rsidR="00591743" w:rsidRPr="009A0DC6">
        <w:rPr>
          <w:rFonts w:cs="David" w:hint="cs"/>
          <w:sz w:val="28"/>
          <w:szCs w:val="28"/>
          <w:rtl/>
        </w:rPr>
        <w:t>בפועל או על תנאי, בהתאם לסוג העבירה ונסיבותיה;</w:t>
      </w:r>
      <w:r w:rsidR="004A7005" w:rsidRPr="009A0DC6">
        <w:rPr>
          <w:rFonts w:cs="David" w:hint="cs"/>
          <w:sz w:val="28"/>
          <w:szCs w:val="28"/>
          <w:rtl/>
        </w:rPr>
        <w:t xml:space="preserve"> </w:t>
      </w:r>
      <w:r w:rsidR="00591743" w:rsidRPr="009A0DC6">
        <w:rPr>
          <w:rFonts w:cs="David" w:hint="cs"/>
          <w:sz w:val="28"/>
          <w:szCs w:val="28"/>
          <w:rtl/>
        </w:rPr>
        <w:t>ו</w:t>
      </w:r>
      <w:r w:rsidR="004A7005" w:rsidRPr="009A0DC6">
        <w:rPr>
          <w:rFonts w:cs="David" w:hint="cs"/>
          <w:sz w:val="28"/>
          <w:szCs w:val="28"/>
          <w:rtl/>
        </w:rPr>
        <w:t xml:space="preserve">זה המקום לציין, כי על אף </w:t>
      </w:r>
      <w:r w:rsidR="00591743" w:rsidRPr="009A0DC6">
        <w:rPr>
          <w:rFonts w:cs="David" w:hint="cs"/>
          <w:sz w:val="28"/>
          <w:szCs w:val="28"/>
          <w:rtl/>
        </w:rPr>
        <w:t xml:space="preserve">שהסדר ברירת המשפט, לרבות צו הקנסות, לא הוחלו באופן ישיר על מערכת השפיטה הצבאית, הרי </w:t>
      </w:r>
      <w:bookmarkStart w:id="0" w:name="_GoBack"/>
      <w:r w:rsidR="00591743" w:rsidRPr="009A0DC6">
        <w:rPr>
          <w:rFonts w:cs="David" w:hint="cs"/>
          <w:sz w:val="28"/>
          <w:szCs w:val="28"/>
          <w:rtl/>
        </w:rPr>
        <w:lastRenderedPageBreak/>
        <w:t xml:space="preserve">שהוא מהווה אמת מידה לקביעת סכומי הקנסות שיוטלו גם במערכת הצבאית, ודאי מקום </w:t>
      </w:r>
      <w:r w:rsidR="00316A8E">
        <w:rPr>
          <w:rFonts w:cs="David" w:hint="cs"/>
          <w:sz w:val="28"/>
          <w:szCs w:val="28"/>
          <w:rtl/>
        </w:rPr>
        <w:t>ש</w:t>
      </w:r>
      <w:r w:rsidR="00591743" w:rsidRPr="009A0DC6">
        <w:rPr>
          <w:rFonts w:cs="David" w:hint="cs"/>
          <w:sz w:val="28"/>
          <w:szCs w:val="28"/>
          <w:rtl/>
        </w:rPr>
        <w:t xml:space="preserve">בו זוהי נקודת המוצא </w:t>
      </w:r>
      <w:r w:rsidR="00DF3D67" w:rsidRPr="009A0DC6">
        <w:rPr>
          <w:rFonts w:cs="David" w:hint="cs"/>
          <w:sz w:val="28"/>
          <w:szCs w:val="28"/>
          <w:rtl/>
        </w:rPr>
        <w:t xml:space="preserve">שגם נבחרה על ידי התביעה הצבאית במסגרת קביעת המתווה העונשי </w:t>
      </w:r>
      <w:r w:rsidR="009A0DC6" w:rsidRPr="009A0DC6">
        <w:rPr>
          <w:rFonts w:cs="David" w:hint="cs"/>
          <w:sz w:val="28"/>
          <w:szCs w:val="28"/>
          <w:rtl/>
        </w:rPr>
        <w:t xml:space="preserve">ביחס להסדרים מובנים. כך גם </w:t>
      </w:r>
      <w:r w:rsidR="00DF3D67" w:rsidRPr="009A0DC6">
        <w:rPr>
          <w:rFonts w:cs="David" w:hint="cs"/>
          <w:sz w:val="28"/>
          <w:szCs w:val="28"/>
          <w:rtl/>
        </w:rPr>
        <w:t xml:space="preserve">התייחסה לכך הפסיקה הצבאית </w:t>
      </w:r>
      <w:r w:rsidR="009A0DC6" w:rsidRPr="009A0DC6">
        <w:rPr>
          <w:rFonts w:cs="David" w:hint="cs"/>
          <w:sz w:val="28"/>
          <w:szCs w:val="28"/>
          <w:rtl/>
        </w:rPr>
        <w:t xml:space="preserve">לאחר שינוי המדיניות </w:t>
      </w:r>
      <w:r w:rsidR="00DF3D67" w:rsidRPr="009A0DC6">
        <w:rPr>
          <w:rFonts w:cs="David" w:hint="cs"/>
          <w:sz w:val="28"/>
          <w:szCs w:val="28"/>
          <w:rtl/>
        </w:rPr>
        <w:t xml:space="preserve">(ע"ת 2/21 </w:t>
      </w:r>
      <w:r w:rsidR="009A0DC6" w:rsidRPr="0006561D">
        <w:rPr>
          <w:rFonts w:ascii="David" w:hAnsi="David" w:cs="David" w:hint="cs"/>
          <w:b/>
          <w:bCs/>
          <w:color w:val="000000"/>
          <w:sz w:val="28"/>
          <w:szCs w:val="28"/>
          <w:rtl/>
        </w:rPr>
        <w:t xml:space="preserve">התובע הצבאי הראשי נ' רס"ן פרץ </w:t>
      </w:r>
      <w:r w:rsidR="009A0DC6" w:rsidRPr="0006561D">
        <w:rPr>
          <w:rFonts w:ascii="David" w:hAnsi="David" w:cs="David" w:hint="cs"/>
          <w:color w:val="000000"/>
          <w:sz w:val="28"/>
          <w:szCs w:val="28"/>
          <w:rtl/>
        </w:rPr>
        <w:t xml:space="preserve">(2021)). </w:t>
      </w:r>
    </w:p>
    <w:p w14:paraId="7053C77A" w14:textId="77777777" w:rsidR="00D9342E" w:rsidRPr="009A0DC6" w:rsidRDefault="00DF3D67" w:rsidP="00F36E10">
      <w:pPr>
        <w:numPr>
          <w:ilvl w:val="0"/>
          <w:numId w:val="1"/>
        </w:numPr>
        <w:tabs>
          <w:tab w:val="left" w:pos="226"/>
        </w:tabs>
        <w:spacing w:after="0" w:line="360" w:lineRule="auto"/>
        <w:ind w:left="-58" w:firstLine="0"/>
        <w:jc w:val="both"/>
        <w:rPr>
          <w:rFonts w:cs="David"/>
          <w:sz w:val="28"/>
          <w:szCs w:val="28"/>
        </w:rPr>
      </w:pPr>
      <w:r w:rsidRPr="009A0DC6">
        <w:rPr>
          <w:rFonts w:cs="David" w:hint="cs"/>
          <w:sz w:val="28"/>
          <w:szCs w:val="28"/>
          <w:rtl/>
        </w:rPr>
        <w:t>בפסיקת בית המשפט העליון נקבע כי</w:t>
      </w:r>
      <w:r w:rsidR="002B750B" w:rsidRPr="009A0DC6">
        <w:rPr>
          <w:rFonts w:cs="David" w:hint="cs"/>
          <w:sz w:val="28"/>
          <w:szCs w:val="28"/>
          <w:rtl/>
        </w:rPr>
        <w:t xml:space="preserve">: </w:t>
      </w:r>
    </w:p>
    <w:p w14:paraId="1B42B712" w14:textId="77777777" w:rsidR="002B750B" w:rsidRPr="00F36E10" w:rsidRDefault="00DF3D67" w:rsidP="00F36E10">
      <w:pPr>
        <w:pStyle w:val="a3"/>
        <w:spacing w:after="0" w:line="240" w:lineRule="auto"/>
        <w:ind w:left="1077" w:right="425"/>
        <w:jc w:val="both"/>
        <w:rPr>
          <w:rFonts w:ascii="David" w:hAnsi="David" w:cs="David"/>
          <w:sz w:val="28"/>
          <w:szCs w:val="28"/>
          <w:rtl/>
        </w:rPr>
      </w:pPr>
      <w:r w:rsidRPr="00054E12">
        <w:rPr>
          <w:rFonts w:cs="David"/>
          <w:sz w:val="28"/>
          <w:szCs w:val="28"/>
          <w:rtl/>
        </w:rPr>
        <w:t>"</w:t>
      </w:r>
      <w:r w:rsidR="002B750B" w:rsidRPr="00F36E10">
        <w:rPr>
          <w:rFonts w:ascii="David" w:hAnsi="David" w:cs="David" w:hint="cs"/>
          <w:sz w:val="28"/>
          <w:szCs w:val="28"/>
          <w:rtl/>
        </w:rPr>
        <w:t xml:space="preserve">תכליתה של ברירת הקנס הינה לעודד תשלום קנס ללא התדיינות ובכך להקל הן על האזרח והן על מערכת אכיפת החוק. לאדם יש זכות לבחור במשפט מקום שמשוכנע הוא, כי יכול להוכיח את חפותו. ואולם הבוחר להישפט נוטל על עצמו סיכוי וסיכון: סיכוי, כי יצליח להוכיח את חפותו ויימצא חף מפשע וסיכון בכך שיתנהל משפט, על </w:t>
      </w:r>
      <w:bookmarkEnd w:id="0"/>
      <w:r w:rsidR="002B750B" w:rsidRPr="00F36E10">
        <w:rPr>
          <w:rFonts w:ascii="David" w:hAnsi="David" w:cs="David" w:hint="cs"/>
          <w:sz w:val="28"/>
          <w:szCs w:val="28"/>
          <w:rtl/>
        </w:rPr>
        <w:t>כל הכרוך בכך, לרבות נשיאה בעונש כמתחייב מן החוק. במקרה דנא, משבחר המבקש להישפט, הוא חשף את עצמו לנשיאה במלוא העונש ועצם ההודיה בעת המשפט אין משמעותה, כי על בית-המשפט להטיל את הקנס שהיה מוטל עליו, לולא בחר להישפט</w:t>
      </w:r>
      <w:r w:rsidR="00316A8E" w:rsidRPr="00F36E10">
        <w:rPr>
          <w:rFonts w:ascii="David" w:hAnsi="David" w:cs="David" w:hint="cs"/>
          <w:sz w:val="28"/>
          <w:szCs w:val="28"/>
          <w:rtl/>
        </w:rPr>
        <w:t>"</w:t>
      </w:r>
      <w:r w:rsidR="002B750B" w:rsidRPr="00F36E10">
        <w:rPr>
          <w:rFonts w:ascii="David" w:hAnsi="David" w:cs="David" w:hint="cs"/>
          <w:sz w:val="28"/>
          <w:szCs w:val="28"/>
        </w:rPr>
        <w:t>.</w:t>
      </w:r>
    </w:p>
    <w:p w14:paraId="6975FE29" w14:textId="5B8F3901" w:rsidR="005B001E" w:rsidRPr="00F36E10" w:rsidRDefault="00DF3D67" w:rsidP="00F36E10">
      <w:pPr>
        <w:pStyle w:val="a3"/>
        <w:spacing w:after="0" w:line="240" w:lineRule="auto"/>
        <w:ind w:left="1076" w:right="426"/>
        <w:jc w:val="both"/>
        <w:rPr>
          <w:rFonts w:ascii="David" w:hAnsi="David" w:cs="David"/>
          <w:sz w:val="28"/>
          <w:szCs w:val="28"/>
          <w:rtl/>
        </w:rPr>
      </w:pPr>
      <w:r w:rsidRPr="00F36E10">
        <w:rPr>
          <w:rFonts w:ascii="David" w:hAnsi="David" w:cs="David" w:hint="cs"/>
          <w:sz w:val="28"/>
          <w:szCs w:val="28"/>
          <w:rtl/>
        </w:rPr>
        <w:t>(</w:t>
      </w:r>
      <w:r w:rsidR="00B711A4" w:rsidRPr="00F36E10">
        <w:rPr>
          <w:rFonts w:ascii="David" w:hAnsi="David" w:cs="David" w:hint="cs"/>
          <w:sz w:val="28"/>
          <w:szCs w:val="28"/>
          <w:rtl/>
        </w:rPr>
        <w:t xml:space="preserve">רע"פ 7223/06 </w:t>
      </w:r>
      <w:r w:rsidR="00B711A4" w:rsidRPr="00F36E10">
        <w:rPr>
          <w:rFonts w:ascii="David" w:hAnsi="David" w:cs="David" w:hint="cs"/>
          <w:b/>
          <w:bCs/>
          <w:sz w:val="28"/>
          <w:szCs w:val="28"/>
          <w:rtl/>
        </w:rPr>
        <w:t xml:space="preserve">יולזרי נ' מדינת ישראל </w:t>
      </w:r>
      <w:r w:rsidR="006401B1" w:rsidRPr="00F36E10">
        <w:rPr>
          <w:rFonts w:ascii="David" w:hAnsi="David" w:cs="David" w:hint="cs"/>
          <w:sz w:val="28"/>
          <w:szCs w:val="28"/>
          <w:rtl/>
        </w:rPr>
        <w:t>(</w:t>
      </w:r>
      <w:r w:rsidR="00FE5823">
        <w:rPr>
          <w:rFonts w:ascii="David" w:hAnsi="David" w:cs="David" w:hint="cs"/>
          <w:sz w:val="28"/>
          <w:szCs w:val="28"/>
          <w:rtl/>
        </w:rPr>
        <w:t xml:space="preserve">לא פורסם, </w:t>
      </w:r>
      <w:r w:rsidR="00714CD4" w:rsidRPr="00F36E10">
        <w:rPr>
          <w:rFonts w:ascii="David" w:hAnsi="David" w:cs="David" w:hint="cs"/>
          <w:sz w:val="28"/>
          <w:szCs w:val="28"/>
          <w:rtl/>
        </w:rPr>
        <w:t>12.9.</w:t>
      </w:r>
      <w:r w:rsidR="006401B1" w:rsidRPr="00F36E10">
        <w:rPr>
          <w:rFonts w:ascii="David" w:hAnsi="David" w:cs="David" w:hint="cs"/>
          <w:sz w:val="28"/>
          <w:szCs w:val="28"/>
          <w:rtl/>
        </w:rPr>
        <w:t>20</w:t>
      </w:r>
      <w:r w:rsidR="00714CD4" w:rsidRPr="00F36E10">
        <w:rPr>
          <w:rFonts w:ascii="David" w:hAnsi="David" w:cs="David" w:hint="cs"/>
          <w:sz w:val="28"/>
          <w:szCs w:val="28"/>
          <w:rtl/>
        </w:rPr>
        <w:t>06</w:t>
      </w:r>
      <w:r w:rsidR="006401B1" w:rsidRPr="00F36E10">
        <w:rPr>
          <w:rFonts w:ascii="David" w:hAnsi="David" w:cs="David" w:hint="cs"/>
          <w:sz w:val="28"/>
          <w:szCs w:val="28"/>
          <w:rtl/>
        </w:rPr>
        <w:t>)</w:t>
      </w:r>
      <w:r w:rsidRPr="00F36E10">
        <w:rPr>
          <w:rFonts w:ascii="David" w:hAnsi="David" w:cs="David" w:hint="cs"/>
          <w:sz w:val="28"/>
          <w:szCs w:val="28"/>
          <w:rtl/>
        </w:rPr>
        <w:t xml:space="preserve">). </w:t>
      </w:r>
      <w:r w:rsidR="00714CD4" w:rsidRPr="00F36E10">
        <w:rPr>
          <w:rFonts w:ascii="David" w:hAnsi="David" w:cs="David" w:hint="cs"/>
          <w:sz w:val="28"/>
          <w:szCs w:val="28"/>
          <w:rtl/>
        </w:rPr>
        <w:t xml:space="preserve"> </w:t>
      </w:r>
    </w:p>
    <w:p w14:paraId="317D147C" w14:textId="5D5CF854" w:rsidR="00714CD4" w:rsidRDefault="001154AF"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ב</w:t>
      </w:r>
      <w:r w:rsidR="009A0DC6">
        <w:rPr>
          <w:rFonts w:cs="David" w:hint="cs"/>
          <w:sz w:val="28"/>
          <w:szCs w:val="28"/>
          <w:rtl/>
        </w:rPr>
        <w:t xml:space="preserve">התאם לכך, נקבע בפסיקה באופן עקבי כי </w:t>
      </w:r>
      <w:r w:rsidR="00031B79">
        <w:rPr>
          <w:rFonts w:cs="David" w:hint="cs"/>
          <w:sz w:val="28"/>
          <w:szCs w:val="28"/>
          <w:rtl/>
        </w:rPr>
        <w:t>אין מקום לסטות לקול</w:t>
      </w:r>
      <w:r w:rsidR="006401B1">
        <w:rPr>
          <w:rFonts w:cs="David" w:hint="cs"/>
          <w:sz w:val="28"/>
          <w:szCs w:val="28"/>
          <w:rtl/>
        </w:rPr>
        <w:t>ה</w:t>
      </w:r>
      <w:r w:rsidR="00031B79">
        <w:rPr>
          <w:rFonts w:cs="David" w:hint="cs"/>
          <w:sz w:val="28"/>
          <w:szCs w:val="28"/>
          <w:rtl/>
        </w:rPr>
        <w:t xml:space="preserve"> מצו ברירת הקנסות, מקום </w:t>
      </w:r>
      <w:r w:rsidR="00316A8E">
        <w:rPr>
          <w:rFonts w:cs="David" w:hint="cs"/>
          <w:sz w:val="28"/>
          <w:szCs w:val="28"/>
          <w:rtl/>
        </w:rPr>
        <w:t>ש</w:t>
      </w:r>
      <w:r w:rsidR="00031B79">
        <w:rPr>
          <w:rFonts w:cs="David" w:hint="cs"/>
          <w:sz w:val="28"/>
          <w:szCs w:val="28"/>
          <w:rtl/>
        </w:rPr>
        <w:t xml:space="preserve">בו מורשע אדם בבית משפט לאחר שביקש להישפט; ובמקרים המתאימים </w:t>
      </w:r>
      <w:r w:rsidR="00333BC9">
        <w:rPr>
          <w:rFonts w:cs="David" w:hint="cs"/>
          <w:sz w:val="28"/>
          <w:szCs w:val="28"/>
          <w:rtl/>
        </w:rPr>
        <w:t xml:space="preserve">מוטלים </w:t>
      </w:r>
      <w:r w:rsidR="00031B79">
        <w:rPr>
          <w:rFonts w:cs="David" w:hint="cs"/>
          <w:sz w:val="28"/>
          <w:szCs w:val="28"/>
          <w:rtl/>
        </w:rPr>
        <w:t xml:space="preserve">גם עונשי פסילה בפועל ועל תנאי (ראו </w:t>
      </w:r>
      <w:r w:rsidRPr="001154AF">
        <w:rPr>
          <w:rFonts w:cs="David" w:hint="cs"/>
          <w:sz w:val="28"/>
          <w:szCs w:val="28"/>
          <w:rtl/>
        </w:rPr>
        <w:t xml:space="preserve">לדוגמה </w:t>
      </w:r>
      <w:r w:rsidR="00FA5D13" w:rsidRPr="001154AF">
        <w:rPr>
          <w:rFonts w:cs="David" w:hint="cs"/>
          <w:sz w:val="28"/>
          <w:szCs w:val="28"/>
          <w:rtl/>
        </w:rPr>
        <w:t>עפ"ת (מרכז)</w:t>
      </w:r>
      <w:r w:rsidR="00FA5D13" w:rsidRPr="001154AF">
        <w:rPr>
          <w:rFonts w:cs="David" w:hint="cs"/>
          <w:sz w:val="28"/>
          <w:szCs w:val="28"/>
        </w:rPr>
        <w:t xml:space="preserve"> </w:t>
      </w:r>
      <w:r w:rsidR="00FA5D13" w:rsidRPr="001154AF">
        <w:rPr>
          <w:rFonts w:cs="David" w:hint="cs"/>
          <w:sz w:val="28"/>
          <w:szCs w:val="28"/>
          <w:rtl/>
        </w:rPr>
        <w:t xml:space="preserve">4755-12-21 </w:t>
      </w:r>
      <w:r w:rsidR="00FA5D13" w:rsidRPr="001154AF">
        <w:rPr>
          <w:rFonts w:cs="David" w:hint="cs"/>
          <w:b/>
          <w:bCs/>
          <w:sz w:val="28"/>
          <w:szCs w:val="28"/>
          <w:rtl/>
        </w:rPr>
        <w:t xml:space="preserve">אלסאלם נ' מדינת ישראל </w:t>
      </w:r>
      <w:r w:rsidR="00FA5D13" w:rsidRPr="001154AF">
        <w:rPr>
          <w:rFonts w:cs="David" w:hint="cs"/>
          <w:sz w:val="28"/>
          <w:szCs w:val="28"/>
          <w:rtl/>
        </w:rPr>
        <w:t xml:space="preserve">(29.1.2022); </w:t>
      </w:r>
      <w:r w:rsidRPr="001154AF">
        <w:rPr>
          <w:rFonts w:cs="David" w:hint="cs"/>
          <w:sz w:val="28"/>
          <w:szCs w:val="28"/>
          <w:rtl/>
        </w:rPr>
        <w:t xml:space="preserve">עפ"ת 43160-04-12 </w:t>
      </w:r>
      <w:r w:rsidRPr="001154AF">
        <w:rPr>
          <w:rFonts w:cs="David" w:hint="cs"/>
          <w:b/>
          <w:bCs/>
          <w:sz w:val="28"/>
          <w:szCs w:val="28"/>
          <w:rtl/>
        </w:rPr>
        <w:t xml:space="preserve">פנדי נ' מדינת ישראל </w:t>
      </w:r>
      <w:r w:rsidRPr="001154AF">
        <w:rPr>
          <w:rFonts w:cs="David" w:hint="cs"/>
          <w:sz w:val="28"/>
          <w:szCs w:val="28"/>
          <w:rtl/>
        </w:rPr>
        <w:t>(22.7.2012)</w:t>
      </w:r>
      <w:r w:rsidR="00E1160E">
        <w:rPr>
          <w:rFonts w:cs="David" w:hint="cs"/>
          <w:sz w:val="28"/>
          <w:szCs w:val="28"/>
          <w:rtl/>
        </w:rPr>
        <w:t>; עפ"ת (חי')</w:t>
      </w:r>
      <w:r w:rsidR="00E1160E">
        <w:rPr>
          <w:rFonts w:cs="David" w:hint="cs"/>
          <w:sz w:val="28"/>
          <w:szCs w:val="28"/>
        </w:rPr>
        <w:t xml:space="preserve"> </w:t>
      </w:r>
      <w:r w:rsidR="00E1160E">
        <w:rPr>
          <w:rFonts w:cs="David" w:hint="cs"/>
          <w:sz w:val="28"/>
          <w:szCs w:val="28"/>
          <w:rtl/>
        </w:rPr>
        <w:t xml:space="preserve"> 42362-01-18 </w:t>
      </w:r>
      <w:r w:rsidR="00E1160E">
        <w:rPr>
          <w:rFonts w:cs="David" w:hint="cs"/>
          <w:b/>
          <w:bCs/>
          <w:sz w:val="28"/>
          <w:szCs w:val="28"/>
          <w:rtl/>
        </w:rPr>
        <w:t xml:space="preserve">מדינת ישראל נ' פורת </w:t>
      </w:r>
      <w:r w:rsidR="00E1160E">
        <w:rPr>
          <w:rFonts w:cs="David" w:hint="cs"/>
          <w:sz w:val="28"/>
          <w:szCs w:val="28"/>
          <w:rtl/>
        </w:rPr>
        <w:t xml:space="preserve">(16.2.2018); </w:t>
      </w:r>
      <w:r w:rsidR="00BE5B55">
        <w:rPr>
          <w:rFonts w:cs="David" w:hint="cs"/>
          <w:sz w:val="28"/>
          <w:szCs w:val="28"/>
          <w:rtl/>
        </w:rPr>
        <w:t xml:space="preserve">עפ"ת (חיפה) 6592-01-18 </w:t>
      </w:r>
      <w:r w:rsidR="00BE5B55">
        <w:rPr>
          <w:rFonts w:cs="David" w:hint="cs"/>
          <w:b/>
          <w:bCs/>
          <w:sz w:val="28"/>
          <w:szCs w:val="28"/>
          <w:rtl/>
        </w:rPr>
        <w:t xml:space="preserve">מדינת ישראל נ' עובדיה </w:t>
      </w:r>
      <w:r w:rsidR="00BE5B55">
        <w:rPr>
          <w:rFonts w:cs="David" w:hint="cs"/>
          <w:sz w:val="28"/>
          <w:szCs w:val="28"/>
          <w:rtl/>
        </w:rPr>
        <w:t>(14.2.2018)</w:t>
      </w:r>
      <w:r w:rsidR="00453F56">
        <w:rPr>
          <w:rFonts w:cs="David" w:hint="cs"/>
          <w:sz w:val="28"/>
          <w:szCs w:val="28"/>
          <w:rtl/>
        </w:rPr>
        <w:t xml:space="preserve">; וכן עניין </w:t>
      </w:r>
      <w:r w:rsidR="00453F56">
        <w:rPr>
          <w:rFonts w:cs="David" w:hint="cs"/>
          <w:b/>
          <w:bCs/>
          <w:sz w:val="28"/>
          <w:szCs w:val="28"/>
          <w:rtl/>
        </w:rPr>
        <w:t>יולזרי</w:t>
      </w:r>
      <w:r w:rsidR="00453F56">
        <w:rPr>
          <w:rFonts w:cs="David" w:hint="cs"/>
          <w:sz w:val="28"/>
          <w:szCs w:val="28"/>
          <w:rtl/>
        </w:rPr>
        <w:t xml:space="preserve"> שאוזכר לעיל</w:t>
      </w:r>
      <w:r w:rsidR="00BE5B55">
        <w:rPr>
          <w:rFonts w:cs="David" w:hint="cs"/>
          <w:sz w:val="28"/>
          <w:szCs w:val="28"/>
          <w:rtl/>
        </w:rPr>
        <w:t xml:space="preserve">). </w:t>
      </w:r>
    </w:p>
    <w:p w14:paraId="26879FB5" w14:textId="6E74D4CD" w:rsidR="00496838" w:rsidRPr="00496838" w:rsidRDefault="009A0DC6" w:rsidP="00F36E10">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המשיב הורשע בכך שנגע </w:t>
      </w:r>
      <w:r w:rsidR="00316A8E">
        <w:rPr>
          <w:rFonts w:cs="David" w:hint="cs"/>
          <w:sz w:val="28"/>
          <w:szCs w:val="28"/>
          <w:rtl/>
        </w:rPr>
        <w:t>במסך ה</w:t>
      </w:r>
      <w:r w:rsidR="00496838" w:rsidRPr="00496838">
        <w:rPr>
          <w:rFonts w:cs="David" w:hint="cs"/>
          <w:sz w:val="28"/>
          <w:szCs w:val="28"/>
          <w:rtl/>
        </w:rPr>
        <w:t xml:space="preserve">מכשיר </w:t>
      </w:r>
      <w:r w:rsidR="00316A8E">
        <w:rPr>
          <w:rFonts w:cs="David" w:hint="cs"/>
          <w:sz w:val="28"/>
          <w:szCs w:val="28"/>
          <w:rtl/>
        </w:rPr>
        <w:t xml:space="preserve">הסלולארי שלו </w:t>
      </w:r>
      <w:r w:rsidR="00496838" w:rsidRPr="00496838">
        <w:rPr>
          <w:rFonts w:cs="David" w:hint="cs"/>
          <w:sz w:val="28"/>
          <w:szCs w:val="28"/>
          <w:rtl/>
        </w:rPr>
        <w:t>מספר פעמים</w:t>
      </w:r>
      <w:r w:rsidR="00316A8E">
        <w:rPr>
          <w:rFonts w:cs="David" w:hint="cs"/>
          <w:sz w:val="28"/>
          <w:szCs w:val="28"/>
          <w:rtl/>
        </w:rPr>
        <w:t>,</w:t>
      </w:r>
      <w:r w:rsidR="00496838" w:rsidRPr="00496838">
        <w:rPr>
          <w:rFonts w:cs="David" w:hint="cs"/>
          <w:sz w:val="28"/>
          <w:szCs w:val="28"/>
          <w:rtl/>
        </w:rPr>
        <w:t xml:space="preserve"> בעת ש</w:t>
      </w:r>
      <w:r w:rsidR="00316A8E">
        <w:rPr>
          <w:rFonts w:cs="David" w:hint="cs"/>
          <w:sz w:val="28"/>
          <w:szCs w:val="28"/>
          <w:rtl/>
        </w:rPr>
        <w:t xml:space="preserve">רכבו </w:t>
      </w:r>
      <w:r w:rsidR="00496838" w:rsidRPr="00496838">
        <w:rPr>
          <w:rFonts w:cs="David" w:hint="cs"/>
          <w:sz w:val="28"/>
          <w:szCs w:val="28"/>
          <w:rtl/>
        </w:rPr>
        <w:t>היה בתנועה. בית המשפט העליון עמד בפסיקתו על תכליתו של האיסור להחזיק בטלפון נייד או לעשות בו שמוש בשעה שהרכב בתנועה</w:t>
      </w:r>
      <w:r w:rsidR="00197181">
        <w:rPr>
          <w:rFonts w:cs="David" w:hint="cs"/>
          <w:sz w:val="28"/>
          <w:szCs w:val="28"/>
          <w:rtl/>
        </w:rPr>
        <w:t>.</w:t>
      </w:r>
      <w:r w:rsidR="00496838" w:rsidRPr="00496838">
        <w:rPr>
          <w:rFonts w:cs="David" w:hint="cs"/>
          <w:sz w:val="28"/>
          <w:szCs w:val="28"/>
          <w:rtl/>
        </w:rPr>
        <w:t xml:space="preserve"> </w:t>
      </w:r>
      <w:r w:rsidR="00197181">
        <w:rPr>
          <w:rFonts w:cs="David" w:hint="cs"/>
          <w:sz w:val="28"/>
          <w:szCs w:val="28"/>
          <w:rtl/>
        </w:rPr>
        <w:t>נ</w:t>
      </w:r>
      <w:r w:rsidR="00496838" w:rsidRPr="00496838">
        <w:rPr>
          <w:rFonts w:cs="David" w:hint="cs"/>
          <w:sz w:val="28"/>
          <w:szCs w:val="28"/>
          <w:rtl/>
        </w:rPr>
        <w:t xml:space="preserve">קבע כי מטרת האיסור היא למנוע את הפניית תשומת הלב מהנהיגה, הן בדרך של אחיזת הטלפון בעת הנהיגה והן בדרך של שמוש בו כיוון שאלה פוגעים באופן ממשי ביכולתו של הנהג לנהוג באופן בטוח ומסכנים בכך את סביבתו, את עצמו ואת יתר משתמשי הדרך (רע"פ 1020/16 </w:t>
      </w:r>
      <w:r w:rsidR="00496838" w:rsidRPr="00496838">
        <w:rPr>
          <w:rFonts w:cs="David" w:hint="cs"/>
          <w:b/>
          <w:bCs/>
          <w:sz w:val="28"/>
          <w:szCs w:val="28"/>
          <w:rtl/>
        </w:rPr>
        <w:t>בן יוסף נ' מדינת ישראל</w:t>
      </w:r>
      <w:r w:rsidR="00496838" w:rsidRPr="00496838">
        <w:rPr>
          <w:rFonts w:cs="David" w:hint="cs"/>
          <w:sz w:val="28"/>
          <w:szCs w:val="28"/>
          <w:rtl/>
        </w:rPr>
        <w:t xml:space="preserve"> (</w:t>
      </w:r>
      <w:r w:rsidR="00FE5823">
        <w:rPr>
          <w:rFonts w:cs="David" w:hint="cs"/>
          <w:sz w:val="28"/>
          <w:szCs w:val="28"/>
          <w:rtl/>
        </w:rPr>
        <w:t xml:space="preserve">לא פורסם, </w:t>
      </w:r>
      <w:r w:rsidR="00496838" w:rsidRPr="00496838">
        <w:rPr>
          <w:rFonts w:cs="David" w:hint="cs"/>
          <w:sz w:val="28"/>
          <w:szCs w:val="28"/>
          <w:rtl/>
        </w:rPr>
        <w:t xml:space="preserve">24.4.2018)); רע"פ 7704/21 </w:t>
      </w:r>
      <w:r w:rsidR="00496838" w:rsidRPr="00496838">
        <w:rPr>
          <w:rFonts w:cs="David" w:hint="cs"/>
          <w:b/>
          <w:bCs/>
          <w:sz w:val="28"/>
          <w:szCs w:val="28"/>
          <w:rtl/>
        </w:rPr>
        <w:t xml:space="preserve">בשיר נ' התובע הצבאי הראשי </w:t>
      </w:r>
      <w:r w:rsidR="00496838" w:rsidRPr="00496838">
        <w:rPr>
          <w:rFonts w:cs="David" w:hint="cs"/>
          <w:sz w:val="28"/>
          <w:szCs w:val="28"/>
          <w:rtl/>
        </w:rPr>
        <w:t>(</w:t>
      </w:r>
      <w:r w:rsidR="00FE5823">
        <w:rPr>
          <w:rFonts w:cs="David" w:hint="cs"/>
          <w:sz w:val="28"/>
          <w:szCs w:val="28"/>
          <w:rtl/>
        </w:rPr>
        <w:t xml:space="preserve">לא פורסם, </w:t>
      </w:r>
      <w:r w:rsidR="00596E62">
        <w:rPr>
          <w:rFonts w:cs="David" w:hint="cs"/>
          <w:sz w:val="28"/>
          <w:szCs w:val="28"/>
          <w:rtl/>
        </w:rPr>
        <w:t>7.2.2022</w:t>
      </w:r>
      <w:r w:rsidR="00496838" w:rsidRPr="00496838">
        <w:rPr>
          <w:rFonts w:cs="David" w:hint="cs"/>
          <w:sz w:val="28"/>
          <w:szCs w:val="28"/>
          <w:rtl/>
        </w:rPr>
        <w:t xml:space="preserve">)); </w:t>
      </w:r>
      <w:r w:rsidR="00197181">
        <w:rPr>
          <w:rFonts w:cs="David" w:hint="cs"/>
          <w:sz w:val="28"/>
          <w:szCs w:val="28"/>
          <w:rtl/>
        </w:rPr>
        <w:t xml:space="preserve">עוד </w:t>
      </w:r>
      <w:r w:rsidR="00496838" w:rsidRPr="00496838">
        <w:rPr>
          <w:rFonts w:cs="David" w:hint="cs"/>
          <w:sz w:val="28"/>
          <w:szCs w:val="28"/>
          <w:rtl/>
        </w:rPr>
        <w:t xml:space="preserve">נקבע כי אף היסח הדעת של שניות בודדות עלול להביא לתאונות שתוצאותיהן הרות אסון (ע"ת 16/18 </w:t>
      </w:r>
      <w:r w:rsidR="00496838" w:rsidRPr="00496838">
        <w:rPr>
          <w:rFonts w:cs="David" w:hint="cs"/>
          <w:b/>
          <w:bCs/>
          <w:sz w:val="28"/>
          <w:szCs w:val="28"/>
          <w:rtl/>
        </w:rPr>
        <w:t xml:space="preserve">רס"ן בניטה נ' התובע הצבאי הראשי </w:t>
      </w:r>
      <w:r w:rsidR="00496838" w:rsidRPr="00496838">
        <w:rPr>
          <w:rFonts w:cs="David" w:hint="cs"/>
          <w:sz w:val="28"/>
          <w:szCs w:val="28"/>
          <w:rtl/>
        </w:rPr>
        <w:t xml:space="preserve">(2018)). </w:t>
      </w:r>
    </w:p>
    <w:p w14:paraId="3C06A13F" w14:textId="2EAA564B" w:rsidR="009858A9" w:rsidRPr="004F6F40" w:rsidRDefault="00197181" w:rsidP="00F36E10">
      <w:pPr>
        <w:numPr>
          <w:ilvl w:val="0"/>
          <w:numId w:val="1"/>
        </w:numPr>
        <w:tabs>
          <w:tab w:val="left" w:pos="226"/>
        </w:tabs>
        <w:spacing w:after="0" w:line="360" w:lineRule="auto"/>
        <w:ind w:left="-58" w:firstLine="0"/>
        <w:jc w:val="both"/>
        <w:rPr>
          <w:rFonts w:cs="David"/>
          <w:sz w:val="28"/>
          <w:szCs w:val="28"/>
        </w:rPr>
      </w:pPr>
      <w:r w:rsidRPr="004F6F40">
        <w:rPr>
          <w:rFonts w:cs="David" w:hint="cs"/>
          <w:sz w:val="28"/>
          <w:szCs w:val="28"/>
          <w:rtl/>
        </w:rPr>
        <w:t xml:space="preserve">לאור הסיכון הנשקף מעבירות מסוג זה, </w:t>
      </w:r>
      <w:r w:rsidR="009858A9" w:rsidRPr="004F6F40">
        <w:rPr>
          <w:rFonts w:cs="David" w:hint="cs"/>
          <w:sz w:val="28"/>
          <w:szCs w:val="28"/>
          <w:rtl/>
        </w:rPr>
        <w:t>הלכתו המושרשת של בית דין זה, היא כי בעת הרשעה בעבירות תעבורה, גם כאלה שמוגדרות כ"ברירת משפט", לא ניתן להסתפק בהשתת עונש של קנס ויש להוסיף גם פסילה מותנית, וזאת לאור שיקולי הרתעה</w:t>
      </w:r>
      <w:r w:rsidR="004F6F40" w:rsidRPr="004F6F40">
        <w:rPr>
          <w:rFonts w:cs="David" w:hint="cs"/>
          <w:sz w:val="28"/>
          <w:szCs w:val="28"/>
          <w:rtl/>
        </w:rPr>
        <w:t xml:space="preserve">. כל עוד קיים </w:t>
      </w:r>
      <w:r w:rsidR="00316A8E">
        <w:rPr>
          <w:rFonts w:cs="David" w:hint="cs"/>
          <w:sz w:val="28"/>
          <w:szCs w:val="28"/>
          <w:rtl/>
        </w:rPr>
        <w:t xml:space="preserve">סיכון </w:t>
      </w:r>
      <w:r w:rsidR="004F6F40" w:rsidRPr="004F6F40">
        <w:rPr>
          <w:rFonts w:cs="David" w:hint="cs"/>
          <w:sz w:val="28"/>
          <w:szCs w:val="28"/>
          <w:rtl/>
        </w:rPr>
        <w:t xml:space="preserve">בהשתת פסילה ממשית בעטיה של עבירה נוספת, מביא </w:t>
      </w:r>
      <w:r w:rsidR="004F6F40" w:rsidRPr="004F6F40">
        <w:rPr>
          <w:rFonts w:cs="David" w:hint="cs"/>
          <w:sz w:val="28"/>
          <w:szCs w:val="28"/>
          <w:rtl/>
        </w:rPr>
        <w:lastRenderedPageBreak/>
        <w:t>הדבר להרתעה אישית מלבצע שוב את העבירה</w:t>
      </w:r>
      <w:r w:rsidR="00316A8E">
        <w:rPr>
          <w:rFonts w:cs="David" w:hint="cs"/>
          <w:sz w:val="28"/>
          <w:szCs w:val="28"/>
          <w:rtl/>
        </w:rPr>
        <w:t xml:space="preserve">. </w:t>
      </w:r>
      <w:r w:rsidR="004F6F40" w:rsidRPr="004F6F40">
        <w:rPr>
          <w:rFonts w:cs="David" w:hint="cs"/>
          <w:sz w:val="28"/>
          <w:szCs w:val="28"/>
          <w:rtl/>
        </w:rPr>
        <w:t xml:space="preserve">על הפסילה המותנית להשיג יעד זה בשים לב למהות העבירה ונסיבות ביצועה; תוך שיש לתת את הדעת לעניין זה גם לטיבו של הנאשם, נסיבותיו האישיות, עברו התעבורתי, ותק הנהיגה שלו וכיו"ב (ע"ת 9/20 </w:t>
      </w:r>
      <w:r w:rsidR="004F6F40" w:rsidRPr="004F6F40">
        <w:rPr>
          <w:rFonts w:cs="David" w:hint="cs"/>
          <w:b/>
          <w:bCs/>
          <w:sz w:val="28"/>
          <w:szCs w:val="28"/>
          <w:rtl/>
        </w:rPr>
        <w:t xml:space="preserve">רס"ן מימון נ' התובע הצבאי הראשי </w:t>
      </w:r>
      <w:r w:rsidR="004F6F40" w:rsidRPr="004F6F40">
        <w:rPr>
          <w:rFonts w:cs="David" w:hint="cs"/>
          <w:sz w:val="28"/>
          <w:szCs w:val="28"/>
          <w:rtl/>
        </w:rPr>
        <w:t xml:space="preserve">(2020). כן ראו </w:t>
      </w:r>
      <w:r w:rsidRPr="004F6F40">
        <w:rPr>
          <w:rFonts w:cs="David" w:hint="cs"/>
          <w:sz w:val="28"/>
          <w:szCs w:val="28"/>
          <w:rtl/>
        </w:rPr>
        <w:t xml:space="preserve">ע"ת 33/14 </w:t>
      </w:r>
      <w:r w:rsidRPr="004F6F40">
        <w:rPr>
          <w:rFonts w:cs="David" w:hint="cs"/>
          <w:b/>
          <w:bCs/>
          <w:sz w:val="28"/>
          <w:szCs w:val="28"/>
          <w:rtl/>
        </w:rPr>
        <w:t>התובע הצבאי הראשי נ' סא"ל הרפז</w:t>
      </w:r>
      <w:r w:rsidRPr="004F6F40">
        <w:rPr>
          <w:rFonts w:cs="David" w:hint="cs"/>
          <w:sz w:val="28"/>
          <w:szCs w:val="28"/>
          <w:rtl/>
        </w:rPr>
        <w:t xml:space="preserve"> (2014);</w:t>
      </w:r>
      <w:r w:rsidR="009858A9" w:rsidRPr="004F6F40">
        <w:rPr>
          <w:rFonts w:ascii="David" w:hAnsi="David" w:cs="David" w:hint="cs"/>
          <w:color w:val="000000"/>
          <w:sz w:val="28"/>
          <w:szCs w:val="28"/>
          <w:rtl/>
        </w:rPr>
        <w:t xml:space="preserve"> ע"ת 42/15 </w:t>
      </w:r>
      <w:r w:rsidR="009858A9" w:rsidRPr="004F6F40">
        <w:rPr>
          <w:rFonts w:ascii="David" w:hAnsi="David" w:cs="David" w:hint="cs"/>
          <w:b/>
          <w:bCs/>
          <w:color w:val="000000"/>
          <w:sz w:val="28"/>
          <w:szCs w:val="28"/>
          <w:rtl/>
        </w:rPr>
        <w:t>התובע הצבאי הראשי נ' רנ"ג אודיז</w:t>
      </w:r>
      <w:r w:rsidR="009858A9" w:rsidRPr="004F6F40">
        <w:rPr>
          <w:rFonts w:ascii="David" w:hAnsi="David" w:cs="David" w:hint="cs"/>
          <w:color w:val="000000"/>
          <w:sz w:val="28"/>
          <w:szCs w:val="28"/>
          <w:rtl/>
        </w:rPr>
        <w:t xml:space="preserve"> (2015)). </w:t>
      </w:r>
      <w:r w:rsidRPr="004F6F40">
        <w:rPr>
          <w:rFonts w:ascii="David" w:hAnsi="David" w:cs="David" w:hint="cs"/>
          <w:color w:val="000000"/>
          <w:sz w:val="28"/>
          <w:szCs w:val="28"/>
          <w:rtl/>
        </w:rPr>
        <w:t xml:space="preserve">הדברים אמורים ביתר שאת מקום </w:t>
      </w:r>
      <w:r w:rsidR="00316A8E">
        <w:rPr>
          <w:rFonts w:ascii="David" w:hAnsi="David" w:cs="David" w:hint="cs"/>
          <w:color w:val="000000"/>
          <w:sz w:val="28"/>
          <w:szCs w:val="28"/>
          <w:rtl/>
        </w:rPr>
        <w:t>ש</w:t>
      </w:r>
      <w:r w:rsidRPr="004F6F40">
        <w:rPr>
          <w:rFonts w:ascii="David" w:hAnsi="David" w:cs="David" w:hint="cs"/>
          <w:color w:val="000000"/>
          <w:sz w:val="28"/>
          <w:szCs w:val="28"/>
          <w:rtl/>
        </w:rPr>
        <w:t xml:space="preserve">בו מבצע עבירת התעבורה הוא קצין בכיר, </w:t>
      </w:r>
      <w:r w:rsidR="00316A8E">
        <w:rPr>
          <w:rFonts w:ascii="David" w:hAnsi="David" w:cs="David" w:hint="cs"/>
          <w:color w:val="000000"/>
          <w:sz w:val="28"/>
          <w:szCs w:val="28"/>
          <w:rtl/>
        </w:rPr>
        <w:t>ש</w:t>
      </w:r>
      <w:r w:rsidRPr="004F6F40">
        <w:rPr>
          <w:rFonts w:ascii="David" w:hAnsi="David" w:cs="David" w:hint="cs"/>
          <w:color w:val="000000"/>
          <w:sz w:val="28"/>
          <w:szCs w:val="28"/>
          <w:rtl/>
        </w:rPr>
        <w:t xml:space="preserve">אז נלווה לעבירה יסוד של </w:t>
      </w:r>
      <w:r w:rsidRPr="004F6F40">
        <w:rPr>
          <w:rFonts w:cs="David" w:hint="cs"/>
          <w:sz w:val="28"/>
          <w:szCs w:val="28"/>
          <w:rtl/>
        </w:rPr>
        <w:t xml:space="preserve">פגיעה במשמעת ובתדמיתו של הצבא, המחייבת אף היא ביטוי עונשי (ע"ת 15/15 </w:t>
      </w:r>
      <w:r w:rsidRPr="004F6F40">
        <w:rPr>
          <w:rFonts w:cs="David" w:hint="cs"/>
          <w:b/>
          <w:bCs/>
          <w:sz w:val="28"/>
          <w:szCs w:val="28"/>
          <w:rtl/>
        </w:rPr>
        <w:t xml:space="preserve">התובע הצבאי נ' רס"ן סבג - משולם </w:t>
      </w:r>
      <w:r w:rsidRPr="004F6F40">
        <w:rPr>
          <w:rFonts w:cs="David" w:hint="cs"/>
          <w:sz w:val="28"/>
          <w:szCs w:val="28"/>
          <w:rtl/>
        </w:rPr>
        <w:t xml:space="preserve">(2015); ע"ת 33/14 </w:t>
      </w:r>
      <w:r w:rsidR="00316A8E">
        <w:rPr>
          <w:rFonts w:cs="David" w:hint="cs"/>
          <w:b/>
          <w:bCs/>
          <w:sz w:val="28"/>
          <w:szCs w:val="28"/>
          <w:rtl/>
        </w:rPr>
        <w:t xml:space="preserve">סא"ל הרפז </w:t>
      </w:r>
      <w:r w:rsidR="00316A8E">
        <w:rPr>
          <w:rFonts w:cs="David" w:hint="cs"/>
          <w:sz w:val="28"/>
          <w:szCs w:val="28"/>
          <w:rtl/>
        </w:rPr>
        <w:t>הנ"ל</w:t>
      </w:r>
      <w:r w:rsidRPr="004F6F40">
        <w:rPr>
          <w:rFonts w:cs="David" w:hint="cs"/>
          <w:sz w:val="28"/>
          <w:szCs w:val="28"/>
          <w:rtl/>
        </w:rPr>
        <w:t xml:space="preserve">). </w:t>
      </w:r>
      <w:r w:rsidR="009858A9" w:rsidRPr="004F6F40">
        <w:rPr>
          <w:rFonts w:ascii="David" w:hAnsi="David" w:cs="David" w:hint="cs"/>
          <w:color w:val="000000"/>
          <w:sz w:val="28"/>
          <w:szCs w:val="28"/>
          <w:rtl/>
        </w:rPr>
        <w:t xml:space="preserve">הלכה זו לא השתנתה גם לאחר תיקון הנחיות התביעה בנוגע להסדרים מובנים  </w:t>
      </w:r>
      <w:r w:rsidRPr="004F6F40">
        <w:rPr>
          <w:rFonts w:ascii="David" w:hAnsi="David" w:cs="David" w:hint="cs"/>
          <w:color w:val="000000"/>
          <w:sz w:val="28"/>
          <w:szCs w:val="28"/>
          <w:rtl/>
        </w:rPr>
        <w:t>(</w:t>
      </w:r>
      <w:r w:rsidR="00316A8E" w:rsidRPr="004F6F40">
        <w:rPr>
          <w:rFonts w:ascii="David" w:hAnsi="David" w:cs="David" w:hint="cs"/>
          <w:color w:val="000000"/>
          <w:sz w:val="28"/>
          <w:szCs w:val="28"/>
          <w:rtl/>
        </w:rPr>
        <w:t>ר</w:t>
      </w:r>
      <w:r w:rsidR="00316A8E">
        <w:rPr>
          <w:rFonts w:ascii="David" w:hAnsi="David" w:cs="David" w:hint="cs"/>
          <w:color w:val="000000"/>
          <w:sz w:val="28"/>
          <w:szCs w:val="28"/>
          <w:rtl/>
        </w:rPr>
        <w:t>או</w:t>
      </w:r>
      <w:r w:rsidR="00316A8E" w:rsidRPr="004F6F40">
        <w:rPr>
          <w:rFonts w:ascii="David" w:hAnsi="David" w:cs="David" w:hint="cs"/>
          <w:color w:val="000000"/>
          <w:sz w:val="28"/>
          <w:szCs w:val="28"/>
          <w:rtl/>
        </w:rPr>
        <w:t xml:space="preserve"> </w:t>
      </w:r>
      <w:r w:rsidRPr="004F6F40">
        <w:rPr>
          <w:rFonts w:ascii="David" w:hAnsi="David" w:cs="David" w:hint="cs"/>
          <w:color w:val="000000"/>
          <w:sz w:val="28"/>
          <w:szCs w:val="28"/>
          <w:rtl/>
        </w:rPr>
        <w:t xml:space="preserve">ע"ת 2/21 </w:t>
      </w:r>
      <w:r w:rsidR="00316A8E">
        <w:rPr>
          <w:rFonts w:ascii="David" w:hAnsi="David" w:cs="David" w:hint="cs"/>
          <w:b/>
          <w:bCs/>
          <w:color w:val="000000"/>
          <w:sz w:val="28"/>
          <w:szCs w:val="28"/>
          <w:rtl/>
        </w:rPr>
        <w:t xml:space="preserve">רס"ן פרץ </w:t>
      </w:r>
      <w:r w:rsidR="00316A8E">
        <w:rPr>
          <w:rFonts w:ascii="David" w:hAnsi="David" w:cs="David" w:hint="cs"/>
          <w:color w:val="000000"/>
          <w:sz w:val="28"/>
          <w:szCs w:val="28"/>
          <w:rtl/>
        </w:rPr>
        <w:t>הנ"ל</w:t>
      </w:r>
      <w:r w:rsidRPr="004F6F40">
        <w:rPr>
          <w:rFonts w:ascii="David" w:hAnsi="David" w:cs="David" w:hint="cs"/>
          <w:color w:val="000000"/>
          <w:sz w:val="28"/>
          <w:szCs w:val="28"/>
          <w:rtl/>
        </w:rPr>
        <w:t xml:space="preserve">). </w:t>
      </w:r>
    </w:p>
    <w:p w14:paraId="6564B418" w14:textId="1F65DDE1" w:rsidR="00496838" w:rsidRDefault="00226597" w:rsidP="00F36E10">
      <w:pPr>
        <w:numPr>
          <w:ilvl w:val="0"/>
          <w:numId w:val="1"/>
        </w:numPr>
        <w:tabs>
          <w:tab w:val="left" w:pos="226"/>
        </w:tabs>
        <w:spacing w:after="0" w:line="360" w:lineRule="auto"/>
        <w:ind w:left="-58" w:firstLine="0"/>
        <w:jc w:val="both"/>
        <w:rPr>
          <w:rFonts w:cs="David"/>
          <w:sz w:val="28"/>
          <w:szCs w:val="28"/>
        </w:rPr>
      </w:pPr>
      <w:r w:rsidRPr="00226597">
        <w:rPr>
          <w:rFonts w:cs="David" w:hint="cs"/>
          <w:sz w:val="28"/>
          <w:szCs w:val="28"/>
          <w:rtl/>
        </w:rPr>
        <w:t xml:space="preserve">בנסיבות אלה, </w:t>
      </w:r>
      <w:r w:rsidR="00D066B2">
        <w:rPr>
          <w:rFonts w:cs="David" w:hint="cs"/>
          <w:sz w:val="28"/>
          <w:szCs w:val="28"/>
          <w:rtl/>
        </w:rPr>
        <w:t xml:space="preserve">בשים לב לטיב העבירה, לדרגתו של המשיב, </w:t>
      </w:r>
      <w:r w:rsidR="00316A8E">
        <w:rPr>
          <w:rFonts w:cs="David" w:hint="cs"/>
          <w:sz w:val="28"/>
          <w:szCs w:val="28"/>
          <w:rtl/>
        </w:rPr>
        <w:t>ו</w:t>
      </w:r>
      <w:r w:rsidR="00D066B2">
        <w:rPr>
          <w:rFonts w:cs="David" w:hint="cs"/>
          <w:sz w:val="28"/>
          <w:szCs w:val="28"/>
          <w:rtl/>
        </w:rPr>
        <w:t>ב</w:t>
      </w:r>
      <w:r w:rsidRPr="00226597">
        <w:rPr>
          <w:rFonts w:cs="David" w:hint="cs"/>
          <w:sz w:val="28"/>
          <w:szCs w:val="28"/>
          <w:rtl/>
        </w:rPr>
        <w:t xml:space="preserve">התחשב בכך שלחובתו של המשיב גם הרשעה נוספת </w:t>
      </w:r>
      <w:r w:rsidR="00054E12">
        <w:rPr>
          <w:rFonts w:cs="David" w:hint="cs"/>
          <w:sz w:val="28"/>
          <w:szCs w:val="28"/>
          <w:rtl/>
        </w:rPr>
        <w:t>בעבירה שעניינה חציית קו הפרדה רצוף או נהיגה משמאלו (בהתאם לסעיף 36ג' לתקנות התעבורה)</w:t>
      </w:r>
      <w:r w:rsidRPr="00226597">
        <w:rPr>
          <w:rFonts w:cs="David" w:hint="cs"/>
          <w:sz w:val="28"/>
          <w:szCs w:val="28"/>
          <w:rtl/>
        </w:rPr>
        <w:t xml:space="preserve"> וכן </w:t>
      </w:r>
      <w:r w:rsidR="005943D9">
        <w:rPr>
          <w:rFonts w:cs="David" w:hint="cs"/>
          <w:sz w:val="28"/>
          <w:szCs w:val="28"/>
          <w:rtl/>
        </w:rPr>
        <w:t xml:space="preserve">לאור מדיניות הענישה </w:t>
      </w:r>
      <w:r w:rsidR="008C0F5F">
        <w:rPr>
          <w:rFonts w:cs="David" w:hint="cs"/>
          <w:sz w:val="28"/>
          <w:szCs w:val="28"/>
          <w:rtl/>
        </w:rPr>
        <w:t>הנהוגה,</w:t>
      </w:r>
      <w:r w:rsidRPr="00226597">
        <w:rPr>
          <w:rFonts w:cs="David" w:hint="cs"/>
          <w:sz w:val="28"/>
          <w:szCs w:val="28"/>
          <w:rtl/>
        </w:rPr>
        <w:t xml:space="preserve"> </w:t>
      </w:r>
      <w:r w:rsidR="005943D9">
        <w:rPr>
          <w:rFonts w:cs="David" w:hint="cs"/>
          <w:sz w:val="28"/>
          <w:szCs w:val="28"/>
          <w:rtl/>
        </w:rPr>
        <w:t xml:space="preserve">שאוזכרה </w:t>
      </w:r>
      <w:r w:rsidRPr="00226597">
        <w:rPr>
          <w:rFonts w:cs="David" w:hint="cs"/>
          <w:sz w:val="28"/>
          <w:szCs w:val="28"/>
          <w:rtl/>
        </w:rPr>
        <w:t>לעיל, מצאתי כי לא היה מקום להקל בדינו של המשיב</w:t>
      </w:r>
      <w:r w:rsidR="00596E62">
        <w:rPr>
          <w:rFonts w:cs="David" w:hint="cs"/>
          <w:sz w:val="28"/>
          <w:szCs w:val="28"/>
          <w:rtl/>
        </w:rPr>
        <w:t xml:space="preserve">, </w:t>
      </w:r>
      <w:r w:rsidR="005943D9">
        <w:rPr>
          <w:rFonts w:cs="David" w:hint="cs"/>
          <w:sz w:val="28"/>
          <w:szCs w:val="28"/>
          <w:rtl/>
        </w:rPr>
        <w:t xml:space="preserve">ולהימנע מלגזור עליו עונש של </w:t>
      </w:r>
      <w:r w:rsidR="00596E62">
        <w:rPr>
          <w:rFonts w:cs="David" w:hint="cs"/>
          <w:sz w:val="28"/>
          <w:szCs w:val="28"/>
          <w:rtl/>
        </w:rPr>
        <w:t>פסילה מותנית</w:t>
      </w:r>
      <w:r w:rsidR="00D066B2">
        <w:rPr>
          <w:rFonts w:cs="David" w:hint="cs"/>
          <w:sz w:val="28"/>
          <w:szCs w:val="28"/>
          <w:rtl/>
        </w:rPr>
        <w:t xml:space="preserve">. </w:t>
      </w:r>
      <w:r w:rsidR="005943D9">
        <w:rPr>
          <w:rFonts w:cs="David" w:hint="cs"/>
          <w:sz w:val="28"/>
          <w:szCs w:val="28"/>
          <w:rtl/>
        </w:rPr>
        <w:t>עם זאת</w:t>
      </w:r>
      <w:r w:rsidR="008C0F5F">
        <w:rPr>
          <w:rFonts w:cs="David" w:hint="cs"/>
          <w:sz w:val="28"/>
          <w:szCs w:val="28"/>
          <w:rtl/>
        </w:rPr>
        <w:t>,</w:t>
      </w:r>
      <w:r w:rsidR="005943D9">
        <w:rPr>
          <w:rFonts w:cs="David" w:hint="cs"/>
          <w:sz w:val="28"/>
          <w:szCs w:val="28"/>
          <w:rtl/>
        </w:rPr>
        <w:t xml:space="preserve"> </w:t>
      </w:r>
      <w:r w:rsidR="00D066B2">
        <w:rPr>
          <w:rFonts w:cs="David" w:hint="cs"/>
          <w:sz w:val="28"/>
          <w:szCs w:val="28"/>
          <w:rtl/>
        </w:rPr>
        <w:t xml:space="preserve">בשים לב להלכה </w:t>
      </w:r>
      <w:r w:rsidR="008C0F5F">
        <w:rPr>
          <w:rFonts w:cs="David" w:hint="cs"/>
          <w:sz w:val="28"/>
          <w:szCs w:val="28"/>
          <w:rtl/>
        </w:rPr>
        <w:t>ש</w:t>
      </w:r>
      <w:r w:rsidR="00D066B2">
        <w:rPr>
          <w:rFonts w:cs="David" w:hint="cs"/>
          <w:sz w:val="28"/>
          <w:szCs w:val="28"/>
          <w:rtl/>
        </w:rPr>
        <w:t>לפיה ערכאת הערעור אינה ממצה את הדין בעת קבלת ערעור תביעה, וכן משנסיבות האירוע אינן מן המכבידות ביותר, מצאתי כי ניתן להסתפק בהוספת תקופה קצרה של פסילה מותנית</w:t>
      </w:r>
      <w:r w:rsidR="00596E62">
        <w:rPr>
          <w:rFonts w:cs="David" w:hint="cs"/>
          <w:sz w:val="28"/>
          <w:szCs w:val="28"/>
          <w:rtl/>
        </w:rPr>
        <w:t xml:space="preserve">. </w:t>
      </w:r>
      <w:r w:rsidR="008C0F5F">
        <w:rPr>
          <w:rFonts w:cs="David" w:hint="cs"/>
          <w:sz w:val="28"/>
          <w:szCs w:val="28"/>
          <w:rtl/>
        </w:rPr>
        <w:t>לאור עמדתה העדכנית של התביעה, לא יחול שינוי ברכיב הקנס.</w:t>
      </w:r>
    </w:p>
    <w:p w14:paraId="635DDE20" w14:textId="65810930" w:rsidR="00226597" w:rsidRDefault="00226597" w:rsidP="00B636F1">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לא מצאתי כי יש בע"פ 5465/13 </w:t>
      </w:r>
      <w:r w:rsidR="008C0F5F">
        <w:rPr>
          <w:rFonts w:cs="David" w:hint="cs"/>
          <w:b/>
          <w:bCs/>
          <w:sz w:val="28"/>
          <w:szCs w:val="28"/>
          <w:rtl/>
        </w:rPr>
        <w:t>מור</w:t>
      </w:r>
      <w:r w:rsidR="008A617A">
        <w:rPr>
          <w:rFonts w:cs="David" w:hint="cs"/>
          <w:b/>
          <w:bCs/>
          <w:sz w:val="28"/>
          <w:szCs w:val="28"/>
          <w:rtl/>
        </w:rPr>
        <w:t xml:space="preserve"> </w:t>
      </w:r>
      <w:r w:rsidR="008A617A">
        <w:rPr>
          <w:rFonts w:cs="David" w:hint="cs"/>
          <w:sz w:val="28"/>
          <w:szCs w:val="28"/>
          <w:rtl/>
        </w:rPr>
        <w:t xml:space="preserve">הנ"ל, </w:t>
      </w:r>
      <w:r>
        <w:rPr>
          <w:rFonts w:cs="David" w:hint="cs"/>
          <w:sz w:val="28"/>
          <w:szCs w:val="28"/>
          <w:rtl/>
        </w:rPr>
        <w:t xml:space="preserve">שאליו הפנתה ההגנה, כדי לשנות </w:t>
      </w:r>
      <w:r w:rsidR="004F6F40">
        <w:rPr>
          <w:rFonts w:cs="David" w:hint="cs"/>
          <w:sz w:val="28"/>
          <w:szCs w:val="28"/>
          <w:rtl/>
        </w:rPr>
        <w:t>ממסקנתי האמורה</w:t>
      </w:r>
      <w:r>
        <w:rPr>
          <w:rFonts w:cs="David" w:hint="cs"/>
          <w:sz w:val="28"/>
          <w:szCs w:val="28"/>
          <w:rtl/>
        </w:rPr>
        <w:t xml:space="preserve">. באותו עניין </w:t>
      </w:r>
      <w:r w:rsidR="007C45CE">
        <w:rPr>
          <w:rFonts w:cs="David" w:hint="cs"/>
          <w:sz w:val="28"/>
          <w:szCs w:val="28"/>
          <w:rtl/>
        </w:rPr>
        <w:t>נדונה המשמעות שיש לכך שבטופס ההודעה בדבר ברירת משפט לא הובא לידיעת מקבל ההודעה, כי אם יחליט להישפט יהיה צפוי לעונש אחר, לרבות קנס</w:t>
      </w:r>
      <w:r w:rsidR="00885D37">
        <w:rPr>
          <w:rFonts w:cs="David" w:hint="cs"/>
          <w:sz w:val="28"/>
          <w:szCs w:val="28"/>
          <w:rtl/>
        </w:rPr>
        <w:t xml:space="preserve"> שלא יפחת מהסכום שבהודעת הקנס. בית המשפט הביע דעתו</w:t>
      </w:r>
      <w:r w:rsidR="004F6F40">
        <w:rPr>
          <w:rFonts w:cs="David" w:hint="cs"/>
          <w:sz w:val="28"/>
          <w:szCs w:val="28"/>
          <w:rtl/>
        </w:rPr>
        <w:t>,</w:t>
      </w:r>
      <w:r w:rsidR="00885D37">
        <w:rPr>
          <w:rFonts w:cs="David" w:hint="cs"/>
          <w:sz w:val="28"/>
          <w:szCs w:val="28"/>
          <w:rtl/>
        </w:rPr>
        <w:t xml:space="preserve"> כי ראוי להבהיר בהודעה</w:t>
      </w:r>
      <w:r w:rsidR="004F6F40">
        <w:rPr>
          <w:rFonts w:cs="David" w:hint="cs"/>
          <w:sz w:val="28"/>
          <w:szCs w:val="28"/>
          <w:rtl/>
        </w:rPr>
        <w:t>,</w:t>
      </w:r>
      <w:r w:rsidR="00885D37">
        <w:rPr>
          <w:rFonts w:cs="David" w:hint="cs"/>
          <w:sz w:val="28"/>
          <w:szCs w:val="28"/>
          <w:rtl/>
        </w:rPr>
        <w:t xml:space="preserve"> </w:t>
      </w:r>
      <w:r w:rsidR="008C0F5F">
        <w:rPr>
          <w:rFonts w:cs="David" w:hint="cs"/>
          <w:sz w:val="28"/>
          <w:szCs w:val="28"/>
          <w:rtl/>
        </w:rPr>
        <w:t xml:space="preserve">שנאשם אשר יבקש </w:t>
      </w:r>
      <w:r w:rsidR="00885D37">
        <w:rPr>
          <w:rFonts w:cs="David" w:hint="cs"/>
          <w:sz w:val="28"/>
          <w:szCs w:val="28"/>
          <w:rtl/>
        </w:rPr>
        <w:t xml:space="preserve">להישפט יהיה צפוי לעונש אחר, לרבות קנס </w:t>
      </w:r>
      <w:r w:rsidR="00885D37" w:rsidRPr="005943D9">
        <w:rPr>
          <w:rFonts w:cs="David" w:hint="cs"/>
          <w:b/>
          <w:bCs/>
          <w:sz w:val="28"/>
          <w:szCs w:val="28"/>
          <w:rtl/>
        </w:rPr>
        <w:t>הגבוה</w:t>
      </w:r>
      <w:r w:rsidR="00885D37">
        <w:rPr>
          <w:rFonts w:cs="David" w:hint="cs"/>
          <w:sz w:val="28"/>
          <w:szCs w:val="28"/>
          <w:rtl/>
        </w:rPr>
        <w:t xml:space="preserve"> מהסכום שבהודעת הקנס. </w:t>
      </w:r>
      <w:r w:rsidR="008C0F5F">
        <w:rPr>
          <w:rFonts w:cs="David" w:hint="cs"/>
          <w:sz w:val="28"/>
          <w:szCs w:val="28"/>
          <w:rtl/>
        </w:rPr>
        <w:t xml:space="preserve">לעומת זאת, בענייננו, </w:t>
      </w:r>
      <w:r w:rsidR="00885D37">
        <w:rPr>
          <w:rFonts w:cs="David" w:hint="cs"/>
          <w:sz w:val="28"/>
          <w:szCs w:val="28"/>
          <w:rtl/>
        </w:rPr>
        <w:t xml:space="preserve">עיון בטופס ההסדר המובנה מעלה, </w:t>
      </w:r>
      <w:r w:rsidR="004F6F40">
        <w:rPr>
          <w:rFonts w:cs="David" w:hint="cs"/>
          <w:sz w:val="28"/>
          <w:szCs w:val="28"/>
          <w:rtl/>
        </w:rPr>
        <w:t xml:space="preserve">כפי שבואר לעיל, </w:t>
      </w:r>
      <w:r w:rsidR="00885D37">
        <w:rPr>
          <w:rFonts w:cs="David" w:hint="cs"/>
          <w:sz w:val="28"/>
          <w:szCs w:val="28"/>
          <w:rtl/>
        </w:rPr>
        <w:t>כי מידע זה נמסר באופן ברו</w:t>
      </w:r>
      <w:r w:rsidR="004F6F40">
        <w:rPr>
          <w:rFonts w:cs="David" w:hint="cs"/>
          <w:sz w:val="28"/>
          <w:szCs w:val="28"/>
          <w:rtl/>
        </w:rPr>
        <w:t xml:space="preserve">ר לנאשמים, </w:t>
      </w:r>
      <w:r w:rsidR="000F78E6">
        <w:rPr>
          <w:rFonts w:cs="David" w:hint="cs"/>
          <w:sz w:val="28"/>
          <w:szCs w:val="28"/>
          <w:rtl/>
        </w:rPr>
        <w:t xml:space="preserve">ומובהר בטופס לנאשם, כי </w:t>
      </w:r>
      <w:r w:rsidR="00DD3D6A">
        <w:rPr>
          <w:rFonts w:cs="David" w:hint="cs"/>
          <w:sz w:val="28"/>
          <w:szCs w:val="28"/>
          <w:rtl/>
        </w:rPr>
        <w:t xml:space="preserve">אי היקשרות בהסדר טיעון </w:t>
      </w:r>
      <w:r w:rsidR="005943D9">
        <w:rPr>
          <w:rFonts w:cs="David" w:hint="cs"/>
          <w:sz w:val="28"/>
          <w:szCs w:val="28"/>
          <w:rtl/>
        </w:rPr>
        <w:t xml:space="preserve">מובנה </w:t>
      </w:r>
      <w:r w:rsidR="00DD3D6A">
        <w:rPr>
          <w:rFonts w:cs="David" w:hint="cs"/>
          <w:sz w:val="28"/>
          <w:szCs w:val="28"/>
          <w:rtl/>
        </w:rPr>
        <w:t>משמעה כי הוא צפוי לענישה מחמירה יותר באם יורשע בדינו</w:t>
      </w:r>
      <w:r w:rsidR="00885D37">
        <w:rPr>
          <w:rFonts w:cs="David" w:hint="cs"/>
          <w:sz w:val="28"/>
          <w:szCs w:val="28"/>
          <w:rtl/>
        </w:rPr>
        <w:t xml:space="preserve">. </w:t>
      </w:r>
    </w:p>
    <w:p w14:paraId="231F5090" w14:textId="43017BEF" w:rsidR="00DD3D6A" w:rsidRDefault="008C0F5F" w:rsidP="00B636F1">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הערעור עסק בעונש שהושת על המשיב, ולא בהכרעת הדין. ברם, אין ניתן להתעלם מעדויות עדי התביעה, כפי שנשמעו בשלב בירור האשמה, ולפיהן </w:t>
      </w:r>
      <w:r w:rsidR="00DD3D6A">
        <w:rPr>
          <w:rFonts w:cs="David" w:hint="cs"/>
          <w:sz w:val="28"/>
          <w:szCs w:val="28"/>
          <w:rtl/>
        </w:rPr>
        <w:t xml:space="preserve">נתקלו במקרה </w:t>
      </w:r>
      <w:r>
        <w:rPr>
          <w:rFonts w:cs="David" w:hint="cs"/>
          <w:sz w:val="28"/>
          <w:szCs w:val="28"/>
          <w:rtl/>
        </w:rPr>
        <w:t>ש</w:t>
      </w:r>
      <w:r w:rsidR="00DD3D6A">
        <w:rPr>
          <w:rFonts w:cs="David" w:hint="cs"/>
          <w:sz w:val="28"/>
          <w:szCs w:val="28"/>
          <w:rtl/>
        </w:rPr>
        <w:t xml:space="preserve">בו </w:t>
      </w:r>
      <w:r>
        <w:rPr>
          <w:rFonts w:cs="David" w:hint="cs"/>
          <w:sz w:val="28"/>
          <w:szCs w:val="28"/>
          <w:rtl/>
        </w:rPr>
        <w:t xml:space="preserve">מפקדים תמרצו שוטר שרשם דוחות תעבורה רבים באמצעות </w:t>
      </w:r>
      <w:r w:rsidR="00DD3D6A">
        <w:rPr>
          <w:rFonts w:cs="David" w:hint="cs"/>
          <w:sz w:val="28"/>
          <w:szCs w:val="28"/>
          <w:rtl/>
        </w:rPr>
        <w:t>"יום ד". אמנם הובהר, כי לא כך היו פני הדברים בעניינו של המשיב</w:t>
      </w:r>
      <w:r>
        <w:rPr>
          <w:rFonts w:cs="David" w:hint="cs"/>
          <w:sz w:val="28"/>
          <w:szCs w:val="28"/>
          <w:rtl/>
        </w:rPr>
        <w:t xml:space="preserve">, </w:t>
      </w:r>
      <w:r w:rsidR="00DD3D6A">
        <w:rPr>
          <w:rFonts w:cs="David" w:hint="cs"/>
          <w:sz w:val="28"/>
          <w:szCs w:val="28"/>
          <w:rtl/>
        </w:rPr>
        <w:t>אך ברי כי אם אלה הם פני הדברים מדובר בעניין חמור</w:t>
      </w:r>
      <w:r>
        <w:rPr>
          <w:rFonts w:cs="David" w:hint="cs"/>
          <w:sz w:val="28"/>
          <w:szCs w:val="28"/>
          <w:rtl/>
        </w:rPr>
        <w:t>,</w:t>
      </w:r>
      <w:r w:rsidR="00DD3D6A">
        <w:rPr>
          <w:rFonts w:cs="David" w:hint="cs"/>
          <w:sz w:val="28"/>
          <w:szCs w:val="28"/>
          <w:rtl/>
        </w:rPr>
        <w:t xml:space="preserve"> </w:t>
      </w:r>
      <w:r>
        <w:rPr>
          <w:rFonts w:cs="David" w:hint="cs"/>
          <w:sz w:val="28"/>
          <w:szCs w:val="28"/>
          <w:rtl/>
        </w:rPr>
        <w:t>ה</w:t>
      </w:r>
      <w:r w:rsidR="00DD3D6A">
        <w:rPr>
          <w:rFonts w:cs="David" w:hint="cs"/>
          <w:sz w:val="28"/>
          <w:szCs w:val="28"/>
          <w:rtl/>
        </w:rPr>
        <w:t>ראוי לטיפול מיידי. התביעה מסרה כי הדברים הובאו לידיעת הגורמים המתאימים במשטרה הצבאית</w:t>
      </w:r>
      <w:r>
        <w:rPr>
          <w:rFonts w:cs="David" w:hint="cs"/>
          <w:sz w:val="28"/>
          <w:szCs w:val="28"/>
          <w:rtl/>
        </w:rPr>
        <w:t xml:space="preserve">. חזקה על גורמים אלה, כי </w:t>
      </w:r>
      <w:r>
        <w:rPr>
          <w:rFonts w:cs="David" w:hint="cs"/>
          <w:sz w:val="28"/>
          <w:szCs w:val="28"/>
          <w:rtl/>
        </w:rPr>
        <w:lastRenderedPageBreak/>
        <w:t xml:space="preserve">ככל שקיים נוהג פסול כאמור, </w:t>
      </w:r>
      <w:r w:rsidR="00DD3D6A">
        <w:rPr>
          <w:rFonts w:cs="David" w:hint="cs"/>
          <w:sz w:val="28"/>
          <w:szCs w:val="28"/>
          <w:rtl/>
        </w:rPr>
        <w:t xml:space="preserve">החורג מאותו אירוע </w:t>
      </w:r>
      <w:r w:rsidR="00D066B2">
        <w:rPr>
          <w:rFonts w:cs="David" w:hint="cs"/>
          <w:sz w:val="28"/>
          <w:szCs w:val="28"/>
          <w:rtl/>
        </w:rPr>
        <w:t>נקודתי</w:t>
      </w:r>
      <w:r>
        <w:rPr>
          <w:rFonts w:cs="David" w:hint="cs"/>
          <w:sz w:val="28"/>
          <w:szCs w:val="28"/>
          <w:rtl/>
        </w:rPr>
        <w:t xml:space="preserve"> שעליו העידו השוטרים</w:t>
      </w:r>
      <w:r w:rsidR="00D066B2">
        <w:rPr>
          <w:rFonts w:cs="David" w:hint="cs"/>
          <w:sz w:val="28"/>
          <w:szCs w:val="28"/>
          <w:rtl/>
        </w:rPr>
        <w:t>, יטופל</w:t>
      </w:r>
      <w:r>
        <w:rPr>
          <w:rFonts w:cs="David" w:hint="cs"/>
          <w:sz w:val="28"/>
          <w:szCs w:val="28"/>
          <w:rtl/>
        </w:rPr>
        <w:t>ו</w:t>
      </w:r>
      <w:r w:rsidR="00D066B2">
        <w:rPr>
          <w:rFonts w:cs="David" w:hint="cs"/>
          <w:sz w:val="28"/>
          <w:szCs w:val="28"/>
          <w:rtl/>
        </w:rPr>
        <w:t xml:space="preserve"> </w:t>
      </w:r>
      <w:r>
        <w:rPr>
          <w:rFonts w:cs="David" w:hint="cs"/>
          <w:sz w:val="28"/>
          <w:szCs w:val="28"/>
          <w:rtl/>
        </w:rPr>
        <w:t xml:space="preserve">הדברים </w:t>
      </w:r>
      <w:r w:rsidR="00D066B2">
        <w:rPr>
          <w:rFonts w:cs="David" w:hint="cs"/>
          <w:sz w:val="28"/>
          <w:szCs w:val="28"/>
          <w:rtl/>
        </w:rPr>
        <w:t xml:space="preserve">בחומרה. </w:t>
      </w:r>
    </w:p>
    <w:p w14:paraId="03625D1D" w14:textId="15D18125" w:rsidR="00D066B2" w:rsidRDefault="00D066B2" w:rsidP="00B636F1">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סופם של דברים </w:t>
      </w:r>
      <w:r w:rsidR="0087453D">
        <w:rPr>
          <w:rFonts w:cs="David" w:hint="cs"/>
          <w:sz w:val="28"/>
          <w:szCs w:val="28"/>
          <w:rtl/>
        </w:rPr>
        <w:t>-</w:t>
      </w:r>
      <w:r>
        <w:rPr>
          <w:rFonts w:cs="David" w:hint="cs"/>
          <w:sz w:val="28"/>
          <w:szCs w:val="28"/>
          <w:rtl/>
        </w:rPr>
        <w:t xml:space="preserve"> </w:t>
      </w:r>
      <w:r w:rsidR="008C0F5F">
        <w:rPr>
          <w:rFonts w:cs="David" w:hint="cs"/>
          <w:sz w:val="28"/>
          <w:szCs w:val="28"/>
          <w:rtl/>
        </w:rPr>
        <w:t xml:space="preserve">ערעור התביעה מתקבל. </w:t>
      </w:r>
      <w:r>
        <w:rPr>
          <w:rFonts w:cs="David" w:hint="cs"/>
          <w:sz w:val="28"/>
          <w:szCs w:val="28"/>
          <w:rtl/>
        </w:rPr>
        <w:t>לעונש שהוטל על המשיב בבית הדין קמא תתווסף פסילה מותנית</w:t>
      </w:r>
      <w:r w:rsidR="008C0F5F">
        <w:rPr>
          <w:rFonts w:cs="David" w:hint="cs"/>
          <w:sz w:val="28"/>
          <w:szCs w:val="28"/>
          <w:rtl/>
        </w:rPr>
        <w:t>,</w:t>
      </w:r>
      <w:r>
        <w:rPr>
          <w:rFonts w:cs="David" w:hint="cs"/>
          <w:sz w:val="28"/>
          <w:szCs w:val="28"/>
          <w:rtl/>
        </w:rPr>
        <w:t xml:space="preserve"> בת 30 ימים למשך שנה. </w:t>
      </w:r>
      <w:r w:rsidR="008C0F5F">
        <w:rPr>
          <w:rFonts w:cs="David" w:hint="cs"/>
          <w:sz w:val="28"/>
          <w:szCs w:val="28"/>
          <w:rtl/>
        </w:rPr>
        <w:t>אין שינוי ברכיב הקנס.</w:t>
      </w:r>
    </w:p>
    <w:p w14:paraId="6F9AC8DF" w14:textId="77777777" w:rsidR="00D066B2" w:rsidRPr="00226597" w:rsidRDefault="00D066B2" w:rsidP="00B636F1">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נוכח ההערה בסעיף 22 לעיל, תעביר המזכירות העתק מפסק הדין לקצין המשטרה הצבאית הראשית ולתובע הצבאי הראשי. </w:t>
      </w:r>
    </w:p>
    <w:p w14:paraId="2018FAB7" w14:textId="77777777" w:rsidR="00D44303" w:rsidRPr="00D44303" w:rsidRDefault="00D44303" w:rsidP="00AD74F9">
      <w:pPr>
        <w:spacing w:after="0" w:line="360" w:lineRule="auto"/>
        <w:jc w:val="both"/>
        <w:rPr>
          <w:rFonts w:cs="David"/>
          <w:sz w:val="28"/>
          <w:szCs w:val="28"/>
        </w:rPr>
      </w:pPr>
    </w:p>
    <w:p w14:paraId="795700F0" w14:textId="79BCA988" w:rsidR="009563B0" w:rsidRPr="00FE5823" w:rsidRDefault="00FE5823" w:rsidP="00AD74F9">
      <w:pPr>
        <w:spacing w:after="0" w:line="360" w:lineRule="auto"/>
        <w:jc w:val="both"/>
        <w:outlineLvl w:val="0"/>
        <w:rPr>
          <w:rFonts w:cs="David"/>
          <w:sz w:val="28"/>
          <w:szCs w:val="28"/>
          <w:rtl/>
        </w:rPr>
      </w:pPr>
      <w:r w:rsidRPr="00FE5823">
        <w:rPr>
          <w:rFonts w:cs="David" w:hint="cs"/>
          <w:sz w:val="28"/>
          <w:szCs w:val="28"/>
          <w:rtl/>
        </w:rPr>
        <w:t>נ</w:t>
      </w:r>
      <w:r w:rsidR="00EF7869" w:rsidRPr="00FE5823">
        <w:rPr>
          <w:rFonts w:cs="David" w:hint="cs"/>
          <w:sz w:val="28"/>
          <w:szCs w:val="28"/>
          <w:rtl/>
        </w:rPr>
        <w:t xml:space="preserve">יתן </w:t>
      </w:r>
      <w:r w:rsidR="009563B0" w:rsidRPr="00FE5823">
        <w:rPr>
          <w:rFonts w:cs="David" w:hint="cs"/>
          <w:sz w:val="28"/>
          <w:szCs w:val="28"/>
          <w:rtl/>
        </w:rPr>
        <w:t xml:space="preserve">היום, </w:t>
      </w:r>
      <w:r w:rsidR="0087453D" w:rsidRPr="00FE5823">
        <w:rPr>
          <w:rFonts w:cs="David" w:hint="cs"/>
          <w:sz w:val="28"/>
          <w:szCs w:val="28"/>
          <w:rtl/>
        </w:rPr>
        <w:t>ל'</w:t>
      </w:r>
      <w:r w:rsidR="00D066B2" w:rsidRPr="00FE5823">
        <w:rPr>
          <w:rFonts w:cs="David" w:hint="cs"/>
          <w:sz w:val="28"/>
          <w:szCs w:val="28"/>
          <w:rtl/>
        </w:rPr>
        <w:t xml:space="preserve"> בסיון </w:t>
      </w:r>
      <w:r w:rsidR="009563B0" w:rsidRPr="00FE5823">
        <w:rPr>
          <w:rFonts w:cs="David" w:hint="cs"/>
          <w:sz w:val="28"/>
          <w:szCs w:val="28"/>
          <w:rtl/>
        </w:rPr>
        <w:t>התשפ"ב,</w:t>
      </w:r>
      <w:r w:rsidR="00417376">
        <w:rPr>
          <w:rFonts w:cs="David" w:hint="cs"/>
          <w:sz w:val="28"/>
          <w:szCs w:val="28"/>
          <w:rtl/>
        </w:rPr>
        <w:t xml:space="preserve"> </w:t>
      </w:r>
      <w:r w:rsidR="00417376" w:rsidRPr="00FE5823">
        <w:rPr>
          <w:rFonts w:cs="David" w:hint="cs"/>
          <w:sz w:val="28"/>
          <w:szCs w:val="28"/>
          <w:rtl/>
        </w:rPr>
        <w:t>29 ביוני 2022</w:t>
      </w:r>
      <w:r w:rsidR="00D738C0">
        <w:rPr>
          <w:rFonts w:cs="David" w:hint="cs"/>
          <w:sz w:val="28"/>
          <w:szCs w:val="28"/>
          <w:rtl/>
        </w:rPr>
        <w:t>,</w:t>
      </w:r>
      <w:r w:rsidR="00D44303" w:rsidRPr="00FE5823">
        <w:rPr>
          <w:rFonts w:cs="David" w:hint="cs"/>
          <w:sz w:val="28"/>
          <w:szCs w:val="28"/>
          <w:rtl/>
        </w:rPr>
        <w:t xml:space="preserve"> </w:t>
      </w:r>
      <w:r w:rsidR="00D066B2" w:rsidRPr="00FE5823">
        <w:rPr>
          <w:rFonts w:cs="David" w:hint="cs"/>
          <w:sz w:val="28"/>
          <w:szCs w:val="28"/>
          <w:rtl/>
        </w:rPr>
        <w:t>בל</w:t>
      </w:r>
      <w:r w:rsidR="00FC61A8" w:rsidRPr="00FE5823">
        <w:rPr>
          <w:rFonts w:cs="David" w:hint="cs"/>
          <w:sz w:val="28"/>
          <w:szCs w:val="28"/>
          <w:rtl/>
        </w:rPr>
        <w:t xml:space="preserve">שכה, </w:t>
      </w:r>
      <w:r w:rsidR="009563B0" w:rsidRPr="00FE5823">
        <w:rPr>
          <w:rFonts w:cs="David" w:hint="cs"/>
          <w:sz w:val="28"/>
          <w:szCs w:val="28"/>
          <w:rtl/>
        </w:rPr>
        <w:t>ו</w:t>
      </w:r>
      <w:r w:rsidR="00EF7869" w:rsidRPr="00FE5823">
        <w:rPr>
          <w:rFonts w:cs="David" w:hint="cs"/>
          <w:sz w:val="28"/>
          <w:szCs w:val="28"/>
          <w:rtl/>
        </w:rPr>
        <w:t>י</w:t>
      </w:r>
      <w:r w:rsidR="009563B0" w:rsidRPr="00FE5823">
        <w:rPr>
          <w:rFonts w:cs="David" w:hint="cs"/>
          <w:sz w:val="28"/>
          <w:szCs w:val="28"/>
          <w:rtl/>
        </w:rPr>
        <w:t>ועבר לצדדים ולמ</w:t>
      </w:r>
      <w:r w:rsidR="00493BC3" w:rsidRPr="00FE5823">
        <w:rPr>
          <w:rFonts w:cs="David" w:hint="cs"/>
          <w:sz w:val="28"/>
          <w:szCs w:val="28"/>
          <w:rtl/>
        </w:rPr>
        <w:t>שיב</w:t>
      </w:r>
      <w:r w:rsidR="009563B0" w:rsidRPr="00FE5823">
        <w:rPr>
          <w:rFonts w:cs="David" w:hint="cs"/>
          <w:sz w:val="28"/>
          <w:szCs w:val="28"/>
          <w:rtl/>
        </w:rPr>
        <w:t xml:space="preserve"> על ידי המזכירות. </w:t>
      </w:r>
    </w:p>
    <w:p w14:paraId="19CBFBD0" w14:textId="77777777" w:rsidR="00493BC3" w:rsidRDefault="00493BC3" w:rsidP="00AD74F9">
      <w:pPr>
        <w:pStyle w:val="a3"/>
        <w:spacing w:after="0" w:line="360" w:lineRule="auto"/>
        <w:jc w:val="both"/>
        <w:outlineLvl w:val="0"/>
        <w:rPr>
          <w:rFonts w:cs="David"/>
          <w:sz w:val="28"/>
          <w:szCs w:val="28"/>
          <w:rtl/>
        </w:rPr>
      </w:pPr>
    </w:p>
    <w:p w14:paraId="41882185" w14:textId="77777777" w:rsidR="00D066B2" w:rsidRDefault="00D066B2" w:rsidP="00AD74F9">
      <w:pPr>
        <w:pStyle w:val="a3"/>
        <w:spacing w:after="0" w:line="360" w:lineRule="auto"/>
        <w:ind w:left="4320" w:firstLine="720"/>
        <w:jc w:val="right"/>
        <w:rPr>
          <w:rFonts w:cs="David"/>
          <w:sz w:val="28"/>
          <w:szCs w:val="28"/>
          <w:rtl/>
        </w:rPr>
      </w:pPr>
    </w:p>
    <w:p w14:paraId="1E7AC5AF" w14:textId="77777777" w:rsidR="00D066B2" w:rsidRDefault="00D066B2" w:rsidP="00AD74F9">
      <w:pPr>
        <w:pStyle w:val="a3"/>
        <w:spacing w:after="0" w:line="360" w:lineRule="auto"/>
        <w:ind w:left="4320" w:firstLine="720"/>
        <w:jc w:val="right"/>
        <w:rPr>
          <w:rFonts w:cs="David"/>
          <w:sz w:val="28"/>
          <w:szCs w:val="28"/>
          <w:rtl/>
        </w:rPr>
      </w:pPr>
    </w:p>
    <w:p w14:paraId="66FE804C" w14:textId="77777777" w:rsidR="009563B0" w:rsidRPr="00FE5823" w:rsidRDefault="009563B0" w:rsidP="00AD74F9">
      <w:pPr>
        <w:pStyle w:val="a3"/>
        <w:spacing w:after="0" w:line="360" w:lineRule="auto"/>
        <w:ind w:left="4320" w:firstLine="720"/>
        <w:jc w:val="right"/>
        <w:rPr>
          <w:rFonts w:cs="David"/>
          <w:b/>
          <w:bCs/>
          <w:sz w:val="28"/>
          <w:szCs w:val="28"/>
          <w:rtl/>
        </w:rPr>
      </w:pPr>
      <w:r w:rsidRPr="00FE5823">
        <w:rPr>
          <w:rFonts w:cs="David" w:hint="cs"/>
          <w:b/>
          <w:bCs/>
          <w:sz w:val="28"/>
          <w:szCs w:val="28"/>
          <w:rtl/>
        </w:rPr>
        <w:t>_____________________</w:t>
      </w:r>
    </w:p>
    <w:p w14:paraId="73E052A6" w14:textId="77777777" w:rsidR="00FE5823" w:rsidRDefault="009563B0" w:rsidP="00AD74F9">
      <w:pPr>
        <w:pStyle w:val="a3"/>
        <w:spacing w:after="0" w:line="360" w:lineRule="auto"/>
        <w:jc w:val="right"/>
        <w:rPr>
          <w:rFonts w:cs="David"/>
          <w:b/>
          <w:bCs/>
          <w:sz w:val="28"/>
          <w:szCs w:val="28"/>
          <w:rtl/>
        </w:rPr>
      </w:pPr>
      <w:r w:rsidRPr="00FE5823">
        <w:rPr>
          <w:rFonts w:cs="David" w:hint="cs"/>
          <w:b/>
          <w:bCs/>
          <w:sz w:val="28"/>
          <w:szCs w:val="28"/>
          <w:rtl/>
        </w:rPr>
        <w:t xml:space="preserve">אל"ם         מאיה </w:t>
      </w:r>
      <w:r w:rsidR="00FC61A8" w:rsidRPr="00FE5823">
        <w:rPr>
          <w:rFonts w:cs="David" w:hint="cs"/>
          <w:b/>
          <w:bCs/>
          <w:sz w:val="28"/>
          <w:szCs w:val="28"/>
          <w:rtl/>
        </w:rPr>
        <w:t xml:space="preserve"> </w:t>
      </w:r>
      <w:r w:rsidRPr="00FE5823">
        <w:rPr>
          <w:rFonts w:cs="David" w:hint="cs"/>
          <w:b/>
          <w:bCs/>
          <w:sz w:val="28"/>
          <w:szCs w:val="28"/>
          <w:rtl/>
        </w:rPr>
        <w:t xml:space="preserve">גולדשמידט  </w:t>
      </w:r>
      <w:r w:rsidRPr="00FE5823">
        <w:rPr>
          <w:rFonts w:cs="David" w:hint="cs"/>
          <w:b/>
          <w:bCs/>
          <w:sz w:val="28"/>
          <w:szCs w:val="28"/>
          <w:rtl/>
        </w:rPr>
        <w:br/>
        <w:t xml:space="preserve">שופטת  </w:t>
      </w:r>
      <w:r w:rsidRPr="00FE5823">
        <w:rPr>
          <w:rFonts w:cs="David"/>
          <w:b/>
          <w:bCs/>
          <w:sz w:val="28"/>
          <w:szCs w:val="28"/>
          <w:rtl/>
        </w:rPr>
        <w:t xml:space="preserve"> </w:t>
      </w:r>
      <w:r w:rsidRPr="00FE5823">
        <w:rPr>
          <w:rFonts w:cs="David" w:hint="cs"/>
          <w:b/>
          <w:bCs/>
          <w:sz w:val="28"/>
          <w:szCs w:val="28"/>
          <w:rtl/>
        </w:rPr>
        <w:t xml:space="preserve">  </w:t>
      </w:r>
      <w:r w:rsidRPr="00FE5823">
        <w:rPr>
          <w:rFonts w:cs="David"/>
          <w:b/>
          <w:bCs/>
          <w:sz w:val="28"/>
          <w:szCs w:val="28"/>
          <w:rtl/>
        </w:rPr>
        <w:t xml:space="preserve">בית </w:t>
      </w:r>
      <w:r w:rsidRPr="00FE5823">
        <w:rPr>
          <w:rFonts w:cs="David" w:hint="cs"/>
          <w:b/>
          <w:bCs/>
          <w:sz w:val="28"/>
          <w:szCs w:val="28"/>
          <w:rtl/>
        </w:rPr>
        <w:t xml:space="preserve">    </w:t>
      </w:r>
      <w:r w:rsidRPr="00FE5823">
        <w:rPr>
          <w:rFonts w:cs="David"/>
          <w:b/>
          <w:bCs/>
          <w:sz w:val="28"/>
          <w:szCs w:val="28"/>
          <w:rtl/>
        </w:rPr>
        <w:t xml:space="preserve">הדין </w:t>
      </w:r>
      <w:r w:rsidRPr="00FE5823">
        <w:rPr>
          <w:rFonts w:cs="David" w:hint="cs"/>
          <w:b/>
          <w:bCs/>
          <w:sz w:val="28"/>
          <w:szCs w:val="28"/>
          <w:rtl/>
        </w:rPr>
        <w:t xml:space="preserve">  </w:t>
      </w:r>
      <w:r w:rsidRPr="00FE5823">
        <w:rPr>
          <w:rFonts w:cs="David"/>
          <w:b/>
          <w:bCs/>
          <w:sz w:val="28"/>
          <w:szCs w:val="28"/>
          <w:rtl/>
        </w:rPr>
        <w:t>הצבאי</w:t>
      </w:r>
    </w:p>
    <w:p w14:paraId="4C8CC684" w14:textId="4024CA9E" w:rsidR="007B6BF4" w:rsidRPr="00FE5823" w:rsidRDefault="00FE5823" w:rsidP="00FE5823">
      <w:pPr>
        <w:pStyle w:val="a3"/>
        <w:spacing w:after="0" w:line="360" w:lineRule="auto"/>
        <w:jc w:val="center"/>
        <w:rPr>
          <w:b/>
          <w:bCs/>
          <w:rtl/>
        </w:rPr>
      </w:pPr>
      <w:r>
        <w:rPr>
          <w:rFonts w:cs="David" w:hint="cs"/>
          <w:b/>
          <w:bCs/>
          <w:sz w:val="28"/>
          <w:szCs w:val="28"/>
          <w:rtl/>
        </w:rPr>
        <w:t xml:space="preserve">                                                                        </w:t>
      </w:r>
      <w:r w:rsidR="009563B0" w:rsidRPr="00FE5823">
        <w:rPr>
          <w:rFonts w:cs="David"/>
          <w:b/>
          <w:bCs/>
          <w:sz w:val="28"/>
          <w:szCs w:val="28"/>
          <w:rtl/>
        </w:rPr>
        <w:t>ל</w:t>
      </w:r>
      <w:r w:rsidR="009563B0" w:rsidRPr="00FE5823">
        <w:rPr>
          <w:rFonts w:cs="David" w:hint="cs"/>
          <w:b/>
          <w:bCs/>
          <w:sz w:val="28"/>
          <w:szCs w:val="28"/>
          <w:rtl/>
        </w:rPr>
        <w:t xml:space="preserve">  </w:t>
      </w:r>
      <w:r w:rsidR="009563B0" w:rsidRPr="00FE5823">
        <w:rPr>
          <w:rFonts w:cs="David"/>
          <w:b/>
          <w:bCs/>
          <w:sz w:val="28"/>
          <w:szCs w:val="28"/>
          <w:rtl/>
        </w:rPr>
        <w:t xml:space="preserve"> </w:t>
      </w:r>
      <w:r w:rsidR="009563B0" w:rsidRPr="00FE5823">
        <w:rPr>
          <w:rFonts w:cs="David" w:hint="cs"/>
          <w:b/>
          <w:bCs/>
          <w:sz w:val="28"/>
          <w:szCs w:val="28"/>
          <w:rtl/>
        </w:rPr>
        <w:t xml:space="preserve"> </w:t>
      </w:r>
      <w:r w:rsidR="009563B0" w:rsidRPr="00FE5823">
        <w:rPr>
          <w:rFonts w:cs="David"/>
          <w:b/>
          <w:bCs/>
          <w:sz w:val="28"/>
          <w:szCs w:val="28"/>
          <w:rtl/>
        </w:rPr>
        <w:t>ע</w:t>
      </w:r>
      <w:r w:rsidR="009563B0" w:rsidRPr="00FE5823">
        <w:rPr>
          <w:rFonts w:cs="David" w:hint="cs"/>
          <w:b/>
          <w:bCs/>
          <w:sz w:val="28"/>
          <w:szCs w:val="28"/>
          <w:rtl/>
        </w:rPr>
        <w:t xml:space="preserve">  </w:t>
      </w:r>
      <w:r w:rsidR="009563B0" w:rsidRPr="00FE5823">
        <w:rPr>
          <w:rFonts w:cs="David"/>
          <w:b/>
          <w:bCs/>
          <w:sz w:val="28"/>
          <w:szCs w:val="28"/>
          <w:rtl/>
        </w:rPr>
        <w:t xml:space="preserve"> </w:t>
      </w:r>
      <w:r w:rsidR="009563B0" w:rsidRPr="00FE5823">
        <w:rPr>
          <w:rFonts w:cs="David" w:hint="cs"/>
          <w:b/>
          <w:bCs/>
          <w:sz w:val="28"/>
          <w:szCs w:val="28"/>
          <w:rtl/>
        </w:rPr>
        <w:t xml:space="preserve">  </w:t>
      </w:r>
      <w:r w:rsidR="009563B0" w:rsidRPr="00FE5823">
        <w:rPr>
          <w:rFonts w:cs="David"/>
          <w:b/>
          <w:bCs/>
          <w:sz w:val="28"/>
          <w:szCs w:val="28"/>
          <w:rtl/>
        </w:rPr>
        <w:t xml:space="preserve">ר </w:t>
      </w:r>
      <w:r w:rsidR="009563B0" w:rsidRPr="00FE5823">
        <w:rPr>
          <w:rFonts w:cs="David" w:hint="cs"/>
          <w:b/>
          <w:bCs/>
          <w:sz w:val="28"/>
          <w:szCs w:val="28"/>
          <w:rtl/>
        </w:rPr>
        <w:t xml:space="preserve">    </w:t>
      </w:r>
      <w:r w:rsidR="009563B0" w:rsidRPr="00FE5823">
        <w:rPr>
          <w:rFonts w:cs="David"/>
          <w:b/>
          <w:bCs/>
          <w:sz w:val="28"/>
          <w:szCs w:val="28"/>
          <w:rtl/>
        </w:rPr>
        <w:t>ע</w:t>
      </w:r>
      <w:r w:rsidR="009563B0" w:rsidRPr="00FE5823">
        <w:rPr>
          <w:rFonts w:cs="David" w:hint="cs"/>
          <w:b/>
          <w:bCs/>
          <w:sz w:val="28"/>
          <w:szCs w:val="28"/>
          <w:rtl/>
        </w:rPr>
        <w:t xml:space="preserve">   </w:t>
      </w:r>
      <w:r w:rsidR="009563B0" w:rsidRPr="00FE5823">
        <w:rPr>
          <w:rFonts w:cs="David"/>
          <w:b/>
          <w:bCs/>
          <w:sz w:val="28"/>
          <w:szCs w:val="28"/>
          <w:rtl/>
        </w:rPr>
        <w:t xml:space="preserve"> </w:t>
      </w:r>
      <w:r w:rsidR="009563B0" w:rsidRPr="00FE5823">
        <w:rPr>
          <w:rFonts w:cs="David" w:hint="cs"/>
          <w:b/>
          <w:bCs/>
          <w:sz w:val="28"/>
          <w:szCs w:val="28"/>
          <w:rtl/>
        </w:rPr>
        <w:t xml:space="preserve"> </w:t>
      </w:r>
      <w:r w:rsidR="009563B0" w:rsidRPr="00FE5823">
        <w:rPr>
          <w:rFonts w:cs="David"/>
          <w:b/>
          <w:bCs/>
          <w:sz w:val="28"/>
          <w:szCs w:val="28"/>
          <w:rtl/>
        </w:rPr>
        <w:t>ו</w:t>
      </w:r>
      <w:r w:rsidR="009563B0" w:rsidRPr="00FE5823">
        <w:rPr>
          <w:rFonts w:cs="David" w:hint="cs"/>
          <w:b/>
          <w:bCs/>
          <w:sz w:val="28"/>
          <w:szCs w:val="28"/>
          <w:rtl/>
        </w:rPr>
        <w:t xml:space="preserve">    </w:t>
      </w:r>
      <w:r w:rsidR="009563B0" w:rsidRPr="00FE5823">
        <w:rPr>
          <w:rFonts w:cs="David"/>
          <w:b/>
          <w:bCs/>
          <w:sz w:val="28"/>
          <w:szCs w:val="28"/>
          <w:rtl/>
        </w:rPr>
        <w:t xml:space="preserve"> ר</w:t>
      </w:r>
      <w:r w:rsidR="009563B0" w:rsidRPr="00FE5823">
        <w:rPr>
          <w:rFonts w:cs="David" w:hint="cs"/>
          <w:b/>
          <w:bCs/>
          <w:sz w:val="28"/>
          <w:szCs w:val="28"/>
          <w:rtl/>
        </w:rPr>
        <w:t xml:space="preserve">    </w:t>
      </w:r>
      <w:r w:rsidR="009563B0" w:rsidRPr="00FE5823">
        <w:rPr>
          <w:rFonts w:cs="David"/>
          <w:b/>
          <w:bCs/>
          <w:sz w:val="28"/>
          <w:szCs w:val="28"/>
          <w:rtl/>
        </w:rPr>
        <w:t xml:space="preserve"> י</w:t>
      </w:r>
      <w:r w:rsidR="009563B0" w:rsidRPr="00FE5823">
        <w:rPr>
          <w:rFonts w:cs="David" w:hint="cs"/>
          <w:b/>
          <w:bCs/>
          <w:sz w:val="28"/>
          <w:szCs w:val="28"/>
          <w:rtl/>
        </w:rPr>
        <w:t xml:space="preserve">    </w:t>
      </w:r>
      <w:r w:rsidR="009563B0" w:rsidRPr="00FE5823">
        <w:rPr>
          <w:rFonts w:cs="David"/>
          <w:b/>
          <w:bCs/>
          <w:sz w:val="28"/>
          <w:szCs w:val="28"/>
          <w:rtl/>
        </w:rPr>
        <w:t>ם</w:t>
      </w:r>
    </w:p>
    <w:p w14:paraId="71F08D59" w14:textId="346B9528" w:rsidR="00B636F1" w:rsidRDefault="00B636F1" w:rsidP="00AD74F9">
      <w:pPr>
        <w:pStyle w:val="a3"/>
        <w:spacing w:after="0" w:line="360" w:lineRule="auto"/>
        <w:jc w:val="right"/>
        <w:rPr>
          <w:rtl/>
        </w:rPr>
      </w:pPr>
    </w:p>
    <w:p w14:paraId="1E45E2E5" w14:textId="7A1E29FA" w:rsidR="00B636F1" w:rsidRDefault="00B636F1" w:rsidP="00AD74F9">
      <w:pPr>
        <w:pStyle w:val="a3"/>
        <w:spacing w:after="0" w:line="360" w:lineRule="auto"/>
        <w:jc w:val="right"/>
        <w:rPr>
          <w:rtl/>
        </w:rPr>
      </w:pPr>
    </w:p>
    <w:p w14:paraId="7AFFD525" w14:textId="77777777" w:rsidR="00B636F1" w:rsidRPr="00B636F1" w:rsidRDefault="00B636F1" w:rsidP="00B636F1">
      <w:pPr>
        <w:spacing w:after="200" w:line="276" w:lineRule="auto"/>
        <w:jc w:val="both"/>
        <w:rPr>
          <w:rFonts w:cs="David"/>
          <w:b/>
          <w:bCs/>
          <w:sz w:val="28"/>
          <w:szCs w:val="28"/>
          <w:rtl/>
        </w:rPr>
      </w:pPr>
      <w:r w:rsidRPr="00B636F1">
        <w:rPr>
          <w:rFonts w:cs="David"/>
          <w:b/>
          <w:bCs/>
          <w:sz w:val="28"/>
          <w:szCs w:val="28"/>
          <w:rtl/>
        </w:rPr>
        <w:t>חתימת המגיה: _________________</w:t>
      </w:r>
      <w:r w:rsidRPr="00B636F1">
        <w:rPr>
          <w:rFonts w:cs="David"/>
          <w:b/>
          <w:bCs/>
          <w:sz w:val="28"/>
          <w:szCs w:val="28"/>
          <w:rtl/>
        </w:rPr>
        <w:tab/>
        <w:t xml:space="preserve">       העתק             נאמן           </w:t>
      </w:r>
      <w:r w:rsidRPr="00B636F1">
        <w:rPr>
          <w:rFonts w:cs="David" w:hint="cs"/>
          <w:b/>
          <w:bCs/>
          <w:sz w:val="28"/>
          <w:szCs w:val="28"/>
          <w:rtl/>
        </w:rPr>
        <w:t xml:space="preserve">    </w:t>
      </w:r>
      <w:r w:rsidRPr="00B636F1">
        <w:rPr>
          <w:rFonts w:cs="David"/>
          <w:b/>
          <w:bCs/>
          <w:sz w:val="28"/>
          <w:szCs w:val="28"/>
          <w:rtl/>
        </w:rPr>
        <w:t xml:space="preserve">למקור                                                          </w:t>
      </w:r>
    </w:p>
    <w:p w14:paraId="43A0E633" w14:textId="77777777" w:rsidR="00B636F1" w:rsidRPr="00B636F1" w:rsidRDefault="00B636F1" w:rsidP="00B636F1">
      <w:pPr>
        <w:spacing w:after="200" w:line="276" w:lineRule="auto"/>
        <w:jc w:val="both"/>
        <w:rPr>
          <w:rFonts w:cs="David"/>
          <w:b/>
          <w:bCs/>
          <w:sz w:val="28"/>
          <w:szCs w:val="28"/>
          <w:rtl/>
        </w:rPr>
      </w:pPr>
      <w:r w:rsidRPr="00B636F1">
        <w:rPr>
          <w:rFonts w:cs="David"/>
          <w:b/>
          <w:bCs/>
          <w:sz w:val="28"/>
          <w:szCs w:val="28"/>
          <w:rtl/>
        </w:rPr>
        <w:tab/>
        <w:t xml:space="preserve">                                                                </w:t>
      </w:r>
      <w:r w:rsidRPr="00B636F1">
        <w:rPr>
          <w:rFonts w:cs="David" w:hint="cs"/>
          <w:b/>
          <w:bCs/>
          <w:sz w:val="28"/>
          <w:szCs w:val="28"/>
          <w:rtl/>
        </w:rPr>
        <w:t xml:space="preserve">  סרן   </w:t>
      </w:r>
      <w:r w:rsidRPr="00B636F1">
        <w:rPr>
          <w:rFonts w:cs="David"/>
          <w:b/>
          <w:bCs/>
          <w:sz w:val="28"/>
          <w:szCs w:val="28"/>
          <w:rtl/>
        </w:rPr>
        <w:t xml:space="preserve">          </w:t>
      </w:r>
      <w:r w:rsidRPr="00B636F1">
        <w:rPr>
          <w:rFonts w:cs="David" w:hint="cs"/>
          <w:b/>
          <w:bCs/>
          <w:sz w:val="28"/>
          <w:szCs w:val="28"/>
          <w:rtl/>
        </w:rPr>
        <w:t xml:space="preserve">   כפיר</w:t>
      </w:r>
      <w:r w:rsidRPr="00B636F1">
        <w:rPr>
          <w:rFonts w:cs="David"/>
          <w:b/>
          <w:bCs/>
          <w:sz w:val="28"/>
          <w:szCs w:val="28"/>
          <w:rtl/>
        </w:rPr>
        <w:t xml:space="preserve">         </w:t>
      </w:r>
      <w:r w:rsidRPr="00B636F1">
        <w:rPr>
          <w:rFonts w:cs="David" w:hint="cs"/>
          <w:b/>
          <w:bCs/>
          <w:sz w:val="28"/>
          <w:szCs w:val="28"/>
          <w:rtl/>
        </w:rPr>
        <w:t xml:space="preserve">   </w:t>
      </w:r>
      <w:r w:rsidRPr="00B636F1">
        <w:rPr>
          <w:rFonts w:cs="David"/>
          <w:b/>
          <w:bCs/>
          <w:sz w:val="28"/>
          <w:szCs w:val="28"/>
          <w:rtl/>
        </w:rPr>
        <w:t xml:space="preserve">    </w:t>
      </w:r>
      <w:r w:rsidRPr="00B636F1">
        <w:rPr>
          <w:rFonts w:cs="David" w:hint="cs"/>
          <w:b/>
          <w:bCs/>
          <w:sz w:val="28"/>
          <w:szCs w:val="28"/>
          <w:rtl/>
        </w:rPr>
        <w:t xml:space="preserve">   </w:t>
      </w:r>
      <w:r w:rsidRPr="00B636F1">
        <w:rPr>
          <w:rFonts w:cs="David"/>
          <w:b/>
          <w:bCs/>
          <w:sz w:val="28"/>
          <w:szCs w:val="28"/>
          <w:rtl/>
        </w:rPr>
        <w:t xml:space="preserve"> </w:t>
      </w:r>
      <w:r w:rsidRPr="00B636F1">
        <w:rPr>
          <w:rFonts w:cs="David" w:hint="cs"/>
          <w:b/>
          <w:bCs/>
          <w:sz w:val="28"/>
          <w:szCs w:val="28"/>
          <w:rtl/>
        </w:rPr>
        <w:t>לב</w:t>
      </w:r>
    </w:p>
    <w:p w14:paraId="0EAC12D0" w14:textId="77777777" w:rsidR="00B636F1" w:rsidRPr="00B636F1" w:rsidRDefault="00B636F1" w:rsidP="00B636F1">
      <w:pPr>
        <w:spacing w:after="200" w:line="276" w:lineRule="auto"/>
        <w:jc w:val="both"/>
        <w:rPr>
          <w:rFonts w:cs="David"/>
          <w:b/>
          <w:bCs/>
          <w:sz w:val="28"/>
          <w:szCs w:val="28"/>
          <w:rtl/>
        </w:rPr>
      </w:pPr>
      <w:r w:rsidRPr="00B636F1">
        <w:rPr>
          <w:rFonts w:cs="David"/>
          <w:b/>
          <w:bCs/>
          <w:sz w:val="28"/>
          <w:szCs w:val="28"/>
          <w:rtl/>
        </w:rPr>
        <w:t>תאריך: ______________________</w:t>
      </w:r>
      <w:r w:rsidRPr="00B636F1">
        <w:rPr>
          <w:rFonts w:cs="David"/>
          <w:b/>
          <w:bCs/>
          <w:sz w:val="28"/>
          <w:szCs w:val="28"/>
          <w:rtl/>
        </w:rPr>
        <w:tab/>
        <w:t xml:space="preserve">      </w:t>
      </w:r>
      <w:r w:rsidRPr="00B636F1">
        <w:rPr>
          <w:rFonts w:cs="David" w:hint="cs"/>
          <w:b/>
          <w:bCs/>
          <w:sz w:val="28"/>
          <w:szCs w:val="28"/>
          <w:rtl/>
        </w:rPr>
        <w:t xml:space="preserve">  </w:t>
      </w:r>
      <w:r w:rsidRPr="00B636F1">
        <w:rPr>
          <w:rFonts w:cs="David"/>
          <w:b/>
          <w:bCs/>
          <w:sz w:val="28"/>
          <w:szCs w:val="28"/>
          <w:rtl/>
        </w:rPr>
        <w:t>קצי</w:t>
      </w:r>
      <w:r w:rsidRPr="00B636F1">
        <w:rPr>
          <w:rFonts w:cs="David" w:hint="cs"/>
          <w:b/>
          <w:bCs/>
          <w:sz w:val="28"/>
          <w:szCs w:val="28"/>
          <w:rtl/>
        </w:rPr>
        <w:t>ן</w:t>
      </w:r>
      <w:r w:rsidRPr="00B636F1">
        <w:rPr>
          <w:rFonts w:cs="David"/>
          <w:b/>
          <w:bCs/>
          <w:sz w:val="28"/>
          <w:szCs w:val="28"/>
          <w:rtl/>
        </w:rPr>
        <w:t xml:space="preserve">           </w:t>
      </w:r>
      <w:r w:rsidRPr="00B636F1">
        <w:rPr>
          <w:rFonts w:cs="David" w:hint="cs"/>
          <w:b/>
          <w:bCs/>
          <w:sz w:val="28"/>
          <w:szCs w:val="28"/>
          <w:rtl/>
        </w:rPr>
        <w:t xml:space="preserve">    </w:t>
      </w:r>
      <w:r w:rsidRPr="00B636F1">
        <w:rPr>
          <w:rFonts w:cs="David"/>
          <w:b/>
          <w:bCs/>
          <w:sz w:val="28"/>
          <w:szCs w:val="28"/>
          <w:rtl/>
        </w:rPr>
        <w:t xml:space="preserve">בית           </w:t>
      </w:r>
      <w:r w:rsidRPr="00B636F1">
        <w:rPr>
          <w:rFonts w:cs="David" w:hint="cs"/>
          <w:b/>
          <w:bCs/>
          <w:sz w:val="28"/>
          <w:szCs w:val="28"/>
          <w:rtl/>
        </w:rPr>
        <w:t xml:space="preserve">  </w:t>
      </w:r>
      <w:r w:rsidRPr="00B636F1">
        <w:rPr>
          <w:rFonts w:cs="David"/>
          <w:b/>
          <w:bCs/>
          <w:sz w:val="28"/>
          <w:szCs w:val="28"/>
          <w:rtl/>
        </w:rPr>
        <w:t xml:space="preserve">   </w:t>
      </w:r>
      <w:r w:rsidRPr="00B636F1">
        <w:rPr>
          <w:rFonts w:cs="David" w:hint="cs"/>
          <w:b/>
          <w:bCs/>
          <w:sz w:val="28"/>
          <w:szCs w:val="28"/>
          <w:rtl/>
        </w:rPr>
        <w:t xml:space="preserve">  </w:t>
      </w:r>
      <w:r w:rsidRPr="00B636F1">
        <w:rPr>
          <w:rFonts w:cs="David"/>
          <w:b/>
          <w:bCs/>
          <w:sz w:val="28"/>
          <w:szCs w:val="28"/>
          <w:rtl/>
        </w:rPr>
        <w:t>הדין</w:t>
      </w:r>
    </w:p>
    <w:p w14:paraId="7A5A78B2" w14:textId="77777777" w:rsidR="00B636F1" w:rsidRPr="00B636F1" w:rsidRDefault="00B636F1" w:rsidP="00B636F1">
      <w:pPr>
        <w:tabs>
          <w:tab w:val="left" w:pos="6060"/>
        </w:tabs>
        <w:spacing w:after="200" w:line="276" w:lineRule="auto"/>
        <w:jc w:val="both"/>
        <w:rPr>
          <w:rFonts w:cs="David"/>
          <w:sz w:val="28"/>
          <w:szCs w:val="28"/>
          <w:rtl/>
        </w:rPr>
      </w:pPr>
    </w:p>
    <w:p w14:paraId="723D6443" w14:textId="77777777" w:rsidR="00B636F1" w:rsidRPr="002B378D" w:rsidRDefault="00B636F1" w:rsidP="00AD74F9">
      <w:pPr>
        <w:pStyle w:val="a3"/>
        <w:spacing w:after="0" w:line="360" w:lineRule="auto"/>
        <w:jc w:val="right"/>
      </w:pPr>
    </w:p>
    <w:sectPr w:rsidR="00B636F1" w:rsidRPr="002B378D" w:rsidSect="00DB351E">
      <w:headerReference w:type="even" r:id="rId10"/>
      <w:headerReference w:type="default" r:id="rId11"/>
      <w:footerReference w:type="default" r:id="rId12"/>
      <w:head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1C9B7" w14:textId="77777777" w:rsidR="00574D73" w:rsidRDefault="00574D73" w:rsidP="00C757A9">
      <w:pPr>
        <w:spacing w:after="0" w:line="240" w:lineRule="auto"/>
      </w:pPr>
      <w:r>
        <w:separator/>
      </w:r>
    </w:p>
  </w:endnote>
  <w:endnote w:type="continuationSeparator" w:id="0">
    <w:p w14:paraId="1FFD959B" w14:textId="77777777" w:rsidR="00574D73" w:rsidRDefault="00574D73" w:rsidP="00C7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E3BC" w14:textId="77777777" w:rsidR="00FE5823" w:rsidRPr="00FE5823" w:rsidRDefault="00FE5823">
    <w:pPr>
      <w:pStyle w:val="a6"/>
      <w:jc w:val="center"/>
      <w:rPr>
        <w:rFonts w:ascii="David" w:hAnsi="David" w:cs="David"/>
        <w:caps/>
        <w:noProof/>
        <w:sz w:val="28"/>
        <w:szCs w:val="28"/>
      </w:rPr>
    </w:pPr>
    <w:r w:rsidRPr="00FE5823">
      <w:rPr>
        <w:rFonts w:ascii="David" w:hAnsi="David" w:cs="David"/>
        <w:caps/>
        <w:sz w:val="28"/>
        <w:szCs w:val="28"/>
      </w:rPr>
      <w:fldChar w:fldCharType="begin"/>
    </w:r>
    <w:r w:rsidRPr="00FE5823">
      <w:rPr>
        <w:rFonts w:ascii="David" w:hAnsi="David" w:cs="David"/>
        <w:caps/>
        <w:sz w:val="28"/>
        <w:szCs w:val="28"/>
      </w:rPr>
      <w:instrText xml:space="preserve"> PAGE   \* MERGEFORMAT </w:instrText>
    </w:r>
    <w:r w:rsidRPr="00FE5823">
      <w:rPr>
        <w:rFonts w:ascii="David" w:hAnsi="David" w:cs="David"/>
        <w:caps/>
        <w:sz w:val="28"/>
        <w:szCs w:val="28"/>
      </w:rPr>
      <w:fldChar w:fldCharType="separate"/>
    </w:r>
    <w:r w:rsidRPr="00FE5823">
      <w:rPr>
        <w:rFonts w:ascii="David" w:hAnsi="David" w:cs="David"/>
        <w:caps/>
        <w:noProof/>
        <w:sz w:val="28"/>
        <w:szCs w:val="28"/>
      </w:rPr>
      <w:t>2</w:t>
    </w:r>
    <w:r w:rsidRPr="00FE5823">
      <w:rPr>
        <w:rFonts w:ascii="David" w:hAnsi="David" w:cs="David"/>
        <w:caps/>
        <w:noProof/>
        <w:sz w:val="28"/>
        <w:szCs w:val="28"/>
      </w:rPr>
      <w:fldChar w:fldCharType="end"/>
    </w:r>
  </w:p>
  <w:p w14:paraId="11C1762F" w14:textId="77777777" w:rsidR="00FE5823" w:rsidRDefault="00FE58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F96D" w14:textId="77777777" w:rsidR="00574D73" w:rsidRDefault="00574D73" w:rsidP="00C757A9">
      <w:pPr>
        <w:spacing w:after="0" w:line="240" w:lineRule="auto"/>
      </w:pPr>
      <w:r>
        <w:separator/>
      </w:r>
    </w:p>
  </w:footnote>
  <w:footnote w:type="continuationSeparator" w:id="0">
    <w:p w14:paraId="174918D7" w14:textId="77777777" w:rsidR="00574D73" w:rsidRDefault="00574D73" w:rsidP="00C7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7FE1" w14:textId="1E577EB7" w:rsidR="00C91BEF" w:rsidRDefault="00B636F1">
    <w:pPr>
      <w:pStyle w:val="a4"/>
    </w:pPr>
    <w:r>
      <w:rPr>
        <w:noProof/>
      </w:rPr>
      <mc:AlternateContent>
        <mc:Choice Requires="wps">
          <w:drawing>
            <wp:anchor distT="0" distB="0" distL="0" distR="0" simplePos="0" relativeHeight="251657728" behindDoc="0" locked="0" layoutInCell="1" allowOverlap="1" wp14:anchorId="48FD728F" wp14:editId="2C644929">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8C1F620" w14:textId="77777777" w:rsidR="00C91BEF" w:rsidRPr="00C91BEF" w:rsidRDefault="00C91BEF">
                          <w:pPr>
                            <w:rPr>
                              <w:rFonts w:cs="Calibri"/>
                              <w:noProof/>
                              <w:color w:val="000000"/>
                              <w:sz w:val="20"/>
                              <w:szCs w:val="20"/>
                            </w:rPr>
                          </w:pPr>
                          <w:r w:rsidRPr="00C91BEF">
                            <w:rPr>
                              <w:rFonts w:cs="Calibri"/>
                              <w:noProof/>
                              <w:color w:val="000000"/>
                              <w:sz w:val="20"/>
                              <w:szCs w:val="20"/>
                              <w:rtl/>
                            </w:rPr>
                            <w:t>- בלמ"ס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8FD728F" id="_x0000_t202" coordsize="21600,21600" o:spt="202" path="m,l,21600r21600,l21600,xe">
              <v:stroke joinstyle="miter"/>
              <v:path gradientshapeok="t" o:connecttype="rect"/>
            </v:shapetype>
            <v:shape id="Text Box 2" o:spid="_x0000_s1026" type="#_x0000_t202"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&#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McCud0gAgAATgQAAA4AAAAAAAAAAAAAAAAALgIAAGRycy9lMm9Eb2MueG1sUEsBAi0AFAAG&#10;AAgAAAAhAISw0yjWAAAAAwEAAA8AAAAAAAAAAAAAAAAAegQAAGRycy9kb3ducmV2LnhtbFBLBQYA&#10;AAAABAAEAPMAAAB9BQAAAAA=&#10;" filled="f" stroked="f">
              <v:textbox style="mso-fit-shape-to-text:t" inset="0,0,0,0">
                <w:txbxContent>
                  <w:p w14:paraId="28C1F620" w14:textId="77777777" w:rsidR="00C91BEF" w:rsidRPr="00C91BEF" w:rsidRDefault="00C91BEF">
                    <w:pPr>
                      <w:rPr>
                        <w:rFonts w:cs="Calibri"/>
                        <w:noProof/>
                        <w:color w:val="000000"/>
                        <w:sz w:val="20"/>
                        <w:szCs w:val="20"/>
                      </w:rPr>
                    </w:pPr>
                    <w:r w:rsidRPr="00C91BEF">
                      <w:rPr>
                        <w:rFonts w:cs="Calibri"/>
                        <w:noProof/>
                        <w:color w:val="000000"/>
                        <w:sz w:val="20"/>
                        <w:szCs w:val="20"/>
                        <w:rtl/>
                      </w:rPr>
                      <w:t>- בלמ"ס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A7C8" w14:textId="5F30D79F" w:rsidR="00332557" w:rsidRDefault="00F36E10" w:rsidP="00332557">
    <w:pPr>
      <w:pStyle w:val="a4"/>
      <w:rPr>
        <w:rFonts w:ascii="David" w:hAnsi="David" w:cs="David"/>
        <w:sz w:val="28"/>
        <w:szCs w:val="28"/>
        <w:rtl/>
      </w:rPr>
    </w:pPr>
    <w:r>
      <w:rPr>
        <w:rFonts w:ascii="David" w:hAnsi="David" w:cs="David" w:hint="cs"/>
        <w:sz w:val="28"/>
        <w:szCs w:val="28"/>
        <w:rtl/>
      </w:rPr>
      <w:t xml:space="preserve">                                                          </w:t>
    </w:r>
    <w:r w:rsidR="00050805">
      <w:rPr>
        <w:rFonts w:ascii="David" w:hAnsi="David" w:cs="David" w:hint="cs"/>
        <w:sz w:val="28"/>
        <w:szCs w:val="28"/>
        <w:rtl/>
      </w:rPr>
      <w:t xml:space="preserve">בלמ"ס  </w:t>
    </w:r>
    <w:r>
      <w:rPr>
        <w:rFonts w:ascii="David" w:hAnsi="David" w:cs="David" w:hint="cs"/>
        <w:sz w:val="28"/>
        <w:szCs w:val="28"/>
        <w:rtl/>
      </w:rPr>
      <w:t xml:space="preserve">                                             </w:t>
    </w:r>
    <w:r w:rsidR="00C757A9" w:rsidRPr="00332557">
      <w:rPr>
        <w:rFonts w:ascii="David" w:hAnsi="David" w:cs="David"/>
        <w:sz w:val="28"/>
        <w:szCs w:val="28"/>
        <w:rtl/>
      </w:rPr>
      <w:t>ע"ת</w:t>
    </w:r>
    <w:r w:rsidR="00FE5823">
      <w:rPr>
        <w:rFonts w:ascii="David" w:hAnsi="David" w:cs="David" w:hint="cs"/>
        <w:sz w:val="28"/>
        <w:szCs w:val="28"/>
        <w:rtl/>
      </w:rPr>
      <w:t>/</w:t>
    </w:r>
    <w:r w:rsidR="00F87366">
      <w:rPr>
        <w:rFonts w:ascii="David" w:hAnsi="David" w:cs="David" w:hint="cs"/>
        <w:sz w:val="28"/>
        <w:szCs w:val="28"/>
        <w:rtl/>
      </w:rPr>
      <w:t>3</w:t>
    </w:r>
    <w:r w:rsidR="001B56D0">
      <w:rPr>
        <w:rFonts w:ascii="David" w:hAnsi="David" w:cs="David" w:hint="cs"/>
        <w:sz w:val="28"/>
        <w:szCs w:val="28"/>
        <w:rtl/>
      </w:rPr>
      <w:t xml:space="preserve">/22 </w:t>
    </w:r>
  </w:p>
  <w:p w14:paraId="6B643962" w14:textId="77777777" w:rsidR="00C757A9" w:rsidRPr="00332557" w:rsidRDefault="00C757A9" w:rsidP="00332557">
    <w:pPr>
      <w:pStyle w:val="a4"/>
      <w:rPr>
        <w:rFonts w:ascii="David" w:hAnsi="David" w:cs="Davi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1B196" w14:textId="7F98286D" w:rsidR="00C91BEF" w:rsidRDefault="00B636F1">
    <w:pPr>
      <w:pStyle w:val="a4"/>
    </w:pPr>
    <w:r>
      <w:rPr>
        <w:noProof/>
      </w:rPr>
      <mc:AlternateContent>
        <mc:Choice Requires="wps">
          <w:drawing>
            <wp:anchor distT="0" distB="0" distL="0" distR="0" simplePos="0" relativeHeight="251656704" behindDoc="0" locked="0" layoutInCell="1" allowOverlap="1" wp14:anchorId="0A0624E4" wp14:editId="240F7214">
              <wp:simplePos x="0" y="0"/>
              <wp:positionH relativeFrom="column">
                <wp:align>center</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1F36A33" w14:textId="77777777" w:rsidR="00C91BEF" w:rsidRPr="00C91BEF" w:rsidRDefault="00C91BEF">
                          <w:pPr>
                            <w:rPr>
                              <w:rFonts w:cs="Calibri"/>
                              <w:noProof/>
                              <w:color w:val="000000"/>
                              <w:sz w:val="20"/>
                              <w:szCs w:val="20"/>
                            </w:rPr>
                          </w:pPr>
                          <w:r w:rsidRPr="00C91BEF">
                            <w:rPr>
                              <w:rFonts w:cs="Calibri"/>
                              <w:noProof/>
                              <w:color w:val="000000"/>
                              <w:sz w:val="20"/>
                              <w:szCs w:val="20"/>
                              <w:rtl/>
                            </w:rPr>
                            <w:t>- בלמ"ס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A0624E4" id="_x0000_t202" coordsize="21600,21600" o:spt="202" path="m,l,21600r21600,l21600,xe">
              <v:stroke joinstyle="miter"/>
              <v:path gradientshapeok="t" o:connecttype="rect"/>
            </v:shapetype>
            <v:shape id="Text Box 1"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&#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DouBeMgAgAAVQQAAA4AAAAAAAAAAAAAAAAALgIAAGRycy9lMm9Eb2MueG1sUEsBAi0AFAAG&#10;AAgAAAAhAISw0yjWAAAAAwEAAA8AAAAAAAAAAAAAAAAAegQAAGRycy9kb3ducmV2LnhtbFBLBQYA&#10;AAAABAAEAPMAAAB9BQAAAAA=&#10;" filled="f" stroked="f">
              <v:textbox style="mso-fit-shape-to-text:t" inset="0,0,0,0">
                <w:txbxContent>
                  <w:p w14:paraId="01F36A33" w14:textId="77777777" w:rsidR="00C91BEF" w:rsidRPr="00C91BEF" w:rsidRDefault="00C91BEF">
                    <w:pPr>
                      <w:rPr>
                        <w:rFonts w:cs="Calibri"/>
                        <w:noProof/>
                        <w:color w:val="000000"/>
                        <w:sz w:val="20"/>
                        <w:szCs w:val="20"/>
                      </w:rPr>
                    </w:pPr>
                    <w:r w:rsidRPr="00C91BEF">
                      <w:rPr>
                        <w:rFonts w:cs="Calibri"/>
                        <w:noProof/>
                        <w:color w:val="000000"/>
                        <w:sz w:val="20"/>
                        <w:szCs w:val="20"/>
                        <w:rtl/>
                      </w:rPr>
                      <w:t>- בלמ"ס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993"/>
    <w:multiLevelType w:val="hybridMultilevel"/>
    <w:tmpl w:val="6CFA1FE4"/>
    <w:lvl w:ilvl="0" w:tplc="6BECC7F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26591"/>
    <w:multiLevelType w:val="hybridMultilevel"/>
    <w:tmpl w:val="5B9A9502"/>
    <w:lvl w:ilvl="0" w:tplc="E348DAB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A9"/>
    <w:rsid w:val="00011BA5"/>
    <w:rsid w:val="000203AE"/>
    <w:rsid w:val="00031B79"/>
    <w:rsid w:val="00050805"/>
    <w:rsid w:val="00054E12"/>
    <w:rsid w:val="00057493"/>
    <w:rsid w:val="0006561D"/>
    <w:rsid w:val="00084C29"/>
    <w:rsid w:val="00087933"/>
    <w:rsid w:val="000B76F0"/>
    <w:rsid w:val="000C4BE2"/>
    <w:rsid w:val="000D2FC0"/>
    <w:rsid w:val="000D5CBE"/>
    <w:rsid w:val="000F78E6"/>
    <w:rsid w:val="001154AF"/>
    <w:rsid w:val="00117925"/>
    <w:rsid w:val="00136889"/>
    <w:rsid w:val="00146751"/>
    <w:rsid w:val="001950BE"/>
    <w:rsid w:val="00197181"/>
    <w:rsid w:val="001A66D5"/>
    <w:rsid w:val="001A7ACA"/>
    <w:rsid w:val="001B56D0"/>
    <w:rsid w:val="001B7D0D"/>
    <w:rsid w:val="00205322"/>
    <w:rsid w:val="0021232B"/>
    <w:rsid w:val="00215F26"/>
    <w:rsid w:val="00226597"/>
    <w:rsid w:val="00236E2F"/>
    <w:rsid w:val="002419D4"/>
    <w:rsid w:val="00264472"/>
    <w:rsid w:val="00267FCA"/>
    <w:rsid w:val="00296423"/>
    <w:rsid w:val="002B0B23"/>
    <w:rsid w:val="002B378D"/>
    <w:rsid w:val="002B750B"/>
    <w:rsid w:val="002C1C23"/>
    <w:rsid w:val="002D2702"/>
    <w:rsid w:val="00316A8E"/>
    <w:rsid w:val="00326936"/>
    <w:rsid w:val="00332557"/>
    <w:rsid w:val="00333BC9"/>
    <w:rsid w:val="003447C1"/>
    <w:rsid w:val="00364903"/>
    <w:rsid w:val="00383324"/>
    <w:rsid w:val="003851F4"/>
    <w:rsid w:val="00390B93"/>
    <w:rsid w:val="003A1A98"/>
    <w:rsid w:val="003D4FB5"/>
    <w:rsid w:val="003D6BEB"/>
    <w:rsid w:val="00417376"/>
    <w:rsid w:val="00432BDC"/>
    <w:rsid w:val="00453F56"/>
    <w:rsid w:val="00475524"/>
    <w:rsid w:val="0048737D"/>
    <w:rsid w:val="004915E0"/>
    <w:rsid w:val="00493BC3"/>
    <w:rsid w:val="00496838"/>
    <w:rsid w:val="004A1124"/>
    <w:rsid w:val="004A3084"/>
    <w:rsid w:val="004A7005"/>
    <w:rsid w:val="004B5B1D"/>
    <w:rsid w:val="004F6F40"/>
    <w:rsid w:val="00556000"/>
    <w:rsid w:val="00565A76"/>
    <w:rsid w:val="00574D73"/>
    <w:rsid w:val="00580F47"/>
    <w:rsid w:val="00591743"/>
    <w:rsid w:val="005943D9"/>
    <w:rsid w:val="00596E62"/>
    <w:rsid w:val="005B001E"/>
    <w:rsid w:val="005C61B4"/>
    <w:rsid w:val="005D093F"/>
    <w:rsid w:val="006401B1"/>
    <w:rsid w:val="006805A4"/>
    <w:rsid w:val="00697BEE"/>
    <w:rsid w:val="006E1AA3"/>
    <w:rsid w:val="006E54DD"/>
    <w:rsid w:val="007002C7"/>
    <w:rsid w:val="00714CD4"/>
    <w:rsid w:val="007332A9"/>
    <w:rsid w:val="00755E5F"/>
    <w:rsid w:val="007567DA"/>
    <w:rsid w:val="00772F29"/>
    <w:rsid w:val="00793429"/>
    <w:rsid w:val="00797455"/>
    <w:rsid w:val="007B6BF4"/>
    <w:rsid w:val="007C45CE"/>
    <w:rsid w:val="007E7E4B"/>
    <w:rsid w:val="007F0E2B"/>
    <w:rsid w:val="00813BF4"/>
    <w:rsid w:val="00815A5E"/>
    <w:rsid w:val="00826CF3"/>
    <w:rsid w:val="008473FC"/>
    <w:rsid w:val="008478F7"/>
    <w:rsid w:val="00867E68"/>
    <w:rsid w:val="0087453D"/>
    <w:rsid w:val="0087773A"/>
    <w:rsid w:val="00885D37"/>
    <w:rsid w:val="00895B7E"/>
    <w:rsid w:val="008A617A"/>
    <w:rsid w:val="008C0F5F"/>
    <w:rsid w:val="008D0128"/>
    <w:rsid w:val="00906C58"/>
    <w:rsid w:val="00907192"/>
    <w:rsid w:val="009323A3"/>
    <w:rsid w:val="00933ADA"/>
    <w:rsid w:val="00954D53"/>
    <w:rsid w:val="009563B0"/>
    <w:rsid w:val="009637FA"/>
    <w:rsid w:val="009858A9"/>
    <w:rsid w:val="009866C5"/>
    <w:rsid w:val="009A0DC6"/>
    <w:rsid w:val="009C4046"/>
    <w:rsid w:val="009F4D51"/>
    <w:rsid w:val="00A02593"/>
    <w:rsid w:val="00A0621D"/>
    <w:rsid w:val="00A23453"/>
    <w:rsid w:val="00A51834"/>
    <w:rsid w:val="00A63839"/>
    <w:rsid w:val="00A67AD9"/>
    <w:rsid w:val="00A73EAF"/>
    <w:rsid w:val="00A92DEB"/>
    <w:rsid w:val="00A92E0C"/>
    <w:rsid w:val="00A97489"/>
    <w:rsid w:val="00AC22F9"/>
    <w:rsid w:val="00AD74F9"/>
    <w:rsid w:val="00B15C9B"/>
    <w:rsid w:val="00B319AB"/>
    <w:rsid w:val="00B35049"/>
    <w:rsid w:val="00B379E2"/>
    <w:rsid w:val="00B636F1"/>
    <w:rsid w:val="00B711A4"/>
    <w:rsid w:val="00B92901"/>
    <w:rsid w:val="00BD0F2A"/>
    <w:rsid w:val="00BD1DCD"/>
    <w:rsid w:val="00BE5B55"/>
    <w:rsid w:val="00BF58E7"/>
    <w:rsid w:val="00BF6C96"/>
    <w:rsid w:val="00C21AED"/>
    <w:rsid w:val="00C45219"/>
    <w:rsid w:val="00C757A9"/>
    <w:rsid w:val="00C91BEF"/>
    <w:rsid w:val="00CB32DB"/>
    <w:rsid w:val="00CD21B6"/>
    <w:rsid w:val="00CE366E"/>
    <w:rsid w:val="00CF5ABF"/>
    <w:rsid w:val="00D066B2"/>
    <w:rsid w:val="00D44303"/>
    <w:rsid w:val="00D46BF4"/>
    <w:rsid w:val="00D738C0"/>
    <w:rsid w:val="00D921F6"/>
    <w:rsid w:val="00D92A9E"/>
    <w:rsid w:val="00D9342E"/>
    <w:rsid w:val="00DA3039"/>
    <w:rsid w:val="00DB351E"/>
    <w:rsid w:val="00DC44E3"/>
    <w:rsid w:val="00DD3D6A"/>
    <w:rsid w:val="00DF3D67"/>
    <w:rsid w:val="00E01F7A"/>
    <w:rsid w:val="00E1160E"/>
    <w:rsid w:val="00E40D67"/>
    <w:rsid w:val="00E45381"/>
    <w:rsid w:val="00E53D1F"/>
    <w:rsid w:val="00E56966"/>
    <w:rsid w:val="00E757E6"/>
    <w:rsid w:val="00E81F39"/>
    <w:rsid w:val="00E86055"/>
    <w:rsid w:val="00E86AFB"/>
    <w:rsid w:val="00EC1C7B"/>
    <w:rsid w:val="00EE0201"/>
    <w:rsid w:val="00EF7869"/>
    <w:rsid w:val="00F06561"/>
    <w:rsid w:val="00F14E76"/>
    <w:rsid w:val="00F21CFF"/>
    <w:rsid w:val="00F350C2"/>
    <w:rsid w:val="00F36E10"/>
    <w:rsid w:val="00F37C81"/>
    <w:rsid w:val="00F41EEC"/>
    <w:rsid w:val="00F87366"/>
    <w:rsid w:val="00F905E7"/>
    <w:rsid w:val="00FA2083"/>
    <w:rsid w:val="00FA5D13"/>
    <w:rsid w:val="00FC61A8"/>
    <w:rsid w:val="00FD6307"/>
    <w:rsid w:val="00FE1177"/>
    <w:rsid w:val="00FE5823"/>
    <w:rsid w:val="00FF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B0126"/>
  <w15:docId w15:val="{09352021-B54E-4A55-BDE6-8B4CD6DE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2A9"/>
    <w:pPr>
      <w:ind w:left="720"/>
      <w:contextualSpacing/>
    </w:pPr>
  </w:style>
  <w:style w:type="paragraph" w:styleId="a4">
    <w:name w:val="header"/>
    <w:basedOn w:val="a"/>
    <w:link w:val="a5"/>
    <w:uiPriority w:val="99"/>
    <w:unhideWhenUsed/>
    <w:rsid w:val="00C757A9"/>
    <w:pPr>
      <w:tabs>
        <w:tab w:val="center" w:pos="4153"/>
        <w:tab w:val="right" w:pos="8306"/>
      </w:tabs>
      <w:spacing w:after="0" w:line="240" w:lineRule="auto"/>
    </w:pPr>
  </w:style>
  <w:style w:type="character" w:customStyle="1" w:styleId="a5">
    <w:name w:val="כותרת עליונה תו"/>
    <w:basedOn w:val="a0"/>
    <w:link w:val="a4"/>
    <w:uiPriority w:val="99"/>
    <w:rsid w:val="00C757A9"/>
  </w:style>
  <w:style w:type="paragraph" w:styleId="a6">
    <w:name w:val="footer"/>
    <w:basedOn w:val="a"/>
    <w:link w:val="a7"/>
    <w:uiPriority w:val="99"/>
    <w:unhideWhenUsed/>
    <w:rsid w:val="00C757A9"/>
    <w:pPr>
      <w:tabs>
        <w:tab w:val="center" w:pos="4153"/>
        <w:tab w:val="right" w:pos="8306"/>
      </w:tabs>
      <w:spacing w:after="0" w:line="240" w:lineRule="auto"/>
    </w:pPr>
  </w:style>
  <w:style w:type="character" w:customStyle="1" w:styleId="a7">
    <w:name w:val="כותרת תחתונה תו"/>
    <w:basedOn w:val="a0"/>
    <w:link w:val="a6"/>
    <w:uiPriority w:val="99"/>
    <w:rsid w:val="00C757A9"/>
  </w:style>
  <w:style w:type="character" w:styleId="a8">
    <w:name w:val="annotation reference"/>
    <w:uiPriority w:val="99"/>
    <w:semiHidden/>
    <w:unhideWhenUsed/>
    <w:rsid w:val="00136889"/>
    <w:rPr>
      <w:sz w:val="16"/>
      <w:szCs w:val="16"/>
    </w:rPr>
  </w:style>
  <w:style w:type="paragraph" w:styleId="a9">
    <w:name w:val="annotation text"/>
    <w:basedOn w:val="a"/>
    <w:link w:val="aa"/>
    <w:uiPriority w:val="99"/>
    <w:unhideWhenUsed/>
    <w:rsid w:val="00136889"/>
    <w:pPr>
      <w:spacing w:line="240" w:lineRule="auto"/>
    </w:pPr>
    <w:rPr>
      <w:sz w:val="20"/>
      <w:szCs w:val="20"/>
    </w:rPr>
  </w:style>
  <w:style w:type="character" w:customStyle="1" w:styleId="aa">
    <w:name w:val="טקסט הערה תו"/>
    <w:link w:val="a9"/>
    <w:uiPriority w:val="99"/>
    <w:rsid w:val="00136889"/>
    <w:rPr>
      <w:sz w:val="20"/>
      <w:szCs w:val="20"/>
    </w:rPr>
  </w:style>
  <w:style w:type="paragraph" w:styleId="ab">
    <w:name w:val="annotation subject"/>
    <w:basedOn w:val="a9"/>
    <w:next w:val="a9"/>
    <w:link w:val="ac"/>
    <w:uiPriority w:val="99"/>
    <w:semiHidden/>
    <w:unhideWhenUsed/>
    <w:rsid w:val="00136889"/>
    <w:rPr>
      <w:b/>
      <w:bCs/>
    </w:rPr>
  </w:style>
  <w:style w:type="character" w:customStyle="1" w:styleId="ac">
    <w:name w:val="נושא הערה תו"/>
    <w:link w:val="ab"/>
    <w:uiPriority w:val="99"/>
    <w:semiHidden/>
    <w:rsid w:val="00136889"/>
    <w:rPr>
      <w:b/>
      <w:bCs/>
      <w:sz w:val="20"/>
      <w:szCs w:val="20"/>
    </w:rPr>
  </w:style>
  <w:style w:type="paragraph" w:styleId="ad">
    <w:name w:val="Balloon Text"/>
    <w:basedOn w:val="a"/>
    <w:link w:val="ae"/>
    <w:uiPriority w:val="99"/>
    <w:semiHidden/>
    <w:unhideWhenUsed/>
    <w:rsid w:val="00136889"/>
    <w:pPr>
      <w:spacing w:after="0" w:line="240" w:lineRule="auto"/>
    </w:pPr>
    <w:rPr>
      <w:rFonts w:ascii="Tahoma" w:hAnsi="Tahoma" w:cs="Tahoma"/>
      <w:sz w:val="18"/>
      <w:szCs w:val="18"/>
    </w:rPr>
  </w:style>
  <w:style w:type="character" w:customStyle="1" w:styleId="ae">
    <w:name w:val="טקסט בלונים תו"/>
    <w:link w:val="ad"/>
    <w:uiPriority w:val="99"/>
    <w:semiHidden/>
    <w:rsid w:val="00136889"/>
    <w:rPr>
      <w:rFonts w:ascii="Tahoma" w:hAnsi="Tahoma" w:cs="Tahoma"/>
      <w:sz w:val="18"/>
      <w:szCs w:val="18"/>
    </w:rPr>
  </w:style>
  <w:style w:type="paragraph" w:styleId="af">
    <w:name w:val="Revision"/>
    <w:hidden/>
    <w:uiPriority w:val="99"/>
    <w:semiHidden/>
    <w:rsid w:val="009637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C8AA-7B43-4DC0-A2BF-A7D02798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1914</Words>
  <Characters>10915</Characters>
  <Application>Microsoft Office Word</Application>
  <DocSecurity>0</DocSecurity>
  <Lines>90</Lines>
  <Paragraphs>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cp:lastModifiedBy>u14172</cp:lastModifiedBy>
  <cp:revision>11</cp:revision>
  <cp:lastPrinted>2022-07-18T10:31:00Z</cp:lastPrinted>
  <dcterms:created xsi:type="dcterms:W3CDTF">2022-07-03T08:56:00Z</dcterms:created>
  <dcterms:modified xsi:type="dcterms:W3CDTF">2022-08-02T08:03:00Z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2022-06-20T19:32:10Z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82d3c0e6-57fd-426b-8df5-1bd0701bb69d</vt:lpwstr>
  </property>
  <property fmtid="{D5CDD505-2E9C-101B-9397-08002B2CF9AE}" pid="11" name="MSIP_Label_701b9bfc-c426-492e-a46c-1a922d5fe54b_ContentBits">
    <vt:lpwstr>1</vt:lpwstr>
  </property>
</Properties>
</file>