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06" w:rsidRDefault="00A35787" w:rsidP="005C5706">
      <w:pPr>
        <w:spacing w:line="360" w:lineRule="auto"/>
        <w:jc w:val="center"/>
        <w:rPr>
          <w:rFonts w:ascii="David" w:hAnsi="David" w:cs="David"/>
          <w:b/>
          <w:bCs/>
          <w:sz w:val="28"/>
          <w:szCs w:val="28"/>
          <w:u w:val="single"/>
          <w:rtl/>
        </w:rPr>
      </w:pPr>
      <w:r w:rsidRPr="002E2D0A">
        <w:rPr>
          <w:noProof/>
        </w:rPr>
        <w:drawing>
          <wp:inline distT="0" distB="0" distL="0" distR="0">
            <wp:extent cx="275209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914400"/>
                    </a:xfrm>
                    <a:prstGeom prst="rect">
                      <a:avLst/>
                    </a:prstGeom>
                    <a:noFill/>
                    <a:ln>
                      <a:noFill/>
                    </a:ln>
                  </pic:spPr>
                </pic:pic>
              </a:graphicData>
            </a:graphic>
          </wp:inline>
        </w:drawing>
      </w:r>
    </w:p>
    <w:p w:rsidR="005C5706" w:rsidRDefault="005C5706" w:rsidP="00D41164">
      <w:pPr>
        <w:spacing w:line="360" w:lineRule="auto"/>
        <w:jc w:val="center"/>
        <w:rPr>
          <w:rFonts w:ascii="David" w:hAnsi="David" w:cs="David" w:hint="cs"/>
          <w:b/>
          <w:bCs/>
          <w:sz w:val="28"/>
          <w:szCs w:val="28"/>
          <w:u w:val="single"/>
          <w:rtl/>
        </w:rPr>
      </w:pPr>
    </w:p>
    <w:p w:rsidR="00D41164" w:rsidRDefault="00D41164" w:rsidP="00D41164">
      <w:pPr>
        <w:spacing w:line="360" w:lineRule="auto"/>
        <w:jc w:val="center"/>
        <w:rPr>
          <w:rFonts w:ascii="David" w:hAnsi="David" w:cs="David"/>
          <w:b/>
          <w:bCs/>
          <w:sz w:val="28"/>
          <w:szCs w:val="28"/>
          <w:u w:val="single"/>
          <w:rtl/>
        </w:rPr>
      </w:pPr>
      <w:r>
        <w:rPr>
          <w:rFonts w:ascii="David" w:hAnsi="David" w:cs="David" w:hint="cs"/>
          <w:b/>
          <w:bCs/>
          <w:sz w:val="28"/>
          <w:szCs w:val="28"/>
          <w:u w:val="single"/>
          <w:rtl/>
        </w:rPr>
        <w:t>בבית הדין הצבאי לערעורים</w:t>
      </w:r>
    </w:p>
    <w:p w:rsidR="008D755D" w:rsidRPr="0082329E" w:rsidRDefault="008D755D" w:rsidP="008D755D">
      <w:pPr>
        <w:spacing w:after="0" w:line="480" w:lineRule="auto"/>
        <w:jc w:val="both"/>
        <w:rPr>
          <w:rFonts w:ascii="Times New Roman" w:eastAsia="Times New Roman" w:hAnsi="Times New Roman" w:cs="David" w:hint="cs"/>
          <w:sz w:val="28"/>
          <w:szCs w:val="28"/>
          <w:rtl/>
        </w:rPr>
      </w:pPr>
      <w:r w:rsidRPr="0082329E">
        <w:rPr>
          <w:rFonts w:ascii="Times New Roman" w:eastAsia="Times New Roman" w:hAnsi="Times New Roman" w:cs="David"/>
          <w:sz w:val="28"/>
          <w:szCs w:val="28"/>
          <w:rtl/>
        </w:rPr>
        <w:t>בפני:</w:t>
      </w:r>
    </w:p>
    <w:p w:rsidR="008D755D" w:rsidRDefault="008D755D" w:rsidP="008D755D">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 xml:space="preserve">תא"ל אורלי מרקמן - </w:t>
      </w:r>
      <w:r>
        <w:rPr>
          <w:rFonts w:ascii="Times New Roman" w:eastAsia="Times New Roman" w:hAnsi="Times New Roman" w:cs="David" w:hint="cs"/>
          <w:sz w:val="28"/>
          <w:szCs w:val="28"/>
          <w:rtl/>
        </w:rPr>
        <w:t>המשנה לנשיא</w:t>
      </w:r>
    </w:p>
    <w:p w:rsidR="00656D40" w:rsidRPr="00656D40" w:rsidRDefault="00656D40" w:rsidP="00BB6E88">
      <w:pPr>
        <w:spacing w:after="0" w:line="480" w:lineRule="auto"/>
        <w:jc w:val="both"/>
        <w:rPr>
          <w:rFonts w:ascii="Times New Roman" w:eastAsia="Times New Roman" w:hAnsi="Times New Roman" w:cs="David"/>
          <w:sz w:val="28"/>
          <w:szCs w:val="28"/>
          <w:rtl/>
        </w:rPr>
      </w:pPr>
      <w:r w:rsidRPr="00656D40">
        <w:rPr>
          <w:rFonts w:ascii="Times New Roman" w:eastAsia="Times New Roman" w:hAnsi="Times New Roman" w:cs="David"/>
          <w:sz w:val="28"/>
          <w:szCs w:val="28"/>
          <w:rtl/>
        </w:rPr>
        <w:t>בעניין:</w:t>
      </w:r>
    </w:p>
    <w:p w:rsidR="0056405B" w:rsidRPr="00656D40" w:rsidRDefault="0056405B" w:rsidP="0056405B">
      <w:pPr>
        <w:spacing w:before="360" w:after="0" w:line="480" w:lineRule="auto"/>
        <w:jc w:val="center"/>
        <w:rPr>
          <w:rFonts w:ascii="Tahoma" w:eastAsia="Times New Roman" w:hAnsi="Tahoma" w:cs="David"/>
          <w:sz w:val="20"/>
          <w:szCs w:val="28"/>
          <w:rtl/>
        </w:rPr>
      </w:pPr>
      <w:r w:rsidRPr="00656D40">
        <w:rPr>
          <w:rFonts w:ascii="Times New Roman" w:eastAsia="Times New Roman" w:hAnsi="Times New Roman" w:cs="David" w:hint="cs"/>
          <w:b/>
          <w:bCs/>
          <w:sz w:val="28"/>
          <w:szCs w:val="28"/>
          <w:rtl/>
        </w:rPr>
        <w:t xml:space="preserve">התובע הצבאי הראשי </w:t>
      </w:r>
      <w:r w:rsidRPr="00656D40">
        <w:rPr>
          <w:rFonts w:ascii="Times New Roman" w:eastAsia="Times New Roman" w:hAnsi="Times New Roman" w:cs="David"/>
          <w:b/>
          <w:bCs/>
          <w:sz w:val="28"/>
          <w:szCs w:val="28"/>
          <w:rtl/>
        </w:rPr>
        <w:t>–</w:t>
      </w:r>
      <w:r w:rsidRPr="00656D40">
        <w:rPr>
          <w:rFonts w:ascii="Times New Roman" w:eastAsia="Times New Roman" w:hAnsi="Times New Roman" w:cs="David"/>
          <w:sz w:val="28"/>
          <w:szCs w:val="28"/>
          <w:rtl/>
        </w:rPr>
        <w:t xml:space="preserve"> המ</w:t>
      </w:r>
      <w:r w:rsidR="002D74DE">
        <w:rPr>
          <w:rFonts w:ascii="Times New Roman" w:eastAsia="Times New Roman" w:hAnsi="Times New Roman" w:cs="David" w:hint="cs"/>
          <w:sz w:val="28"/>
          <w:szCs w:val="28"/>
          <w:rtl/>
        </w:rPr>
        <w:t>ערער</w:t>
      </w:r>
      <w:r w:rsidRPr="00656D40">
        <w:rPr>
          <w:rFonts w:ascii="Times New Roman" w:eastAsia="Times New Roman" w:hAnsi="Times New Roman" w:cs="David"/>
          <w:sz w:val="28"/>
          <w:szCs w:val="28"/>
          <w:rtl/>
        </w:rPr>
        <w:t xml:space="preserve"> (ע"י ב"כ</w:t>
      </w:r>
      <w:r w:rsidRPr="00656D40">
        <w:rPr>
          <w:rFonts w:ascii="Times New Roman" w:eastAsia="Times New Roman" w:hAnsi="Times New Roman" w:cs="David" w:hint="cs"/>
          <w:sz w:val="28"/>
          <w:szCs w:val="28"/>
          <w:rtl/>
        </w:rPr>
        <w:t xml:space="preserve">, </w:t>
      </w:r>
      <w:r w:rsidRPr="00656D40">
        <w:rPr>
          <w:rFonts w:ascii="Tahoma" w:eastAsia="Times New Roman" w:hAnsi="Tahoma" w:cs="David"/>
          <w:sz w:val="20"/>
          <w:szCs w:val="28"/>
          <w:rtl/>
        </w:rPr>
        <w:t>ס</w:t>
      </w:r>
      <w:r w:rsidRPr="00656D40">
        <w:rPr>
          <w:rFonts w:ascii="Tahoma" w:eastAsia="Times New Roman" w:hAnsi="Tahoma" w:cs="David" w:hint="cs"/>
          <w:sz w:val="20"/>
          <w:szCs w:val="28"/>
          <w:rtl/>
        </w:rPr>
        <w:t>ר</w:t>
      </w:r>
      <w:r w:rsidRPr="00656D40">
        <w:rPr>
          <w:rFonts w:ascii="Tahoma" w:eastAsia="Times New Roman" w:hAnsi="Tahoma" w:cs="David"/>
          <w:sz w:val="20"/>
          <w:szCs w:val="28"/>
          <w:rtl/>
        </w:rPr>
        <w:t xml:space="preserve">ן </w:t>
      </w:r>
      <w:r>
        <w:rPr>
          <w:rFonts w:ascii="Tahoma" w:eastAsia="Times New Roman" w:hAnsi="Tahoma" w:cs="David" w:hint="cs"/>
          <w:sz w:val="20"/>
          <w:szCs w:val="28"/>
          <w:rtl/>
        </w:rPr>
        <w:t>אריאלה סגל; סרן קרן נחמן</w:t>
      </w:r>
      <w:r>
        <w:rPr>
          <w:rFonts w:ascii="Times New Roman" w:eastAsia="Times New Roman" w:hAnsi="Times New Roman" w:cs="David" w:hint="cs"/>
          <w:sz w:val="28"/>
          <w:szCs w:val="28"/>
          <w:rtl/>
        </w:rPr>
        <w:t xml:space="preserve"> מישאלוף</w:t>
      </w:r>
      <w:r w:rsidRPr="00656D40">
        <w:rPr>
          <w:rFonts w:ascii="Times New Roman" w:eastAsia="Times New Roman" w:hAnsi="Times New Roman" w:cs="David" w:hint="cs"/>
          <w:sz w:val="28"/>
          <w:szCs w:val="28"/>
          <w:rtl/>
        </w:rPr>
        <w:t>)</w:t>
      </w:r>
    </w:p>
    <w:p w:rsidR="00656D40" w:rsidRDefault="00656D40" w:rsidP="00656D40">
      <w:pPr>
        <w:spacing w:before="240" w:after="240" w:line="360" w:lineRule="auto"/>
        <w:jc w:val="center"/>
        <w:rPr>
          <w:rFonts w:ascii="Times New Roman" w:eastAsia="Times New Roman" w:hAnsi="Times New Roman" w:cs="David"/>
          <w:b/>
          <w:bCs/>
          <w:sz w:val="28"/>
          <w:szCs w:val="28"/>
          <w:rtl/>
        </w:rPr>
      </w:pPr>
      <w:r w:rsidRPr="00656D40">
        <w:rPr>
          <w:rFonts w:ascii="Times New Roman" w:eastAsia="Times New Roman" w:hAnsi="Times New Roman" w:cs="David"/>
          <w:b/>
          <w:bCs/>
          <w:sz w:val="28"/>
          <w:szCs w:val="28"/>
          <w:rtl/>
        </w:rPr>
        <w:t>נ ג ד</w:t>
      </w:r>
    </w:p>
    <w:p w:rsidR="008D755D" w:rsidRPr="00656D40" w:rsidRDefault="00941467" w:rsidP="008D755D">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פלוני</w:t>
      </w:r>
      <w:r w:rsidR="0056405B" w:rsidRPr="00656D40">
        <w:rPr>
          <w:rFonts w:ascii="Times New Roman" w:eastAsia="Times New Roman" w:hAnsi="Times New Roman" w:cs="David"/>
          <w:b/>
          <w:bCs/>
          <w:sz w:val="28"/>
          <w:szCs w:val="28"/>
          <w:rtl/>
        </w:rPr>
        <w:t xml:space="preserve"> –</w:t>
      </w:r>
      <w:r w:rsidR="0056405B" w:rsidRPr="00656D40">
        <w:rPr>
          <w:rFonts w:ascii="Times New Roman" w:eastAsia="Times New Roman" w:hAnsi="Times New Roman" w:cs="David"/>
          <w:sz w:val="28"/>
          <w:szCs w:val="28"/>
          <w:rtl/>
        </w:rPr>
        <w:t xml:space="preserve"> המ</w:t>
      </w:r>
      <w:r w:rsidR="002D74DE">
        <w:rPr>
          <w:rFonts w:ascii="Times New Roman" w:eastAsia="Times New Roman" w:hAnsi="Times New Roman" w:cs="David" w:hint="cs"/>
          <w:sz w:val="28"/>
          <w:szCs w:val="28"/>
          <w:rtl/>
        </w:rPr>
        <w:t>שיב</w:t>
      </w:r>
      <w:r w:rsidR="0056405B" w:rsidRPr="00656D40">
        <w:rPr>
          <w:rFonts w:ascii="Times New Roman" w:eastAsia="Times New Roman" w:hAnsi="Times New Roman" w:cs="David"/>
          <w:sz w:val="28"/>
          <w:szCs w:val="28"/>
          <w:rtl/>
        </w:rPr>
        <w:t xml:space="preserve"> (ע"י ב"כ,</w:t>
      </w:r>
      <w:r w:rsidR="0056405B">
        <w:rPr>
          <w:rFonts w:ascii="Times New Roman" w:eastAsia="Times New Roman" w:hAnsi="Times New Roman" w:cs="David" w:hint="cs"/>
          <w:sz w:val="28"/>
          <w:szCs w:val="28"/>
          <w:rtl/>
        </w:rPr>
        <w:t xml:space="preserve"> עו"ד קובי מרגולוב; עו"ד אלון הראל</w:t>
      </w:r>
      <w:r w:rsidR="0056405B" w:rsidRPr="00656D40">
        <w:rPr>
          <w:rFonts w:ascii="Times New Roman" w:eastAsia="Times New Roman" w:hAnsi="Times New Roman" w:cs="David"/>
          <w:sz w:val="28"/>
          <w:szCs w:val="28"/>
          <w:rtl/>
        </w:rPr>
        <w:t>)</w:t>
      </w:r>
    </w:p>
    <w:p w:rsidR="00656D40" w:rsidRPr="00656D40" w:rsidRDefault="00656D40" w:rsidP="0079755E">
      <w:pPr>
        <w:spacing w:before="360" w:after="240" w:line="360" w:lineRule="auto"/>
        <w:jc w:val="both"/>
        <w:rPr>
          <w:rFonts w:ascii="Times New Roman" w:eastAsia="Times New Roman" w:hAnsi="Times New Roman" w:cs="David"/>
          <w:sz w:val="28"/>
          <w:szCs w:val="28"/>
          <w:rtl/>
        </w:rPr>
      </w:pPr>
      <w:r w:rsidRPr="00656D40">
        <w:rPr>
          <w:rFonts w:ascii="Times New Roman" w:eastAsia="Times New Roman" w:hAnsi="Times New Roman" w:cs="David"/>
          <w:sz w:val="28"/>
          <w:szCs w:val="28"/>
          <w:rtl/>
        </w:rPr>
        <w:t xml:space="preserve">ערעור על </w:t>
      </w:r>
      <w:r w:rsidRPr="00656D40">
        <w:rPr>
          <w:rFonts w:ascii="Times New Roman" w:eastAsia="Times New Roman" w:hAnsi="Times New Roman" w:cs="David" w:hint="cs"/>
          <w:sz w:val="28"/>
          <w:szCs w:val="28"/>
          <w:rtl/>
        </w:rPr>
        <w:t>החלטה</w:t>
      </w:r>
      <w:r w:rsidRPr="00656D40">
        <w:rPr>
          <w:rFonts w:ascii="Times New Roman" w:eastAsia="Times New Roman" w:hAnsi="Times New Roman" w:cs="David"/>
          <w:sz w:val="28"/>
          <w:szCs w:val="28"/>
          <w:rtl/>
        </w:rPr>
        <w:t xml:space="preserve"> של בית הדין הצבאי המחוזי במחוז שיפוט</w:t>
      </w:r>
      <w:r w:rsidRPr="00656D40">
        <w:rPr>
          <w:rFonts w:ascii="Times New Roman" w:eastAsia="Times New Roman" w:hAnsi="Times New Roman" w:cs="David" w:hint="cs"/>
          <w:sz w:val="28"/>
          <w:szCs w:val="28"/>
          <w:rtl/>
        </w:rPr>
        <w:t>י</w:t>
      </w:r>
      <w:r w:rsidRPr="00656D40">
        <w:rPr>
          <w:rFonts w:ascii="Times New Roman" w:eastAsia="Times New Roman" w:hAnsi="Times New Roman" w:cs="David"/>
          <w:sz w:val="28"/>
          <w:szCs w:val="28"/>
          <w:rtl/>
        </w:rPr>
        <w:t xml:space="preserve"> </w:t>
      </w:r>
      <w:r w:rsidRPr="00656D40">
        <w:rPr>
          <w:rFonts w:ascii="Times New Roman" w:eastAsia="Times New Roman" w:hAnsi="Times New Roman" w:cs="David" w:hint="cs"/>
          <w:sz w:val="28"/>
          <w:szCs w:val="28"/>
          <w:rtl/>
        </w:rPr>
        <w:t xml:space="preserve">המטכ"ל </w:t>
      </w:r>
      <w:r w:rsidRPr="00656D40">
        <w:rPr>
          <w:rFonts w:ascii="Times New Roman" w:eastAsia="Times New Roman" w:hAnsi="Times New Roman" w:cs="David"/>
          <w:sz w:val="28"/>
          <w:szCs w:val="28"/>
          <w:rtl/>
        </w:rPr>
        <w:t>שניתן בתיק</w:t>
      </w:r>
      <w:r w:rsidRPr="00656D40">
        <w:rPr>
          <w:rFonts w:ascii="Times New Roman" w:eastAsia="Times New Roman" w:hAnsi="Times New Roman" w:cs="David" w:hint="cs"/>
          <w:sz w:val="28"/>
          <w:szCs w:val="28"/>
          <w:rtl/>
        </w:rPr>
        <w:t xml:space="preserve"> מטכ"ל (ב"ש) 5</w:t>
      </w:r>
      <w:r w:rsidR="00D906B6">
        <w:rPr>
          <w:rFonts w:ascii="Times New Roman" w:eastAsia="Times New Roman" w:hAnsi="Times New Roman" w:cs="David" w:hint="cs"/>
          <w:sz w:val="28"/>
          <w:szCs w:val="28"/>
          <w:rtl/>
        </w:rPr>
        <w:t>0</w:t>
      </w:r>
      <w:r w:rsidRPr="00656D40">
        <w:rPr>
          <w:rFonts w:ascii="Times New Roman" w:eastAsia="Times New Roman" w:hAnsi="Times New Roman" w:cs="David" w:hint="cs"/>
          <w:sz w:val="28"/>
          <w:szCs w:val="28"/>
          <w:rtl/>
        </w:rPr>
        <w:t xml:space="preserve">/20 </w:t>
      </w:r>
      <w:r w:rsidRPr="00656D40">
        <w:rPr>
          <w:rFonts w:ascii="Times New Roman" w:eastAsia="Times New Roman" w:hAnsi="Times New Roman" w:cs="David"/>
          <w:sz w:val="28"/>
          <w:szCs w:val="28"/>
          <w:rtl/>
        </w:rPr>
        <w:t>(</w:t>
      </w:r>
      <w:r w:rsidR="00D906B6">
        <w:rPr>
          <w:rFonts w:ascii="Times New Roman" w:eastAsia="Times New Roman" w:hAnsi="Times New Roman" w:cs="David" w:hint="cs"/>
          <w:sz w:val="28"/>
          <w:szCs w:val="28"/>
          <w:rtl/>
        </w:rPr>
        <w:t>סא"ל חיים בלילטי - שופט</w:t>
      </w:r>
      <w:r w:rsidRPr="00656D40">
        <w:rPr>
          <w:rFonts w:ascii="Times New Roman" w:eastAsia="Times New Roman" w:hAnsi="Times New Roman" w:cs="David"/>
          <w:sz w:val="28"/>
          <w:szCs w:val="28"/>
          <w:rtl/>
        </w:rPr>
        <w:t>) ב</w:t>
      </w:r>
      <w:r w:rsidRPr="00656D40">
        <w:rPr>
          <w:rFonts w:ascii="Times New Roman" w:eastAsia="Times New Roman" w:hAnsi="Times New Roman" w:cs="David" w:hint="cs"/>
          <w:sz w:val="28"/>
          <w:szCs w:val="28"/>
          <w:rtl/>
        </w:rPr>
        <w:t>יום 1</w:t>
      </w:r>
      <w:r w:rsidR="0056405B">
        <w:rPr>
          <w:rFonts w:ascii="Times New Roman" w:eastAsia="Times New Roman" w:hAnsi="Times New Roman" w:cs="David" w:hint="cs"/>
          <w:sz w:val="28"/>
          <w:szCs w:val="28"/>
          <w:rtl/>
        </w:rPr>
        <w:t>5</w:t>
      </w:r>
      <w:r w:rsidRPr="00656D40">
        <w:rPr>
          <w:rFonts w:ascii="Times New Roman" w:eastAsia="Times New Roman" w:hAnsi="Times New Roman" w:cs="David" w:hint="cs"/>
          <w:sz w:val="28"/>
          <w:szCs w:val="28"/>
          <w:rtl/>
        </w:rPr>
        <w:t>.</w:t>
      </w:r>
      <w:r w:rsidR="00D906B6">
        <w:rPr>
          <w:rFonts w:ascii="Times New Roman" w:eastAsia="Times New Roman" w:hAnsi="Times New Roman" w:cs="David" w:hint="cs"/>
          <w:sz w:val="28"/>
          <w:szCs w:val="28"/>
          <w:rtl/>
        </w:rPr>
        <w:t>11</w:t>
      </w:r>
      <w:r w:rsidRPr="00656D40">
        <w:rPr>
          <w:rFonts w:ascii="Times New Roman" w:eastAsia="Times New Roman" w:hAnsi="Times New Roman" w:cs="David" w:hint="cs"/>
          <w:sz w:val="28"/>
          <w:szCs w:val="28"/>
          <w:rtl/>
        </w:rPr>
        <w:t>.2020</w:t>
      </w:r>
      <w:r w:rsidRPr="00656D40">
        <w:rPr>
          <w:rFonts w:ascii="Times New Roman" w:eastAsia="Times New Roman" w:hAnsi="Times New Roman" w:cs="David"/>
          <w:sz w:val="28"/>
          <w:szCs w:val="28"/>
          <w:rtl/>
        </w:rPr>
        <w:t xml:space="preserve">. הערעור </w:t>
      </w:r>
      <w:r w:rsidRPr="00656D40">
        <w:rPr>
          <w:rFonts w:ascii="Times New Roman" w:eastAsia="Times New Roman" w:hAnsi="Times New Roman" w:cs="David" w:hint="cs"/>
          <w:sz w:val="28"/>
          <w:szCs w:val="28"/>
          <w:rtl/>
        </w:rPr>
        <w:t>התקבל</w:t>
      </w:r>
      <w:r w:rsidRPr="00656D40">
        <w:rPr>
          <w:rFonts w:ascii="Times New Roman" w:eastAsia="Times New Roman" w:hAnsi="Times New Roman" w:cs="David"/>
          <w:sz w:val="28"/>
          <w:szCs w:val="28"/>
          <w:rtl/>
        </w:rPr>
        <w:t>.</w:t>
      </w:r>
    </w:p>
    <w:p w:rsidR="00CE70E6" w:rsidRDefault="002939D2" w:rsidP="00656D40">
      <w:pPr>
        <w:spacing w:line="360" w:lineRule="auto"/>
        <w:jc w:val="center"/>
        <w:rPr>
          <w:rFonts w:ascii="David" w:hAnsi="David" w:cs="David"/>
          <w:b/>
          <w:bCs/>
          <w:sz w:val="28"/>
          <w:szCs w:val="28"/>
          <w:u w:val="single"/>
          <w:rtl/>
        </w:rPr>
      </w:pPr>
      <w:r w:rsidRPr="002939D2">
        <w:rPr>
          <w:rFonts w:ascii="David" w:hAnsi="David" w:cs="David" w:hint="cs"/>
          <w:b/>
          <w:bCs/>
          <w:sz w:val="28"/>
          <w:szCs w:val="28"/>
          <w:u w:val="single"/>
          <w:rtl/>
        </w:rPr>
        <w:t>ה</w:t>
      </w:r>
      <w:r w:rsidR="0056405B">
        <w:rPr>
          <w:rFonts w:ascii="David" w:hAnsi="David" w:cs="David" w:hint="cs"/>
          <w:b/>
          <w:bCs/>
          <w:sz w:val="28"/>
          <w:szCs w:val="28"/>
          <w:u w:val="single"/>
          <w:rtl/>
        </w:rPr>
        <w:t xml:space="preserve"> </w:t>
      </w:r>
      <w:r w:rsidRPr="002939D2">
        <w:rPr>
          <w:rFonts w:ascii="David" w:hAnsi="David" w:cs="David" w:hint="cs"/>
          <w:b/>
          <w:bCs/>
          <w:sz w:val="28"/>
          <w:szCs w:val="28"/>
          <w:u w:val="single"/>
          <w:rtl/>
        </w:rPr>
        <w:t>ח</w:t>
      </w:r>
      <w:r w:rsidR="0056405B">
        <w:rPr>
          <w:rFonts w:ascii="David" w:hAnsi="David" w:cs="David" w:hint="cs"/>
          <w:b/>
          <w:bCs/>
          <w:sz w:val="28"/>
          <w:szCs w:val="28"/>
          <w:u w:val="single"/>
          <w:rtl/>
        </w:rPr>
        <w:t xml:space="preserve"> </w:t>
      </w:r>
      <w:r w:rsidRPr="002939D2">
        <w:rPr>
          <w:rFonts w:ascii="David" w:hAnsi="David" w:cs="David" w:hint="cs"/>
          <w:b/>
          <w:bCs/>
          <w:sz w:val="28"/>
          <w:szCs w:val="28"/>
          <w:u w:val="single"/>
          <w:rtl/>
        </w:rPr>
        <w:t>ל</w:t>
      </w:r>
      <w:r w:rsidR="0056405B">
        <w:rPr>
          <w:rFonts w:ascii="David" w:hAnsi="David" w:cs="David" w:hint="cs"/>
          <w:b/>
          <w:bCs/>
          <w:sz w:val="28"/>
          <w:szCs w:val="28"/>
          <w:u w:val="single"/>
          <w:rtl/>
        </w:rPr>
        <w:t xml:space="preserve"> </w:t>
      </w:r>
      <w:r w:rsidRPr="002939D2">
        <w:rPr>
          <w:rFonts w:ascii="David" w:hAnsi="David" w:cs="David" w:hint="cs"/>
          <w:b/>
          <w:bCs/>
          <w:sz w:val="28"/>
          <w:szCs w:val="28"/>
          <w:u w:val="single"/>
          <w:rtl/>
        </w:rPr>
        <w:t>ט</w:t>
      </w:r>
      <w:r w:rsidR="0056405B">
        <w:rPr>
          <w:rFonts w:ascii="David" w:hAnsi="David" w:cs="David" w:hint="cs"/>
          <w:b/>
          <w:bCs/>
          <w:sz w:val="28"/>
          <w:szCs w:val="28"/>
          <w:u w:val="single"/>
          <w:rtl/>
        </w:rPr>
        <w:t xml:space="preserve"> </w:t>
      </w:r>
      <w:r w:rsidRPr="002939D2">
        <w:rPr>
          <w:rFonts w:ascii="David" w:hAnsi="David" w:cs="David" w:hint="cs"/>
          <w:b/>
          <w:bCs/>
          <w:sz w:val="28"/>
          <w:szCs w:val="28"/>
          <w:u w:val="single"/>
          <w:rtl/>
        </w:rPr>
        <w:t>ה</w:t>
      </w:r>
    </w:p>
    <w:p w:rsidR="002939D2" w:rsidRPr="002939D2" w:rsidRDefault="002939D2" w:rsidP="002939D2">
      <w:pPr>
        <w:spacing w:line="360" w:lineRule="auto"/>
        <w:rPr>
          <w:rFonts w:ascii="David" w:hAnsi="David" w:cs="David"/>
          <w:b/>
          <w:bCs/>
          <w:sz w:val="28"/>
          <w:szCs w:val="28"/>
          <w:u w:val="single"/>
          <w:rtl/>
        </w:rPr>
      </w:pPr>
      <w:r w:rsidRPr="002939D2">
        <w:rPr>
          <w:rFonts w:ascii="David" w:hAnsi="David" w:cs="David"/>
          <w:b/>
          <w:bCs/>
          <w:sz w:val="28"/>
          <w:szCs w:val="28"/>
          <w:u w:val="single"/>
          <w:rtl/>
        </w:rPr>
        <w:t>כללי</w:t>
      </w:r>
    </w:p>
    <w:p w:rsidR="002939D2" w:rsidRPr="00E35684" w:rsidRDefault="002939D2" w:rsidP="00656D40">
      <w:pPr>
        <w:pStyle w:val="ListParagraph"/>
        <w:numPr>
          <w:ilvl w:val="0"/>
          <w:numId w:val="5"/>
        </w:numPr>
        <w:spacing w:after="0" w:line="360" w:lineRule="auto"/>
        <w:ind w:left="0" w:firstLine="0"/>
        <w:jc w:val="both"/>
        <w:rPr>
          <w:rFonts w:ascii="David" w:hAnsi="David" w:cs="David"/>
          <w:sz w:val="28"/>
          <w:szCs w:val="28"/>
          <w:rtl/>
        </w:rPr>
      </w:pPr>
      <w:r w:rsidRPr="00E35684">
        <w:rPr>
          <w:rFonts w:ascii="David" w:hAnsi="David" w:cs="David" w:hint="cs"/>
          <w:sz w:val="28"/>
          <w:szCs w:val="28"/>
          <w:rtl/>
        </w:rPr>
        <w:t xml:space="preserve">ביום 9.7.2020 הוגש כנגד המשיב כתב אישום. בכתב האישום יוחסו למשיב שתי </w:t>
      </w:r>
      <w:r w:rsidRPr="00E35684">
        <w:rPr>
          <w:rFonts w:ascii="David" w:hAnsi="David" w:cs="David"/>
          <w:sz w:val="28"/>
          <w:szCs w:val="28"/>
          <w:rtl/>
        </w:rPr>
        <w:t xml:space="preserve">עבירות של </w:t>
      </w:r>
      <w:r w:rsidRPr="00E35684">
        <w:rPr>
          <w:rFonts w:ascii="David" w:hAnsi="David" w:cs="David" w:hint="cs"/>
          <w:sz w:val="28"/>
          <w:szCs w:val="28"/>
          <w:rtl/>
        </w:rPr>
        <w:t>מעשה מגונה בנסיבות השוללות מתן הסכמה חופשית</w:t>
      </w:r>
      <w:r w:rsidR="00727740">
        <w:rPr>
          <w:rFonts w:ascii="David" w:hAnsi="David" w:cs="David" w:hint="cs"/>
          <w:sz w:val="28"/>
          <w:szCs w:val="28"/>
          <w:rtl/>
        </w:rPr>
        <w:t>,</w:t>
      </w:r>
      <w:r w:rsidRPr="00E35684">
        <w:rPr>
          <w:rFonts w:ascii="David" w:hAnsi="David" w:cs="David"/>
          <w:sz w:val="28"/>
          <w:szCs w:val="28"/>
          <w:rtl/>
        </w:rPr>
        <w:t xml:space="preserve"> לפי סעי</w:t>
      </w:r>
      <w:r w:rsidRPr="00E35684">
        <w:rPr>
          <w:rFonts w:ascii="David" w:hAnsi="David" w:cs="David" w:hint="cs"/>
          <w:sz w:val="28"/>
          <w:szCs w:val="28"/>
          <w:rtl/>
        </w:rPr>
        <w:t>פים</w:t>
      </w:r>
      <w:r w:rsidRPr="00E35684">
        <w:rPr>
          <w:rFonts w:ascii="David" w:hAnsi="David" w:cs="David"/>
          <w:sz w:val="28"/>
          <w:szCs w:val="28"/>
          <w:rtl/>
        </w:rPr>
        <w:t xml:space="preserve"> </w:t>
      </w:r>
      <w:r w:rsidRPr="00E35684">
        <w:rPr>
          <w:rFonts w:ascii="David" w:hAnsi="David" w:cs="David" w:hint="cs"/>
          <w:sz w:val="28"/>
          <w:szCs w:val="28"/>
          <w:rtl/>
        </w:rPr>
        <w:t>348(א), 345(א)(4) ו-355 לחוק העונשין</w:t>
      </w:r>
      <w:r w:rsidRPr="00E35684">
        <w:rPr>
          <w:rFonts w:ascii="David" w:hAnsi="David" w:cs="David"/>
          <w:sz w:val="28"/>
          <w:szCs w:val="28"/>
          <w:rtl/>
        </w:rPr>
        <w:t xml:space="preserve">, התשל"ז-1977; </w:t>
      </w:r>
      <w:r w:rsidRPr="00E35684">
        <w:rPr>
          <w:rFonts w:ascii="David" w:hAnsi="David" w:cs="David" w:hint="cs"/>
          <w:sz w:val="28"/>
          <w:szCs w:val="28"/>
          <w:rtl/>
        </w:rPr>
        <w:t xml:space="preserve">ועבירה של </w:t>
      </w:r>
      <w:r w:rsidRPr="00E35684">
        <w:rPr>
          <w:rFonts w:ascii="David" w:hAnsi="David" w:cs="David"/>
          <w:sz w:val="28"/>
          <w:szCs w:val="28"/>
          <w:rtl/>
        </w:rPr>
        <w:t>התנהגות שאינה הולמת, לפי סעיף 130 לחוק השיפוט הצבאי, התשט"ו-1955</w:t>
      </w:r>
      <w:r w:rsidRPr="00E35684">
        <w:rPr>
          <w:rFonts w:ascii="David" w:hAnsi="David" w:cs="David" w:hint="cs"/>
          <w:sz w:val="28"/>
          <w:szCs w:val="28"/>
          <w:rtl/>
        </w:rPr>
        <w:t xml:space="preserve">. </w:t>
      </w:r>
      <w:r w:rsidR="00C76885">
        <w:rPr>
          <w:rFonts w:ascii="David" w:hAnsi="David" w:cs="David" w:hint="cs"/>
          <w:sz w:val="28"/>
          <w:szCs w:val="28"/>
          <w:rtl/>
        </w:rPr>
        <w:t>נטען ב</w:t>
      </w:r>
      <w:r w:rsidRPr="00E35684">
        <w:rPr>
          <w:rFonts w:ascii="David" w:hAnsi="David" w:cs="David" w:hint="cs"/>
          <w:sz w:val="28"/>
          <w:szCs w:val="28"/>
          <w:rtl/>
        </w:rPr>
        <w:t xml:space="preserve">כתב האישום, </w:t>
      </w:r>
      <w:r w:rsidR="00C76885">
        <w:rPr>
          <w:rFonts w:ascii="David" w:hAnsi="David" w:cs="David" w:hint="cs"/>
          <w:sz w:val="28"/>
          <w:szCs w:val="28"/>
          <w:rtl/>
        </w:rPr>
        <w:t xml:space="preserve">כי </w:t>
      </w:r>
      <w:r w:rsidR="00E50877">
        <w:rPr>
          <w:rFonts w:ascii="David" w:hAnsi="David" w:cs="David" w:hint="cs"/>
          <w:sz w:val="28"/>
          <w:szCs w:val="28"/>
          <w:rtl/>
        </w:rPr>
        <w:t xml:space="preserve">המשיב </w:t>
      </w:r>
      <w:r w:rsidRPr="00E35684">
        <w:rPr>
          <w:rFonts w:ascii="David" w:hAnsi="David" w:cs="David" w:hint="cs"/>
          <w:sz w:val="28"/>
          <w:szCs w:val="28"/>
          <w:rtl/>
        </w:rPr>
        <w:t xml:space="preserve">ביצע שורה של מעשים מגונים בשתי מתלוננות, קצינה וחיילת ששרתו עמו, וזאת במסגרת בילוי חברתי משותף שבו נכחו יחד עם אחרים, מרביתם משרתים בצוותא באותה היחידה. </w:t>
      </w:r>
    </w:p>
    <w:p w:rsidR="00E35684" w:rsidRPr="00CE70E6" w:rsidRDefault="00E35684" w:rsidP="00656D40">
      <w:pPr>
        <w:pStyle w:val="ListParagraph"/>
        <w:numPr>
          <w:ilvl w:val="0"/>
          <w:numId w:val="5"/>
        </w:numPr>
        <w:spacing w:after="0" w:line="360" w:lineRule="auto"/>
        <w:ind w:left="0" w:firstLine="0"/>
        <w:jc w:val="both"/>
        <w:rPr>
          <w:rFonts w:ascii="David" w:hAnsi="David" w:cs="David"/>
          <w:sz w:val="28"/>
          <w:szCs w:val="28"/>
        </w:rPr>
      </w:pPr>
      <w:r w:rsidRPr="00CE70E6">
        <w:rPr>
          <w:rFonts w:ascii="David" w:hAnsi="David" w:cs="David" w:hint="cs"/>
          <w:sz w:val="28"/>
          <w:szCs w:val="28"/>
          <w:rtl/>
        </w:rPr>
        <w:t>ערעור זה עניינו בהחלטת בית הדין קמא הנכבד בבקשה לעיון בחומר חקירה</w:t>
      </w:r>
      <w:r w:rsidR="00727740" w:rsidRPr="00CE70E6">
        <w:rPr>
          <w:rFonts w:ascii="David" w:hAnsi="David" w:cs="David" w:hint="cs"/>
          <w:sz w:val="28"/>
          <w:szCs w:val="28"/>
          <w:rtl/>
        </w:rPr>
        <w:t>,</w:t>
      </w:r>
      <w:r w:rsidRPr="00CE70E6">
        <w:rPr>
          <w:rFonts w:ascii="David" w:hAnsi="David" w:cs="David" w:hint="cs"/>
          <w:sz w:val="28"/>
          <w:szCs w:val="28"/>
          <w:rtl/>
        </w:rPr>
        <w:t xml:space="preserve"> על פי סעיף 74 לחוק סדר הדין הפלילי [נוסח משולב], </w:t>
      </w:r>
      <w:r w:rsidR="00727740" w:rsidRPr="00CE70E6">
        <w:rPr>
          <w:rFonts w:ascii="David" w:hAnsi="David" w:cs="David" w:hint="cs"/>
          <w:sz w:val="28"/>
          <w:szCs w:val="28"/>
          <w:rtl/>
        </w:rPr>
        <w:t>ה</w:t>
      </w:r>
      <w:r w:rsidRPr="00CE70E6">
        <w:rPr>
          <w:rFonts w:ascii="David" w:hAnsi="David" w:cs="David" w:hint="cs"/>
          <w:sz w:val="28"/>
          <w:szCs w:val="28"/>
          <w:rtl/>
        </w:rPr>
        <w:t xml:space="preserve">תשמ"ב-1982. בית הדין נעתר </w:t>
      </w:r>
      <w:r w:rsidRPr="00CE70E6">
        <w:rPr>
          <w:rFonts w:ascii="David" w:hAnsi="David" w:cs="David" w:hint="cs"/>
          <w:sz w:val="28"/>
          <w:szCs w:val="28"/>
          <w:rtl/>
        </w:rPr>
        <w:lastRenderedPageBreak/>
        <w:t xml:space="preserve">באופן חלקי לבקשת </w:t>
      </w:r>
      <w:r w:rsidR="002939D2" w:rsidRPr="00CE70E6">
        <w:rPr>
          <w:rFonts w:ascii="David" w:hAnsi="David" w:cs="David" w:hint="cs"/>
          <w:sz w:val="28"/>
          <w:szCs w:val="28"/>
          <w:rtl/>
        </w:rPr>
        <w:t xml:space="preserve">ההגנה </w:t>
      </w:r>
      <w:r w:rsidR="00E50877" w:rsidRPr="00CE70E6">
        <w:rPr>
          <w:rFonts w:ascii="David" w:hAnsi="David" w:cs="David" w:hint="cs"/>
          <w:sz w:val="28"/>
          <w:szCs w:val="28"/>
          <w:rtl/>
        </w:rPr>
        <w:t xml:space="preserve">והורה לגורמי החקירה לפנות אל </w:t>
      </w:r>
      <w:r w:rsidRPr="00CE70E6">
        <w:rPr>
          <w:rFonts w:ascii="David" w:hAnsi="David" w:cs="David" w:hint="cs"/>
          <w:sz w:val="28"/>
          <w:szCs w:val="28"/>
          <w:rtl/>
        </w:rPr>
        <w:t xml:space="preserve">עדת התביעה מס' 9, מפקדת ביחידה, אשר שוחחה </w:t>
      </w:r>
      <w:r w:rsidR="00640FC8" w:rsidRPr="00CE70E6">
        <w:rPr>
          <w:rFonts w:ascii="David" w:hAnsi="David" w:cs="David" w:hint="cs"/>
          <w:sz w:val="28"/>
          <w:szCs w:val="28"/>
          <w:rtl/>
        </w:rPr>
        <w:t xml:space="preserve">על אודות האירוע מושא האישום </w:t>
      </w:r>
      <w:r w:rsidRPr="00CE70E6">
        <w:rPr>
          <w:rFonts w:ascii="David" w:hAnsi="David" w:cs="David" w:hint="cs"/>
          <w:sz w:val="28"/>
          <w:szCs w:val="28"/>
          <w:rtl/>
        </w:rPr>
        <w:t xml:space="preserve">עם אחת </w:t>
      </w:r>
      <w:r w:rsidR="002939D2" w:rsidRPr="00CE70E6">
        <w:rPr>
          <w:rFonts w:ascii="David" w:hAnsi="David" w:cs="David" w:hint="cs"/>
          <w:sz w:val="28"/>
          <w:szCs w:val="28"/>
          <w:rtl/>
        </w:rPr>
        <w:t>המתלוננות</w:t>
      </w:r>
      <w:r w:rsidR="00C76885" w:rsidRPr="00CE70E6">
        <w:rPr>
          <w:rFonts w:ascii="David" w:hAnsi="David" w:cs="David" w:hint="cs"/>
          <w:sz w:val="28"/>
          <w:szCs w:val="28"/>
          <w:rtl/>
        </w:rPr>
        <w:t>,</w:t>
      </w:r>
      <w:r w:rsidRPr="00CE70E6">
        <w:rPr>
          <w:rFonts w:ascii="David" w:hAnsi="David" w:cs="David" w:hint="cs"/>
          <w:sz w:val="28"/>
          <w:szCs w:val="28"/>
          <w:rtl/>
        </w:rPr>
        <w:t xml:space="preserve"> לאחר </w:t>
      </w:r>
      <w:r w:rsidR="00640FC8" w:rsidRPr="00CE70E6">
        <w:rPr>
          <w:rFonts w:ascii="David" w:hAnsi="David" w:cs="David" w:hint="cs"/>
          <w:sz w:val="28"/>
          <w:szCs w:val="28"/>
          <w:rtl/>
        </w:rPr>
        <w:t>התרחשותו</w:t>
      </w:r>
      <w:r w:rsidR="00C76885" w:rsidRPr="00CE70E6">
        <w:rPr>
          <w:rFonts w:ascii="David" w:hAnsi="David" w:cs="David" w:hint="cs"/>
          <w:sz w:val="28"/>
          <w:szCs w:val="28"/>
          <w:rtl/>
        </w:rPr>
        <w:t xml:space="preserve">, </w:t>
      </w:r>
      <w:r w:rsidRPr="00CE70E6">
        <w:rPr>
          <w:rFonts w:ascii="David" w:hAnsi="David" w:cs="David" w:hint="cs"/>
          <w:sz w:val="28"/>
          <w:szCs w:val="28"/>
          <w:rtl/>
        </w:rPr>
        <w:t xml:space="preserve">ומסרה על כך בחקירתה. </w:t>
      </w:r>
      <w:r w:rsidR="00E50877" w:rsidRPr="00CE70E6">
        <w:rPr>
          <w:rFonts w:ascii="David" w:hAnsi="David" w:cs="David" w:hint="cs"/>
          <w:sz w:val="28"/>
          <w:szCs w:val="28"/>
          <w:rtl/>
        </w:rPr>
        <w:t>נקבע, כי על גורמי החקירה</w:t>
      </w:r>
      <w:r w:rsidR="003C2D63" w:rsidRPr="00CE70E6">
        <w:rPr>
          <w:rFonts w:ascii="David" w:hAnsi="David" w:cs="David" w:hint="cs"/>
          <w:sz w:val="28"/>
          <w:szCs w:val="28"/>
          <w:rtl/>
        </w:rPr>
        <w:t xml:space="preserve"> לערוך ברור ולבדוק האם </w:t>
      </w:r>
      <w:r w:rsidR="00727740" w:rsidRPr="00CE70E6">
        <w:rPr>
          <w:rFonts w:ascii="David" w:hAnsi="David" w:cs="David" w:hint="cs"/>
          <w:sz w:val="28"/>
          <w:szCs w:val="28"/>
          <w:rtl/>
        </w:rPr>
        <w:t>קיי</w:t>
      </w:r>
      <w:r w:rsidR="00CE70E6" w:rsidRPr="00CE70E6">
        <w:rPr>
          <w:rFonts w:ascii="David" w:hAnsi="David" w:cs="David" w:hint="cs"/>
          <w:sz w:val="28"/>
          <w:szCs w:val="28"/>
          <w:rtl/>
        </w:rPr>
        <w:t xml:space="preserve">ם </w:t>
      </w:r>
      <w:r w:rsidR="00727740" w:rsidRPr="00CE70E6">
        <w:rPr>
          <w:rFonts w:ascii="David" w:hAnsi="David" w:cs="David" w:hint="cs"/>
          <w:sz w:val="28"/>
          <w:szCs w:val="28"/>
          <w:rtl/>
        </w:rPr>
        <w:t>ברשות</w:t>
      </w:r>
      <w:r w:rsidR="00CE70E6" w:rsidRPr="00CE70E6">
        <w:rPr>
          <w:rFonts w:ascii="David" w:hAnsi="David" w:cs="David" w:hint="cs"/>
          <w:sz w:val="28"/>
          <w:szCs w:val="28"/>
          <w:rtl/>
        </w:rPr>
        <w:t xml:space="preserve"> העדה</w:t>
      </w:r>
      <w:r w:rsidR="00727740" w:rsidRPr="00CE70E6">
        <w:rPr>
          <w:rFonts w:ascii="David" w:hAnsi="David" w:cs="David" w:hint="cs"/>
          <w:sz w:val="28"/>
          <w:szCs w:val="28"/>
          <w:rtl/>
        </w:rPr>
        <w:t xml:space="preserve"> </w:t>
      </w:r>
      <w:r w:rsidR="00CE70E6" w:rsidRPr="00CE70E6">
        <w:rPr>
          <w:rFonts w:ascii="David" w:hAnsi="David" w:cs="David" w:hint="cs"/>
          <w:sz w:val="28"/>
          <w:szCs w:val="28"/>
          <w:rtl/>
        </w:rPr>
        <w:t xml:space="preserve">תיעוד לשיחות שניהלה עם אחת מן המתלוננות, באמצעות יישומון ה"ווטסאפ", </w:t>
      </w:r>
      <w:r w:rsidR="003C2D63" w:rsidRPr="00CE70E6">
        <w:rPr>
          <w:rFonts w:ascii="David" w:hAnsi="David" w:cs="David" w:hint="cs"/>
          <w:sz w:val="28"/>
          <w:szCs w:val="28"/>
          <w:rtl/>
        </w:rPr>
        <w:t>פרט לאלו שהוחרמו על ידי גורמי החקירה</w:t>
      </w:r>
      <w:r w:rsidR="00CE70E6" w:rsidRPr="00CE70E6">
        <w:rPr>
          <w:rFonts w:ascii="David" w:hAnsi="David" w:cs="David" w:hint="cs"/>
          <w:sz w:val="28"/>
          <w:szCs w:val="28"/>
          <w:rtl/>
        </w:rPr>
        <w:t>, וכי ככל ש</w:t>
      </w:r>
      <w:r w:rsidR="003C2D63" w:rsidRPr="00CE70E6">
        <w:rPr>
          <w:rFonts w:ascii="David" w:hAnsi="David" w:cs="David" w:hint="cs"/>
          <w:sz w:val="28"/>
          <w:szCs w:val="28"/>
          <w:rtl/>
        </w:rPr>
        <w:t xml:space="preserve">התשובה לכך חיובית, על גורמי החקירה </w:t>
      </w:r>
      <w:r w:rsidR="00C76885" w:rsidRPr="00CE70E6">
        <w:rPr>
          <w:rFonts w:ascii="David" w:hAnsi="David" w:cs="David" w:hint="cs"/>
          <w:sz w:val="28"/>
          <w:szCs w:val="28"/>
          <w:rtl/>
        </w:rPr>
        <w:t>"</w:t>
      </w:r>
      <w:r w:rsidR="003C2D63" w:rsidRPr="00CE70E6">
        <w:rPr>
          <w:rFonts w:ascii="David" w:hAnsi="David" w:cs="David" w:hint="cs"/>
          <w:sz w:val="28"/>
          <w:szCs w:val="28"/>
          <w:rtl/>
        </w:rPr>
        <w:t>לבצע עיון ידני במכשירה הסלולארי של העדה, בכפוף להסכמתה ולהסכמת נפגעות העבירה, לשם קבלת תכתובות אלו</w:t>
      </w:r>
      <w:r w:rsidR="00CE70E6" w:rsidRPr="00CE70E6">
        <w:rPr>
          <w:rFonts w:ascii="David" w:hAnsi="David" w:cs="David" w:hint="cs"/>
          <w:sz w:val="28"/>
          <w:szCs w:val="28"/>
          <w:rtl/>
        </w:rPr>
        <w:t xml:space="preserve">". נקבע </w:t>
      </w:r>
      <w:r w:rsidR="00CE70E6">
        <w:rPr>
          <w:rFonts w:ascii="David" w:hAnsi="David" w:cs="David" w:hint="cs"/>
          <w:sz w:val="28"/>
          <w:szCs w:val="28"/>
          <w:rtl/>
        </w:rPr>
        <w:t xml:space="preserve">עוד </w:t>
      </w:r>
      <w:r w:rsidR="00CE70E6" w:rsidRPr="00CE70E6">
        <w:rPr>
          <w:rFonts w:ascii="David" w:hAnsi="David" w:cs="David" w:hint="cs"/>
          <w:sz w:val="28"/>
          <w:szCs w:val="28"/>
          <w:rtl/>
        </w:rPr>
        <w:t xml:space="preserve">כי התכתובות יועברו תחילה לעיון </w:t>
      </w:r>
      <w:r w:rsidR="003C2D63" w:rsidRPr="00CE70E6">
        <w:rPr>
          <w:rFonts w:ascii="David" w:hAnsi="David" w:cs="David" w:hint="cs"/>
          <w:sz w:val="28"/>
          <w:szCs w:val="28"/>
          <w:rtl/>
        </w:rPr>
        <w:t>התביעה הצבאית, וככל ש</w:t>
      </w:r>
      <w:r w:rsidR="00CE70E6" w:rsidRPr="00CE70E6">
        <w:rPr>
          <w:rFonts w:ascii="David" w:hAnsi="David" w:cs="David" w:hint="cs"/>
          <w:sz w:val="28"/>
          <w:szCs w:val="28"/>
          <w:rtl/>
        </w:rPr>
        <w:t xml:space="preserve">זו </w:t>
      </w:r>
      <w:r w:rsidR="003C2D63" w:rsidRPr="00CE70E6">
        <w:rPr>
          <w:rFonts w:ascii="David" w:hAnsi="David" w:cs="David" w:hint="cs"/>
          <w:sz w:val="28"/>
          <w:szCs w:val="28"/>
          <w:rtl/>
        </w:rPr>
        <w:t xml:space="preserve">תסתייג מהעברתן לעיון ההגנה </w:t>
      </w:r>
      <w:r w:rsidR="00CE70E6" w:rsidRPr="00CE70E6">
        <w:rPr>
          <w:rFonts w:ascii="David" w:hAnsi="David" w:cs="David" w:hint="cs"/>
          <w:sz w:val="28"/>
          <w:szCs w:val="28"/>
          <w:rtl/>
        </w:rPr>
        <w:t xml:space="preserve">- </w:t>
      </w:r>
      <w:r w:rsidR="003C2D63" w:rsidRPr="00CE70E6">
        <w:rPr>
          <w:rFonts w:ascii="David" w:hAnsi="David" w:cs="David" w:hint="cs"/>
          <w:sz w:val="28"/>
          <w:szCs w:val="28"/>
          <w:rtl/>
        </w:rPr>
        <w:t xml:space="preserve">יועברו לעיון בית הדין לשם הכרעה ביחס </w:t>
      </w:r>
      <w:r w:rsidR="00CE70E6" w:rsidRPr="00CE70E6">
        <w:rPr>
          <w:rFonts w:ascii="David" w:hAnsi="David" w:cs="David" w:hint="cs"/>
          <w:sz w:val="28"/>
          <w:szCs w:val="28"/>
          <w:rtl/>
        </w:rPr>
        <w:t>לאפשרות ההגנה לעיין בהן</w:t>
      </w:r>
      <w:r w:rsidR="003C2D63" w:rsidRPr="00CE70E6">
        <w:rPr>
          <w:rFonts w:ascii="David" w:hAnsi="David" w:cs="David" w:hint="cs"/>
          <w:sz w:val="28"/>
          <w:szCs w:val="28"/>
          <w:rtl/>
        </w:rPr>
        <w:t>.</w:t>
      </w:r>
      <w:r w:rsidR="00CE70E6" w:rsidRPr="00CE70E6">
        <w:rPr>
          <w:rFonts w:ascii="David" w:hAnsi="David" w:cs="David" w:hint="cs"/>
          <w:sz w:val="28"/>
          <w:szCs w:val="28"/>
          <w:rtl/>
        </w:rPr>
        <w:t xml:space="preserve"> </w:t>
      </w:r>
      <w:r w:rsidRPr="00CE70E6">
        <w:rPr>
          <w:rFonts w:ascii="David" w:hAnsi="David" w:cs="David" w:hint="cs"/>
          <w:sz w:val="28"/>
          <w:szCs w:val="28"/>
          <w:rtl/>
        </w:rPr>
        <w:t xml:space="preserve">התביעה לא השלימה עם </w:t>
      </w:r>
      <w:r w:rsidR="00C76885" w:rsidRPr="00CE70E6">
        <w:rPr>
          <w:rFonts w:ascii="David" w:hAnsi="David" w:cs="David" w:hint="cs"/>
          <w:sz w:val="28"/>
          <w:szCs w:val="28"/>
          <w:rtl/>
        </w:rPr>
        <w:t>חלק זה של ה</w:t>
      </w:r>
      <w:r w:rsidRPr="00CE70E6">
        <w:rPr>
          <w:rFonts w:ascii="David" w:hAnsi="David" w:cs="David" w:hint="cs"/>
          <w:sz w:val="28"/>
          <w:szCs w:val="28"/>
          <w:rtl/>
        </w:rPr>
        <w:t xml:space="preserve">החלטה, ומכאן הערעור שלפניי.  </w:t>
      </w:r>
    </w:p>
    <w:p w:rsidR="0056405B" w:rsidRDefault="0056405B" w:rsidP="00E35684">
      <w:pPr>
        <w:spacing w:line="360" w:lineRule="auto"/>
        <w:jc w:val="both"/>
        <w:rPr>
          <w:rFonts w:ascii="David" w:hAnsi="David" w:cs="David"/>
          <w:b/>
          <w:bCs/>
          <w:sz w:val="28"/>
          <w:szCs w:val="28"/>
          <w:u w:val="single"/>
          <w:rtl/>
        </w:rPr>
      </w:pPr>
    </w:p>
    <w:p w:rsidR="002939D2" w:rsidRPr="00E35684" w:rsidRDefault="002939D2" w:rsidP="00E35684">
      <w:pPr>
        <w:spacing w:line="360" w:lineRule="auto"/>
        <w:jc w:val="both"/>
        <w:rPr>
          <w:rFonts w:ascii="David" w:hAnsi="David" w:cs="David"/>
          <w:b/>
          <w:bCs/>
          <w:sz w:val="28"/>
          <w:szCs w:val="28"/>
          <w:u w:val="single"/>
        </w:rPr>
      </w:pPr>
      <w:r w:rsidRPr="00E35684">
        <w:rPr>
          <w:rFonts w:ascii="David" w:hAnsi="David" w:cs="David" w:hint="cs"/>
          <w:b/>
          <w:bCs/>
          <w:sz w:val="28"/>
          <w:szCs w:val="28"/>
          <w:u w:val="single"/>
          <w:rtl/>
        </w:rPr>
        <w:t xml:space="preserve">החלטת </w:t>
      </w:r>
      <w:r w:rsidR="00E35684">
        <w:rPr>
          <w:rFonts w:ascii="David" w:hAnsi="David" w:cs="David" w:hint="cs"/>
          <w:b/>
          <w:bCs/>
          <w:sz w:val="28"/>
          <w:szCs w:val="28"/>
          <w:u w:val="single"/>
          <w:rtl/>
        </w:rPr>
        <w:t xml:space="preserve">בית הדין </w:t>
      </w:r>
      <w:r w:rsidRPr="00E35684">
        <w:rPr>
          <w:rFonts w:ascii="David" w:hAnsi="David" w:cs="David" w:hint="cs"/>
          <w:b/>
          <w:bCs/>
          <w:sz w:val="28"/>
          <w:szCs w:val="28"/>
          <w:u w:val="single"/>
          <w:rtl/>
        </w:rPr>
        <w:t xml:space="preserve">קמא </w:t>
      </w:r>
    </w:p>
    <w:p w:rsidR="00865FA7" w:rsidRDefault="00E35684" w:rsidP="00656D40">
      <w:pPr>
        <w:pStyle w:val="ListParagraph"/>
        <w:numPr>
          <w:ilvl w:val="0"/>
          <w:numId w:val="5"/>
        </w:numPr>
        <w:spacing w:after="0" w:line="360" w:lineRule="auto"/>
        <w:ind w:left="0" w:firstLine="0"/>
        <w:jc w:val="both"/>
        <w:rPr>
          <w:rFonts w:ascii="David" w:hAnsi="David" w:cs="David"/>
          <w:sz w:val="28"/>
          <w:szCs w:val="28"/>
        </w:rPr>
      </w:pPr>
      <w:r w:rsidRPr="00E35684">
        <w:rPr>
          <w:rFonts w:ascii="David" w:hAnsi="David" w:cs="David"/>
          <w:sz w:val="28"/>
          <w:szCs w:val="28"/>
          <w:rtl/>
        </w:rPr>
        <w:t xml:space="preserve">בקשת ההגנה </w:t>
      </w:r>
      <w:r w:rsidR="00E50877">
        <w:rPr>
          <w:rFonts w:ascii="David" w:hAnsi="David" w:cs="David" w:hint="cs"/>
          <w:sz w:val="28"/>
          <w:szCs w:val="28"/>
          <w:rtl/>
        </w:rPr>
        <w:t xml:space="preserve">לעיון בחומר חקירה </w:t>
      </w:r>
      <w:r w:rsidR="00C5683A">
        <w:rPr>
          <w:rFonts w:ascii="David" w:hAnsi="David" w:cs="David" w:hint="cs"/>
          <w:sz w:val="28"/>
          <w:szCs w:val="28"/>
          <w:rtl/>
        </w:rPr>
        <w:t>עסקה ב</w:t>
      </w:r>
      <w:r w:rsidR="004D45BF">
        <w:rPr>
          <w:rFonts w:ascii="David" w:hAnsi="David" w:cs="David" w:hint="cs"/>
          <w:sz w:val="28"/>
          <w:szCs w:val="28"/>
          <w:rtl/>
        </w:rPr>
        <w:t xml:space="preserve">מספר </w:t>
      </w:r>
      <w:r w:rsidR="00C5683A">
        <w:rPr>
          <w:rFonts w:ascii="David" w:hAnsi="David" w:cs="David" w:hint="cs"/>
          <w:sz w:val="28"/>
          <w:szCs w:val="28"/>
          <w:rtl/>
        </w:rPr>
        <w:t xml:space="preserve">נושאים </w:t>
      </w:r>
      <w:r w:rsidR="004D45BF">
        <w:rPr>
          <w:rFonts w:ascii="David" w:hAnsi="David" w:cs="David" w:hint="cs"/>
          <w:sz w:val="28"/>
          <w:szCs w:val="28"/>
          <w:rtl/>
        </w:rPr>
        <w:t>וברובה, נדחתה על ידי בית הדין קמא. אחד מסעיפי הבקשה עסק בטענות ההגנה כי יש ל</w:t>
      </w:r>
      <w:r w:rsidR="00F838B5">
        <w:rPr>
          <w:rFonts w:ascii="David" w:hAnsi="David" w:cs="David" w:hint="cs"/>
          <w:sz w:val="28"/>
          <w:szCs w:val="28"/>
          <w:rtl/>
        </w:rPr>
        <w:t>ערוך חיפוש ב</w:t>
      </w:r>
      <w:r w:rsidR="004D45BF" w:rsidRPr="004D45BF">
        <w:rPr>
          <w:rFonts w:ascii="David" w:hAnsi="David" w:cs="David"/>
          <w:sz w:val="28"/>
          <w:szCs w:val="28"/>
          <w:rtl/>
        </w:rPr>
        <w:t xml:space="preserve">טלפונים </w:t>
      </w:r>
      <w:r w:rsidR="00727740">
        <w:rPr>
          <w:rFonts w:ascii="David" w:hAnsi="David" w:cs="David" w:hint="cs"/>
          <w:sz w:val="28"/>
          <w:szCs w:val="28"/>
          <w:rtl/>
        </w:rPr>
        <w:t>ה</w:t>
      </w:r>
      <w:r w:rsidR="004D45BF" w:rsidRPr="004D45BF">
        <w:rPr>
          <w:rFonts w:ascii="David" w:hAnsi="David" w:cs="David"/>
          <w:sz w:val="28"/>
          <w:szCs w:val="28"/>
          <w:rtl/>
        </w:rPr>
        <w:t>ניידים</w:t>
      </w:r>
      <w:r w:rsidR="004D45BF">
        <w:rPr>
          <w:rFonts w:ascii="David" w:hAnsi="David" w:cs="David" w:hint="cs"/>
          <w:sz w:val="28"/>
          <w:szCs w:val="28"/>
          <w:rtl/>
        </w:rPr>
        <w:t xml:space="preserve"> של המתלוננות ו</w:t>
      </w:r>
      <w:r w:rsidR="00C5683A">
        <w:rPr>
          <w:rFonts w:ascii="David" w:hAnsi="David" w:cs="David" w:hint="cs"/>
          <w:sz w:val="28"/>
          <w:szCs w:val="28"/>
          <w:rtl/>
        </w:rPr>
        <w:t xml:space="preserve">של </w:t>
      </w:r>
      <w:r w:rsidR="004D45BF">
        <w:rPr>
          <w:rFonts w:ascii="David" w:hAnsi="David" w:cs="David" w:hint="cs"/>
          <w:sz w:val="28"/>
          <w:szCs w:val="28"/>
          <w:rtl/>
        </w:rPr>
        <w:t>עדי תביעה</w:t>
      </w:r>
      <w:r w:rsidR="00E50877">
        <w:rPr>
          <w:rFonts w:ascii="David" w:hAnsi="David" w:cs="David" w:hint="cs"/>
          <w:sz w:val="28"/>
          <w:szCs w:val="28"/>
          <w:rtl/>
        </w:rPr>
        <w:t xml:space="preserve"> נוספים</w:t>
      </w:r>
      <w:r w:rsidR="004D45BF">
        <w:rPr>
          <w:rFonts w:ascii="David" w:hAnsi="David" w:cs="David" w:hint="cs"/>
          <w:sz w:val="28"/>
          <w:szCs w:val="28"/>
          <w:rtl/>
        </w:rPr>
        <w:t xml:space="preserve">, אשר </w:t>
      </w:r>
      <w:r w:rsidR="00F838B5">
        <w:rPr>
          <w:rFonts w:ascii="David" w:hAnsi="David" w:cs="David" w:hint="cs"/>
          <w:sz w:val="28"/>
          <w:szCs w:val="28"/>
          <w:rtl/>
        </w:rPr>
        <w:t>התכתבו</w:t>
      </w:r>
      <w:r w:rsidR="004D45BF">
        <w:rPr>
          <w:rFonts w:ascii="David" w:hAnsi="David" w:cs="David" w:hint="cs"/>
          <w:sz w:val="28"/>
          <w:szCs w:val="28"/>
          <w:rtl/>
        </w:rPr>
        <w:t xml:space="preserve"> ע</w:t>
      </w:r>
      <w:r w:rsidR="00E50877">
        <w:rPr>
          <w:rFonts w:ascii="David" w:hAnsi="David" w:cs="David" w:hint="cs"/>
          <w:sz w:val="28"/>
          <w:szCs w:val="28"/>
          <w:rtl/>
        </w:rPr>
        <w:t xml:space="preserve">ם המתלוננות </w:t>
      </w:r>
      <w:r w:rsidR="004D45BF">
        <w:rPr>
          <w:rFonts w:ascii="David" w:hAnsi="David" w:cs="David" w:hint="cs"/>
          <w:sz w:val="28"/>
          <w:szCs w:val="28"/>
          <w:rtl/>
        </w:rPr>
        <w:t xml:space="preserve">לאחר </w:t>
      </w:r>
      <w:r w:rsidR="00865FA7">
        <w:rPr>
          <w:rFonts w:ascii="David" w:hAnsi="David" w:cs="David" w:hint="cs"/>
          <w:sz w:val="28"/>
          <w:szCs w:val="28"/>
          <w:rtl/>
        </w:rPr>
        <w:t>המקרה המתואר בכתב האישום ומסר</w:t>
      </w:r>
      <w:r w:rsidR="00E50877">
        <w:rPr>
          <w:rFonts w:ascii="David" w:hAnsi="David" w:cs="David" w:hint="cs"/>
          <w:sz w:val="28"/>
          <w:szCs w:val="28"/>
          <w:rtl/>
        </w:rPr>
        <w:t>ו</w:t>
      </w:r>
      <w:r w:rsidR="00865FA7">
        <w:rPr>
          <w:rFonts w:ascii="David" w:hAnsi="David" w:cs="David" w:hint="cs"/>
          <w:sz w:val="28"/>
          <w:szCs w:val="28"/>
          <w:rtl/>
        </w:rPr>
        <w:t xml:space="preserve"> על כך בחקירתם. </w:t>
      </w:r>
      <w:r w:rsidR="00F838B5">
        <w:rPr>
          <w:rFonts w:ascii="David" w:hAnsi="David" w:cs="David" w:hint="cs"/>
          <w:sz w:val="28"/>
          <w:szCs w:val="28"/>
          <w:rtl/>
        </w:rPr>
        <w:t xml:space="preserve">נטען כי התיעוד </w:t>
      </w:r>
      <w:r w:rsidR="00F838B5" w:rsidRPr="00F838B5">
        <w:rPr>
          <w:rFonts w:ascii="David" w:hAnsi="David" w:cs="David" w:hint="cs"/>
          <w:b/>
          <w:bCs/>
          <w:sz w:val="28"/>
          <w:szCs w:val="28"/>
          <w:rtl/>
        </w:rPr>
        <w:t>המלא</w:t>
      </w:r>
      <w:r w:rsidR="00F838B5">
        <w:rPr>
          <w:rFonts w:ascii="David" w:hAnsi="David" w:cs="David" w:hint="cs"/>
          <w:sz w:val="28"/>
          <w:szCs w:val="28"/>
          <w:rtl/>
        </w:rPr>
        <w:t xml:space="preserve"> של </w:t>
      </w:r>
      <w:r w:rsidR="00CA0BA3">
        <w:rPr>
          <w:rFonts w:ascii="David" w:hAnsi="David" w:cs="David" w:hint="cs"/>
          <w:sz w:val="28"/>
          <w:szCs w:val="28"/>
          <w:rtl/>
        </w:rPr>
        <w:t xml:space="preserve">השיחות </w:t>
      </w:r>
      <w:r w:rsidR="00865FA7">
        <w:rPr>
          <w:rFonts w:ascii="David" w:hAnsi="David" w:cs="David" w:hint="cs"/>
          <w:sz w:val="28"/>
          <w:szCs w:val="28"/>
          <w:rtl/>
        </w:rPr>
        <w:t>אינו מצוי בין ראיות התביעה, באשר גורמי החקירה לא ערכו חיפושים במכשירי הטלפון הנייד</w:t>
      </w:r>
      <w:r w:rsidR="00CA0BA3">
        <w:rPr>
          <w:rFonts w:ascii="David" w:hAnsi="David" w:cs="David" w:hint="cs"/>
          <w:sz w:val="28"/>
          <w:szCs w:val="28"/>
          <w:rtl/>
        </w:rPr>
        <w:t>ים</w:t>
      </w:r>
      <w:r w:rsidR="00865FA7">
        <w:rPr>
          <w:rFonts w:ascii="David" w:hAnsi="David" w:cs="David" w:hint="cs"/>
          <w:sz w:val="28"/>
          <w:szCs w:val="28"/>
          <w:rtl/>
        </w:rPr>
        <w:t xml:space="preserve"> של המעורבים. התיעוד שקיים </w:t>
      </w:r>
      <w:r w:rsidR="00963AF2">
        <w:rPr>
          <w:rFonts w:ascii="David" w:hAnsi="David" w:cs="David" w:hint="cs"/>
          <w:sz w:val="28"/>
          <w:szCs w:val="28"/>
          <w:rtl/>
        </w:rPr>
        <w:t>ב</w:t>
      </w:r>
      <w:r w:rsidR="00865FA7">
        <w:rPr>
          <w:rFonts w:ascii="David" w:hAnsi="David" w:cs="David" w:hint="cs"/>
          <w:sz w:val="28"/>
          <w:szCs w:val="28"/>
          <w:rtl/>
        </w:rPr>
        <w:t>חומרי החקירה</w:t>
      </w:r>
      <w:r w:rsidR="00963AF2">
        <w:rPr>
          <w:rFonts w:ascii="David" w:hAnsi="David" w:cs="David" w:hint="cs"/>
          <w:sz w:val="28"/>
          <w:szCs w:val="28"/>
          <w:rtl/>
        </w:rPr>
        <w:t>,</w:t>
      </w:r>
      <w:r w:rsidR="00C5683A">
        <w:rPr>
          <w:rFonts w:ascii="David" w:hAnsi="David" w:cs="David" w:hint="cs"/>
          <w:sz w:val="28"/>
          <w:szCs w:val="28"/>
          <w:rtl/>
        </w:rPr>
        <w:t xml:space="preserve"> וה</w:t>
      </w:r>
      <w:r w:rsidR="00355A75">
        <w:rPr>
          <w:rFonts w:ascii="David" w:hAnsi="David" w:cs="David" w:hint="cs"/>
          <w:sz w:val="28"/>
          <w:szCs w:val="28"/>
          <w:rtl/>
        </w:rPr>
        <w:t>ו</w:t>
      </w:r>
      <w:r w:rsidR="00C5683A">
        <w:rPr>
          <w:rFonts w:ascii="David" w:hAnsi="David" w:cs="David" w:hint="cs"/>
          <w:sz w:val="28"/>
          <w:szCs w:val="28"/>
          <w:rtl/>
        </w:rPr>
        <w:t xml:space="preserve">עבר </w:t>
      </w:r>
      <w:r w:rsidR="00355A75">
        <w:rPr>
          <w:rFonts w:ascii="David" w:hAnsi="David" w:cs="David" w:hint="cs"/>
          <w:sz w:val="28"/>
          <w:szCs w:val="28"/>
          <w:rtl/>
        </w:rPr>
        <w:t xml:space="preserve">זה מכבר </w:t>
      </w:r>
      <w:r w:rsidR="00C5683A">
        <w:rPr>
          <w:rFonts w:ascii="David" w:hAnsi="David" w:cs="David" w:hint="cs"/>
          <w:sz w:val="28"/>
          <w:szCs w:val="28"/>
          <w:rtl/>
        </w:rPr>
        <w:t>לעיון ההגנה</w:t>
      </w:r>
      <w:r w:rsidR="00865FA7">
        <w:rPr>
          <w:rFonts w:ascii="David" w:hAnsi="David" w:cs="David" w:hint="cs"/>
          <w:sz w:val="28"/>
          <w:szCs w:val="28"/>
          <w:rtl/>
        </w:rPr>
        <w:t xml:space="preserve">, הוא של שיחות כתובות שנמצאו במכשירי הטלפון הנייד של חלק מן העדים, </w:t>
      </w:r>
      <w:r w:rsidR="00963AF2">
        <w:rPr>
          <w:rFonts w:ascii="David" w:hAnsi="David" w:cs="David" w:hint="cs"/>
          <w:sz w:val="28"/>
          <w:szCs w:val="28"/>
          <w:rtl/>
        </w:rPr>
        <w:t>כפי שהצביעו עליו עדים אלה במהלך חקירתם</w:t>
      </w:r>
      <w:r w:rsidR="00865FA7">
        <w:rPr>
          <w:rFonts w:ascii="David" w:hAnsi="David" w:cs="David" w:hint="cs"/>
          <w:sz w:val="28"/>
          <w:szCs w:val="28"/>
          <w:rtl/>
        </w:rPr>
        <w:t xml:space="preserve">. </w:t>
      </w:r>
      <w:r w:rsidR="0025359E">
        <w:rPr>
          <w:rFonts w:ascii="David" w:hAnsi="David" w:cs="David" w:hint="cs"/>
          <w:sz w:val="28"/>
          <w:szCs w:val="28"/>
          <w:rtl/>
        </w:rPr>
        <w:t xml:space="preserve">לטענת ההגנה, ניתן להניח, כי העדים התכתבו עם המתלוננות על שארע, בהזדמנויות נוספות, </w:t>
      </w:r>
      <w:r w:rsidR="0025359E" w:rsidRPr="0025359E">
        <w:rPr>
          <w:rFonts w:ascii="David" w:hAnsi="David" w:cs="David" w:hint="cs"/>
          <w:b/>
          <w:bCs/>
          <w:sz w:val="28"/>
          <w:szCs w:val="28"/>
          <w:rtl/>
        </w:rPr>
        <w:t>מעבר</w:t>
      </w:r>
      <w:r w:rsidR="0025359E">
        <w:rPr>
          <w:rFonts w:ascii="David" w:hAnsi="David" w:cs="David" w:hint="cs"/>
          <w:sz w:val="28"/>
          <w:szCs w:val="28"/>
          <w:rtl/>
        </w:rPr>
        <w:t xml:space="preserve"> לתכתובות שנאספו בחקירה. </w:t>
      </w:r>
    </w:p>
    <w:p w:rsidR="004D45BF" w:rsidRPr="004D45BF" w:rsidRDefault="00C5683A" w:rsidP="00656D40">
      <w:pPr>
        <w:pStyle w:val="ListParagraph"/>
        <w:numPr>
          <w:ilvl w:val="0"/>
          <w:numId w:val="5"/>
        </w:numPr>
        <w:spacing w:after="0" w:line="360" w:lineRule="auto"/>
        <w:ind w:left="0" w:firstLine="0"/>
        <w:jc w:val="both"/>
        <w:rPr>
          <w:rFonts w:ascii="David" w:hAnsi="David" w:cs="David"/>
          <w:sz w:val="28"/>
          <w:szCs w:val="28"/>
          <w:rtl/>
        </w:rPr>
      </w:pPr>
      <w:r>
        <w:rPr>
          <w:rFonts w:ascii="David" w:hAnsi="David" w:cs="David" w:hint="cs"/>
          <w:sz w:val="28"/>
          <w:szCs w:val="28"/>
          <w:rtl/>
        </w:rPr>
        <w:t>בית הדין עמד על כך ש</w:t>
      </w:r>
      <w:r w:rsidR="004D45BF" w:rsidRPr="004D45BF">
        <w:rPr>
          <w:rFonts w:ascii="David" w:hAnsi="David" w:cs="David"/>
          <w:sz w:val="28"/>
          <w:szCs w:val="28"/>
          <w:rtl/>
        </w:rPr>
        <w:t xml:space="preserve">"אף חומר שאינו מצוי בתיק החקירה עשוי להיחשב כחומר חקירה אם נמצא בשליטת הגוף החוקר או אם נקבע כי היה צריך להימצא ברשותו". </w:t>
      </w:r>
      <w:r w:rsidR="00355A75">
        <w:rPr>
          <w:rFonts w:ascii="David" w:hAnsi="David" w:cs="David" w:hint="cs"/>
          <w:sz w:val="28"/>
          <w:szCs w:val="28"/>
          <w:rtl/>
        </w:rPr>
        <w:t xml:space="preserve">הוטעם, כי בהתאם להלכה הפסוקה, במקרים המתאימים, </w:t>
      </w:r>
      <w:r w:rsidR="004D45BF" w:rsidRPr="004D45BF">
        <w:rPr>
          <w:rFonts w:ascii="David" w:hAnsi="David" w:cs="David"/>
          <w:sz w:val="28"/>
          <w:szCs w:val="28"/>
          <w:rtl/>
        </w:rPr>
        <w:t>ניתן להורות על השלמת חקירה ו</w:t>
      </w:r>
      <w:r w:rsidR="00167A75">
        <w:rPr>
          <w:rFonts w:ascii="David" w:hAnsi="David" w:cs="David" w:hint="cs"/>
          <w:sz w:val="28"/>
          <w:szCs w:val="28"/>
          <w:rtl/>
        </w:rPr>
        <w:t xml:space="preserve">על </w:t>
      </w:r>
      <w:r w:rsidR="004D45BF" w:rsidRPr="004D45BF">
        <w:rPr>
          <w:rFonts w:ascii="David" w:hAnsi="David" w:cs="David"/>
          <w:sz w:val="28"/>
          <w:szCs w:val="28"/>
          <w:rtl/>
        </w:rPr>
        <w:t>הצגת חומרים נוספ</w:t>
      </w:r>
      <w:r w:rsidR="00167A75">
        <w:rPr>
          <w:rFonts w:ascii="David" w:hAnsi="David" w:cs="David" w:hint="cs"/>
          <w:sz w:val="28"/>
          <w:szCs w:val="28"/>
          <w:rtl/>
        </w:rPr>
        <w:t>ים</w:t>
      </w:r>
      <w:r w:rsidR="00963AF2">
        <w:rPr>
          <w:rFonts w:ascii="David" w:hAnsi="David" w:cs="David" w:hint="cs"/>
          <w:sz w:val="28"/>
          <w:szCs w:val="28"/>
          <w:rtl/>
        </w:rPr>
        <w:t>,</w:t>
      </w:r>
      <w:r w:rsidR="00167A75">
        <w:rPr>
          <w:rFonts w:ascii="David" w:hAnsi="David" w:cs="David" w:hint="cs"/>
          <w:sz w:val="28"/>
          <w:szCs w:val="28"/>
          <w:rtl/>
        </w:rPr>
        <w:t xml:space="preserve"> וזאת, </w:t>
      </w:r>
      <w:r w:rsidR="004D45BF" w:rsidRPr="004D45BF">
        <w:rPr>
          <w:rFonts w:ascii="David" w:hAnsi="David" w:cs="David"/>
          <w:sz w:val="28"/>
          <w:szCs w:val="28"/>
          <w:rtl/>
        </w:rPr>
        <w:t>כאשר ה</w:t>
      </w:r>
      <w:r w:rsidR="00150B73">
        <w:rPr>
          <w:rFonts w:ascii="David" w:hAnsi="David" w:cs="David" w:hint="cs"/>
          <w:sz w:val="28"/>
          <w:szCs w:val="28"/>
          <w:rtl/>
        </w:rPr>
        <w:t xml:space="preserve">ם </w:t>
      </w:r>
      <w:r w:rsidR="004D45BF" w:rsidRPr="004D45BF">
        <w:rPr>
          <w:rFonts w:ascii="David" w:hAnsi="David" w:cs="David"/>
          <w:sz w:val="28"/>
          <w:szCs w:val="28"/>
          <w:rtl/>
        </w:rPr>
        <w:t>חיוני</w:t>
      </w:r>
      <w:r w:rsidR="00150B73">
        <w:rPr>
          <w:rFonts w:ascii="David" w:hAnsi="David" w:cs="David" w:hint="cs"/>
          <w:sz w:val="28"/>
          <w:szCs w:val="28"/>
          <w:rtl/>
        </w:rPr>
        <w:t>ים</w:t>
      </w:r>
      <w:r w:rsidR="004D45BF" w:rsidRPr="004D45BF">
        <w:rPr>
          <w:rFonts w:ascii="David" w:hAnsi="David" w:cs="David"/>
          <w:sz w:val="28"/>
          <w:szCs w:val="28"/>
          <w:rtl/>
        </w:rPr>
        <w:t xml:space="preserve"> להגנת הנאשם; עם זאת, </w:t>
      </w:r>
      <w:r w:rsidR="00150B73">
        <w:rPr>
          <w:rFonts w:ascii="David" w:hAnsi="David" w:cs="David" w:hint="cs"/>
          <w:sz w:val="28"/>
          <w:szCs w:val="28"/>
          <w:rtl/>
        </w:rPr>
        <w:t xml:space="preserve">בואר, כי </w:t>
      </w:r>
      <w:r w:rsidR="004D45BF" w:rsidRPr="004D45BF">
        <w:rPr>
          <w:rFonts w:ascii="David" w:hAnsi="David" w:cs="David"/>
          <w:sz w:val="28"/>
          <w:szCs w:val="28"/>
          <w:rtl/>
        </w:rPr>
        <w:t xml:space="preserve">קיימת חזקה שלפיה </w:t>
      </w:r>
      <w:r w:rsidR="00E50877">
        <w:rPr>
          <w:rFonts w:ascii="David" w:hAnsi="David" w:cs="David" w:hint="cs"/>
          <w:sz w:val="28"/>
          <w:szCs w:val="28"/>
          <w:rtl/>
        </w:rPr>
        <w:t xml:space="preserve">גורמי </w:t>
      </w:r>
      <w:r w:rsidR="004D45BF" w:rsidRPr="004D45BF">
        <w:rPr>
          <w:rFonts w:ascii="David" w:hAnsi="David" w:cs="David"/>
          <w:sz w:val="28"/>
          <w:szCs w:val="28"/>
          <w:rtl/>
        </w:rPr>
        <w:t xml:space="preserve">החקירה אספו </w:t>
      </w:r>
      <w:r w:rsidR="00150B73">
        <w:rPr>
          <w:rFonts w:ascii="David" w:hAnsi="David" w:cs="David" w:hint="cs"/>
          <w:sz w:val="28"/>
          <w:szCs w:val="28"/>
          <w:rtl/>
        </w:rPr>
        <w:t xml:space="preserve">במהלכה </w:t>
      </w:r>
      <w:r w:rsidR="004D45BF" w:rsidRPr="004D45BF">
        <w:rPr>
          <w:rFonts w:ascii="David" w:hAnsi="David" w:cs="David"/>
          <w:sz w:val="28"/>
          <w:szCs w:val="28"/>
          <w:rtl/>
        </w:rPr>
        <w:t>את כלל החומר הרלוונטי, כך ש</w:t>
      </w:r>
      <w:r w:rsidR="00150B73">
        <w:rPr>
          <w:rFonts w:ascii="David" w:hAnsi="David" w:cs="David" w:hint="cs"/>
          <w:sz w:val="28"/>
          <w:szCs w:val="28"/>
          <w:rtl/>
        </w:rPr>
        <w:t xml:space="preserve">ניתן להניח כי </w:t>
      </w:r>
      <w:r w:rsidR="004D45BF" w:rsidRPr="004D45BF">
        <w:rPr>
          <w:rFonts w:ascii="David" w:hAnsi="David" w:cs="David"/>
          <w:sz w:val="28"/>
          <w:szCs w:val="28"/>
          <w:rtl/>
        </w:rPr>
        <w:t>חומר שאינו מצוי בידי התביעה ו</w:t>
      </w:r>
      <w:r w:rsidR="00150B73">
        <w:rPr>
          <w:rFonts w:ascii="David" w:hAnsi="David" w:cs="David" w:hint="cs"/>
          <w:sz w:val="28"/>
          <w:szCs w:val="28"/>
          <w:rtl/>
        </w:rPr>
        <w:t xml:space="preserve">גורמי </w:t>
      </w:r>
      <w:r w:rsidR="004D45BF" w:rsidRPr="004D45BF">
        <w:rPr>
          <w:rFonts w:ascii="David" w:hAnsi="David" w:cs="David"/>
          <w:sz w:val="28"/>
          <w:szCs w:val="28"/>
          <w:rtl/>
        </w:rPr>
        <w:t>החקירה</w:t>
      </w:r>
      <w:r w:rsidR="00150B73">
        <w:rPr>
          <w:rFonts w:ascii="David" w:hAnsi="David" w:cs="David" w:hint="cs"/>
          <w:sz w:val="28"/>
          <w:szCs w:val="28"/>
          <w:rtl/>
        </w:rPr>
        <w:t>, אינו רלוונטי ועל כן אינו בא בגדרי "</w:t>
      </w:r>
      <w:r w:rsidR="004D45BF" w:rsidRPr="004D45BF">
        <w:rPr>
          <w:rFonts w:ascii="David" w:hAnsi="David" w:cs="David"/>
          <w:sz w:val="28"/>
          <w:szCs w:val="28"/>
          <w:rtl/>
        </w:rPr>
        <w:t>חומר חקירה</w:t>
      </w:r>
      <w:r w:rsidR="00FE6442">
        <w:rPr>
          <w:rFonts w:ascii="David" w:hAnsi="David" w:cs="David" w:hint="cs"/>
          <w:sz w:val="28"/>
          <w:szCs w:val="28"/>
          <w:rtl/>
        </w:rPr>
        <w:t>.</w:t>
      </w:r>
      <w:r w:rsidR="004D45BF" w:rsidRPr="004D45BF">
        <w:rPr>
          <w:rFonts w:ascii="David" w:hAnsi="David" w:cs="David"/>
          <w:sz w:val="28"/>
          <w:szCs w:val="28"/>
          <w:rtl/>
        </w:rPr>
        <w:t xml:space="preserve"> </w:t>
      </w:r>
    </w:p>
    <w:p w:rsidR="004D45BF" w:rsidRPr="004D45BF" w:rsidRDefault="00E50877" w:rsidP="00656D40">
      <w:pPr>
        <w:pStyle w:val="ListParagraph"/>
        <w:numPr>
          <w:ilvl w:val="0"/>
          <w:numId w:val="5"/>
        </w:numPr>
        <w:spacing w:after="0" w:line="360" w:lineRule="auto"/>
        <w:ind w:left="0" w:firstLine="0"/>
        <w:jc w:val="both"/>
        <w:rPr>
          <w:rFonts w:ascii="David" w:hAnsi="David" w:cs="David"/>
          <w:sz w:val="28"/>
          <w:szCs w:val="28"/>
          <w:rtl/>
        </w:rPr>
      </w:pPr>
      <w:r>
        <w:rPr>
          <w:rFonts w:ascii="David" w:hAnsi="David" w:cs="David" w:hint="cs"/>
          <w:sz w:val="28"/>
          <w:szCs w:val="28"/>
          <w:rtl/>
        </w:rPr>
        <w:t xml:space="preserve">לאחר בחינת טענותיהם של הצדדים ועיון בחומר החקירה שנאסף, </w:t>
      </w:r>
      <w:r w:rsidR="00150B73">
        <w:rPr>
          <w:rFonts w:ascii="David" w:hAnsi="David" w:cs="David" w:hint="cs"/>
          <w:sz w:val="28"/>
          <w:szCs w:val="28"/>
          <w:rtl/>
        </w:rPr>
        <w:t>קבע</w:t>
      </w:r>
      <w:r>
        <w:rPr>
          <w:rFonts w:ascii="David" w:hAnsi="David" w:cs="David" w:hint="cs"/>
          <w:sz w:val="28"/>
          <w:szCs w:val="28"/>
          <w:rtl/>
        </w:rPr>
        <w:t xml:space="preserve"> בית הדין</w:t>
      </w:r>
      <w:r w:rsidR="00150B73">
        <w:rPr>
          <w:rFonts w:ascii="David" w:hAnsi="David" w:cs="David" w:hint="cs"/>
          <w:sz w:val="28"/>
          <w:szCs w:val="28"/>
          <w:rtl/>
        </w:rPr>
        <w:t xml:space="preserve">, כי </w:t>
      </w:r>
      <w:r w:rsidR="004D45BF" w:rsidRPr="004D45BF">
        <w:rPr>
          <w:rFonts w:ascii="David" w:hAnsi="David" w:cs="David"/>
          <w:sz w:val="28"/>
          <w:szCs w:val="28"/>
          <w:rtl/>
        </w:rPr>
        <w:t>בקשת ההגנה לתפוס מכשיר</w:t>
      </w:r>
      <w:r w:rsidR="00150B73">
        <w:rPr>
          <w:rFonts w:ascii="David" w:hAnsi="David" w:cs="David" w:hint="cs"/>
          <w:sz w:val="28"/>
          <w:szCs w:val="28"/>
          <w:rtl/>
        </w:rPr>
        <w:t xml:space="preserve">י טלפון ניידים של עדי התביעה, ובהם המתלוננות, </w:t>
      </w:r>
      <w:r w:rsidR="004D45BF" w:rsidRPr="004D45BF">
        <w:rPr>
          <w:rFonts w:ascii="David" w:hAnsi="David" w:cs="David"/>
          <w:sz w:val="28"/>
          <w:szCs w:val="28"/>
          <w:rtl/>
        </w:rPr>
        <w:t xml:space="preserve">ולערוך בהם </w:t>
      </w:r>
      <w:r w:rsidR="00150B73">
        <w:rPr>
          <w:rFonts w:ascii="David" w:hAnsi="David" w:cs="David" w:hint="cs"/>
          <w:sz w:val="28"/>
          <w:szCs w:val="28"/>
          <w:rtl/>
        </w:rPr>
        <w:t>חיפוש</w:t>
      </w:r>
      <w:r w:rsidR="004D45BF" w:rsidRPr="004D45BF">
        <w:rPr>
          <w:rFonts w:ascii="David" w:hAnsi="David" w:cs="David"/>
          <w:sz w:val="28"/>
          <w:szCs w:val="28"/>
          <w:rtl/>
        </w:rPr>
        <w:t xml:space="preserve">, </w:t>
      </w:r>
      <w:r>
        <w:rPr>
          <w:rFonts w:ascii="David" w:hAnsi="David" w:cs="David" w:hint="cs"/>
          <w:sz w:val="28"/>
          <w:szCs w:val="28"/>
          <w:rtl/>
        </w:rPr>
        <w:t xml:space="preserve">בטענה, כי אפשר שיימצא בהם דבר מה אשר עשוי לקדם את </w:t>
      </w:r>
      <w:r>
        <w:rPr>
          <w:rFonts w:ascii="David" w:hAnsi="David" w:cs="David" w:hint="cs"/>
          <w:sz w:val="28"/>
          <w:szCs w:val="28"/>
          <w:rtl/>
        </w:rPr>
        <w:lastRenderedPageBreak/>
        <w:t xml:space="preserve">הגנת המשיב, </w:t>
      </w:r>
      <w:r w:rsidR="00150B73">
        <w:rPr>
          <w:rFonts w:ascii="David" w:hAnsi="David" w:cs="David" w:hint="cs"/>
          <w:sz w:val="28"/>
          <w:szCs w:val="28"/>
          <w:rtl/>
        </w:rPr>
        <w:t xml:space="preserve">אינה </w:t>
      </w:r>
      <w:r>
        <w:rPr>
          <w:rFonts w:ascii="David" w:hAnsi="David" w:cs="David" w:hint="cs"/>
          <w:sz w:val="28"/>
          <w:szCs w:val="28"/>
          <w:rtl/>
        </w:rPr>
        <w:t xml:space="preserve">מבוססת ואין לה </w:t>
      </w:r>
      <w:r w:rsidR="00150B73">
        <w:rPr>
          <w:rFonts w:ascii="David" w:hAnsi="David" w:cs="David" w:hint="cs"/>
          <w:sz w:val="28"/>
          <w:szCs w:val="28"/>
          <w:rtl/>
        </w:rPr>
        <w:t>אחיזה בחומר הראיות הקיים</w:t>
      </w:r>
      <w:r>
        <w:rPr>
          <w:rFonts w:ascii="David" w:hAnsi="David" w:cs="David" w:hint="cs"/>
          <w:sz w:val="28"/>
          <w:szCs w:val="28"/>
          <w:rtl/>
        </w:rPr>
        <w:t xml:space="preserve">. </w:t>
      </w:r>
      <w:r w:rsidR="00150B73">
        <w:rPr>
          <w:rFonts w:ascii="David" w:hAnsi="David" w:cs="David" w:hint="cs"/>
          <w:sz w:val="28"/>
          <w:szCs w:val="28"/>
          <w:rtl/>
        </w:rPr>
        <w:t>במצטבר ל</w:t>
      </w:r>
      <w:r w:rsidR="00963AF2">
        <w:rPr>
          <w:rFonts w:ascii="David" w:hAnsi="David" w:cs="David" w:hint="cs"/>
          <w:sz w:val="28"/>
          <w:szCs w:val="28"/>
          <w:rtl/>
        </w:rPr>
        <w:t>כ</w:t>
      </w:r>
      <w:r w:rsidR="00150B73">
        <w:rPr>
          <w:rFonts w:ascii="David" w:hAnsi="David" w:cs="David" w:hint="cs"/>
          <w:sz w:val="28"/>
          <w:szCs w:val="28"/>
          <w:rtl/>
        </w:rPr>
        <w:t>ך, הדגיש בית הדין את הפ</w:t>
      </w:r>
      <w:r w:rsidR="004D45BF" w:rsidRPr="004D45BF">
        <w:rPr>
          <w:rFonts w:ascii="David" w:hAnsi="David" w:cs="David"/>
          <w:sz w:val="28"/>
          <w:szCs w:val="28"/>
          <w:rtl/>
        </w:rPr>
        <w:t xml:space="preserve">גיעה </w:t>
      </w:r>
      <w:r w:rsidR="00150B73">
        <w:rPr>
          <w:rFonts w:ascii="David" w:hAnsi="David" w:cs="David" w:hint="cs"/>
          <w:sz w:val="28"/>
          <w:szCs w:val="28"/>
          <w:rtl/>
        </w:rPr>
        <w:t>ה</w:t>
      </w:r>
      <w:r w:rsidR="004D45BF" w:rsidRPr="004D45BF">
        <w:rPr>
          <w:rFonts w:ascii="David" w:hAnsi="David" w:cs="David"/>
          <w:sz w:val="28"/>
          <w:szCs w:val="28"/>
          <w:rtl/>
        </w:rPr>
        <w:t>רבה בפרטיות</w:t>
      </w:r>
      <w:r w:rsidR="00150B73">
        <w:rPr>
          <w:rFonts w:ascii="David" w:hAnsi="David" w:cs="David" w:hint="cs"/>
          <w:sz w:val="28"/>
          <w:szCs w:val="28"/>
          <w:rtl/>
        </w:rPr>
        <w:t xml:space="preserve"> העדים הכרוכה בפעולה מעין זו</w:t>
      </w:r>
      <w:r w:rsidR="00DE43C2">
        <w:rPr>
          <w:rFonts w:ascii="David" w:hAnsi="David" w:cs="David" w:hint="cs"/>
          <w:sz w:val="28"/>
          <w:szCs w:val="28"/>
          <w:rtl/>
        </w:rPr>
        <w:t xml:space="preserve"> ו</w:t>
      </w:r>
      <w:r w:rsidR="00150B73">
        <w:rPr>
          <w:rFonts w:ascii="David" w:hAnsi="David" w:cs="David" w:hint="cs"/>
          <w:sz w:val="28"/>
          <w:szCs w:val="28"/>
          <w:rtl/>
        </w:rPr>
        <w:t xml:space="preserve">לפיכך, </w:t>
      </w:r>
      <w:r w:rsidR="00DE43C2">
        <w:rPr>
          <w:rFonts w:ascii="David" w:hAnsi="David" w:cs="David" w:hint="cs"/>
          <w:sz w:val="28"/>
          <w:szCs w:val="28"/>
          <w:rtl/>
        </w:rPr>
        <w:t xml:space="preserve">קבע </w:t>
      </w:r>
      <w:r w:rsidR="00150B73">
        <w:rPr>
          <w:rFonts w:ascii="David" w:hAnsi="David" w:cs="David" w:hint="cs"/>
          <w:sz w:val="28"/>
          <w:szCs w:val="28"/>
          <w:rtl/>
        </w:rPr>
        <w:t>כי אין להיעתר לבקשה</w:t>
      </w:r>
      <w:r w:rsidR="00DE43C2">
        <w:rPr>
          <w:rFonts w:ascii="David" w:hAnsi="David" w:cs="David" w:hint="cs"/>
          <w:sz w:val="28"/>
          <w:szCs w:val="28"/>
          <w:rtl/>
        </w:rPr>
        <w:t xml:space="preserve"> ברובה</w:t>
      </w:r>
      <w:r w:rsidR="00150B73">
        <w:rPr>
          <w:rFonts w:ascii="David" w:hAnsi="David" w:cs="David" w:hint="cs"/>
          <w:sz w:val="28"/>
          <w:szCs w:val="28"/>
          <w:rtl/>
        </w:rPr>
        <w:t>, בפרט מש</w:t>
      </w:r>
      <w:r w:rsidR="004D45BF" w:rsidRPr="004D45BF">
        <w:rPr>
          <w:rFonts w:ascii="David" w:hAnsi="David" w:cs="David"/>
          <w:sz w:val="28"/>
          <w:szCs w:val="28"/>
          <w:rtl/>
        </w:rPr>
        <w:t xml:space="preserve">מדובר </w:t>
      </w:r>
      <w:r w:rsidR="004D45BF" w:rsidRPr="00E50877">
        <w:rPr>
          <w:rFonts w:ascii="David" w:hAnsi="David" w:cs="David"/>
          <w:b/>
          <w:bCs/>
          <w:sz w:val="28"/>
          <w:szCs w:val="28"/>
          <w:rtl/>
        </w:rPr>
        <w:t>בהשלמת</w:t>
      </w:r>
      <w:r w:rsidR="004D45BF" w:rsidRPr="004D45BF">
        <w:rPr>
          <w:rFonts w:ascii="David" w:hAnsi="David" w:cs="David"/>
          <w:sz w:val="28"/>
          <w:szCs w:val="28"/>
          <w:rtl/>
        </w:rPr>
        <w:t xml:space="preserve"> חקירה במסגרת סעיף 74 לח</w:t>
      </w:r>
      <w:r w:rsidR="00150B73">
        <w:rPr>
          <w:rFonts w:ascii="David" w:hAnsi="David" w:cs="David" w:hint="cs"/>
          <w:sz w:val="28"/>
          <w:szCs w:val="28"/>
          <w:rtl/>
        </w:rPr>
        <w:t>וק סדר הדין הפלילי</w:t>
      </w:r>
      <w:r w:rsidR="004D45BF" w:rsidRPr="004D45BF">
        <w:rPr>
          <w:rFonts w:ascii="David" w:hAnsi="David" w:cs="David"/>
          <w:sz w:val="28"/>
          <w:szCs w:val="28"/>
          <w:rtl/>
        </w:rPr>
        <w:t xml:space="preserve">, </w:t>
      </w:r>
      <w:r w:rsidR="00150B73">
        <w:rPr>
          <w:rFonts w:ascii="David" w:hAnsi="David" w:cs="David" w:hint="cs"/>
          <w:sz w:val="28"/>
          <w:szCs w:val="28"/>
          <w:rtl/>
        </w:rPr>
        <w:t xml:space="preserve">אשר </w:t>
      </w:r>
      <w:r w:rsidR="004D45BF" w:rsidRPr="004D45BF">
        <w:rPr>
          <w:rFonts w:ascii="David" w:hAnsi="David" w:cs="David"/>
          <w:sz w:val="28"/>
          <w:szCs w:val="28"/>
          <w:rtl/>
        </w:rPr>
        <w:t xml:space="preserve">ראוי </w:t>
      </w:r>
      <w:r w:rsidR="00150B73">
        <w:rPr>
          <w:rFonts w:ascii="David" w:hAnsi="David" w:cs="David" w:hint="cs"/>
          <w:sz w:val="28"/>
          <w:szCs w:val="28"/>
          <w:rtl/>
        </w:rPr>
        <w:t xml:space="preserve">כי תבוצע </w:t>
      </w:r>
      <w:r w:rsidR="00DE43C2">
        <w:rPr>
          <w:rFonts w:ascii="David" w:hAnsi="David" w:cs="David" w:hint="cs"/>
          <w:sz w:val="28"/>
          <w:szCs w:val="28"/>
          <w:rtl/>
        </w:rPr>
        <w:t xml:space="preserve">בנסיבות </w:t>
      </w:r>
      <w:r w:rsidR="004D45BF" w:rsidRPr="004D45BF">
        <w:rPr>
          <w:rFonts w:ascii="David" w:hAnsi="David" w:cs="David"/>
          <w:sz w:val="28"/>
          <w:szCs w:val="28"/>
          <w:rtl/>
        </w:rPr>
        <w:t>חריגות.</w:t>
      </w:r>
    </w:p>
    <w:p w:rsidR="00154C04" w:rsidRPr="009C2341" w:rsidRDefault="004310EB" w:rsidP="00656D40">
      <w:pPr>
        <w:pStyle w:val="ListParagraph"/>
        <w:numPr>
          <w:ilvl w:val="0"/>
          <w:numId w:val="5"/>
        </w:numPr>
        <w:spacing w:after="0" w:line="360" w:lineRule="auto"/>
        <w:ind w:left="0" w:firstLine="0"/>
        <w:jc w:val="both"/>
        <w:rPr>
          <w:rFonts w:ascii="David" w:hAnsi="David" w:cs="David"/>
          <w:sz w:val="28"/>
          <w:szCs w:val="28"/>
          <w:rtl/>
        </w:rPr>
      </w:pPr>
      <w:r w:rsidRPr="00C76885">
        <w:rPr>
          <w:rFonts w:ascii="David" w:hAnsi="David" w:cs="David" w:hint="cs"/>
          <w:sz w:val="28"/>
          <w:szCs w:val="28"/>
          <w:rtl/>
        </w:rPr>
        <w:t xml:space="preserve">עם זאת, </w:t>
      </w:r>
      <w:r w:rsidR="004D45BF" w:rsidRPr="00C76885">
        <w:rPr>
          <w:rFonts w:ascii="David" w:hAnsi="David" w:cs="David"/>
          <w:sz w:val="28"/>
          <w:szCs w:val="28"/>
          <w:rtl/>
        </w:rPr>
        <w:t>ביחס לעד</w:t>
      </w:r>
      <w:r w:rsidRPr="00C76885">
        <w:rPr>
          <w:rFonts w:ascii="David" w:hAnsi="David" w:cs="David" w:hint="cs"/>
          <w:sz w:val="28"/>
          <w:szCs w:val="28"/>
          <w:rtl/>
        </w:rPr>
        <w:t xml:space="preserve">ת תביעה </w:t>
      </w:r>
      <w:r w:rsidR="004D45BF" w:rsidRPr="00C76885">
        <w:rPr>
          <w:rFonts w:ascii="David" w:hAnsi="David" w:cs="David"/>
          <w:sz w:val="28"/>
          <w:szCs w:val="28"/>
          <w:rtl/>
        </w:rPr>
        <w:t xml:space="preserve">מס' 9, </w:t>
      </w:r>
      <w:r w:rsidRPr="00C76885">
        <w:rPr>
          <w:rFonts w:ascii="David" w:hAnsi="David" w:cs="David" w:hint="cs"/>
          <w:sz w:val="28"/>
          <w:szCs w:val="28"/>
          <w:rtl/>
        </w:rPr>
        <w:t xml:space="preserve">מפקדת ביחידה, סבר בית הדין כי מדבריה באמרה עולה, כי קיימת אפשרות שישנו תיעוד </w:t>
      </w:r>
      <w:r w:rsidR="00E50877" w:rsidRPr="00C76885">
        <w:rPr>
          <w:rFonts w:ascii="David" w:hAnsi="David" w:cs="David" w:hint="cs"/>
          <w:sz w:val="28"/>
          <w:szCs w:val="28"/>
          <w:rtl/>
        </w:rPr>
        <w:t xml:space="preserve">נוסף </w:t>
      </w:r>
      <w:r w:rsidRPr="00C76885">
        <w:rPr>
          <w:rFonts w:ascii="David" w:hAnsi="David" w:cs="David" w:hint="cs"/>
          <w:sz w:val="28"/>
          <w:szCs w:val="28"/>
          <w:rtl/>
        </w:rPr>
        <w:t xml:space="preserve">לשיחות עם אחת מן המתלוננות, אשר עשוי להיות רלוונטי לבירור האשמה במקרה זה. לפיכך, </w:t>
      </w:r>
      <w:r w:rsidR="00C76885" w:rsidRPr="00C76885">
        <w:rPr>
          <w:rFonts w:ascii="David" w:hAnsi="David" w:cs="David" w:hint="cs"/>
          <w:sz w:val="28"/>
          <w:szCs w:val="28"/>
          <w:rtl/>
        </w:rPr>
        <w:t xml:space="preserve">הורה בית הדין לגורמי החקירה </w:t>
      </w:r>
      <w:r w:rsidR="004D45BF" w:rsidRPr="00C76885">
        <w:rPr>
          <w:rFonts w:ascii="David" w:hAnsi="David" w:cs="David"/>
          <w:sz w:val="28"/>
          <w:szCs w:val="28"/>
          <w:rtl/>
        </w:rPr>
        <w:t>לערוך בירור</w:t>
      </w:r>
      <w:r w:rsidRPr="00C76885">
        <w:rPr>
          <w:rFonts w:ascii="David" w:hAnsi="David" w:cs="David" w:hint="cs"/>
          <w:sz w:val="28"/>
          <w:szCs w:val="28"/>
          <w:rtl/>
        </w:rPr>
        <w:t xml:space="preserve"> בעניין זה</w:t>
      </w:r>
      <w:r w:rsidR="00C76885" w:rsidRPr="00C76885">
        <w:rPr>
          <w:rFonts w:ascii="David" w:hAnsi="David" w:cs="David" w:hint="cs"/>
          <w:sz w:val="28"/>
          <w:szCs w:val="28"/>
          <w:rtl/>
        </w:rPr>
        <w:t xml:space="preserve"> ולבדוק האם </w:t>
      </w:r>
      <w:r w:rsidR="00C76885" w:rsidRPr="00F838B5">
        <w:rPr>
          <w:rFonts w:ascii="David" w:hAnsi="David" w:cs="David" w:hint="cs"/>
          <w:sz w:val="24"/>
          <w:szCs w:val="24"/>
          <w:rtl/>
        </w:rPr>
        <w:t>"</w:t>
      </w:r>
      <w:r w:rsidR="00154C04" w:rsidRPr="009C2341">
        <w:rPr>
          <w:rFonts w:cs="David" w:hint="cs"/>
          <w:sz w:val="28"/>
          <w:szCs w:val="28"/>
          <w:rtl/>
        </w:rPr>
        <w:t xml:space="preserve">התנהלו בינה לבין נפגעות העבירה </w:t>
      </w:r>
      <w:r w:rsidR="009C2341">
        <w:rPr>
          <w:rFonts w:cs="David" w:hint="cs"/>
          <w:sz w:val="28"/>
          <w:szCs w:val="28"/>
          <w:rtl/>
        </w:rPr>
        <w:t xml:space="preserve">[המתלוננות] </w:t>
      </w:r>
      <w:r w:rsidR="00154C04" w:rsidRPr="009C2341">
        <w:rPr>
          <w:rFonts w:cs="David" w:hint="cs"/>
          <w:sz w:val="28"/>
          <w:szCs w:val="28"/>
          <w:rtl/>
        </w:rPr>
        <w:t xml:space="preserve">התכתבויות פרט לאלו שהוחרמו על ידי גורמי החקירה, </w:t>
      </w:r>
      <w:r w:rsidR="00154C04" w:rsidRPr="009C2341">
        <w:rPr>
          <w:rFonts w:cs="David" w:hint="cs"/>
          <w:b/>
          <w:bCs/>
          <w:sz w:val="28"/>
          <w:szCs w:val="28"/>
          <w:rtl/>
        </w:rPr>
        <w:t>וזאת בין יום האירוע למועד הגשת כתב האישום</w:t>
      </w:r>
      <w:r w:rsidR="009C2341" w:rsidRPr="009C2341">
        <w:rPr>
          <w:rFonts w:cs="David" w:hint="cs"/>
          <w:sz w:val="28"/>
          <w:szCs w:val="28"/>
          <w:rtl/>
        </w:rPr>
        <w:t>"</w:t>
      </w:r>
      <w:r w:rsidR="009C2341">
        <w:rPr>
          <w:rFonts w:cs="David" w:hint="cs"/>
          <w:sz w:val="28"/>
          <w:szCs w:val="28"/>
          <w:rtl/>
        </w:rPr>
        <w:t xml:space="preserve"> (הדגשות במקור)</w:t>
      </w:r>
      <w:r w:rsidR="00154C04" w:rsidRPr="009C2341">
        <w:rPr>
          <w:rFonts w:cs="David" w:hint="cs"/>
          <w:sz w:val="28"/>
          <w:szCs w:val="28"/>
          <w:rtl/>
        </w:rPr>
        <w:t>.</w:t>
      </w:r>
      <w:r w:rsidR="009C2341">
        <w:rPr>
          <w:rFonts w:cs="David" w:hint="cs"/>
          <w:sz w:val="28"/>
          <w:szCs w:val="28"/>
          <w:rtl/>
        </w:rPr>
        <w:t xml:space="preserve"> כמו כן, נקבע, כי ככל שהתשובה לשאלה תהיה חיובית, על גורמי החקירה לערוך חיפוש ידני במכשיר הטלפון הנייד של עדה מס' 9, בכפוף להסכמתה ולהסכמתן של המתלוננות, וכי ככל שיאותרו תכתובות רלוונטיות, נוספות, יועברו אלה תחילה לעיון התביעה. בית הדין הוסיף, כי אם התביעה תסתייג מהעברת התכתובות לעיון ההגנה, יועברו אלה להכרעת בית הדין בעניין. </w:t>
      </w:r>
    </w:p>
    <w:p w:rsidR="002939D2" w:rsidRPr="009C2341" w:rsidRDefault="004310EB" w:rsidP="00656D40">
      <w:pPr>
        <w:pStyle w:val="ListParagraph"/>
        <w:numPr>
          <w:ilvl w:val="0"/>
          <w:numId w:val="5"/>
        </w:numPr>
        <w:spacing w:after="0" w:line="360" w:lineRule="auto"/>
        <w:ind w:left="0" w:firstLine="0"/>
        <w:jc w:val="both"/>
        <w:rPr>
          <w:rFonts w:ascii="David" w:hAnsi="David" w:cs="David"/>
          <w:b/>
          <w:bCs/>
          <w:sz w:val="28"/>
          <w:szCs w:val="28"/>
          <w:u w:val="single"/>
        </w:rPr>
      </w:pPr>
      <w:r w:rsidRPr="009C2341">
        <w:rPr>
          <w:rFonts w:ascii="David" w:hAnsi="David" w:cs="David" w:hint="cs"/>
          <w:sz w:val="28"/>
          <w:szCs w:val="28"/>
          <w:rtl/>
        </w:rPr>
        <w:t xml:space="preserve">פרט לכך, נדחתה בקשת ההגנה לעיון בחומר חקירה. </w:t>
      </w:r>
    </w:p>
    <w:p w:rsidR="0056405B" w:rsidRDefault="0056405B" w:rsidP="002939D2">
      <w:pPr>
        <w:spacing w:line="360" w:lineRule="auto"/>
        <w:rPr>
          <w:rFonts w:ascii="David" w:hAnsi="David" w:cs="David"/>
          <w:b/>
          <w:bCs/>
          <w:sz w:val="28"/>
          <w:szCs w:val="28"/>
          <w:u w:val="single"/>
          <w:rtl/>
        </w:rPr>
      </w:pPr>
    </w:p>
    <w:p w:rsidR="002939D2" w:rsidRPr="002939D2" w:rsidRDefault="002939D2" w:rsidP="002939D2">
      <w:pPr>
        <w:spacing w:line="360" w:lineRule="auto"/>
        <w:rPr>
          <w:rFonts w:ascii="David" w:hAnsi="David" w:cs="David"/>
          <w:b/>
          <w:bCs/>
          <w:sz w:val="28"/>
          <w:szCs w:val="28"/>
          <w:u w:val="single"/>
          <w:rtl/>
        </w:rPr>
      </w:pPr>
      <w:r w:rsidRPr="002939D2">
        <w:rPr>
          <w:rFonts w:ascii="David" w:hAnsi="David" w:cs="David" w:hint="cs"/>
          <w:b/>
          <w:bCs/>
          <w:sz w:val="28"/>
          <w:szCs w:val="28"/>
          <w:u w:val="single"/>
          <w:rtl/>
        </w:rPr>
        <w:t>ערעור התביעה</w:t>
      </w:r>
    </w:p>
    <w:p w:rsidR="00505669" w:rsidRDefault="00505669" w:rsidP="00656D40">
      <w:pPr>
        <w:pStyle w:val="ListParagraph"/>
        <w:numPr>
          <w:ilvl w:val="0"/>
          <w:numId w:val="5"/>
        </w:numPr>
        <w:spacing w:after="0" w:line="360" w:lineRule="auto"/>
        <w:ind w:left="0" w:firstLine="0"/>
        <w:jc w:val="both"/>
        <w:rPr>
          <w:rFonts w:ascii="David" w:hAnsi="David" w:cs="David"/>
          <w:sz w:val="28"/>
          <w:szCs w:val="28"/>
        </w:rPr>
      </w:pPr>
      <w:r>
        <w:rPr>
          <w:rFonts w:ascii="David" w:hAnsi="David" w:cs="David" w:hint="cs"/>
          <w:sz w:val="28"/>
          <w:szCs w:val="28"/>
          <w:rtl/>
        </w:rPr>
        <w:t xml:space="preserve">כאמור, </w:t>
      </w:r>
      <w:r w:rsidR="002939D2" w:rsidRPr="00505669">
        <w:rPr>
          <w:rFonts w:ascii="David" w:hAnsi="David" w:cs="David" w:hint="cs"/>
          <w:sz w:val="28"/>
          <w:szCs w:val="28"/>
          <w:rtl/>
        </w:rPr>
        <w:t xml:space="preserve">התביעה לא השלימה עם החלטת בית הדין המחוזי לקבל חלקית את בקשת ההגנה. </w:t>
      </w:r>
      <w:r>
        <w:rPr>
          <w:rFonts w:ascii="David" w:hAnsi="David" w:cs="David" w:hint="cs"/>
          <w:sz w:val="28"/>
          <w:szCs w:val="28"/>
          <w:rtl/>
        </w:rPr>
        <w:t xml:space="preserve">נטען, כי </w:t>
      </w:r>
      <w:r w:rsidR="002939D2" w:rsidRPr="00505669">
        <w:rPr>
          <w:rFonts w:ascii="David" w:hAnsi="David" w:cs="David" w:hint="cs"/>
          <w:sz w:val="28"/>
          <w:szCs w:val="28"/>
          <w:rtl/>
        </w:rPr>
        <w:t xml:space="preserve">בקשת ההגנה </w:t>
      </w:r>
      <w:r>
        <w:rPr>
          <w:rFonts w:ascii="David" w:hAnsi="David" w:cs="David" w:hint="cs"/>
          <w:sz w:val="28"/>
          <w:szCs w:val="28"/>
          <w:rtl/>
        </w:rPr>
        <w:t xml:space="preserve">אינה, אלא, </w:t>
      </w:r>
      <w:r w:rsidR="002939D2" w:rsidRPr="00505669">
        <w:rPr>
          <w:rFonts w:ascii="David" w:hAnsi="David" w:cs="David" w:hint="cs"/>
          <w:sz w:val="28"/>
          <w:szCs w:val="28"/>
          <w:rtl/>
        </w:rPr>
        <w:t>"מסע דיג"</w:t>
      </w:r>
      <w:r>
        <w:rPr>
          <w:rFonts w:ascii="David" w:hAnsi="David" w:cs="David" w:hint="cs"/>
          <w:sz w:val="28"/>
          <w:szCs w:val="28"/>
          <w:rtl/>
        </w:rPr>
        <w:t>, וכי לטענות</w:t>
      </w:r>
      <w:r w:rsidR="00D435A8">
        <w:rPr>
          <w:rFonts w:ascii="David" w:hAnsi="David" w:cs="David" w:hint="cs"/>
          <w:sz w:val="28"/>
          <w:szCs w:val="28"/>
          <w:rtl/>
        </w:rPr>
        <w:t xml:space="preserve"> ההגנה </w:t>
      </w:r>
      <w:r>
        <w:rPr>
          <w:rFonts w:ascii="David" w:hAnsi="David" w:cs="David" w:hint="cs"/>
          <w:sz w:val="28"/>
          <w:szCs w:val="28"/>
          <w:rtl/>
        </w:rPr>
        <w:t xml:space="preserve">בדבר האפשרות כי יימצא מידע רלוונטי </w:t>
      </w:r>
      <w:r w:rsidR="00D435A8">
        <w:rPr>
          <w:rFonts w:ascii="David" w:hAnsi="David" w:cs="David" w:hint="cs"/>
          <w:sz w:val="28"/>
          <w:szCs w:val="28"/>
          <w:rtl/>
        </w:rPr>
        <w:t xml:space="preserve">נוסף במכשיר הטלפון הנייד של עדה מס' 9, </w:t>
      </w:r>
      <w:r>
        <w:rPr>
          <w:rFonts w:ascii="David" w:hAnsi="David" w:cs="David" w:hint="cs"/>
          <w:sz w:val="28"/>
          <w:szCs w:val="28"/>
          <w:rtl/>
        </w:rPr>
        <w:t xml:space="preserve">אין כל אחיזה בחומר הראיות הקיים. </w:t>
      </w:r>
    </w:p>
    <w:p w:rsidR="002939D2" w:rsidRPr="00505669" w:rsidRDefault="00963AF2" w:rsidP="00656D40">
      <w:pPr>
        <w:pStyle w:val="ListParagraph"/>
        <w:numPr>
          <w:ilvl w:val="0"/>
          <w:numId w:val="5"/>
        </w:numPr>
        <w:spacing w:after="0" w:line="360" w:lineRule="auto"/>
        <w:ind w:left="0" w:firstLine="0"/>
        <w:jc w:val="both"/>
        <w:rPr>
          <w:rFonts w:ascii="David" w:hAnsi="David" w:cs="David"/>
          <w:sz w:val="28"/>
          <w:szCs w:val="28"/>
        </w:rPr>
      </w:pPr>
      <w:r>
        <w:rPr>
          <w:rFonts w:ascii="David" w:hAnsi="David" w:cs="David" w:hint="cs"/>
          <w:sz w:val="28"/>
          <w:szCs w:val="28"/>
          <w:rtl/>
        </w:rPr>
        <w:t>אדרבה</w:t>
      </w:r>
      <w:r w:rsidR="00DA6225">
        <w:rPr>
          <w:rFonts w:ascii="David" w:hAnsi="David" w:cs="David" w:hint="cs"/>
          <w:sz w:val="28"/>
          <w:szCs w:val="28"/>
          <w:rtl/>
        </w:rPr>
        <w:t xml:space="preserve">, </w:t>
      </w:r>
      <w:r w:rsidR="00505669">
        <w:rPr>
          <w:rFonts w:ascii="David" w:hAnsi="David" w:cs="David" w:hint="cs"/>
          <w:sz w:val="28"/>
          <w:szCs w:val="28"/>
          <w:rtl/>
        </w:rPr>
        <w:t>נטען, כי עיון בדבריה של העדה בחקירה ובתכתובות ש</w:t>
      </w:r>
      <w:r w:rsidR="00DA6225">
        <w:rPr>
          <w:rFonts w:ascii="David" w:hAnsi="David" w:cs="David" w:hint="cs"/>
          <w:sz w:val="28"/>
          <w:szCs w:val="28"/>
          <w:rtl/>
        </w:rPr>
        <w:t>אליהן הפנתה (</w:t>
      </w:r>
      <w:r w:rsidR="00D435A8">
        <w:rPr>
          <w:rFonts w:ascii="David" w:hAnsi="David" w:cs="David" w:hint="cs"/>
          <w:sz w:val="28"/>
          <w:szCs w:val="28"/>
          <w:rtl/>
        </w:rPr>
        <w:t>ש</w:t>
      </w:r>
      <w:r w:rsidR="00505669">
        <w:rPr>
          <w:rFonts w:ascii="David" w:hAnsi="David" w:cs="David" w:hint="cs"/>
          <w:sz w:val="28"/>
          <w:szCs w:val="28"/>
          <w:rtl/>
        </w:rPr>
        <w:t>צילום שלהן נמצא בחומר החקירה</w:t>
      </w:r>
      <w:r w:rsidR="00DA6225">
        <w:rPr>
          <w:rFonts w:ascii="David" w:hAnsi="David" w:cs="David" w:hint="cs"/>
          <w:sz w:val="28"/>
          <w:szCs w:val="28"/>
          <w:rtl/>
        </w:rPr>
        <w:t>)</w:t>
      </w:r>
      <w:r w:rsidR="00505669">
        <w:rPr>
          <w:rFonts w:ascii="David" w:hAnsi="David" w:cs="David" w:hint="cs"/>
          <w:sz w:val="28"/>
          <w:szCs w:val="28"/>
          <w:rtl/>
        </w:rPr>
        <w:t xml:space="preserve">, מצביע על </w:t>
      </w:r>
      <w:r w:rsidR="00505669" w:rsidRPr="00DA6225">
        <w:rPr>
          <w:rFonts w:ascii="David" w:hAnsi="David" w:cs="David" w:hint="cs"/>
          <w:b/>
          <w:bCs/>
          <w:sz w:val="28"/>
          <w:szCs w:val="28"/>
          <w:rtl/>
        </w:rPr>
        <w:t>מ</w:t>
      </w:r>
      <w:r w:rsidR="00DA6225" w:rsidRPr="00DA6225">
        <w:rPr>
          <w:rFonts w:ascii="David" w:hAnsi="David" w:cs="David" w:hint="cs"/>
          <w:b/>
          <w:bCs/>
          <w:sz w:val="28"/>
          <w:szCs w:val="28"/>
          <w:rtl/>
        </w:rPr>
        <w:t>ס</w:t>
      </w:r>
      <w:r w:rsidR="00505669" w:rsidRPr="00DA6225">
        <w:rPr>
          <w:rFonts w:ascii="David" w:hAnsi="David" w:cs="David" w:hint="cs"/>
          <w:b/>
          <w:bCs/>
          <w:sz w:val="28"/>
          <w:szCs w:val="28"/>
          <w:rtl/>
        </w:rPr>
        <w:t>קנה ברורה, הפוכה מזו שאליה הגיע בית הדין המחוזי</w:t>
      </w:r>
      <w:r w:rsidR="00505669">
        <w:rPr>
          <w:rFonts w:ascii="David" w:hAnsi="David" w:cs="David" w:hint="cs"/>
          <w:sz w:val="28"/>
          <w:szCs w:val="28"/>
          <w:rtl/>
        </w:rPr>
        <w:t xml:space="preserve"> </w:t>
      </w:r>
      <w:r w:rsidR="00505669">
        <w:rPr>
          <w:rFonts w:ascii="David" w:hAnsi="David" w:cs="David"/>
          <w:sz w:val="28"/>
          <w:szCs w:val="28"/>
          <w:rtl/>
        </w:rPr>
        <w:t>–</w:t>
      </w:r>
      <w:r w:rsidR="00505669">
        <w:rPr>
          <w:rFonts w:ascii="David" w:hAnsi="David" w:cs="David" w:hint="cs"/>
          <w:sz w:val="28"/>
          <w:szCs w:val="28"/>
          <w:rtl/>
        </w:rPr>
        <w:t xml:space="preserve"> כי למעט אותן תכתובות, </w:t>
      </w:r>
      <w:r w:rsidR="00505669" w:rsidRPr="00505669">
        <w:rPr>
          <w:rFonts w:ascii="David" w:hAnsi="David" w:cs="David" w:hint="cs"/>
          <w:b/>
          <w:bCs/>
          <w:sz w:val="28"/>
          <w:szCs w:val="28"/>
          <w:rtl/>
        </w:rPr>
        <w:t>אין</w:t>
      </w:r>
      <w:r w:rsidR="00505669">
        <w:rPr>
          <w:rFonts w:ascii="David" w:hAnsi="David" w:cs="David" w:hint="cs"/>
          <w:sz w:val="28"/>
          <w:szCs w:val="28"/>
          <w:rtl/>
        </w:rPr>
        <w:t xml:space="preserve"> כל תיעוד נוסף לשיחות שקיימה עם המתלוננת על המקרה</w:t>
      </w:r>
      <w:r w:rsidR="00DA6225">
        <w:rPr>
          <w:rFonts w:ascii="David" w:hAnsi="David" w:cs="David" w:hint="cs"/>
          <w:sz w:val="28"/>
          <w:szCs w:val="28"/>
          <w:rtl/>
        </w:rPr>
        <w:t>, המתואר בכתב האישום.</w:t>
      </w:r>
      <w:r w:rsidR="00505669">
        <w:rPr>
          <w:rFonts w:ascii="David" w:hAnsi="David" w:cs="David" w:hint="cs"/>
          <w:sz w:val="28"/>
          <w:szCs w:val="28"/>
          <w:rtl/>
        </w:rPr>
        <w:t xml:space="preserve"> </w:t>
      </w:r>
      <w:r w:rsidR="00DA6225">
        <w:rPr>
          <w:rFonts w:ascii="David" w:hAnsi="David" w:cs="David" w:hint="cs"/>
          <w:sz w:val="28"/>
          <w:szCs w:val="28"/>
          <w:rtl/>
        </w:rPr>
        <w:t xml:space="preserve">נטען, כי העדה, בדבריה בחקירה, </w:t>
      </w:r>
      <w:r w:rsidR="002939D2" w:rsidRPr="00505669">
        <w:rPr>
          <w:rFonts w:ascii="David" w:hAnsi="David" w:cs="David" w:hint="cs"/>
          <w:sz w:val="28"/>
          <w:szCs w:val="28"/>
          <w:rtl/>
        </w:rPr>
        <w:t xml:space="preserve">הבחינה בין </w:t>
      </w:r>
      <w:r w:rsidR="00DA6225">
        <w:rPr>
          <w:rFonts w:ascii="David" w:hAnsi="David" w:cs="David" w:hint="cs"/>
          <w:sz w:val="28"/>
          <w:szCs w:val="28"/>
          <w:rtl/>
        </w:rPr>
        <w:t>השיחות ש</w:t>
      </w:r>
      <w:r w:rsidR="00D435A8">
        <w:rPr>
          <w:rFonts w:ascii="David" w:hAnsi="David" w:cs="David" w:hint="cs"/>
          <w:sz w:val="28"/>
          <w:szCs w:val="28"/>
          <w:rtl/>
        </w:rPr>
        <w:t xml:space="preserve">קיימה עם </w:t>
      </w:r>
      <w:r w:rsidR="00DA6225">
        <w:rPr>
          <w:rFonts w:ascii="David" w:hAnsi="David" w:cs="David" w:hint="cs"/>
          <w:sz w:val="28"/>
          <w:szCs w:val="28"/>
          <w:rtl/>
        </w:rPr>
        <w:t xml:space="preserve">המתלוננת באמצעות </w:t>
      </w:r>
      <w:r w:rsidR="002939D2" w:rsidRPr="00505669">
        <w:rPr>
          <w:rFonts w:ascii="David" w:hAnsi="David" w:cs="David" w:hint="cs"/>
          <w:sz w:val="28"/>
          <w:szCs w:val="28"/>
          <w:rtl/>
        </w:rPr>
        <w:t xml:space="preserve">הודעות כתובות </w:t>
      </w:r>
      <w:r w:rsidR="00DA6225">
        <w:rPr>
          <w:rFonts w:ascii="David" w:hAnsi="David" w:cs="David" w:hint="cs"/>
          <w:sz w:val="28"/>
          <w:szCs w:val="28"/>
          <w:rtl/>
        </w:rPr>
        <w:t xml:space="preserve">בטלפון הנייד לבין </w:t>
      </w:r>
      <w:r w:rsidR="002939D2" w:rsidRPr="00505669">
        <w:rPr>
          <w:rFonts w:ascii="David" w:hAnsi="David" w:cs="David" w:hint="cs"/>
          <w:sz w:val="28"/>
          <w:szCs w:val="28"/>
          <w:rtl/>
        </w:rPr>
        <w:t xml:space="preserve">שיחות </w:t>
      </w:r>
      <w:r w:rsidR="00DA6225">
        <w:rPr>
          <w:rFonts w:ascii="David" w:hAnsi="David" w:cs="David" w:hint="cs"/>
          <w:sz w:val="28"/>
          <w:szCs w:val="28"/>
          <w:rtl/>
        </w:rPr>
        <w:t xml:space="preserve">טלפון שנערכו ביניהן או שיחות </w:t>
      </w:r>
      <w:r>
        <w:rPr>
          <w:rFonts w:ascii="David" w:hAnsi="David" w:cs="David" w:hint="cs"/>
          <w:sz w:val="28"/>
          <w:szCs w:val="28"/>
          <w:rtl/>
        </w:rPr>
        <w:t>פנים אל פנים</w:t>
      </w:r>
      <w:r w:rsidR="00DA6225">
        <w:rPr>
          <w:rFonts w:ascii="David" w:hAnsi="David" w:cs="David" w:hint="cs"/>
          <w:sz w:val="28"/>
          <w:szCs w:val="28"/>
          <w:rtl/>
        </w:rPr>
        <w:t xml:space="preserve">. לראיה, כנטען, </w:t>
      </w:r>
      <w:r w:rsidR="002939D2" w:rsidRPr="00505669">
        <w:rPr>
          <w:rFonts w:ascii="David" w:hAnsi="David" w:cs="David" w:hint="cs"/>
          <w:sz w:val="28"/>
          <w:szCs w:val="28"/>
          <w:rtl/>
        </w:rPr>
        <w:t xml:space="preserve">כאשר נשאלה </w:t>
      </w:r>
      <w:r w:rsidR="00DA6225">
        <w:rPr>
          <w:rFonts w:ascii="David" w:hAnsi="David" w:cs="David" w:hint="cs"/>
          <w:sz w:val="28"/>
          <w:szCs w:val="28"/>
          <w:rtl/>
        </w:rPr>
        <w:t>העדה על תוכן ה</w:t>
      </w:r>
      <w:r w:rsidR="002939D2" w:rsidRPr="00505669">
        <w:rPr>
          <w:rFonts w:ascii="David" w:hAnsi="David" w:cs="David" w:hint="cs"/>
          <w:sz w:val="28"/>
          <w:szCs w:val="28"/>
          <w:rtl/>
        </w:rPr>
        <w:t xml:space="preserve">שיחות </w:t>
      </w:r>
      <w:r w:rsidR="00DA6225">
        <w:rPr>
          <w:rFonts w:ascii="David" w:hAnsi="David" w:cs="David" w:hint="cs"/>
          <w:sz w:val="28"/>
          <w:szCs w:val="28"/>
          <w:rtl/>
        </w:rPr>
        <w:t>ה</w:t>
      </w:r>
      <w:r w:rsidR="002939D2" w:rsidRPr="00505669">
        <w:rPr>
          <w:rFonts w:ascii="David" w:hAnsi="David" w:cs="David" w:hint="cs"/>
          <w:sz w:val="28"/>
          <w:szCs w:val="28"/>
          <w:rtl/>
        </w:rPr>
        <w:t>נוספות</w:t>
      </w:r>
      <w:r w:rsidR="00DA6225">
        <w:rPr>
          <w:rFonts w:ascii="David" w:hAnsi="David" w:cs="David" w:hint="cs"/>
          <w:sz w:val="28"/>
          <w:szCs w:val="28"/>
          <w:rtl/>
        </w:rPr>
        <w:t>,</w:t>
      </w:r>
      <w:r w:rsidR="00D435A8">
        <w:rPr>
          <w:rFonts w:ascii="David" w:hAnsi="David" w:cs="David" w:hint="cs"/>
          <w:sz w:val="28"/>
          <w:szCs w:val="28"/>
          <w:rtl/>
        </w:rPr>
        <w:t xml:space="preserve"> לאחר שהצביעה על התכתובות בטלפון הנייד,</w:t>
      </w:r>
      <w:r w:rsidR="00DA6225">
        <w:rPr>
          <w:rFonts w:ascii="David" w:hAnsi="David" w:cs="David" w:hint="cs"/>
          <w:sz w:val="28"/>
          <w:szCs w:val="28"/>
          <w:rtl/>
        </w:rPr>
        <w:t xml:space="preserve"> מסרה העדה כי </w:t>
      </w:r>
      <w:r w:rsidR="002939D2" w:rsidRPr="00505669">
        <w:rPr>
          <w:rFonts w:ascii="David" w:hAnsi="David" w:cs="David" w:hint="cs"/>
          <w:sz w:val="28"/>
          <w:szCs w:val="28"/>
          <w:rtl/>
        </w:rPr>
        <w:t xml:space="preserve">אינה זוכרת </w:t>
      </w:r>
      <w:r w:rsidR="00DA6225">
        <w:rPr>
          <w:rFonts w:ascii="David" w:hAnsi="David" w:cs="David" w:hint="cs"/>
          <w:sz w:val="28"/>
          <w:szCs w:val="28"/>
          <w:rtl/>
        </w:rPr>
        <w:t>במדויק את שנאמר</w:t>
      </w:r>
      <w:r w:rsidR="00D435A8">
        <w:rPr>
          <w:rFonts w:ascii="David" w:hAnsi="David" w:cs="David" w:hint="cs"/>
          <w:sz w:val="28"/>
          <w:szCs w:val="28"/>
          <w:rtl/>
        </w:rPr>
        <w:t xml:space="preserve"> בהן</w:t>
      </w:r>
      <w:r w:rsidR="00DA6225">
        <w:rPr>
          <w:rFonts w:ascii="David" w:hAnsi="David" w:cs="David" w:hint="cs"/>
          <w:sz w:val="28"/>
          <w:szCs w:val="28"/>
          <w:rtl/>
        </w:rPr>
        <w:t xml:space="preserve">, ובשונה מדבריה הקודמים באמרה, לא הפנתה לתיעוד במכשיר הטלפון הנייד. </w:t>
      </w:r>
    </w:p>
    <w:p w:rsidR="002939D2" w:rsidRPr="00DA6225" w:rsidRDefault="00DA6225" w:rsidP="00D906B6">
      <w:pPr>
        <w:pStyle w:val="ListParagraph"/>
        <w:numPr>
          <w:ilvl w:val="0"/>
          <w:numId w:val="5"/>
        </w:numPr>
        <w:spacing w:after="0" w:line="360" w:lineRule="auto"/>
        <w:ind w:left="0" w:firstLine="0"/>
        <w:jc w:val="both"/>
        <w:rPr>
          <w:rFonts w:ascii="David" w:hAnsi="David" w:cs="David"/>
          <w:sz w:val="28"/>
          <w:szCs w:val="28"/>
        </w:rPr>
      </w:pPr>
      <w:r w:rsidRPr="00DA6225">
        <w:rPr>
          <w:rFonts w:ascii="David" w:hAnsi="David" w:cs="David" w:hint="cs"/>
          <w:sz w:val="28"/>
          <w:szCs w:val="28"/>
          <w:rtl/>
        </w:rPr>
        <w:lastRenderedPageBreak/>
        <w:t xml:space="preserve">התביעה סבורה, כי משנקבע בהחלטתו של </w:t>
      </w:r>
      <w:r w:rsidR="002939D2" w:rsidRPr="00DA6225">
        <w:rPr>
          <w:rFonts w:ascii="David" w:hAnsi="David" w:cs="David" w:hint="cs"/>
          <w:sz w:val="28"/>
          <w:szCs w:val="28"/>
          <w:rtl/>
        </w:rPr>
        <w:t>בית הדין קמא</w:t>
      </w:r>
      <w:r w:rsidRPr="00DA6225">
        <w:rPr>
          <w:rFonts w:ascii="David" w:hAnsi="David" w:cs="David" w:hint="cs"/>
          <w:sz w:val="28"/>
          <w:szCs w:val="28"/>
          <w:rtl/>
        </w:rPr>
        <w:t xml:space="preserve">, </w:t>
      </w:r>
      <w:r w:rsidR="002939D2" w:rsidRPr="00DA6225">
        <w:rPr>
          <w:rFonts w:ascii="David" w:hAnsi="David" w:cs="David" w:hint="cs"/>
          <w:sz w:val="28"/>
          <w:szCs w:val="28"/>
          <w:rtl/>
        </w:rPr>
        <w:t>מפורשות</w:t>
      </w:r>
      <w:r w:rsidRPr="00DA6225">
        <w:rPr>
          <w:rFonts w:ascii="David" w:hAnsi="David" w:cs="David" w:hint="cs"/>
          <w:sz w:val="28"/>
          <w:szCs w:val="28"/>
          <w:rtl/>
        </w:rPr>
        <w:t>,</w:t>
      </w:r>
      <w:r w:rsidR="002939D2" w:rsidRPr="00DA6225">
        <w:rPr>
          <w:rFonts w:ascii="David" w:hAnsi="David" w:cs="David" w:hint="cs"/>
          <w:sz w:val="28"/>
          <w:szCs w:val="28"/>
          <w:rtl/>
        </w:rPr>
        <w:t xml:space="preserve"> שההגנה לא הצביעה על </w:t>
      </w:r>
      <w:r w:rsidRPr="00DA6225">
        <w:rPr>
          <w:rFonts w:ascii="David" w:hAnsi="David" w:cs="David" w:hint="cs"/>
          <w:sz w:val="28"/>
          <w:szCs w:val="28"/>
          <w:rtl/>
        </w:rPr>
        <w:t xml:space="preserve">אחיזה בחומר הראיות למידע שאותו היא מבקשת לקבל, לא היה מקום לחרוג מקביעה זו ולנהוג אחרת ביחס לעדה מס' 9. </w:t>
      </w:r>
      <w:r>
        <w:rPr>
          <w:rFonts w:ascii="David" w:hAnsi="David" w:cs="David" w:hint="cs"/>
          <w:sz w:val="28"/>
          <w:szCs w:val="28"/>
          <w:rtl/>
        </w:rPr>
        <w:t xml:space="preserve">נטען, כי אף ביחס לדבריה של העדה </w:t>
      </w:r>
      <w:r w:rsidR="002939D2" w:rsidRPr="00DA6225">
        <w:rPr>
          <w:rFonts w:ascii="David" w:hAnsi="David" w:cs="David" w:hint="cs"/>
          <w:sz w:val="28"/>
          <w:szCs w:val="28"/>
          <w:rtl/>
        </w:rPr>
        <w:t xml:space="preserve">חלה החזקה כי </w:t>
      </w:r>
      <w:r>
        <w:rPr>
          <w:rFonts w:ascii="David" w:hAnsi="David" w:cs="David" w:hint="cs"/>
          <w:sz w:val="28"/>
          <w:szCs w:val="28"/>
          <w:rtl/>
        </w:rPr>
        <w:t xml:space="preserve">מידע </w:t>
      </w:r>
      <w:r w:rsidR="002939D2" w:rsidRPr="00DA6225">
        <w:rPr>
          <w:rFonts w:ascii="David" w:hAnsi="David" w:cs="David" w:hint="cs"/>
          <w:sz w:val="28"/>
          <w:szCs w:val="28"/>
          <w:rtl/>
        </w:rPr>
        <w:t>שלא נאס</w:t>
      </w:r>
      <w:r>
        <w:rPr>
          <w:rFonts w:ascii="David" w:hAnsi="David" w:cs="David" w:hint="cs"/>
          <w:sz w:val="28"/>
          <w:szCs w:val="28"/>
          <w:rtl/>
        </w:rPr>
        <w:t>ף ע</w:t>
      </w:r>
      <w:r w:rsidR="002939D2" w:rsidRPr="00DA6225">
        <w:rPr>
          <w:rFonts w:ascii="David" w:hAnsi="David" w:cs="David" w:hint="cs"/>
          <w:sz w:val="28"/>
          <w:szCs w:val="28"/>
          <w:rtl/>
        </w:rPr>
        <w:t xml:space="preserve">ל ידי גורמי החקירה אינו רלוונטי לאישום ואינו </w:t>
      </w:r>
      <w:r>
        <w:rPr>
          <w:rFonts w:ascii="David" w:hAnsi="David" w:cs="David" w:hint="cs"/>
          <w:sz w:val="28"/>
          <w:szCs w:val="28"/>
          <w:rtl/>
        </w:rPr>
        <w:t>בגדר "</w:t>
      </w:r>
      <w:r w:rsidR="002939D2" w:rsidRPr="00DA6225">
        <w:rPr>
          <w:rFonts w:ascii="David" w:hAnsi="David" w:cs="David" w:hint="cs"/>
          <w:sz w:val="28"/>
          <w:szCs w:val="28"/>
          <w:rtl/>
        </w:rPr>
        <w:t>חומר חקירה</w:t>
      </w:r>
      <w:r>
        <w:rPr>
          <w:rFonts w:ascii="David" w:hAnsi="David" w:cs="David" w:hint="cs"/>
          <w:sz w:val="28"/>
          <w:szCs w:val="28"/>
          <w:rtl/>
        </w:rPr>
        <w:t>"</w:t>
      </w:r>
      <w:r w:rsidR="002939D2" w:rsidRPr="00DA6225">
        <w:rPr>
          <w:rFonts w:ascii="David" w:hAnsi="David" w:cs="David" w:hint="cs"/>
          <w:sz w:val="28"/>
          <w:szCs w:val="28"/>
          <w:rtl/>
        </w:rPr>
        <w:t>; חזקה זו</w:t>
      </w:r>
      <w:r w:rsidR="0025359E">
        <w:rPr>
          <w:rFonts w:ascii="David" w:hAnsi="David" w:cs="David" w:hint="cs"/>
          <w:sz w:val="28"/>
          <w:szCs w:val="28"/>
          <w:rtl/>
        </w:rPr>
        <w:t xml:space="preserve">, כנטען, מתקיימת ביתר שאת </w:t>
      </w:r>
      <w:r w:rsidR="002939D2" w:rsidRPr="00DA6225">
        <w:rPr>
          <w:rFonts w:ascii="David" w:hAnsi="David" w:cs="David" w:hint="cs"/>
          <w:sz w:val="28"/>
          <w:szCs w:val="28"/>
          <w:rtl/>
        </w:rPr>
        <w:t>לאור קביעת בית דין קמא</w:t>
      </w:r>
      <w:r w:rsidR="0025359E">
        <w:rPr>
          <w:rFonts w:ascii="David" w:hAnsi="David" w:cs="David" w:hint="cs"/>
          <w:sz w:val="28"/>
          <w:szCs w:val="28"/>
          <w:rtl/>
        </w:rPr>
        <w:t>,</w:t>
      </w:r>
      <w:r w:rsidR="002939D2" w:rsidRPr="00DA6225">
        <w:rPr>
          <w:rFonts w:ascii="David" w:hAnsi="David" w:cs="David" w:hint="cs"/>
          <w:sz w:val="28"/>
          <w:szCs w:val="28"/>
          <w:rtl/>
        </w:rPr>
        <w:t xml:space="preserve"> ש</w:t>
      </w:r>
      <w:r w:rsidR="0025359E">
        <w:rPr>
          <w:rFonts w:ascii="David" w:hAnsi="David" w:cs="David" w:hint="cs"/>
          <w:sz w:val="28"/>
          <w:szCs w:val="28"/>
          <w:rtl/>
        </w:rPr>
        <w:t xml:space="preserve">לפיה לא נפל כל פגם בהתנהלות של </w:t>
      </w:r>
      <w:r w:rsidR="002939D2" w:rsidRPr="00DA6225">
        <w:rPr>
          <w:rFonts w:ascii="David" w:hAnsi="David" w:cs="David" w:hint="cs"/>
          <w:sz w:val="28"/>
          <w:szCs w:val="28"/>
          <w:rtl/>
        </w:rPr>
        <w:t>גורמי החקירה</w:t>
      </w:r>
      <w:r w:rsidR="0025359E">
        <w:rPr>
          <w:rFonts w:ascii="David" w:hAnsi="David" w:cs="David" w:hint="cs"/>
          <w:sz w:val="28"/>
          <w:szCs w:val="28"/>
          <w:rtl/>
        </w:rPr>
        <w:t xml:space="preserve">, אשר לא מצאו </w:t>
      </w:r>
      <w:r w:rsidR="002B77E0">
        <w:rPr>
          <w:rFonts w:ascii="David" w:hAnsi="David" w:cs="David" w:hint="cs"/>
          <w:sz w:val="28"/>
          <w:szCs w:val="28"/>
          <w:rtl/>
        </w:rPr>
        <w:t xml:space="preserve">לנכון </w:t>
      </w:r>
      <w:r w:rsidR="0025359E">
        <w:rPr>
          <w:rFonts w:ascii="David" w:hAnsi="David" w:cs="David" w:hint="cs"/>
          <w:sz w:val="28"/>
          <w:szCs w:val="28"/>
          <w:rtl/>
        </w:rPr>
        <w:t xml:space="preserve">לתפוס את הטלפונים הניידים של </w:t>
      </w:r>
      <w:r w:rsidR="002B77E0">
        <w:rPr>
          <w:rFonts w:ascii="David" w:hAnsi="David" w:cs="David" w:hint="cs"/>
          <w:sz w:val="28"/>
          <w:szCs w:val="28"/>
          <w:rtl/>
        </w:rPr>
        <w:t xml:space="preserve">הנחקרים </w:t>
      </w:r>
      <w:r w:rsidR="0025359E">
        <w:rPr>
          <w:rFonts w:ascii="David" w:hAnsi="David" w:cs="David" w:hint="cs"/>
          <w:sz w:val="28"/>
          <w:szCs w:val="28"/>
          <w:rtl/>
        </w:rPr>
        <w:t xml:space="preserve">ולערוך בהם חיפוש נרחב. </w:t>
      </w:r>
    </w:p>
    <w:p w:rsidR="002939D2" w:rsidRPr="00505669" w:rsidRDefault="0025359E" w:rsidP="00D906B6">
      <w:pPr>
        <w:pStyle w:val="ListParagraph"/>
        <w:numPr>
          <w:ilvl w:val="0"/>
          <w:numId w:val="5"/>
        </w:numPr>
        <w:spacing w:after="0" w:line="360" w:lineRule="auto"/>
        <w:ind w:left="0" w:firstLine="0"/>
        <w:jc w:val="both"/>
        <w:rPr>
          <w:rFonts w:ascii="David" w:hAnsi="David" w:cs="David"/>
          <w:sz w:val="28"/>
          <w:szCs w:val="28"/>
        </w:rPr>
      </w:pPr>
      <w:r>
        <w:rPr>
          <w:rFonts w:ascii="David" w:hAnsi="David" w:cs="David" w:hint="cs"/>
          <w:sz w:val="28"/>
          <w:szCs w:val="28"/>
          <w:rtl/>
        </w:rPr>
        <w:t xml:space="preserve">נטען עוד, כי </w:t>
      </w:r>
      <w:r w:rsidR="002B77E0">
        <w:rPr>
          <w:rFonts w:ascii="David" w:hAnsi="David" w:cs="David" w:hint="cs"/>
          <w:sz w:val="28"/>
          <w:szCs w:val="28"/>
          <w:rtl/>
        </w:rPr>
        <w:t xml:space="preserve">בידי </w:t>
      </w:r>
      <w:r w:rsidR="002939D2" w:rsidRPr="00505669">
        <w:rPr>
          <w:rFonts w:ascii="David" w:hAnsi="David" w:cs="David" w:hint="cs"/>
          <w:sz w:val="28"/>
          <w:szCs w:val="28"/>
          <w:rtl/>
        </w:rPr>
        <w:t xml:space="preserve">ההגנה </w:t>
      </w:r>
      <w:r>
        <w:rPr>
          <w:rFonts w:ascii="David" w:hAnsi="David" w:cs="David" w:hint="cs"/>
          <w:sz w:val="28"/>
          <w:szCs w:val="28"/>
          <w:rtl/>
        </w:rPr>
        <w:t>להציג שאלות לעדים, במהלך חקיר</w:t>
      </w:r>
      <w:r w:rsidR="002B77E0">
        <w:rPr>
          <w:rFonts w:ascii="David" w:hAnsi="David" w:cs="David" w:hint="cs"/>
          <w:sz w:val="28"/>
          <w:szCs w:val="28"/>
          <w:rtl/>
        </w:rPr>
        <w:t>תם</w:t>
      </w:r>
      <w:r>
        <w:rPr>
          <w:rFonts w:ascii="David" w:hAnsi="David" w:cs="David" w:hint="cs"/>
          <w:sz w:val="28"/>
          <w:szCs w:val="28"/>
          <w:rtl/>
        </w:rPr>
        <w:t xml:space="preserve"> הנגדית, ולאחר מכן, ככל שיעלה כי אכן קיים בסיס לטענותיה, תוכל לבקש לעיין בתכתובות שנשמרו במכשיר הטלפון הנייד שברשותם, במסגרת </w:t>
      </w:r>
      <w:r w:rsidR="002939D2" w:rsidRPr="00505669">
        <w:rPr>
          <w:rFonts w:ascii="David" w:hAnsi="David" w:cs="David" w:hint="cs"/>
          <w:sz w:val="28"/>
          <w:szCs w:val="28"/>
          <w:rtl/>
        </w:rPr>
        <w:t xml:space="preserve">סעיף 108 לחוק </w:t>
      </w:r>
      <w:r>
        <w:rPr>
          <w:rFonts w:ascii="David" w:hAnsi="David" w:cs="David" w:hint="cs"/>
          <w:sz w:val="28"/>
          <w:szCs w:val="28"/>
          <w:rtl/>
        </w:rPr>
        <w:t xml:space="preserve">סדר הדין הפלילי. </w:t>
      </w:r>
    </w:p>
    <w:p w:rsidR="002939D2" w:rsidRPr="00505669" w:rsidRDefault="002939D2" w:rsidP="00D906B6">
      <w:pPr>
        <w:pStyle w:val="ListParagraph"/>
        <w:numPr>
          <w:ilvl w:val="0"/>
          <w:numId w:val="5"/>
        </w:numPr>
        <w:spacing w:after="0" w:line="360" w:lineRule="auto"/>
        <w:ind w:left="0" w:firstLine="0"/>
        <w:jc w:val="both"/>
        <w:rPr>
          <w:rFonts w:ascii="David" w:hAnsi="David" w:cs="David"/>
          <w:sz w:val="28"/>
          <w:szCs w:val="28"/>
        </w:rPr>
      </w:pPr>
      <w:r w:rsidRPr="00505669">
        <w:rPr>
          <w:rFonts w:ascii="David" w:hAnsi="David" w:cs="David" w:hint="cs"/>
          <w:sz w:val="28"/>
          <w:szCs w:val="28"/>
          <w:rtl/>
        </w:rPr>
        <w:t xml:space="preserve">בנסיבות הללו, </w:t>
      </w:r>
      <w:r w:rsidR="0055680F">
        <w:rPr>
          <w:rFonts w:ascii="David" w:hAnsi="David" w:cs="David" w:hint="cs"/>
          <w:sz w:val="28"/>
          <w:szCs w:val="28"/>
          <w:rtl/>
        </w:rPr>
        <w:t>טוענת</w:t>
      </w:r>
      <w:r w:rsidRPr="00505669">
        <w:rPr>
          <w:rFonts w:ascii="David" w:hAnsi="David" w:cs="David" w:hint="cs"/>
          <w:sz w:val="28"/>
          <w:szCs w:val="28"/>
          <w:rtl/>
        </w:rPr>
        <w:t xml:space="preserve"> התביעה</w:t>
      </w:r>
      <w:r w:rsidR="0055680F">
        <w:rPr>
          <w:rFonts w:ascii="David" w:hAnsi="David" w:cs="David" w:hint="cs"/>
          <w:sz w:val="28"/>
          <w:szCs w:val="28"/>
          <w:rtl/>
        </w:rPr>
        <w:t>,</w:t>
      </w:r>
      <w:r w:rsidRPr="00505669">
        <w:rPr>
          <w:rFonts w:ascii="David" w:hAnsi="David" w:cs="David" w:hint="cs"/>
          <w:sz w:val="28"/>
          <w:szCs w:val="28"/>
          <w:rtl/>
        </w:rPr>
        <w:t xml:space="preserve"> כי </w:t>
      </w:r>
      <w:r w:rsidR="002B77E0">
        <w:rPr>
          <w:rFonts w:ascii="David" w:hAnsi="David" w:cs="David" w:hint="cs"/>
          <w:sz w:val="28"/>
          <w:szCs w:val="28"/>
          <w:rtl/>
        </w:rPr>
        <w:t>לא הייתה</w:t>
      </w:r>
      <w:r w:rsidRPr="00505669">
        <w:rPr>
          <w:rFonts w:ascii="David" w:hAnsi="David" w:cs="David" w:hint="cs"/>
          <w:sz w:val="28"/>
          <w:szCs w:val="28"/>
          <w:rtl/>
        </w:rPr>
        <w:t xml:space="preserve"> הצדקה ל</w:t>
      </w:r>
      <w:r w:rsidR="002B77E0">
        <w:rPr>
          <w:rFonts w:ascii="David" w:hAnsi="David" w:cs="David" w:hint="cs"/>
          <w:sz w:val="28"/>
          <w:szCs w:val="28"/>
          <w:rtl/>
        </w:rPr>
        <w:t xml:space="preserve">הורות </w:t>
      </w:r>
      <w:r w:rsidRPr="00505669">
        <w:rPr>
          <w:rFonts w:ascii="David" w:hAnsi="David" w:cs="David" w:hint="cs"/>
          <w:sz w:val="28"/>
          <w:szCs w:val="28"/>
          <w:rtl/>
        </w:rPr>
        <w:t>על השלמת חקירה</w:t>
      </w:r>
      <w:r w:rsidR="002B77E0">
        <w:rPr>
          <w:rFonts w:ascii="David" w:hAnsi="David" w:cs="David" w:hint="cs"/>
          <w:sz w:val="28"/>
          <w:szCs w:val="28"/>
          <w:rtl/>
        </w:rPr>
        <w:t>,</w:t>
      </w:r>
      <w:r w:rsidRPr="00505669">
        <w:rPr>
          <w:rFonts w:ascii="David" w:hAnsi="David" w:cs="David" w:hint="cs"/>
          <w:sz w:val="28"/>
          <w:szCs w:val="28"/>
          <w:rtl/>
        </w:rPr>
        <w:t xml:space="preserve"> </w:t>
      </w:r>
      <w:r w:rsidR="002B77E0">
        <w:rPr>
          <w:rFonts w:ascii="David" w:hAnsi="David" w:cs="David" w:hint="cs"/>
          <w:sz w:val="28"/>
          <w:szCs w:val="28"/>
          <w:rtl/>
        </w:rPr>
        <w:t xml:space="preserve">כמפורט לעיל, ולא היה </w:t>
      </w:r>
      <w:r w:rsidRPr="00505669">
        <w:rPr>
          <w:rFonts w:ascii="David" w:hAnsi="David" w:cs="David" w:hint="cs"/>
          <w:sz w:val="28"/>
          <w:szCs w:val="28"/>
          <w:rtl/>
        </w:rPr>
        <w:t>בסיס להניח שיימצא ב</w:t>
      </w:r>
      <w:r w:rsidR="002B77E0">
        <w:rPr>
          <w:rFonts w:ascii="David" w:hAnsi="David" w:cs="David" w:hint="cs"/>
          <w:sz w:val="28"/>
          <w:szCs w:val="28"/>
          <w:rtl/>
        </w:rPr>
        <w:t xml:space="preserve">מסגרתה </w:t>
      </w:r>
      <w:r w:rsidRPr="00505669">
        <w:rPr>
          <w:rFonts w:ascii="David" w:hAnsi="David" w:cs="David" w:hint="cs"/>
          <w:sz w:val="28"/>
          <w:szCs w:val="28"/>
          <w:rtl/>
        </w:rPr>
        <w:t>מידע חד</w:t>
      </w:r>
      <w:r w:rsidR="002B77E0">
        <w:rPr>
          <w:rFonts w:ascii="David" w:hAnsi="David" w:cs="David" w:hint="cs"/>
          <w:sz w:val="28"/>
          <w:szCs w:val="28"/>
          <w:rtl/>
        </w:rPr>
        <w:t>ש</w:t>
      </w:r>
      <w:r w:rsidRPr="00505669">
        <w:rPr>
          <w:rFonts w:ascii="David" w:hAnsi="David" w:cs="David" w:hint="cs"/>
          <w:sz w:val="28"/>
          <w:szCs w:val="28"/>
          <w:rtl/>
        </w:rPr>
        <w:t xml:space="preserve">, </w:t>
      </w:r>
      <w:r w:rsidR="002B77E0">
        <w:rPr>
          <w:rFonts w:ascii="David" w:hAnsi="David" w:cs="David" w:hint="cs"/>
          <w:sz w:val="28"/>
          <w:szCs w:val="28"/>
          <w:rtl/>
        </w:rPr>
        <w:t>הרלוונטי</w:t>
      </w:r>
      <w:r w:rsidRPr="00505669">
        <w:rPr>
          <w:rFonts w:ascii="David" w:hAnsi="David" w:cs="David" w:hint="cs"/>
          <w:sz w:val="28"/>
          <w:szCs w:val="28"/>
          <w:rtl/>
        </w:rPr>
        <w:t xml:space="preserve"> להגנה.</w:t>
      </w:r>
    </w:p>
    <w:p w:rsidR="0056405B" w:rsidRDefault="0056405B" w:rsidP="003D3B25">
      <w:pPr>
        <w:spacing w:line="360" w:lineRule="auto"/>
        <w:rPr>
          <w:rFonts w:ascii="David" w:hAnsi="David" w:cs="David"/>
          <w:b/>
          <w:bCs/>
          <w:sz w:val="28"/>
          <w:szCs w:val="28"/>
          <w:u w:val="single"/>
          <w:rtl/>
        </w:rPr>
      </w:pPr>
    </w:p>
    <w:p w:rsidR="00F86A1A" w:rsidRDefault="00F86A1A" w:rsidP="003D3B25">
      <w:pPr>
        <w:spacing w:line="360" w:lineRule="auto"/>
        <w:rPr>
          <w:rFonts w:ascii="David" w:hAnsi="David" w:cs="David"/>
          <w:b/>
          <w:bCs/>
          <w:sz w:val="28"/>
          <w:szCs w:val="28"/>
          <w:u w:val="single"/>
          <w:rtl/>
        </w:rPr>
      </w:pPr>
      <w:r>
        <w:rPr>
          <w:rFonts w:ascii="David" w:hAnsi="David" w:cs="David" w:hint="cs"/>
          <w:b/>
          <w:bCs/>
          <w:sz w:val="28"/>
          <w:szCs w:val="28"/>
          <w:u w:val="single"/>
          <w:rtl/>
        </w:rPr>
        <w:t xml:space="preserve">תשובת ההגנה </w:t>
      </w:r>
    </w:p>
    <w:p w:rsidR="0055680F" w:rsidRPr="0055680F" w:rsidRDefault="00350C00" w:rsidP="00D906B6">
      <w:pPr>
        <w:pStyle w:val="ListParagraph"/>
        <w:numPr>
          <w:ilvl w:val="0"/>
          <w:numId w:val="5"/>
        </w:numPr>
        <w:spacing w:after="0" w:line="360" w:lineRule="auto"/>
        <w:ind w:left="0" w:firstLine="0"/>
        <w:jc w:val="both"/>
        <w:rPr>
          <w:rFonts w:ascii="David" w:hAnsi="David" w:cs="David"/>
          <w:b/>
          <w:bCs/>
          <w:sz w:val="28"/>
          <w:szCs w:val="28"/>
          <w:u w:val="single"/>
        </w:rPr>
      </w:pPr>
      <w:r>
        <w:rPr>
          <w:rFonts w:ascii="David" w:hAnsi="David" w:cs="David" w:hint="cs"/>
          <w:sz w:val="28"/>
          <w:szCs w:val="28"/>
          <w:rtl/>
        </w:rPr>
        <w:t xml:space="preserve">ההגנה ביקשה לדחות את ערעור התביעה הצבאית. נטען, כי החלטתו של בית הדין קמא </w:t>
      </w:r>
      <w:r w:rsidR="0055680F">
        <w:rPr>
          <w:rFonts w:ascii="David" w:hAnsi="David" w:cs="David" w:hint="cs"/>
          <w:sz w:val="28"/>
          <w:szCs w:val="28"/>
          <w:rtl/>
        </w:rPr>
        <w:t xml:space="preserve">מעוגנת בראיות שנאספו והיא מאזנת נכונה את השיקולים הנוגעים בעניין. </w:t>
      </w:r>
    </w:p>
    <w:p w:rsidR="0055680F" w:rsidRPr="0055680F" w:rsidRDefault="0055680F" w:rsidP="00D906B6">
      <w:pPr>
        <w:pStyle w:val="ListParagraph"/>
        <w:numPr>
          <w:ilvl w:val="0"/>
          <w:numId w:val="5"/>
        </w:numPr>
        <w:spacing w:after="0" w:line="360" w:lineRule="auto"/>
        <w:ind w:left="0" w:firstLine="0"/>
        <w:jc w:val="both"/>
        <w:rPr>
          <w:rFonts w:ascii="David" w:hAnsi="David" w:cs="David"/>
          <w:b/>
          <w:bCs/>
          <w:sz w:val="28"/>
          <w:szCs w:val="28"/>
          <w:u w:val="single"/>
        </w:rPr>
      </w:pPr>
      <w:r>
        <w:rPr>
          <w:rFonts w:ascii="David" w:hAnsi="David" w:cs="David" w:hint="cs"/>
          <w:sz w:val="28"/>
          <w:szCs w:val="28"/>
          <w:rtl/>
        </w:rPr>
        <w:t xml:space="preserve">ההגנה סבורה, כי ניסיון החיים מלמד, בהתחשב בגילם הצעיר של העדים המעורבים, כי </w:t>
      </w:r>
      <w:r w:rsidR="00AC0405">
        <w:rPr>
          <w:rFonts w:ascii="David" w:hAnsi="David" w:cs="David" w:hint="cs"/>
          <w:sz w:val="28"/>
          <w:szCs w:val="28"/>
          <w:rtl/>
        </w:rPr>
        <w:t>הת</w:t>
      </w:r>
      <w:r>
        <w:rPr>
          <w:rFonts w:ascii="David" w:hAnsi="David" w:cs="David" w:hint="cs"/>
          <w:sz w:val="28"/>
          <w:szCs w:val="28"/>
          <w:rtl/>
        </w:rPr>
        <w:t xml:space="preserve">קיים </w:t>
      </w:r>
      <w:r w:rsidR="00AC0405">
        <w:rPr>
          <w:rFonts w:ascii="David" w:hAnsi="David" w:cs="David" w:hint="cs"/>
          <w:sz w:val="28"/>
          <w:szCs w:val="28"/>
          <w:rtl/>
        </w:rPr>
        <w:t xml:space="preserve">ביניהם </w:t>
      </w:r>
      <w:r>
        <w:rPr>
          <w:rFonts w:ascii="David" w:hAnsi="David" w:cs="David" w:hint="cs"/>
          <w:sz w:val="28"/>
          <w:szCs w:val="28"/>
          <w:rtl/>
        </w:rPr>
        <w:t>שיח ער על שארע, וכי שיח זה נעשה ברובו באמצעות יישומון "הווטסאפ". לדידה של ההגנה, נוכח חומרת העבירות שיוחסו למשיב וגרסתו לאירוע, מן הראוי היה שגורמי החקירה יתפסו את מכשירי הטלפון הניידים של המתלוננות ו</w:t>
      </w:r>
      <w:r w:rsidR="003175EF">
        <w:rPr>
          <w:rFonts w:ascii="David" w:hAnsi="David" w:cs="David" w:hint="cs"/>
          <w:sz w:val="28"/>
          <w:szCs w:val="28"/>
          <w:rtl/>
        </w:rPr>
        <w:t xml:space="preserve">של </w:t>
      </w:r>
      <w:r>
        <w:rPr>
          <w:rFonts w:ascii="David" w:hAnsi="David" w:cs="David" w:hint="cs"/>
          <w:sz w:val="28"/>
          <w:szCs w:val="28"/>
          <w:rtl/>
        </w:rPr>
        <w:t xml:space="preserve">עדי התביעה </w:t>
      </w:r>
      <w:r w:rsidR="003175EF">
        <w:rPr>
          <w:rFonts w:ascii="David" w:hAnsi="David" w:cs="David" w:hint="cs"/>
          <w:sz w:val="28"/>
          <w:szCs w:val="28"/>
          <w:rtl/>
        </w:rPr>
        <w:t xml:space="preserve">הנוספים, </w:t>
      </w:r>
      <w:r>
        <w:rPr>
          <w:rFonts w:ascii="David" w:hAnsi="David" w:cs="David" w:hint="cs"/>
          <w:sz w:val="28"/>
          <w:szCs w:val="28"/>
          <w:rtl/>
        </w:rPr>
        <w:t>ויערכו בהם חיפוש מעמיק ומקיף לאיתור התכתובות, כאמור. לכל הפחות, כנטען, היה על גורמי החקירה להציג לעדים שאלה ישירה בנוגע ל</w:t>
      </w:r>
      <w:r w:rsidR="00AC0405">
        <w:rPr>
          <w:rFonts w:ascii="David" w:hAnsi="David" w:cs="David" w:hint="cs"/>
          <w:sz w:val="28"/>
          <w:szCs w:val="28"/>
          <w:rtl/>
        </w:rPr>
        <w:t xml:space="preserve">קיומן של </w:t>
      </w:r>
      <w:r>
        <w:rPr>
          <w:rFonts w:ascii="David" w:hAnsi="David" w:cs="David" w:hint="cs"/>
          <w:sz w:val="28"/>
          <w:szCs w:val="28"/>
          <w:rtl/>
        </w:rPr>
        <w:t>תכתובות במכשירי הטלפון הניידים</w:t>
      </w:r>
      <w:r w:rsidR="003175EF">
        <w:rPr>
          <w:rFonts w:ascii="David" w:hAnsi="David" w:cs="David" w:hint="cs"/>
          <w:sz w:val="28"/>
          <w:szCs w:val="28"/>
          <w:rtl/>
        </w:rPr>
        <w:t>,</w:t>
      </w:r>
      <w:r>
        <w:rPr>
          <w:rFonts w:ascii="David" w:hAnsi="David" w:cs="David" w:hint="cs"/>
          <w:sz w:val="28"/>
          <w:szCs w:val="28"/>
          <w:rtl/>
        </w:rPr>
        <w:t xml:space="preserve"> ולא להסתפק בהפניות מצד העדים לתכתובות קיימות. משלא נעשה כן, ההגנה סבורה כי גורמי החקירה לא ביצעו את מלאכתם נאמנה ואין להסתמך על החזקה, שלפיה חומר אשר לא נאסף בחקירה, אינו רלוונטי להגנת המשיב. </w:t>
      </w:r>
      <w:r w:rsidR="00B75B32">
        <w:rPr>
          <w:rFonts w:ascii="David" w:hAnsi="David" w:cs="David" w:hint="cs"/>
          <w:sz w:val="28"/>
          <w:szCs w:val="28"/>
          <w:rtl/>
        </w:rPr>
        <w:t>נטען עוד, כי אין המדובר בפעולת חקירה שנ</w:t>
      </w:r>
      <w:r w:rsidR="00AC0405">
        <w:rPr>
          <w:rFonts w:ascii="David" w:hAnsi="David" w:cs="David" w:hint="cs"/>
          <w:sz w:val="28"/>
          <w:szCs w:val="28"/>
          <w:rtl/>
        </w:rPr>
        <w:t>ו</w:t>
      </w:r>
      <w:r w:rsidR="00B75B32">
        <w:rPr>
          <w:rFonts w:ascii="David" w:hAnsi="David" w:cs="David" w:hint="cs"/>
          <w:sz w:val="28"/>
          <w:szCs w:val="28"/>
          <w:rtl/>
        </w:rPr>
        <w:t xml:space="preserve">עדה לייצר ראיות, אלא, בפעולה שנועדה להפיק </w:t>
      </w:r>
      <w:r w:rsidR="00AC0405">
        <w:rPr>
          <w:rFonts w:ascii="David" w:hAnsi="David" w:cs="David" w:hint="cs"/>
          <w:sz w:val="28"/>
          <w:szCs w:val="28"/>
          <w:rtl/>
        </w:rPr>
        <w:t xml:space="preserve">תיעוד </w:t>
      </w:r>
      <w:r w:rsidR="00B75B32">
        <w:rPr>
          <w:rFonts w:ascii="David" w:hAnsi="David" w:cs="David" w:hint="cs"/>
          <w:sz w:val="28"/>
          <w:szCs w:val="28"/>
          <w:rtl/>
        </w:rPr>
        <w:t xml:space="preserve">לראיות קיימות, אשר </w:t>
      </w:r>
      <w:r w:rsidR="003175EF">
        <w:rPr>
          <w:rFonts w:ascii="David" w:hAnsi="David" w:cs="David" w:hint="cs"/>
          <w:sz w:val="28"/>
          <w:szCs w:val="28"/>
          <w:rtl/>
        </w:rPr>
        <w:t xml:space="preserve">אותן </w:t>
      </w:r>
      <w:r w:rsidR="00B75B32">
        <w:rPr>
          <w:rFonts w:ascii="David" w:hAnsi="David" w:cs="David" w:hint="cs"/>
          <w:sz w:val="28"/>
          <w:szCs w:val="28"/>
          <w:rtl/>
        </w:rPr>
        <w:t xml:space="preserve">היה על החוקרים לאתר </w:t>
      </w:r>
      <w:r w:rsidR="003175EF">
        <w:rPr>
          <w:rFonts w:ascii="David" w:hAnsi="David" w:cs="David" w:hint="cs"/>
          <w:sz w:val="28"/>
          <w:szCs w:val="28"/>
          <w:rtl/>
        </w:rPr>
        <w:t>לכתחילה</w:t>
      </w:r>
      <w:r w:rsidR="00B75B32">
        <w:rPr>
          <w:rFonts w:ascii="David" w:hAnsi="David" w:cs="David" w:hint="cs"/>
          <w:sz w:val="28"/>
          <w:szCs w:val="28"/>
          <w:rtl/>
        </w:rPr>
        <w:t xml:space="preserve">. </w:t>
      </w:r>
    </w:p>
    <w:p w:rsidR="003D3B25" w:rsidRPr="0045600D" w:rsidRDefault="0055680F" w:rsidP="00D906B6">
      <w:pPr>
        <w:pStyle w:val="ListParagraph"/>
        <w:numPr>
          <w:ilvl w:val="0"/>
          <w:numId w:val="5"/>
        </w:numPr>
        <w:spacing w:after="0" w:line="360" w:lineRule="auto"/>
        <w:ind w:left="0" w:firstLine="0"/>
        <w:jc w:val="both"/>
        <w:rPr>
          <w:rFonts w:ascii="David" w:hAnsi="David" w:cs="David"/>
          <w:b/>
          <w:bCs/>
          <w:sz w:val="28"/>
          <w:szCs w:val="28"/>
          <w:u w:val="single"/>
        </w:rPr>
      </w:pPr>
      <w:r>
        <w:rPr>
          <w:rFonts w:ascii="David" w:hAnsi="David" w:cs="David" w:hint="cs"/>
          <w:sz w:val="28"/>
          <w:szCs w:val="28"/>
          <w:rtl/>
        </w:rPr>
        <w:t xml:space="preserve">מכל מקום, בנסיבות העניין, סבורה ההגנה כי אין להתערב בהחלטת בית הדין המחוזי, הנסמכת על דבריה של עדת תביעה מס' 9 בחקירה, שלפיהם שוחחה בהזדמנויות נוספות עם אחת המתלוננות, על אשר ארע באירוע </w:t>
      </w:r>
      <w:r w:rsidR="00AC0405">
        <w:rPr>
          <w:rFonts w:ascii="David" w:hAnsi="David" w:cs="David" w:hint="cs"/>
          <w:sz w:val="28"/>
          <w:szCs w:val="28"/>
          <w:rtl/>
        </w:rPr>
        <w:t xml:space="preserve">מושא </w:t>
      </w:r>
      <w:r>
        <w:rPr>
          <w:rFonts w:ascii="David" w:hAnsi="David" w:cs="David" w:hint="cs"/>
          <w:sz w:val="28"/>
          <w:szCs w:val="28"/>
          <w:rtl/>
        </w:rPr>
        <w:t>כתב האישום. נטען, כי אין להניח ששיחות אלו נערכו באופן פרונטלי או בטלפון.</w:t>
      </w:r>
    </w:p>
    <w:p w:rsidR="00CE70E6" w:rsidRPr="0056405B" w:rsidRDefault="00D14747" w:rsidP="0056405B">
      <w:pPr>
        <w:pStyle w:val="ListParagraph"/>
        <w:numPr>
          <w:ilvl w:val="0"/>
          <w:numId w:val="5"/>
        </w:numPr>
        <w:spacing w:after="0" w:line="360" w:lineRule="auto"/>
        <w:ind w:left="0" w:firstLine="0"/>
        <w:jc w:val="both"/>
        <w:rPr>
          <w:rFonts w:ascii="David" w:hAnsi="David" w:cs="David"/>
          <w:b/>
          <w:bCs/>
          <w:sz w:val="28"/>
          <w:szCs w:val="28"/>
          <w:u w:val="single"/>
          <w:rtl/>
        </w:rPr>
      </w:pPr>
      <w:r w:rsidRPr="009C2341">
        <w:rPr>
          <w:rFonts w:ascii="David" w:hAnsi="David" w:cs="David" w:hint="cs"/>
          <w:sz w:val="28"/>
          <w:szCs w:val="28"/>
          <w:rtl/>
        </w:rPr>
        <w:lastRenderedPageBreak/>
        <w:t xml:space="preserve">לבסוף, טענה ההגנה כי </w:t>
      </w:r>
      <w:r w:rsidR="00B75B32" w:rsidRPr="009C2341">
        <w:rPr>
          <w:rFonts w:ascii="David" w:hAnsi="David" w:cs="David" w:hint="cs"/>
          <w:sz w:val="28"/>
          <w:szCs w:val="28"/>
          <w:rtl/>
        </w:rPr>
        <w:t xml:space="preserve">החלטת בית הדין מידתית ואינה פוגעת בפרטיותה של עדת תביעה מס' 9 יתר על המידה, </w:t>
      </w:r>
      <w:r w:rsidRPr="009C2341">
        <w:rPr>
          <w:rFonts w:ascii="David" w:hAnsi="David" w:cs="David" w:hint="cs"/>
          <w:sz w:val="28"/>
          <w:szCs w:val="28"/>
          <w:rtl/>
        </w:rPr>
        <w:t xml:space="preserve">שכן על פי החלטת בית דין קמא, </w:t>
      </w:r>
      <w:r w:rsidR="009C2341" w:rsidRPr="009C2341">
        <w:rPr>
          <w:rFonts w:ascii="David" w:hAnsi="David" w:cs="David" w:hint="cs"/>
          <w:sz w:val="28"/>
          <w:szCs w:val="28"/>
          <w:rtl/>
        </w:rPr>
        <w:t>החיפוש הידני במכשיר הטלפון הנייד שברשותה, יי</w:t>
      </w:r>
      <w:r w:rsidR="009C2341">
        <w:rPr>
          <w:rFonts w:ascii="David" w:hAnsi="David" w:cs="David" w:hint="cs"/>
          <w:sz w:val="28"/>
          <w:szCs w:val="28"/>
          <w:rtl/>
        </w:rPr>
        <w:t>ערך</w:t>
      </w:r>
      <w:r w:rsidR="009C2341" w:rsidRPr="009C2341">
        <w:rPr>
          <w:rFonts w:ascii="David" w:hAnsi="David" w:cs="David" w:hint="cs"/>
          <w:sz w:val="28"/>
          <w:szCs w:val="28"/>
          <w:rtl/>
        </w:rPr>
        <w:t xml:space="preserve"> בכפוף להסכמתה. </w:t>
      </w:r>
    </w:p>
    <w:p w:rsidR="0056405B" w:rsidRDefault="0056405B" w:rsidP="008A20E9">
      <w:pPr>
        <w:spacing w:line="360" w:lineRule="auto"/>
        <w:rPr>
          <w:rFonts w:ascii="David" w:hAnsi="David" w:cs="David"/>
          <w:b/>
          <w:bCs/>
          <w:sz w:val="28"/>
          <w:szCs w:val="28"/>
          <w:u w:val="single"/>
          <w:rtl/>
        </w:rPr>
      </w:pPr>
    </w:p>
    <w:p w:rsidR="00730D53" w:rsidRPr="001B4967" w:rsidRDefault="00AE0818" w:rsidP="008A20E9">
      <w:pPr>
        <w:spacing w:line="360" w:lineRule="auto"/>
        <w:rPr>
          <w:rFonts w:ascii="David" w:hAnsi="David" w:cs="David"/>
          <w:b/>
          <w:bCs/>
          <w:sz w:val="28"/>
          <w:szCs w:val="28"/>
          <w:u w:val="single"/>
          <w:rtl/>
        </w:rPr>
      </w:pPr>
      <w:r w:rsidRPr="001B4967">
        <w:rPr>
          <w:rFonts w:ascii="David" w:hAnsi="David" w:cs="David" w:hint="cs"/>
          <w:b/>
          <w:bCs/>
          <w:sz w:val="28"/>
          <w:szCs w:val="28"/>
          <w:u w:val="single"/>
          <w:rtl/>
        </w:rPr>
        <w:t>דיון והכרעה</w:t>
      </w:r>
    </w:p>
    <w:p w:rsidR="00F006C5" w:rsidRDefault="00AE0818" w:rsidP="00805772">
      <w:pPr>
        <w:spacing w:after="0" w:line="360" w:lineRule="auto"/>
        <w:rPr>
          <w:rFonts w:ascii="David" w:hAnsi="David" w:cs="David"/>
          <w:b/>
          <w:bCs/>
          <w:sz w:val="28"/>
          <w:szCs w:val="28"/>
          <w:rtl/>
        </w:rPr>
      </w:pPr>
      <w:r w:rsidRPr="00E27918">
        <w:rPr>
          <w:rFonts w:ascii="David" w:hAnsi="David" w:cs="David" w:hint="cs"/>
          <w:b/>
          <w:bCs/>
          <w:sz w:val="28"/>
          <w:szCs w:val="28"/>
          <w:rtl/>
        </w:rPr>
        <w:t>כללי</w:t>
      </w:r>
    </w:p>
    <w:p w:rsidR="00711011" w:rsidRDefault="00AC0405" w:rsidP="00D906B6">
      <w:pPr>
        <w:pStyle w:val="ListParagraph"/>
        <w:numPr>
          <w:ilvl w:val="0"/>
          <w:numId w:val="5"/>
        </w:numPr>
        <w:spacing w:after="0" w:line="360" w:lineRule="auto"/>
        <w:ind w:left="0" w:firstLine="0"/>
        <w:jc w:val="both"/>
        <w:rPr>
          <w:rFonts w:ascii="David" w:hAnsi="David" w:cs="David"/>
          <w:sz w:val="28"/>
          <w:szCs w:val="28"/>
        </w:rPr>
      </w:pPr>
      <w:r w:rsidRPr="00FE6442">
        <w:rPr>
          <w:rFonts w:ascii="David" w:hAnsi="David" w:cs="David" w:hint="cs"/>
          <w:sz w:val="28"/>
          <w:szCs w:val="28"/>
          <w:rtl/>
        </w:rPr>
        <w:t xml:space="preserve">כידוע, בבסיסו של </w:t>
      </w:r>
      <w:r w:rsidR="00AE0818" w:rsidRPr="00FE6442">
        <w:rPr>
          <w:rFonts w:ascii="David" w:hAnsi="David" w:cs="David" w:hint="cs"/>
          <w:sz w:val="28"/>
          <w:szCs w:val="28"/>
          <w:rtl/>
        </w:rPr>
        <w:t>סעיף 74(א) לחוק סדר הדין הפלילי</w:t>
      </w:r>
      <w:r w:rsidRPr="00FE6442">
        <w:rPr>
          <w:rFonts w:ascii="David" w:hAnsi="David" w:cs="David" w:hint="cs"/>
          <w:sz w:val="28"/>
          <w:szCs w:val="28"/>
          <w:rtl/>
        </w:rPr>
        <w:t xml:space="preserve">, אשר לפיו </w:t>
      </w:r>
      <w:r w:rsidR="00AE0818" w:rsidRPr="00FE6442">
        <w:rPr>
          <w:rFonts w:ascii="David" w:hAnsi="David" w:cs="David" w:hint="cs"/>
          <w:sz w:val="28"/>
          <w:szCs w:val="28"/>
          <w:rtl/>
        </w:rPr>
        <w:t xml:space="preserve">עם הגשת כתב אישום בעבירה מסוג עוון ופשע, רשאית ההגנה לקבל לידה העתק מחומר החקירה </w:t>
      </w:r>
      <w:r w:rsidR="00937FF4" w:rsidRPr="00FE6442">
        <w:rPr>
          <w:rFonts w:ascii="David" w:hAnsi="David" w:cs="David" w:hint="cs"/>
          <w:sz w:val="28"/>
          <w:szCs w:val="28"/>
          <w:rtl/>
        </w:rPr>
        <w:t>"</w:t>
      </w:r>
      <w:r w:rsidRPr="00FE6442">
        <w:rPr>
          <w:rFonts w:ascii="David" w:hAnsi="David" w:cs="David" w:hint="cs"/>
          <w:sz w:val="28"/>
          <w:szCs w:val="28"/>
          <w:rtl/>
        </w:rPr>
        <w:t>ה</w:t>
      </w:r>
      <w:r w:rsidR="001B4967" w:rsidRPr="00FE6442">
        <w:rPr>
          <w:rFonts w:ascii="David" w:hAnsi="David" w:cs="David" w:hint="cs"/>
          <w:sz w:val="28"/>
          <w:szCs w:val="28"/>
          <w:rtl/>
        </w:rPr>
        <w:t>נוגע לאישום</w:t>
      </w:r>
      <w:r w:rsidR="00937FF4" w:rsidRPr="00FE6442">
        <w:rPr>
          <w:rFonts w:ascii="David" w:hAnsi="David" w:cs="David" w:hint="cs"/>
          <w:sz w:val="28"/>
          <w:szCs w:val="28"/>
          <w:rtl/>
        </w:rPr>
        <w:t xml:space="preserve">" </w:t>
      </w:r>
      <w:r w:rsidR="00937FF4" w:rsidRPr="00FE6442">
        <w:rPr>
          <w:rFonts w:ascii="David" w:hAnsi="David" w:cs="David"/>
          <w:sz w:val="28"/>
          <w:szCs w:val="28"/>
          <w:rtl/>
        </w:rPr>
        <w:t>–</w:t>
      </w:r>
      <w:r w:rsidR="00937FF4" w:rsidRPr="00FE6442">
        <w:rPr>
          <w:rFonts w:ascii="David" w:hAnsi="David" w:cs="David" w:hint="cs"/>
          <w:sz w:val="28"/>
          <w:szCs w:val="28"/>
          <w:rtl/>
        </w:rPr>
        <w:t xml:space="preserve"> מצויה </w:t>
      </w:r>
      <w:r w:rsidR="001B4967" w:rsidRPr="00FE6442">
        <w:rPr>
          <w:rFonts w:ascii="David" w:hAnsi="David" w:cs="David" w:hint="cs"/>
          <w:sz w:val="28"/>
          <w:szCs w:val="28"/>
          <w:rtl/>
        </w:rPr>
        <w:t>זכות</w:t>
      </w:r>
      <w:r w:rsidR="00937FF4" w:rsidRPr="00FE6442">
        <w:rPr>
          <w:rFonts w:ascii="David" w:hAnsi="David" w:cs="David" w:hint="cs"/>
          <w:sz w:val="28"/>
          <w:szCs w:val="28"/>
          <w:rtl/>
        </w:rPr>
        <w:t xml:space="preserve"> </w:t>
      </w:r>
      <w:r w:rsidR="001B4967" w:rsidRPr="00FE6442">
        <w:rPr>
          <w:rFonts w:ascii="David" w:hAnsi="David" w:cs="David" w:hint="cs"/>
          <w:sz w:val="28"/>
          <w:szCs w:val="28"/>
          <w:rtl/>
        </w:rPr>
        <w:t>היסוד של הנאשם להליך הוגן</w:t>
      </w:r>
      <w:r w:rsidR="00AE1F05" w:rsidRPr="00FE6442">
        <w:rPr>
          <w:rFonts w:ascii="David" w:hAnsi="David" w:cs="David" w:hint="cs"/>
          <w:sz w:val="28"/>
          <w:szCs w:val="28"/>
          <w:rtl/>
        </w:rPr>
        <w:t xml:space="preserve"> (</w:t>
      </w:r>
      <w:r w:rsidR="003364EB" w:rsidRPr="00FE6442">
        <w:rPr>
          <w:rFonts w:ascii="David" w:hAnsi="David" w:cs="David" w:hint="cs"/>
          <w:sz w:val="28"/>
          <w:szCs w:val="28"/>
          <w:rtl/>
        </w:rPr>
        <w:t xml:space="preserve">בש"פ 6507/09 </w:t>
      </w:r>
      <w:r w:rsidR="003364EB" w:rsidRPr="00FE6442">
        <w:rPr>
          <w:rFonts w:ascii="David" w:hAnsi="David" w:cs="David" w:hint="cs"/>
          <w:b/>
          <w:bCs/>
          <w:sz w:val="28"/>
          <w:szCs w:val="28"/>
          <w:rtl/>
        </w:rPr>
        <w:t xml:space="preserve">קצב נ' מדינת ישראל </w:t>
      </w:r>
      <w:r w:rsidR="003364EB" w:rsidRPr="00FE6442">
        <w:rPr>
          <w:rFonts w:ascii="David" w:hAnsi="David" w:cs="David" w:hint="cs"/>
          <w:sz w:val="28"/>
          <w:szCs w:val="28"/>
          <w:rtl/>
        </w:rPr>
        <w:t>(טרם פורסם,</w:t>
      </w:r>
      <w:r w:rsidR="0056405B">
        <w:rPr>
          <w:rFonts w:ascii="David" w:hAnsi="David" w:cs="David" w:hint="cs"/>
          <w:sz w:val="28"/>
          <w:szCs w:val="28"/>
          <w:rtl/>
        </w:rPr>
        <w:t xml:space="preserve"> </w:t>
      </w:r>
      <w:r w:rsidR="003364EB" w:rsidRPr="00FE6442">
        <w:rPr>
          <w:rFonts w:ascii="David" w:hAnsi="David" w:cs="David" w:hint="cs"/>
          <w:sz w:val="28"/>
          <w:szCs w:val="28"/>
          <w:rtl/>
        </w:rPr>
        <w:t>13.09.2009))</w:t>
      </w:r>
      <w:r w:rsidR="00F57FCF" w:rsidRPr="00FE6442">
        <w:rPr>
          <w:rFonts w:ascii="David" w:hAnsi="David" w:cs="David" w:hint="cs"/>
          <w:sz w:val="28"/>
          <w:szCs w:val="28"/>
          <w:rtl/>
        </w:rPr>
        <w:t xml:space="preserve">. </w:t>
      </w:r>
      <w:r w:rsidR="00937FF4" w:rsidRPr="00FE6442">
        <w:rPr>
          <w:rFonts w:ascii="David" w:hAnsi="David" w:cs="David" w:hint="cs"/>
          <w:sz w:val="28"/>
          <w:szCs w:val="28"/>
          <w:rtl/>
        </w:rPr>
        <w:t>הוטעם, כי אל הזכות ל</w:t>
      </w:r>
      <w:r w:rsidR="00F57FCF" w:rsidRPr="00FE6442">
        <w:rPr>
          <w:rFonts w:ascii="David" w:hAnsi="David" w:cs="David" w:hint="cs"/>
          <w:sz w:val="28"/>
          <w:szCs w:val="28"/>
          <w:rtl/>
        </w:rPr>
        <w:t>הליך הוגן מצטר</w:t>
      </w:r>
      <w:r w:rsidR="00937FF4" w:rsidRPr="00FE6442">
        <w:rPr>
          <w:rFonts w:ascii="David" w:hAnsi="David" w:cs="David" w:hint="cs"/>
          <w:sz w:val="28"/>
          <w:szCs w:val="28"/>
          <w:rtl/>
        </w:rPr>
        <w:t xml:space="preserve">ף </w:t>
      </w:r>
      <w:r w:rsidR="00F57FCF" w:rsidRPr="00FE6442">
        <w:rPr>
          <w:rFonts w:cs="David" w:hint="cs"/>
          <w:sz w:val="28"/>
          <w:szCs w:val="28"/>
          <w:rtl/>
        </w:rPr>
        <w:t xml:space="preserve">האינטרס </w:t>
      </w:r>
      <w:r w:rsidR="00937FF4" w:rsidRPr="00FE6442">
        <w:rPr>
          <w:rFonts w:cs="David" w:hint="cs"/>
          <w:sz w:val="28"/>
          <w:szCs w:val="28"/>
          <w:rtl/>
        </w:rPr>
        <w:t>ה</w:t>
      </w:r>
      <w:r w:rsidR="00F57FCF" w:rsidRPr="00FE6442">
        <w:rPr>
          <w:rFonts w:cs="David" w:hint="cs"/>
          <w:sz w:val="28"/>
          <w:szCs w:val="28"/>
          <w:rtl/>
        </w:rPr>
        <w:t xml:space="preserve">ציבורי </w:t>
      </w:r>
      <w:r w:rsidR="00937FF4" w:rsidRPr="00FE6442">
        <w:rPr>
          <w:rFonts w:cs="David" w:hint="cs"/>
          <w:sz w:val="28"/>
          <w:szCs w:val="28"/>
          <w:rtl/>
        </w:rPr>
        <w:t>ה</w:t>
      </w:r>
      <w:r w:rsidR="00F57FCF" w:rsidRPr="00FE6442">
        <w:rPr>
          <w:rFonts w:cs="David" w:hint="cs"/>
          <w:sz w:val="28"/>
          <w:szCs w:val="28"/>
          <w:rtl/>
        </w:rPr>
        <w:t>רחב, שעניינ</w:t>
      </w:r>
      <w:r w:rsidR="00937FF4" w:rsidRPr="00FE6442">
        <w:rPr>
          <w:rFonts w:cs="David" w:hint="cs"/>
          <w:sz w:val="28"/>
          <w:szCs w:val="28"/>
          <w:rtl/>
        </w:rPr>
        <w:t xml:space="preserve">ו </w:t>
      </w:r>
      <w:r w:rsidR="00F57FCF" w:rsidRPr="00FE6442">
        <w:rPr>
          <w:rFonts w:cs="David" w:hint="cs"/>
          <w:sz w:val="28"/>
          <w:szCs w:val="28"/>
          <w:rtl/>
        </w:rPr>
        <w:t>שמירה על תקינות ההליך הפלילי, הוגנותו וחשיפת האמת כ</w:t>
      </w:r>
      <w:r w:rsidR="008A20E9" w:rsidRPr="00FE6442">
        <w:rPr>
          <w:rFonts w:cs="David" w:hint="cs"/>
          <w:sz w:val="28"/>
          <w:szCs w:val="28"/>
          <w:rtl/>
        </w:rPr>
        <w:t>ך שיונחו בפני בית המשפט, הבא לעשות מלאכתו, גרסת התביעה וגרסת הנאשם במלואן</w:t>
      </w:r>
      <w:r w:rsidR="001B4967" w:rsidRPr="00FE6442">
        <w:rPr>
          <w:rFonts w:ascii="David" w:hAnsi="David" w:cs="David" w:hint="cs"/>
          <w:sz w:val="28"/>
          <w:szCs w:val="28"/>
          <w:rtl/>
        </w:rPr>
        <w:t xml:space="preserve"> (בש"פ 91/08 </w:t>
      </w:r>
      <w:r w:rsidR="001B4967" w:rsidRPr="00FE6442">
        <w:rPr>
          <w:rFonts w:ascii="David" w:hAnsi="David" w:cs="David" w:hint="cs"/>
          <w:b/>
          <w:bCs/>
          <w:sz w:val="28"/>
          <w:szCs w:val="28"/>
          <w:rtl/>
        </w:rPr>
        <w:t>מדינת ישראל נ' שיבלי</w:t>
      </w:r>
      <w:r w:rsidR="001B4967" w:rsidRPr="00FE6442">
        <w:rPr>
          <w:rFonts w:ascii="David" w:hAnsi="David" w:cs="David" w:hint="cs"/>
          <w:sz w:val="28"/>
          <w:szCs w:val="28"/>
          <w:rtl/>
        </w:rPr>
        <w:t xml:space="preserve"> (טרם פורסם, 13.2.2008)). </w:t>
      </w:r>
      <w:r w:rsidR="00FE6442" w:rsidRPr="00FE6442">
        <w:rPr>
          <w:rFonts w:ascii="David" w:hAnsi="David" w:cs="David" w:hint="cs"/>
          <w:sz w:val="28"/>
          <w:szCs w:val="28"/>
          <w:rtl/>
        </w:rPr>
        <w:t xml:space="preserve">בהתאם, </w:t>
      </w:r>
      <w:r w:rsidR="008A20E9" w:rsidRPr="00FE6442">
        <w:rPr>
          <w:rFonts w:ascii="David" w:hAnsi="David" w:cs="David" w:hint="cs"/>
          <w:sz w:val="28"/>
          <w:szCs w:val="28"/>
          <w:rtl/>
        </w:rPr>
        <w:t>מובא בפסיקה, כי על מנת להבטיח את זכות העיון בחומר החקירה, יש לפרש את המ</w:t>
      </w:r>
      <w:r w:rsidR="00727740">
        <w:rPr>
          <w:rFonts w:ascii="David" w:hAnsi="David" w:cs="David" w:hint="cs"/>
          <w:sz w:val="28"/>
          <w:szCs w:val="28"/>
          <w:rtl/>
        </w:rPr>
        <w:t>ו</w:t>
      </w:r>
      <w:r w:rsidR="008A20E9" w:rsidRPr="00FE6442">
        <w:rPr>
          <w:rFonts w:ascii="David" w:hAnsi="David" w:cs="David" w:hint="cs"/>
          <w:sz w:val="28"/>
          <w:szCs w:val="28"/>
          <w:rtl/>
        </w:rPr>
        <w:t xml:space="preserve">נח </w:t>
      </w:r>
      <w:r w:rsidR="00FE6442">
        <w:rPr>
          <w:rFonts w:ascii="David" w:hAnsi="David" w:cs="David" w:hint="cs"/>
          <w:sz w:val="28"/>
          <w:szCs w:val="28"/>
          <w:rtl/>
        </w:rPr>
        <w:t>"</w:t>
      </w:r>
      <w:r w:rsidR="008A20E9" w:rsidRPr="00FE6442">
        <w:rPr>
          <w:rFonts w:ascii="David" w:hAnsi="David" w:cs="David" w:hint="cs"/>
          <w:sz w:val="28"/>
          <w:szCs w:val="28"/>
          <w:rtl/>
        </w:rPr>
        <w:t>חומר חקירה</w:t>
      </w:r>
      <w:r w:rsidR="00FE6442">
        <w:rPr>
          <w:rFonts w:ascii="David" w:hAnsi="David" w:cs="David" w:hint="cs"/>
          <w:sz w:val="28"/>
          <w:szCs w:val="28"/>
          <w:rtl/>
        </w:rPr>
        <w:t>"</w:t>
      </w:r>
      <w:r w:rsidR="008A20E9" w:rsidRPr="00FE6442">
        <w:rPr>
          <w:rFonts w:ascii="David" w:hAnsi="David" w:cs="David" w:hint="cs"/>
          <w:sz w:val="28"/>
          <w:szCs w:val="28"/>
          <w:rtl/>
        </w:rPr>
        <w:t xml:space="preserve"> באופן רחב, כך שיכלול כל חומר הנוגע, במישרין או בעקיפין, למיוחס לנאשם בכתב האישום (</w:t>
      </w:r>
      <w:r w:rsidR="008F6522" w:rsidRPr="00FE6442">
        <w:rPr>
          <w:rFonts w:ascii="David" w:hAnsi="David" w:cs="David" w:hint="cs"/>
          <w:sz w:val="28"/>
          <w:szCs w:val="28"/>
          <w:rtl/>
        </w:rPr>
        <w:t>בש"פ</w:t>
      </w:r>
      <w:r w:rsidR="006971CD" w:rsidRPr="00FE6442">
        <w:rPr>
          <w:rFonts w:ascii="David" w:hAnsi="David" w:cs="David" w:hint="cs"/>
          <w:sz w:val="28"/>
          <w:szCs w:val="28"/>
          <w:rtl/>
        </w:rPr>
        <w:t xml:space="preserve"> 7233/18 </w:t>
      </w:r>
      <w:r w:rsidR="006971CD" w:rsidRPr="00FE6442">
        <w:rPr>
          <w:rFonts w:ascii="David" w:hAnsi="David" w:cs="David" w:hint="cs"/>
          <w:b/>
          <w:bCs/>
          <w:sz w:val="28"/>
          <w:szCs w:val="28"/>
          <w:rtl/>
        </w:rPr>
        <w:t>בכיראת נ' מדינת ישראל</w:t>
      </w:r>
      <w:r w:rsidR="006971CD" w:rsidRPr="00FE6442">
        <w:rPr>
          <w:rFonts w:ascii="David" w:hAnsi="David" w:cs="David" w:hint="cs"/>
          <w:sz w:val="28"/>
          <w:szCs w:val="28"/>
          <w:rtl/>
        </w:rPr>
        <w:t xml:space="preserve"> (טרם פורסם, 24.10.2018)). </w:t>
      </w:r>
    </w:p>
    <w:p w:rsidR="00B5589C" w:rsidRDefault="00FE6442" w:rsidP="00D906B6">
      <w:pPr>
        <w:pStyle w:val="ListParagraph"/>
        <w:numPr>
          <w:ilvl w:val="0"/>
          <w:numId w:val="5"/>
        </w:numPr>
        <w:spacing w:after="0" w:line="360" w:lineRule="auto"/>
        <w:ind w:left="0" w:firstLine="0"/>
        <w:jc w:val="both"/>
        <w:rPr>
          <w:rFonts w:ascii="David" w:hAnsi="David" w:cs="David"/>
          <w:sz w:val="28"/>
          <w:szCs w:val="28"/>
        </w:rPr>
      </w:pPr>
      <w:r w:rsidRPr="00FE6442">
        <w:rPr>
          <w:rFonts w:ascii="David" w:hAnsi="David" w:cs="David"/>
          <w:sz w:val="28"/>
          <w:szCs w:val="28"/>
          <w:rtl/>
        </w:rPr>
        <w:t xml:space="preserve">המבחן שאומץ </w:t>
      </w:r>
      <w:r>
        <w:rPr>
          <w:rFonts w:ascii="David" w:hAnsi="David" w:cs="David" w:hint="cs"/>
          <w:sz w:val="28"/>
          <w:szCs w:val="28"/>
          <w:rtl/>
        </w:rPr>
        <w:t xml:space="preserve">בפסיקה </w:t>
      </w:r>
      <w:r w:rsidRPr="00FE6442">
        <w:rPr>
          <w:rFonts w:ascii="David" w:hAnsi="David" w:cs="David"/>
          <w:sz w:val="28"/>
          <w:szCs w:val="28"/>
          <w:rtl/>
        </w:rPr>
        <w:t xml:space="preserve">הוא </w:t>
      </w:r>
      <w:r w:rsidRPr="00FE6442">
        <w:rPr>
          <w:rFonts w:ascii="David" w:hAnsi="David" w:cs="David"/>
          <w:b/>
          <w:bCs/>
          <w:sz w:val="28"/>
          <w:szCs w:val="28"/>
          <w:rtl/>
        </w:rPr>
        <w:t>מבחן הנגיעה</w:t>
      </w:r>
      <w:r w:rsidRPr="00FE6442">
        <w:rPr>
          <w:rFonts w:ascii="David" w:hAnsi="David" w:cs="David"/>
          <w:sz w:val="28"/>
          <w:szCs w:val="28"/>
          <w:rtl/>
        </w:rPr>
        <w:t xml:space="preserve"> של החומר לאישום, הידוע בכינויו </w:t>
      </w:r>
      <w:r w:rsidRPr="00FE6442">
        <w:rPr>
          <w:rFonts w:ascii="David" w:hAnsi="David" w:cs="David"/>
          <w:b/>
          <w:bCs/>
          <w:sz w:val="28"/>
          <w:szCs w:val="28"/>
          <w:rtl/>
        </w:rPr>
        <w:t>מבחן הרלוונטיות</w:t>
      </w:r>
      <w:r w:rsidRPr="00FE6442">
        <w:rPr>
          <w:rFonts w:ascii="David" w:hAnsi="David" w:cs="David"/>
          <w:sz w:val="28"/>
          <w:szCs w:val="28"/>
          <w:rtl/>
        </w:rPr>
        <w:t>, כאשר "מורי הדרך העיקריים הם השכל הישר והענקת הזדמנות הוגנת לסנגוריה" (</w:t>
      </w:r>
      <w:r>
        <w:rPr>
          <w:rFonts w:ascii="David" w:hAnsi="David" w:cs="David" w:hint="cs"/>
          <w:sz w:val="28"/>
          <w:szCs w:val="28"/>
          <w:rtl/>
        </w:rPr>
        <w:t xml:space="preserve">בג"ץ 5274/91 </w:t>
      </w:r>
      <w:r w:rsidRPr="00FE6442">
        <w:rPr>
          <w:rFonts w:ascii="David" w:hAnsi="David" w:cs="David" w:hint="cs"/>
          <w:b/>
          <w:bCs/>
          <w:sz w:val="28"/>
          <w:szCs w:val="28"/>
          <w:rtl/>
        </w:rPr>
        <w:t>חוזה נ' שר המשטרה</w:t>
      </w:r>
      <w:r>
        <w:rPr>
          <w:rFonts w:ascii="David" w:hAnsi="David" w:cs="David" w:hint="cs"/>
          <w:sz w:val="28"/>
          <w:szCs w:val="28"/>
          <w:rtl/>
        </w:rPr>
        <w:t xml:space="preserve">, פ"ד מו </w:t>
      </w:r>
      <w:r w:rsidRPr="00FE6442">
        <w:rPr>
          <w:rFonts w:ascii="David" w:hAnsi="David" w:cs="David"/>
          <w:sz w:val="28"/>
          <w:szCs w:val="28"/>
          <w:rtl/>
        </w:rPr>
        <w:t>(1) 724, 727 (1992))</w:t>
      </w:r>
      <w:r w:rsidR="00B5589C">
        <w:rPr>
          <w:rFonts w:ascii="David" w:hAnsi="David" w:cs="David" w:hint="cs"/>
          <w:sz w:val="28"/>
          <w:szCs w:val="28"/>
          <w:rtl/>
        </w:rPr>
        <w:t xml:space="preserve">. </w:t>
      </w:r>
      <w:r>
        <w:rPr>
          <w:rFonts w:ascii="David" w:hAnsi="David" w:cs="David" w:hint="cs"/>
          <w:sz w:val="28"/>
          <w:szCs w:val="28"/>
          <w:rtl/>
        </w:rPr>
        <w:t xml:space="preserve">נקבע </w:t>
      </w:r>
      <w:r w:rsidR="00B5589C">
        <w:rPr>
          <w:rFonts w:ascii="David" w:hAnsi="David" w:cs="David" w:hint="cs"/>
          <w:sz w:val="28"/>
          <w:szCs w:val="28"/>
          <w:rtl/>
        </w:rPr>
        <w:t xml:space="preserve">עוד </w:t>
      </w:r>
      <w:r w:rsidRPr="00FE6442">
        <w:rPr>
          <w:rFonts w:ascii="David" w:hAnsi="David" w:cs="David"/>
          <w:sz w:val="28"/>
          <w:szCs w:val="28"/>
          <w:rtl/>
        </w:rPr>
        <w:t>כי המונח "חומר חקירה" כולל גם חומר ראייתי שיש לו קשר עקיף בלבד לאישום; חומר השייך "לפריפריה של האישום" (</w:t>
      </w:r>
      <w:r>
        <w:rPr>
          <w:rFonts w:ascii="David" w:hAnsi="David" w:cs="David" w:hint="cs"/>
          <w:sz w:val="28"/>
          <w:szCs w:val="28"/>
          <w:rtl/>
        </w:rPr>
        <w:t xml:space="preserve">בג"ץ 9264/04 </w:t>
      </w:r>
      <w:r w:rsidRPr="008409F9">
        <w:rPr>
          <w:rFonts w:ascii="David" w:hAnsi="David" w:cs="David" w:hint="cs"/>
          <w:b/>
          <w:bCs/>
          <w:sz w:val="28"/>
          <w:szCs w:val="28"/>
          <w:rtl/>
        </w:rPr>
        <w:t>מדינת ישראל נ' בית משפט השלום בירושלים</w:t>
      </w:r>
      <w:r w:rsidR="008409F9">
        <w:rPr>
          <w:rFonts w:ascii="David" w:hAnsi="David" w:cs="David" w:hint="cs"/>
          <w:sz w:val="28"/>
          <w:szCs w:val="28"/>
          <w:rtl/>
        </w:rPr>
        <w:t>, פ"ד ס</w:t>
      </w:r>
      <w:r w:rsidR="008409F9" w:rsidRPr="00FE6442">
        <w:rPr>
          <w:rFonts w:ascii="David" w:hAnsi="David" w:cs="David"/>
          <w:sz w:val="28"/>
          <w:szCs w:val="28"/>
          <w:rtl/>
        </w:rPr>
        <w:t xml:space="preserve"> </w:t>
      </w:r>
      <w:r w:rsidRPr="00FE6442">
        <w:rPr>
          <w:rFonts w:ascii="David" w:hAnsi="David" w:cs="David"/>
          <w:sz w:val="28"/>
          <w:szCs w:val="28"/>
          <w:rtl/>
        </w:rPr>
        <w:t>(1) 360 (2005)</w:t>
      </w:r>
      <w:r w:rsidR="008409F9">
        <w:rPr>
          <w:rFonts w:ascii="David" w:hAnsi="David" w:cs="David" w:hint="cs"/>
          <w:sz w:val="28"/>
          <w:szCs w:val="28"/>
          <w:rtl/>
        </w:rPr>
        <w:t>)</w:t>
      </w:r>
      <w:r w:rsidRPr="00FE6442">
        <w:rPr>
          <w:rFonts w:ascii="David" w:hAnsi="David" w:cs="David"/>
          <w:sz w:val="28"/>
          <w:szCs w:val="28"/>
          <w:rtl/>
        </w:rPr>
        <w:t>.</w:t>
      </w:r>
    </w:p>
    <w:p w:rsidR="00B5589C" w:rsidRPr="00B5589C" w:rsidRDefault="008409F9" w:rsidP="00D906B6">
      <w:pPr>
        <w:pStyle w:val="ListParagraph"/>
        <w:numPr>
          <w:ilvl w:val="0"/>
          <w:numId w:val="5"/>
        </w:numPr>
        <w:spacing w:after="0" w:line="360" w:lineRule="auto"/>
        <w:ind w:left="0" w:firstLine="0"/>
        <w:jc w:val="both"/>
        <w:rPr>
          <w:rFonts w:ascii="David" w:hAnsi="David" w:cs="David"/>
          <w:sz w:val="28"/>
          <w:szCs w:val="28"/>
          <w:rtl/>
        </w:rPr>
      </w:pPr>
      <w:r w:rsidRPr="008409F9">
        <w:rPr>
          <w:rFonts w:ascii="David" w:hAnsi="David" w:cs="David"/>
          <w:sz w:val="28"/>
          <w:szCs w:val="28"/>
          <w:rtl/>
        </w:rPr>
        <w:t>לצד זאת, הודגש, כי אף הגישה המרחיבה אינה חסרת גבולות וכי אין לכלול במונח "חומר חקירה" ראיות שהרלוונטיות שלהן לאישום המסוים היא רחוקה ושולית (</w:t>
      </w:r>
      <w:r w:rsidRPr="00FE6442">
        <w:rPr>
          <w:rFonts w:ascii="David" w:hAnsi="David" w:cs="David"/>
          <w:sz w:val="28"/>
          <w:szCs w:val="28"/>
          <w:rtl/>
        </w:rPr>
        <w:t>ו</w:t>
      </w:r>
      <w:r w:rsidRPr="008409F9">
        <w:rPr>
          <w:rFonts w:ascii="David" w:hAnsi="David" w:cs="David" w:hint="cs"/>
          <w:sz w:val="28"/>
          <w:szCs w:val="28"/>
          <w:rtl/>
        </w:rPr>
        <w:t xml:space="preserve">בג"ץ 233/85 </w:t>
      </w:r>
      <w:r w:rsidRPr="008409F9">
        <w:rPr>
          <w:rFonts w:ascii="David" w:hAnsi="David" w:cs="David" w:hint="cs"/>
          <w:b/>
          <w:bCs/>
          <w:sz w:val="28"/>
          <w:szCs w:val="28"/>
          <w:rtl/>
        </w:rPr>
        <w:t>אל הוזייל נ' משטרת ישראל</w:t>
      </w:r>
      <w:r w:rsidRPr="008409F9">
        <w:rPr>
          <w:rFonts w:ascii="David" w:hAnsi="David" w:cs="David" w:hint="cs"/>
          <w:sz w:val="28"/>
          <w:szCs w:val="28"/>
          <w:rtl/>
        </w:rPr>
        <w:t>, פ"ד לט</w:t>
      </w:r>
      <w:r w:rsidRPr="008409F9">
        <w:rPr>
          <w:rFonts w:ascii="David" w:hAnsi="David" w:cs="David"/>
          <w:sz w:val="28"/>
          <w:szCs w:val="28"/>
          <w:rtl/>
        </w:rPr>
        <w:t xml:space="preserve"> </w:t>
      </w:r>
      <w:r w:rsidRPr="00FE6442">
        <w:rPr>
          <w:rFonts w:ascii="David" w:hAnsi="David" w:cs="David"/>
          <w:sz w:val="28"/>
          <w:szCs w:val="28"/>
          <w:rtl/>
        </w:rPr>
        <w:t>(4) 124, 129 (1985)</w:t>
      </w:r>
      <w:r w:rsidRPr="008409F9">
        <w:rPr>
          <w:rFonts w:ascii="David" w:hAnsi="David" w:cs="David"/>
          <w:sz w:val="28"/>
          <w:szCs w:val="28"/>
          <w:rtl/>
        </w:rPr>
        <w:t>)</w:t>
      </w:r>
      <w:r>
        <w:rPr>
          <w:rFonts w:ascii="David" w:hAnsi="David" w:cs="David" w:hint="cs"/>
          <w:sz w:val="28"/>
          <w:szCs w:val="28"/>
          <w:rtl/>
        </w:rPr>
        <w:t>.</w:t>
      </w:r>
      <w:r w:rsidR="00B5589C">
        <w:rPr>
          <w:rFonts w:ascii="David" w:hAnsi="David" w:cs="David" w:hint="cs"/>
          <w:sz w:val="28"/>
          <w:szCs w:val="28"/>
          <w:rtl/>
        </w:rPr>
        <w:t xml:space="preserve"> </w:t>
      </w:r>
      <w:r w:rsidR="00B5589C" w:rsidRPr="00B5589C">
        <w:rPr>
          <w:rFonts w:ascii="David" w:hAnsi="David" w:cs="David"/>
          <w:sz w:val="28"/>
          <w:szCs w:val="28"/>
          <w:rtl/>
        </w:rPr>
        <w:t>חומרים הנוגעים באופן ספקולטיבי או ערטילאי באישום אינם יכולים לחסות תחת זכות זו ואין להורות לתביעה למסור אותם להגנה</w:t>
      </w:r>
      <w:r w:rsidR="00B5589C">
        <w:rPr>
          <w:rFonts w:ascii="David" w:hAnsi="David" w:cs="David" w:hint="cs"/>
          <w:sz w:val="28"/>
          <w:szCs w:val="28"/>
          <w:rtl/>
        </w:rPr>
        <w:t xml:space="preserve"> - </w:t>
      </w:r>
    </w:p>
    <w:p w:rsidR="00FE6442" w:rsidRDefault="00B5589C" w:rsidP="00F838B5">
      <w:pPr>
        <w:spacing w:line="240" w:lineRule="auto"/>
        <w:ind w:left="1076" w:right="851"/>
        <w:jc w:val="both"/>
        <w:rPr>
          <w:rFonts w:ascii="David" w:hAnsi="David" w:cs="David"/>
          <w:sz w:val="28"/>
          <w:szCs w:val="28"/>
          <w:rtl/>
        </w:rPr>
      </w:pPr>
      <w:r w:rsidRPr="00B5589C">
        <w:rPr>
          <w:rFonts w:ascii="David" w:hAnsi="David" w:cs="David"/>
          <w:sz w:val="28"/>
          <w:szCs w:val="28"/>
          <w:rtl/>
        </w:rPr>
        <w:t xml:space="preserve">"הזכות הסיטונית לעיון ולהעתקה, שהיקפה הוגבל על ידי המחוקק ל'חומר החקירה', </w:t>
      </w:r>
      <w:r w:rsidRPr="00B5589C">
        <w:rPr>
          <w:rFonts w:ascii="David" w:hAnsi="David" w:cs="David"/>
          <w:b/>
          <w:bCs/>
          <w:sz w:val="28"/>
          <w:szCs w:val="28"/>
          <w:rtl/>
        </w:rPr>
        <w:t>מוקנית אך ורק בקשר ל'ברי', להבדיל מ"שמא"</w:t>
      </w:r>
      <w:r w:rsidRPr="00B5589C">
        <w:rPr>
          <w:rFonts w:ascii="David" w:hAnsi="David" w:cs="David"/>
          <w:sz w:val="28"/>
          <w:szCs w:val="28"/>
          <w:rtl/>
        </w:rPr>
        <w:t xml:space="preserve">. מסמכים וחומרים אחרים, שכל אשר ניתן לומר לגביהם – בנקודת הזמן של טרום-המשפט... כי ייתכן שהם יידרשו להגנת הנאשם, בהתקיים תרחיש כזה או אחר, אינם </w:t>
      </w:r>
      <w:r w:rsidRPr="00B5589C">
        <w:rPr>
          <w:rFonts w:ascii="David" w:hAnsi="David" w:cs="David"/>
          <w:sz w:val="28"/>
          <w:szCs w:val="28"/>
          <w:rtl/>
        </w:rPr>
        <w:lastRenderedPageBreak/>
        <w:t xml:space="preserve">נתונים, וממילא אינם צריכים להיות נתונים, לגילוי ולהעתקה סיטוניים... הרחבת יתר של היקף הגילוי הסיטוני בגדרו של סעיף 74 לחסד"פ עלולה להיות מנוצלת לרעה על ידי "מסעות דייג" מטעם הנאשמים – דבר אשר עלול לפגוע ביעילות ההליך הפלילי ובמקרי קצה, אף לגרום לעיוות דין מהותי" (בש"פ 1378/20 </w:t>
      </w:r>
      <w:r w:rsidRPr="00B5589C">
        <w:rPr>
          <w:rFonts w:ascii="David" w:hAnsi="David" w:cs="David"/>
          <w:b/>
          <w:bCs/>
          <w:sz w:val="28"/>
          <w:szCs w:val="28"/>
          <w:rtl/>
        </w:rPr>
        <w:t>זגורי נ' מדינת ישראל</w:t>
      </w:r>
      <w:r w:rsidR="00F838B5" w:rsidRPr="00F838B5">
        <w:rPr>
          <w:rFonts w:ascii="David" w:hAnsi="David" w:cs="David" w:hint="cs"/>
          <w:sz w:val="28"/>
          <w:szCs w:val="28"/>
          <w:rtl/>
        </w:rPr>
        <w:t>, פסקה 11</w:t>
      </w:r>
      <w:r w:rsidRPr="00B5589C">
        <w:rPr>
          <w:rFonts w:ascii="David" w:hAnsi="David" w:cs="David"/>
          <w:sz w:val="28"/>
          <w:szCs w:val="28"/>
          <w:rtl/>
        </w:rPr>
        <w:t xml:space="preserve"> (טרם פורסם, 7.4.2020)</w:t>
      </w:r>
      <w:r>
        <w:rPr>
          <w:rFonts w:ascii="David" w:hAnsi="David" w:cs="David" w:hint="cs"/>
          <w:sz w:val="28"/>
          <w:szCs w:val="28"/>
          <w:rtl/>
        </w:rPr>
        <w:t>, הדגשות הוספו</w:t>
      </w:r>
      <w:r w:rsidRPr="00B5589C">
        <w:rPr>
          <w:rFonts w:ascii="David" w:hAnsi="David" w:cs="David"/>
          <w:sz w:val="28"/>
          <w:szCs w:val="28"/>
          <w:rtl/>
        </w:rPr>
        <w:t>).</w:t>
      </w:r>
    </w:p>
    <w:p w:rsidR="008409F9" w:rsidRDefault="008409F9" w:rsidP="00D906B6">
      <w:pPr>
        <w:pStyle w:val="ListParagraph"/>
        <w:numPr>
          <w:ilvl w:val="0"/>
          <w:numId w:val="5"/>
        </w:numPr>
        <w:spacing w:after="0" w:line="360" w:lineRule="auto"/>
        <w:ind w:left="0" w:firstLine="0"/>
        <w:jc w:val="both"/>
        <w:rPr>
          <w:rFonts w:ascii="David" w:hAnsi="David" w:cs="David"/>
          <w:sz w:val="28"/>
          <w:szCs w:val="28"/>
        </w:rPr>
      </w:pPr>
      <w:r w:rsidRPr="00B849FB">
        <w:rPr>
          <w:rFonts w:ascii="David" w:hAnsi="David" w:cs="David" w:hint="cs"/>
          <w:sz w:val="28"/>
          <w:szCs w:val="28"/>
          <w:rtl/>
        </w:rPr>
        <w:t xml:space="preserve">על פי הפסיקה, </w:t>
      </w:r>
      <w:r w:rsidR="00FE6442" w:rsidRPr="00B849FB">
        <w:rPr>
          <w:rFonts w:ascii="David" w:hAnsi="David" w:cs="David" w:hint="cs"/>
          <w:sz w:val="28"/>
          <w:szCs w:val="28"/>
          <w:rtl/>
        </w:rPr>
        <w:t>ב</w:t>
      </w:r>
      <w:r w:rsidR="006971CD" w:rsidRPr="00B849FB">
        <w:rPr>
          <w:rFonts w:ascii="David" w:hAnsi="David" w:cs="David" w:hint="cs"/>
          <w:sz w:val="28"/>
          <w:szCs w:val="28"/>
          <w:rtl/>
        </w:rPr>
        <w:t>מקרים</w:t>
      </w:r>
      <w:r w:rsidR="00287A2D" w:rsidRPr="00B849FB">
        <w:rPr>
          <w:rFonts w:ascii="David" w:hAnsi="David" w:cs="David" w:hint="cs"/>
          <w:sz w:val="28"/>
          <w:szCs w:val="28"/>
          <w:rtl/>
        </w:rPr>
        <w:t xml:space="preserve"> </w:t>
      </w:r>
      <w:r w:rsidR="00FE6442" w:rsidRPr="00B849FB">
        <w:rPr>
          <w:rFonts w:ascii="David" w:hAnsi="David" w:cs="David" w:hint="cs"/>
          <w:sz w:val="28"/>
          <w:szCs w:val="28"/>
          <w:rtl/>
        </w:rPr>
        <w:t>מתאימים</w:t>
      </w:r>
      <w:r w:rsidRPr="00B849FB">
        <w:rPr>
          <w:rFonts w:ascii="David" w:hAnsi="David" w:cs="David" w:hint="cs"/>
          <w:sz w:val="28"/>
          <w:szCs w:val="28"/>
          <w:rtl/>
        </w:rPr>
        <w:t>,</w:t>
      </w:r>
      <w:r w:rsidR="00FE6442" w:rsidRPr="00B849FB">
        <w:rPr>
          <w:rFonts w:ascii="David" w:hAnsi="David" w:cs="David" w:hint="cs"/>
          <w:sz w:val="28"/>
          <w:szCs w:val="28"/>
          <w:rtl/>
        </w:rPr>
        <w:t xml:space="preserve"> </w:t>
      </w:r>
      <w:r w:rsidR="006971CD" w:rsidRPr="00B849FB">
        <w:rPr>
          <w:rFonts w:ascii="David" w:hAnsi="David" w:cs="David" w:hint="cs"/>
          <w:sz w:val="28"/>
          <w:szCs w:val="28"/>
          <w:rtl/>
        </w:rPr>
        <w:t>זכות</w:t>
      </w:r>
      <w:r w:rsidR="00FE6442" w:rsidRPr="00B849FB">
        <w:rPr>
          <w:rFonts w:ascii="David" w:hAnsi="David" w:cs="David" w:hint="cs"/>
          <w:sz w:val="28"/>
          <w:szCs w:val="28"/>
          <w:rtl/>
        </w:rPr>
        <w:t>ו</w:t>
      </w:r>
      <w:r w:rsidR="006971CD" w:rsidRPr="00B849FB">
        <w:rPr>
          <w:rFonts w:ascii="David" w:hAnsi="David" w:cs="David" w:hint="cs"/>
          <w:sz w:val="28"/>
          <w:szCs w:val="28"/>
          <w:rtl/>
        </w:rPr>
        <w:t xml:space="preserve"> </w:t>
      </w:r>
      <w:r w:rsidR="00FE6442" w:rsidRPr="00B849FB">
        <w:rPr>
          <w:rFonts w:ascii="David" w:hAnsi="David" w:cs="David" w:hint="cs"/>
          <w:sz w:val="28"/>
          <w:szCs w:val="28"/>
          <w:rtl/>
        </w:rPr>
        <w:t xml:space="preserve">של </w:t>
      </w:r>
      <w:r w:rsidR="006971CD" w:rsidRPr="00B849FB">
        <w:rPr>
          <w:rFonts w:ascii="David" w:hAnsi="David" w:cs="David" w:hint="cs"/>
          <w:sz w:val="28"/>
          <w:szCs w:val="28"/>
          <w:rtl/>
        </w:rPr>
        <w:t xml:space="preserve">הנאשם משתרעת </w:t>
      </w:r>
      <w:r w:rsidRPr="00B849FB">
        <w:rPr>
          <w:rFonts w:ascii="David" w:hAnsi="David" w:cs="David" w:hint="cs"/>
          <w:sz w:val="28"/>
          <w:szCs w:val="28"/>
          <w:rtl/>
        </w:rPr>
        <w:t xml:space="preserve">אף </w:t>
      </w:r>
      <w:r w:rsidR="006971CD" w:rsidRPr="00B849FB">
        <w:rPr>
          <w:rFonts w:ascii="David" w:hAnsi="David" w:cs="David" w:hint="cs"/>
          <w:sz w:val="28"/>
          <w:szCs w:val="28"/>
          <w:rtl/>
        </w:rPr>
        <w:t>מעבר לחומרים המצויים פיזית בידי גורמי החקירה</w:t>
      </w:r>
      <w:r w:rsidR="008F624C" w:rsidRPr="00B849FB">
        <w:rPr>
          <w:rFonts w:ascii="David" w:hAnsi="David" w:cs="David" w:hint="cs"/>
          <w:sz w:val="28"/>
          <w:szCs w:val="28"/>
          <w:rtl/>
        </w:rPr>
        <w:t xml:space="preserve">, </w:t>
      </w:r>
      <w:r w:rsidR="005A50AB" w:rsidRPr="00B849FB">
        <w:rPr>
          <w:rFonts w:ascii="David" w:hAnsi="David" w:cs="David" w:hint="cs"/>
          <w:sz w:val="28"/>
          <w:szCs w:val="28"/>
          <w:rtl/>
        </w:rPr>
        <w:t>אם יש לה</w:t>
      </w:r>
      <w:r w:rsidR="0055488B" w:rsidRPr="00B849FB">
        <w:rPr>
          <w:rFonts w:ascii="David" w:hAnsi="David" w:cs="David" w:hint="cs"/>
          <w:sz w:val="28"/>
          <w:szCs w:val="28"/>
          <w:rtl/>
        </w:rPr>
        <w:t>ם</w:t>
      </w:r>
      <w:r w:rsidR="005A50AB" w:rsidRPr="00B849FB">
        <w:rPr>
          <w:rFonts w:ascii="David" w:hAnsi="David" w:cs="David" w:hint="cs"/>
          <w:sz w:val="28"/>
          <w:szCs w:val="28"/>
          <w:rtl/>
        </w:rPr>
        <w:t xml:space="preserve"> "שליטה עליו"</w:t>
      </w:r>
      <w:r w:rsidR="00773690" w:rsidRPr="00B849FB">
        <w:rPr>
          <w:rFonts w:ascii="David" w:hAnsi="David" w:cs="David" w:hint="cs"/>
          <w:sz w:val="28"/>
          <w:szCs w:val="28"/>
          <w:rtl/>
        </w:rPr>
        <w:t xml:space="preserve"> (בש"פ 480</w:t>
      </w:r>
      <w:r w:rsidR="00812956">
        <w:rPr>
          <w:rFonts w:ascii="David" w:hAnsi="David" w:cs="David" w:hint="cs"/>
          <w:sz w:val="28"/>
          <w:szCs w:val="28"/>
          <w:rtl/>
        </w:rPr>
        <w:t>4</w:t>
      </w:r>
      <w:r w:rsidR="00773690" w:rsidRPr="00B849FB">
        <w:rPr>
          <w:rFonts w:ascii="David" w:hAnsi="David" w:cs="David" w:hint="cs"/>
          <w:sz w:val="28"/>
          <w:szCs w:val="28"/>
          <w:rtl/>
        </w:rPr>
        <w:t xml:space="preserve">/17 </w:t>
      </w:r>
      <w:r w:rsidR="00773690" w:rsidRPr="00B849FB">
        <w:rPr>
          <w:rFonts w:ascii="David" w:hAnsi="David" w:cs="David" w:hint="cs"/>
          <w:b/>
          <w:bCs/>
          <w:sz w:val="28"/>
          <w:szCs w:val="28"/>
          <w:rtl/>
        </w:rPr>
        <w:t>ברמלי נ' מדינת ישראל</w:t>
      </w:r>
      <w:r w:rsidR="00773690" w:rsidRPr="00B849FB">
        <w:rPr>
          <w:rFonts w:ascii="David" w:hAnsi="David" w:cs="David" w:hint="cs"/>
          <w:sz w:val="28"/>
          <w:szCs w:val="28"/>
          <w:rtl/>
        </w:rPr>
        <w:t xml:space="preserve"> (טרם פורסם, 9.8.2017));</w:t>
      </w:r>
      <w:r w:rsidRPr="00B849FB">
        <w:rPr>
          <w:rFonts w:ascii="Times New Roman" w:eastAsia="Times New Roman" w:hAnsi="Times New Roman" w:cs="David"/>
          <w:sz w:val="28"/>
          <w:szCs w:val="28"/>
          <w:rtl/>
        </w:rPr>
        <w:t xml:space="preserve"> </w:t>
      </w:r>
      <w:r w:rsidRPr="00B849FB">
        <w:rPr>
          <w:rFonts w:ascii="Times New Roman" w:eastAsia="Times New Roman" w:hAnsi="Times New Roman" w:cs="David" w:hint="cs"/>
          <w:sz w:val="28"/>
          <w:szCs w:val="28"/>
          <w:rtl/>
        </w:rPr>
        <w:t>ו</w:t>
      </w:r>
      <w:r w:rsidRPr="00B849FB">
        <w:rPr>
          <w:rFonts w:ascii="David" w:hAnsi="David" w:cs="David"/>
          <w:sz w:val="28"/>
          <w:szCs w:val="28"/>
          <w:rtl/>
        </w:rPr>
        <w:t xml:space="preserve">כאשר בית המשפט סבור שחומר מסוים חיוני להגנת הנאשם (בהתאם למבחן הרלוונטיות), ניתן להורות על השלמת החקירה והצגת חומרים נוספים (ראו </w:t>
      </w:r>
      <w:r w:rsidRPr="00B849FB">
        <w:rPr>
          <w:rFonts w:ascii="David" w:hAnsi="David" w:cs="David" w:hint="cs"/>
          <w:sz w:val="28"/>
          <w:szCs w:val="28"/>
          <w:rtl/>
        </w:rPr>
        <w:t xml:space="preserve">בש"פ 8252/13 </w:t>
      </w:r>
      <w:r w:rsidRPr="00B849FB">
        <w:rPr>
          <w:rFonts w:ascii="David" w:hAnsi="David" w:cs="David"/>
          <w:b/>
          <w:bCs/>
          <w:sz w:val="28"/>
          <w:szCs w:val="28"/>
          <w:rtl/>
        </w:rPr>
        <w:t xml:space="preserve">מדינת ישראל נ' שיינר </w:t>
      </w:r>
      <w:r w:rsidRPr="00B849FB">
        <w:rPr>
          <w:rFonts w:ascii="David" w:hAnsi="David" w:cs="David"/>
          <w:sz w:val="28"/>
          <w:szCs w:val="28"/>
          <w:rtl/>
        </w:rPr>
        <w:t xml:space="preserve">(טרם פורסם, 23.1.2014); </w:t>
      </w:r>
      <w:r w:rsidRPr="00B849FB">
        <w:rPr>
          <w:rFonts w:ascii="David" w:hAnsi="David" w:cs="David" w:hint="cs"/>
          <w:sz w:val="28"/>
          <w:szCs w:val="28"/>
          <w:rtl/>
        </w:rPr>
        <w:t xml:space="preserve">בש"פ 1152/91 </w:t>
      </w:r>
      <w:r w:rsidRPr="00B849FB">
        <w:rPr>
          <w:rFonts w:ascii="David" w:hAnsi="David" w:cs="David"/>
          <w:b/>
          <w:bCs/>
          <w:sz w:val="28"/>
          <w:szCs w:val="28"/>
          <w:rtl/>
        </w:rPr>
        <w:t>סיקסיק נ' מדינת ישראל</w:t>
      </w:r>
      <w:r w:rsidRPr="00B849FB">
        <w:rPr>
          <w:rFonts w:ascii="David" w:hAnsi="David" w:cs="David"/>
          <w:sz w:val="28"/>
          <w:szCs w:val="28"/>
          <w:rtl/>
        </w:rPr>
        <w:t xml:space="preserve">, פ"ד מו(5) 8 (1992); </w:t>
      </w:r>
      <w:r w:rsidRPr="00B849FB">
        <w:rPr>
          <w:rFonts w:ascii="David" w:hAnsi="David" w:cs="David" w:hint="cs"/>
          <w:sz w:val="28"/>
          <w:szCs w:val="28"/>
          <w:rtl/>
        </w:rPr>
        <w:t xml:space="preserve">בש"פ 10283/09 </w:t>
      </w:r>
      <w:r w:rsidRPr="00B849FB">
        <w:rPr>
          <w:rFonts w:ascii="David" w:hAnsi="David" w:cs="David"/>
          <w:b/>
          <w:bCs/>
          <w:sz w:val="28"/>
          <w:szCs w:val="28"/>
          <w:rtl/>
        </w:rPr>
        <w:t>לדר נ' מדינת ישראל</w:t>
      </w:r>
      <w:r w:rsidRPr="00B849FB">
        <w:rPr>
          <w:rFonts w:ascii="David" w:hAnsi="David" w:cs="David"/>
          <w:sz w:val="28"/>
          <w:szCs w:val="28"/>
          <w:rtl/>
        </w:rPr>
        <w:t xml:space="preserve"> (טרם פורסם, 19.1.2010)). עם זאת, הלכה פסוקה היא כי קיימת </w:t>
      </w:r>
      <w:r w:rsidRPr="00B849FB">
        <w:rPr>
          <w:rFonts w:ascii="David" w:hAnsi="David" w:cs="David"/>
          <w:b/>
          <w:bCs/>
          <w:sz w:val="28"/>
          <w:szCs w:val="28"/>
          <w:rtl/>
        </w:rPr>
        <w:t>חזקה</w:t>
      </w:r>
      <w:r w:rsidRPr="00B849FB">
        <w:rPr>
          <w:rFonts w:ascii="David" w:hAnsi="David" w:cs="David"/>
          <w:sz w:val="28"/>
          <w:szCs w:val="28"/>
          <w:rtl/>
        </w:rPr>
        <w:t xml:space="preserve">, אשר לפיה </w:t>
      </w:r>
      <w:r w:rsidRPr="00B849FB">
        <w:rPr>
          <w:rFonts w:ascii="David" w:hAnsi="David" w:cs="David"/>
          <w:b/>
          <w:bCs/>
          <w:sz w:val="28"/>
          <w:szCs w:val="28"/>
          <w:rtl/>
        </w:rPr>
        <w:t>רשויות החקירה אספו את כלל החומר הרלוונטי, כך שאי הימצאות החומר בידי רשויות התביעה והחקירה מהווה אינדיקציה לכך שעל פני הדברים, אין מדובר בחומר חקירה</w:t>
      </w:r>
      <w:r w:rsidRPr="00B849FB">
        <w:rPr>
          <w:rFonts w:ascii="David" w:hAnsi="David" w:cs="David"/>
          <w:sz w:val="28"/>
          <w:szCs w:val="28"/>
          <w:rtl/>
        </w:rPr>
        <w:t xml:space="preserve"> (עניין </w:t>
      </w:r>
      <w:r w:rsidRPr="00B849FB">
        <w:rPr>
          <w:rFonts w:ascii="David" w:hAnsi="David" w:cs="David"/>
          <w:b/>
          <w:bCs/>
          <w:sz w:val="28"/>
          <w:szCs w:val="28"/>
          <w:rtl/>
        </w:rPr>
        <w:t>שיינר</w:t>
      </w:r>
      <w:r w:rsidRPr="00B849FB">
        <w:rPr>
          <w:rFonts w:ascii="David" w:hAnsi="David" w:cs="David"/>
          <w:sz w:val="28"/>
          <w:szCs w:val="28"/>
          <w:rtl/>
        </w:rPr>
        <w:t xml:space="preserve"> הנ"ל, בעמ' 9, פסקה 3</w:t>
      </w:r>
      <w:r w:rsidRPr="00B849FB">
        <w:rPr>
          <w:rFonts w:ascii="David" w:hAnsi="David" w:cs="David" w:hint="cs"/>
          <w:sz w:val="28"/>
          <w:szCs w:val="28"/>
          <w:rtl/>
        </w:rPr>
        <w:t>; עלב"ש/</w:t>
      </w:r>
      <w:r w:rsidR="0056405B">
        <w:rPr>
          <w:rFonts w:ascii="David" w:hAnsi="David" w:cs="David" w:hint="cs"/>
          <w:sz w:val="28"/>
          <w:szCs w:val="28"/>
          <w:rtl/>
        </w:rPr>
        <w:t>71</w:t>
      </w:r>
      <w:r w:rsidRPr="00B849FB">
        <w:rPr>
          <w:rFonts w:ascii="David" w:hAnsi="David" w:cs="David" w:hint="cs"/>
          <w:sz w:val="28"/>
          <w:szCs w:val="28"/>
          <w:rtl/>
        </w:rPr>
        <w:t>,</w:t>
      </w:r>
      <w:r w:rsidR="0056405B">
        <w:rPr>
          <w:rFonts w:ascii="David" w:hAnsi="David" w:cs="David" w:hint="cs"/>
          <w:sz w:val="28"/>
          <w:szCs w:val="28"/>
          <w:rtl/>
        </w:rPr>
        <w:t>60</w:t>
      </w:r>
      <w:r w:rsidRPr="00B849FB">
        <w:rPr>
          <w:rFonts w:ascii="David" w:hAnsi="David" w:cs="David" w:hint="cs"/>
          <w:sz w:val="28"/>
          <w:szCs w:val="28"/>
          <w:rtl/>
        </w:rPr>
        <w:t xml:space="preserve">/16 </w:t>
      </w:r>
      <w:r w:rsidR="0056405B" w:rsidRPr="0056405B">
        <w:rPr>
          <w:rFonts w:ascii="David" w:hAnsi="David" w:cs="David" w:hint="cs"/>
          <w:b/>
          <w:bCs/>
          <w:sz w:val="28"/>
          <w:szCs w:val="28"/>
          <w:rtl/>
        </w:rPr>
        <w:t>טור'</w:t>
      </w:r>
      <w:r w:rsidR="0056405B">
        <w:rPr>
          <w:rFonts w:ascii="David" w:hAnsi="David" w:cs="David" w:hint="cs"/>
          <w:sz w:val="28"/>
          <w:szCs w:val="28"/>
          <w:rtl/>
        </w:rPr>
        <w:t xml:space="preserve"> </w:t>
      </w:r>
      <w:r w:rsidRPr="00B849FB">
        <w:rPr>
          <w:rFonts w:ascii="David" w:hAnsi="David" w:cs="David" w:hint="cs"/>
          <w:b/>
          <w:bCs/>
          <w:sz w:val="28"/>
          <w:szCs w:val="28"/>
          <w:rtl/>
        </w:rPr>
        <w:t>סבן נ' התובע הצבאי הראשי</w:t>
      </w:r>
      <w:r w:rsidRPr="00B849FB">
        <w:rPr>
          <w:rFonts w:ascii="David" w:hAnsi="David" w:cs="David" w:hint="cs"/>
          <w:sz w:val="28"/>
          <w:szCs w:val="28"/>
          <w:rtl/>
        </w:rPr>
        <w:t xml:space="preserve"> (2016); </w:t>
      </w:r>
      <w:r w:rsidRPr="00B849FB">
        <w:rPr>
          <w:rFonts w:ascii="David" w:hAnsi="David" w:cs="David"/>
          <w:sz w:val="28"/>
          <w:szCs w:val="28"/>
          <w:rtl/>
        </w:rPr>
        <w:t xml:space="preserve">עלב"ש/10/18 </w:t>
      </w:r>
      <w:r w:rsidRPr="00B849FB">
        <w:rPr>
          <w:rFonts w:ascii="David" w:hAnsi="David" w:cs="David"/>
          <w:b/>
          <w:bCs/>
          <w:sz w:val="28"/>
          <w:szCs w:val="28"/>
          <w:rtl/>
        </w:rPr>
        <w:t>סמל ארגואטי נ' התובע הצבאי הראשי</w:t>
      </w:r>
      <w:r w:rsidRPr="00B849FB">
        <w:rPr>
          <w:rFonts w:ascii="David" w:hAnsi="David" w:cs="David"/>
          <w:sz w:val="28"/>
          <w:szCs w:val="28"/>
          <w:rtl/>
        </w:rPr>
        <w:t xml:space="preserve"> (2018)).</w:t>
      </w:r>
      <w:r w:rsidR="00B849FB" w:rsidRPr="00B849FB">
        <w:rPr>
          <w:rFonts w:ascii="David" w:hAnsi="David" w:cs="David" w:hint="cs"/>
          <w:sz w:val="28"/>
          <w:szCs w:val="28"/>
          <w:rtl/>
        </w:rPr>
        <w:t xml:space="preserve"> </w:t>
      </w:r>
      <w:r w:rsidR="00B849FB">
        <w:rPr>
          <w:rFonts w:ascii="David" w:hAnsi="David" w:cs="David" w:hint="cs"/>
          <w:sz w:val="28"/>
          <w:szCs w:val="28"/>
          <w:rtl/>
        </w:rPr>
        <w:t xml:space="preserve">כמו כן, </w:t>
      </w:r>
      <w:r w:rsidRPr="00B849FB">
        <w:rPr>
          <w:rFonts w:ascii="David" w:hAnsi="David" w:cs="David"/>
          <w:sz w:val="28"/>
          <w:szCs w:val="28"/>
          <w:rtl/>
        </w:rPr>
        <w:t xml:space="preserve">יש לומר, כי האפשרות של התביעה להשיג את החומר המבוקש לא די בה, כשלעצמה, כדי להכריע כי </w:t>
      </w:r>
      <w:r w:rsidRPr="00B849FB">
        <w:rPr>
          <w:rFonts w:ascii="David" w:hAnsi="David" w:cs="David" w:hint="cs"/>
          <w:sz w:val="28"/>
          <w:szCs w:val="28"/>
          <w:rtl/>
        </w:rPr>
        <w:t xml:space="preserve">מדובר </w:t>
      </w:r>
      <w:r w:rsidRPr="00B849FB">
        <w:rPr>
          <w:rFonts w:ascii="David" w:hAnsi="David" w:cs="David"/>
          <w:sz w:val="28"/>
          <w:szCs w:val="28"/>
          <w:rtl/>
        </w:rPr>
        <w:t>ב"חומר חקירה"</w:t>
      </w:r>
      <w:r w:rsidRPr="00B849FB">
        <w:rPr>
          <w:rFonts w:ascii="David" w:hAnsi="David" w:cs="David" w:hint="cs"/>
          <w:sz w:val="28"/>
          <w:szCs w:val="28"/>
          <w:rtl/>
        </w:rPr>
        <w:t>, ה</w:t>
      </w:r>
      <w:r w:rsidRPr="00B849FB">
        <w:rPr>
          <w:rFonts w:ascii="David" w:hAnsi="David" w:cs="David"/>
          <w:sz w:val="28"/>
          <w:szCs w:val="28"/>
          <w:rtl/>
        </w:rPr>
        <w:t xml:space="preserve">רלוונטי לבירור האשמה (עניין </w:t>
      </w:r>
      <w:r w:rsidRPr="00B849FB">
        <w:rPr>
          <w:rFonts w:ascii="David" w:hAnsi="David" w:cs="David"/>
          <w:b/>
          <w:bCs/>
          <w:sz w:val="28"/>
          <w:szCs w:val="28"/>
          <w:rtl/>
        </w:rPr>
        <w:t>שיינר</w:t>
      </w:r>
      <w:r w:rsidRPr="00B849FB">
        <w:rPr>
          <w:rFonts w:ascii="David" w:hAnsi="David" w:cs="David"/>
          <w:sz w:val="28"/>
          <w:szCs w:val="28"/>
          <w:rtl/>
        </w:rPr>
        <w:t xml:space="preserve"> הנ"ל, פסקה 11; וראו גם: </w:t>
      </w:r>
      <w:r w:rsidRPr="00B849FB">
        <w:rPr>
          <w:rFonts w:ascii="David" w:hAnsi="David" w:cs="David" w:hint="cs"/>
          <w:sz w:val="28"/>
          <w:szCs w:val="28"/>
          <w:rtl/>
        </w:rPr>
        <w:t xml:space="preserve">בש"פ 8761/16 </w:t>
      </w:r>
      <w:r w:rsidRPr="00B849FB">
        <w:rPr>
          <w:rFonts w:ascii="David" w:hAnsi="David" w:cs="David"/>
          <w:b/>
          <w:bCs/>
          <w:sz w:val="28"/>
          <w:szCs w:val="28"/>
          <w:rtl/>
        </w:rPr>
        <w:t xml:space="preserve">דיסי נ' מדינת ישראל </w:t>
      </w:r>
      <w:r w:rsidRPr="00B849FB">
        <w:rPr>
          <w:rFonts w:ascii="David" w:hAnsi="David" w:cs="David"/>
          <w:sz w:val="28"/>
          <w:szCs w:val="28"/>
          <w:rtl/>
        </w:rPr>
        <w:t xml:space="preserve">(טרם פורסם, 13.11.2016)). </w:t>
      </w:r>
    </w:p>
    <w:p w:rsidR="001E1991" w:rsidRPr="007C7161" w:rsidRDefault="001E1991" w:rsidP="00D906B6">
      <w:pPr>
        <w:pStyle w:val="ListParagraph"/>
        <w:numPr>
          <w:ilvl w:val="0"/>
          <w:numId w:val="5"/>
        </w:numPr>
        <w:spacing w:after="0" w:line="360" w:lineRule="auto"/>
        <w:ind w:left="0" w:firstLine="0"/>
        <w:jc w:val="both"/>
        <w:rPr>
          <w:rFonts w:ascii="David" w:hAnsi="David" w:cs="David"/>
          <w:sz w:val="28"/>
          <w:szCs w:val="28"/>
          <w:rtl/>
        </w:rPr>
      </w:pPr>
      <w:r w:rsidRPr="007C7161">
        <w:rPr>
          <w:rFonts w:ascii="David" w:hAnsi="David" w:cs="David"/>
          <w:sz w:val="28"/>
          <w:szCs w:val="28"/>
          <w:rtl/>
        </w:rPr>
        <w:t xml:space="preserve">אשר לשאלה </w:t>
      </w:r>
      <w:r w:rsidRPr="007C7161">
        <w:rPr>
          <w:rFonts w:ascii="David" w:hAnsi="David" w:cs="David" w:hint="cs"/>
          <w:sz w:val="28"/>
          <w:szCs w:val="28"/>
          <w:rtl/>
        </w:rPr>
        <w:t xml:space="preserve">עד </w:t>
      </w:r>
      <w:r w:rsidRPr="007C7161">
        <w:rPr>
          <w:rFonts w:ascii="David" w:hAnsi="David" w:cs="David"/>
          <w:sz w:val="28"/>
          <w:szCs w:val="28"/>
          <w:rtl/>
        </w:rPr>
        <w:t>כמה "רחוק" על גורמי החקירה לפעול בבואם לחפש אחר חומרים שאינם נמצאים בחזקתם, יש ליתן את הדעת לשאלה האם מדובר בחומר קיים, שעל מנת להוציאו לא נדרשות פעולות חקירה נוספות או משלימות, או שמא המדובר ביצירת ראיות חדשות שלא היו קיימות מעולם.</w:t>
      </w:r>
      <w:r w:rsidR="007C7161" w:rsidRPr="007C7161">
        <w:rPr>
          <w:rFonts w:ascii="David" w:hAnsi="David" w:cs="David" w:hint="cs"/>
          <w:sz w:val="28"/>
          <w:szCs w:val="28"/>
          <w:rtl/>
        </w:rPr>
        <w:t xml:space="preserve"> ככלל, נקבע, כי "סעיף 74 אינו המסגרת הנאותה</w:t>
      </w:r>
      <w:r w:rsidR="007C7161" w:rsidRPr="007C7161">
        <w:rPr>
          <w:rFonts w:ascii="David" w:hAnsi="David" w:cs="David"/>
          <w:sz w:val="28"/>
          <w:szCs w:val="28"/>
          <w:rtl/>
        </w:rPr>
        <w:t xml:space="preserve"> </w:t>
      </w:r>
      <w:r w:rsidR="007C7161" w:rsidRPr="007C7161">
        <w:rPr>
          <w:rFonts w:ascii="David" w:hAnsi="David" w:cs="David" w:hint="cs"/>
          <w:sz w:val="28"/>
          <w:szCs w:val="28"/>
          <w:rtl/>
        </w:rPr>
        <w:t>להצגת</w:t>
      </w:r>
      <w:r w:rsidR="007C7161" w:rsidRPr="007C7161">
        <w:rPr>
          <w:rFonts w:ascii="David" w:hAnsi="David" w:cs="David"/>
          <w:sz w:val="28"/>
          <w:szCs w:val="28"/>
          <w:rtl/>
        </w:rPr>
        <w:t xml:space="preserve"> </w:t>
      </w:r>
      <w:r w:rsidR="007C7161" w:rsidRPr="007C7161">
        <w:rPr>
          <w:rFonts w:ascii="David" w:hAnsi="David" w:cs="David" w:hint="cs"/>
          <w:sz w:val="28"/>
          <w:szCs w:val="28"/>
          <w:rtl/>
        </w:rPr>
        <w:t>דרישות</w:t>
      </w:r>
      <w:r w:rsidR="007C7161" w:rsidRPr="007C7161">
        <w:rPr>
          <w:rFonts w:ascii="David" w:hAnsi="David" w:cs="David"/>
          <w:sz w:val="28"/>
          <w:szCs w:val="28"/>
          <w:rtl/>
        </w:rPr>
        <w:t xml:space="preserve"> </w:t>
      </w:r>
      <w:r w:rsidR="007C7161" w:rsidRPr="007C7161">
        <w:rPr>
          <w:rFonts w:ascii="David" w:hAnsi="David" w:cs="David" w:hint="cs"/>
          <w:sz w:val="28"/>
          <w:szCs w:val="28"/>
          <w:rtl/>
        </w:rPr>
        <w:t>להשלמת</w:t>
      </w:r>
      <w:r w:rsidR="007C7161" w:rsidRPr="007C7161">
        <w:rPr>
          <w:rFonts w:ascii="David" w:hAnsi="David" w:cs="David"/>
          <w:sz w:val="28"/>
          <w:szCs w:val="28"/>
          <w:rtl/>
        </w:rPr>
        <w:t xml:space="preserve"> </w:t>
      </w:r>
      <w:r w:rsidR="007C7161" w:rsidRPr="007C7161">
        <w:rPr>
          <w:rFonts w:ascii="David" w:hAnsi="David" w:cs="David" w:hint="cs"/>
          <w:sz w:val="28"/>
          <w:szCs w:val="28"/>
          <w:rtl/>
        </w:rPr>
        <w:t>חקירה</w:t>
      </w:r>
      <w:r w:rsidR="007C7161" w:rsidRPr="007C7161">
        <w:rPr>
          <w:rFonts w:ascii="David" w:hAnsi="David" w:cs="David"/>
          <w:sz w:val="28"/>
          <w:szCs w:val="28"/>
          <w:rtl/>
        </w:rPr>
        <w:t xml:space="preserve"> </w:t>
      </w:r>
      <w:r w:rsidR="007C7161" w:rsidRPr="007C7161">
        <w:rPr>
          <w:rFonts w:ascii="David" w:hAnsi="David" w:cs="David" w:hint="cs"/>
          <w:sz w:val="28"/>
          <w:szCs w:val="28"/>
          <w:rtl/>
        </w:rPr>
        <w:t>או</w:t>
      </w:r>
      <w:r w:rsidR="007C7161" w:rsidRPr="007C7161">
        <w:rPr>
          <w:rFonts w:ascii="David" w:hAnsi="David" w:cs="David"/>
          <w:sz w:val="28"/>
          <w:szCs w:val="28"/>
          <w:rtl/>
        </w:rPr>
        <w:t xml:space="preserve"> </w:t>
      </w:r>
      <w:r w:rsidR="007C7161" w:rsidRPr="007C7161">
        <w:rPr>
          <w:rFonts w:ascii="David" w:hAnsi="David" w:cs="David" w:hint="cs"/>
          <w:sz w:val="28"/>
          <w:szCs w:val="28"/>
          <w:rtl/>
        </w:rPr>
        <w:t>ליצירת</w:t>
      </w:r>
      <w:r w:rsidR="007C7161" w:rsidRPr="007C7161">
        <w:rPr>
          <w:rFonts w:ascii="David" w:hAnsi="David" w:cs="David"/>
          <w:sz w:val="28"/>
          <w:szCs w:val="28"/>
          <w:rtl/>
        </w:rPr>
        <w:t xml:space="preserve"> </w:t>
      </w:r>
      <w:r w:rsidR="007C7161" w:rsidRPr="007C7161">
        <w:rPr>
          <w:rFonts w:ascii="David" w:hAnsi="David" w:cs="David" w:hint="cs"/>
          <w:sz w:val="28"/>
          <w:szCs w:val="28"/>
          <w:rtl/>
        </w:rPr>
        <w:t>ראיות</w:t>
      </w:r>
      <w:r w:rsidR="007C7161" w:rsidRPr="007C7161">
        <w:rPr>
          <w:rFonts w:ascii="David" w:hAnsi="David" w:cs="David"/>
          <w:sz w:val="28"/>
          <w:szCs w:val="28"/>
          <w:rtl/>
        </w:rPr>
        <w:t xml:space="preserve"> </w:t>
      </w:r>
      <w:r w:rsidR="007C7161" w:rsidRPr="007C7161">
        <w:rPr>
          <w:rFonts w:ascii="David" w:hAnsi="David" w:cs="David" w:hint="cs"/>
          <w:sz w:val="28"/>
          <w:szCs w:val="28"/>
          <w:rtl/>
        </w:rPr>
        <w:t>חדשות</w:t>
      </w:r>
      <w:r w:rsidR="007C7161" w:rsidRPr="007C7161">
        <w:rPr>
          <w:rFonts w:ascii="David" w:hAnsi="David" w:cs="David"/>
          <w:sz w:val="28"/>
          <w:szCs w:val="28"/>
          <w:rtl/>
        </w:rPr>
        <w:t xml:space="preserve"> </w:t>
      </w:r>
      <w:r w:rsidR="007C7161" w:rsidRPr="007C7161">
        <w:rPr>
          <w:rFonts w:ascii="David" w:hAnsi="David" w:cs="David" w:hint="cs"/>
          <w:sz w:val="28"/>
          <w:szCs w:val="28"/>
          <w:rtl/>
        </w:rPr>
        <w:t>שלא</w:t>
      </w:r>
      <w:r w:rsidR="007C7161" w:rsidRPr="007C7161">
        <w:rPr>
          <w:rFonts w:ascii="David" w:hAnsi="David" w:cs="David"/>
          <w:sz w:val="28"/>
          <w:szCs w:val="28"/>
          <w:rtl/>
        </w:rPr>
        <w:t xml:space="preserve"> </w:t>
      </w:r>
      <w:r w:rsidR="007C7161" w:rsidRPr="007C7161">
        <w:rPr>
          <w:rFonts w:ascii="David" w:hAnsi="David" w:cs="David" w:hint="cs"/>
          <w:sz w:val="28"/>
          <w:szCs w:val="28"/>
          <w:rtl/>
        </w:rPr>
        <w:t>באו</w:t>
      </w:r>
      <w:r w:rsidR="007C7161" w:rsidRPr="007C7161">
        <w:rPr>
          <w:rFonts w:ascii="David" w:hAnsi="David" w:cs="David"/>
          <w:sz w:val="28"/>
          <w:szCs w:val="28"/>
          <w:rtl/>
        </w:rPr>
        <w:t xml:space="preserve"> </w:t>
      </w:r>
      <w:r w:rsidR="007C7161" w:rsidRPr="007C7161">
        <w:rPr>
          <w:rFonts w:ascii="David" w:hAnsi="David" w:cs="David" w:hint="cs"/>
          <w:sz w:val="28"/>
          <w:szCs w:val="28"/>
          <w:rtl/>
        </w:rPr>
        <w:t>לעולם"</w:t>
      </w:r>
      <w:r w:rsidR="007C7161" w:rsidRPr="007C7161">
        <w:rPr>
          <w:rFonts w:ascii="David" w:hAnsi="David" w:cs="David"/>
          <w:sz w:val="28"/>
          <w:szCs w:val="28"/>
          <w:rtl/>
        </w:rPr>
        <w:t xml:space="preserve"> (בש"פ 8221/12 </w:t>
      </w:r>
      <w:r w:rsidR="007C7161" w:rsidRPr="007C7161">
        <w:rPr>
          <w:rFonts w:ascii="David" w:hAnsi="David" w:cs="David"/>
          <w:b/>
          <w:bCs/>
          <w:sz w:val="28"/>
          <w:szCs w:val="28"/>
          <w:rtl/>
        </w:rPr>
        <w:t>אימאם נ' מדינת ישראל</w:t>
      </w:r>
      <w:r w:rsidR="007C7161" w:rsidRPr="007C7161">
        <w:rPr>
          <w:rFonts w:ascii="David" w:hAnsi="David" w:cs="David"/>
          <w:sz w:val="28"/>
          <w:szCs w:val="28"/>
          <w:rtl/>
        </w:rPr>
        <w:t xml:space="preserve"> (טרם פורסם, 20.11.2012)</w:t>
      </w:r>
      <w:r w:rsidR="007C7161" w:rsidRPr="007C7161">
        <w:rPr>
          <w:rFonts w:ascii="David" w:hAnsi="David" w:cs="David" w:hint="cs"/>
          <w:sz w:val="28"/>
          <w:szCs w:val="28"/>
          <w:rtl/>
        </w:rPr>
        <w:t xml:space="preserve">; </w:t>
      </w:r>
      <w:r w:rsidR="007C7161">
        <w:rPr>
          <w:rFonts w:ascii="David" w:hAnsi="David" w:cs="David" w:hint="cs"/>
          <w:sz w:val="28"/>
          <w:szCs w:val="28"/>
          <w:rtl/>
        </w:rPr>
        <w:t xml:space="preserve">וראו גם: </w:t>
      </w:r>
      <w:r w:rsidR="007C7161" w:rsidRPr="007C7161">
        <w:rPr>
          <w:rFonts w:ascii="David" w:hAnsi="David" w:cs="David" w:hint="cs"/>
          <w:sz w:val="28"/>
          <w:szCs w:val="28"/>
          <w:rtl/>
        </w:rPr>
        <w:t>בש</w:t>
      </w:r>
      <w:r w:rsidR="007C7161" w:rsidRPr="007C7161">
        <w:rPr>
          <w:rFonts w:ascii="David" w:hAnsi="David" w:cs="David"/>
          <w:sz w:val="28"/>
          <w:szCs w:val="28"/>
          <w:rtl/>
        </w:rPr>
        <w:t>"</w:t>
      </w:r>
      <w:r w:rsidR="007C7161" w:rsidRPr="007C7161">
        <w:rPr>
          <w:rFonts w:ascii="David" w:hAnsi="David" w:cs="David" w:hint="cs"/>
          <w:sz w:val="28"/>
          <w:szCs w:val="28"/>
          <w:rtl/>
        </w:rPr>
        <w:t>פ</w:t>
      </w:r>
      <w:r w:rsidR="007C7161" w:rsidRPr="007C7161">
        <w:rPr>
          <w:rFonts w:ascii="David" w:hAnsi="David" w:cs="David"/>
          <w:sz w:val="28"/>
          <w:szCs w:val="28"/>
          <w:rtl/>
        </w:rPr>
        <w:t xml:space="preserve"> 5722/96 </w:t>
      </w:r>
      <w:r w:rsidR="007C7161" w:rsidRPr="007C7161">
        <w:rPr>
          <w:rFonts w:ascii="David" w:hAnsi="David" w:cs="David" w:hint="cs"/>
          <w:b/>
          <w:bCs/>
          <w:sz w:val="28"/>
          <w:szCs w:val="28"/>
          <w:rtl/>
        </w:rPr>
        <w:t>דורפמן</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נ</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מדינת</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ישראל</w:t>
      </w:r>
      <w:r w:rsidR="007C7161" w:rsidRPr="007C7161">
        <w:rPr>
          <w:rFonts w:ascii="David" w:hAnsi="David" w:cs="David"/>
          <w:sz w:val="28"/>
          <w:szCs w:val="28"/>
          <w:rtl/>
        </w:rPr>
        <w:t xml:space="preserve"> (</w:t>
      </w:r>
      <w:r w:rsidR="00901903">
        <w:rPr>
          <w:rFonts w:ascii="David" w:hAnsi="David" w:cs="David" w:hint="cs"/>
          <w:sz w:val="28"/>
          <w:szCs w:val="28"/>
          <w:rtl/>
        </w:rPr>
        <w:t>טרם</w:t>
      </w:r>
      <w:r w:rsidR="007C7161" w:rsidRPr="007C7161">
        <w:rPr>
          <w:rFonts w:ascii="David" w:hAnsi="David" w:cs="David"/>
          <w:sz w:val="28"/>
          <w:szCs w:val="28"/>
          <w:rtl/>
        </w:rPr>
        <w:t xml:space="preserve"> </w:t>
      </w:r>
      <w:r w:rsidR="007C7161" w:rsidRPr="007C7161">
        <w:rPr>
          <w:rFonts w:ascii="David" w:hAnsi="David" w:cs="David" w:hint="cs"/>
          <w:sz w:val="28"/>
          <w:szCs w:val="28"/>
          <w:rtl/>
        </w:rPr>
        <w:t>פורסם</w:t>
      </w:r>
      <w:r w:rsidR="007C7161" w:rsidRPr="007C7161">
        <w:rPr>
          <w:rFonts w:ascii="David" w:hAnsi="David" w:cs="David"/>
          <w:sz w:val="28"/>
          <w:szCs w:val="28"/>
          <w:rtl/>
        </w:rPr>
        <w:t xml:space="preserve">, 19.8.1996); </w:t>
      </w:r>
      <w:r w:rsidR="007C7161" w:rsidRPr="007C7161">
        <w:rPr>
          <w:rFonts w:ascii="David" w:hAnsi="David" w:cs="David" w:hint="cs"/>
          <w:sz w:val="28"/>
          <w:szCs w:val="28"/>
          <w:rtl/>
        </w:rPr>
        <w:t>בש</w:t>
      </w:r>
      <w:r w:rsidR="007C7161" w:rsidRPr="007C7161">
        <w:rPr>
          <w:rFonts w:ascii="David" w:hAnsi="David" w:cs="David"/>
          <w:sz w:val="28"/>
          <w:szCs w:val="28"/>
          <w:rtl/>
        </w:rPr>
        <w:t>"</w:t>
      </w:r>
      <w:r w:rsidR="007C7161" w:rsidRPr="007C7161">
        <w:rPr>
          <w:rFonts w:ascii="David" w:hAnsi="David" w:cs="David" w:hint="cs"/>
          <w:sz w:val="28"/>
          <w:szCs w:val="28"/>
          <w:rtl/>
        </w:rPr>
        <w:t>פ</w:t>
      </w:r>
      <w:r w:rsidR="007C7161" w:rsidRPr="007C7161">
        <w:rPr>
          <w:rFonts w:ascii="David" w:hAnsi="David" w:cs="David"/>
          <w:sz w:val="28"/>
          <w:szCs w:val="28"/>
          <w:rtl/>
        </w:rPr>
        <w:t xml:space="preserve"> 1800/12 </w:t>
      </w:r>
      <w:r w:rsidR="007C7161" w:rsidRPr="007C7161">
        <w:rPr>
          <w:rFonts w:ascii="David" w:hAnsi="David" w:cs="David" w:hint="cs"/>
          <w:b/>
          <w:bCs/>
          <w:sz w:val="28"/>
          <w:szCs w:val="28"/>
          <w:rtl/>
        </w:rPr>
        <w:t>סרור</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נ</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מדינת</w:t>
      </w:r>
      <w:r w:rsidR="007C7161" w:rsidRPr="007C7161">
        <w:rPr>
          <w:rFonts w:ascii="David" w:hAnsi="David" w:cs="David"/>
          <w:b/>
          <w:bCs/>
          <w:sz w:val="28"/>
          <w:szCs w:val="28"/>
          <w:rtl/>
        </w:rPr>
        <w:t xml:space="preserve"> </w:t>
      </w:r>
      <w:r w:rsidR="007C7161" w:rsidRPr="007C7161">
        <w:rPr>
          <w:rFonts w:ascii="David" w:hAnsi="David" w:cs="David" w:hint="cs"/>
          <w:b/>
          <w:bCs/>
          <w:sz w:val="28"/>
          <w:szCs w:val="28"/>
          <w:rtl/>
        </w:rPr>
        <w:t>ישראל</w:t>
      </w:r>
      <w:r w:rsidR="007C7161" w:rsidRPr="007C7161">
        <w:rPr>
          <w:rFonts w:ascii="David" w:hAnsi="David" w:cs="David"/>
          <w:sz w:val="28"/>
          <w:szCs w:val="28"/>
          <w:rtl/>
        </w:rPr>
        <w:t xml:space="preserve"> (</w:t>
      </w:r>
      <w:r w:rsidR="00901903">
        <w:rPr>
          <w:rFonts w:ascii="David" w:hAnsi="David" w:cs="David" w:hint="cs"/>
          <w:sz w:val="28"/>
          <w:szCs w:val="28"/>
          <w:rtl/>
        </w:rPr>
        <w:t>טרם</w:t>
      </w:r>
      <w:r w:rsidR="007C7161" w:rsidRPr="007C7161">
        <w:rPr>
          <w:rFonts w:ascii="David" w:hAnsi="David" w:cs="David"/>
          <w:sz w:val="28"/>
          <w:szCs w:val="28"/>
          <w:rtl/>
        </w:rPr>
        <w:t xml:space="preserve"> </w:t>
      </w:r>
      <w:r w:rsidR="007C7161" w:rsidRPr="007C7161">
        <w:rPr>
          <w:rFonts w:ascii="David" w:hAnsi="David" w:cs="David" w:hint="cs"/>
          <w:sz w:val="28"/>
          <w:szCs w:val="28"/>
          <w:rtl/>
        </w:rPr>
        <w:t>פורסם</w:t>
      </w:r>
      <w:r w:rsidR="007C7161" w:rsidRPr="007C7161">
        <w:rPr>
          <w:rFonts w:ascii="David" w:hAnsi="David" w:cs="David"/>
          <w:sz w:val="28"/>
          <w:szCs w:val="28"/>
          <w:rtl/>
        </w:rPr>
        <w:t xml:space="preserve">, 11.7.2012)). </w:t>
      </w:r>
      <w:r w:rsidR="007C7161">
        <w:rPr>
          <w:rFonts w:ascii="David" w:hAnsi="David" w:cs="David" w:hint="cs"/>
          <w:sz w:val="28"/>
          <w:szCs w:val="28"/>
          <w:rtl/>
        </w:rPr>
        <w:t xml:space="preserve">עם זאת, </w:t>
      </w:r>
      <w:r w:rsidRPr="007C7161">
        <w:rPr>
          <w:rFonts w:ascii="David" w:hAnsi="David" w:cs="David"/>
          <w:sz w:val="28"/>
          <w:szCs w:val="28"/>
          <w:rtl/>
        </w:rPr>
        <w:t xml:space="preserve">נקבע </w:t>
      </w:r>
      <w:r w:rsidR="007C7161">
        <w:rPr>
          <w:rFonts w:ascii="David" w:hAnsi="David" w:cs="David" w:hint="cs"/>
          <w:sz w:val="28"/>
          <w:szCs w:val="28"/>
          <w:rtl/>
        </w:rPr>
        <w:t xml:space="preserve">בהקשר זה, כי </w:t>
      </w:r>
      <w:r w:rsidRPr="007C7161">
        <w:rPr>
          <w:rFonts w:ascii="David" w:hAnsi="David" w:cs="David"/>
          <w:sz w:val="28"/>
          <w:szCs w:val="28"/>
          <w:rtl/>
        </w:rPr>
        <w:t xml:space="preserve">במקרים </w:t>
      </w:r>
      <w:r w:rsidR="007C7161">
        <w:rPr>
          <w:rFonts w:ascii="David" w:hAnsi="David" w:cs="David" w:hint="cs"/>
          <w:sz w:val="28"/>
          <w:szCs w:val="28"/>
          <w:rtl/>
        </w:rPr>
        <w:t xml:space="preserve">חריגים, כגון, במקרים שבהם </w:t>
      </w:r>
      <w:r w:rsidRPr="007C7161">
        <w:rPr>
          <w:rFonts w:ascii="David" w:hAnsi="David" w:cs="David"/>
          <w:sz w:val="28"/>
          <w:szCs w:val="28"/>
          <w:rtl/>
        </w:rPr>
        <w:t xml:space="preserve">נפל פגם בהליך החקירה, כך שהימנעות מאיסוף הראיות המבוקשות הוא בבחינת מחדל של גורמי החקירה, מן הראוי </w:t>
      </w:r>
      <w:r w:rsidR="00AF3F6D">
        <w:rPr>
          <w:rFonts w:ascii="David" w:hAnsi="David" w:cs="David" w:hint="cs"/>
          <w:sz w:val="28"/>
          <w:szCs w:val="28"/>
          <w:rtl/>
        </w:rPr>
        <w:t xml:space="preserve">יהיה </w:t>
      </w:r>
      <w:r w:rsidRPr="007C7161">
        <w:rPr>
          <w:rFonts w:ascii="David" w:hAnsi="David" w:cs="David"/>
          <w:sz w:val="28"/>
          <w:szCs w:val="28"/>
          <w:rtl/>
        </w:rPr>
        <w:t>לפעול להשל</w:t>
      </w:r>
      <w:r w:rsidR="00AF3F6D">
        <w:rPr>
          <w:rFonts w:ascii="David" w:hAnsi="David" w:cs="David" w:hint="cs"/>
          <w:sz w:val="28"/>
          <w:szCs w:val="28"/>
          <w:rtl/>
        </w:rPr>
        <w:t xml:space="preserve">מת </w:t>
      </w:r>
      <w:r w:rsidRPr="007C7161">
        <w:rPr>
          <w:rFonts w:ascii="David" w:hAnsi="David" w:cs="David"/>
          <w:sz w:val="28"/>
          <w:szCs w:val="28"/>
          <w:rtl/>
        </w:rPr>
        <w:t>הראיות הנדרשות גם במסגרת סעיף 74 הנ"ל (</w:t>
      </w:r>
      <w:r w:rsidR="00AF3F6D">
        <w:rPr>
          <w:rFonts w:ascii="David" w:hAnsi="David" w:cs="David" w:hint="cs"/>
          <w:sz w:val="28"/>
          <w:szCs w:val="28"/>
          <w:rtl/>
        </w:rPr>
        <w:t xml:space="preserve">ראו: עניין </w:t>
      </w:r>
      <w:r w:rsidR="00AF3F6D" w:rsidRPr="00AF3F6D">
        <w:rPr>
          <w:rFonts w:ascii="David" w:hAnsi="David" w:cs="David" w:hint="cs"/>
          <w:b/>
          <w:bCs/>
          <w:sz w:val="28"/>
          <w:szCs w:val="28"/>
          <w:rtl/>
        </w:rPr>
        <w:t>אימאם</w:t>
      </w:r>
      <w:r w:rsidR="00AF3F6D">
        <w:rPr>
          <w:rFonts w:ascii="David" w:hAnsi="David" w:cs="David" w:hint="cs"/>
          <w:sz w:val="28"/>
          <w:szCs w:val="28"/>
          <w:rtl/>
        </w:rPr>
        <w:t xml:space="preserve"> לעיל, פסקה 6). </w:t>
      </w:r>
      <w:r w:rsidRPr="007C7161">
        <w:rPr>
          <w:rFonts w:ascii="David" w:hAnsi="David" w:cs="David"/>
          <w:sz w:val="28"/>
          <w:szCs w:val="28"/>
          <w:rtl/>
        </w:rPr>
        <w:t xml:space="preserve"> </w:t>
      </w:r>
    </w:p>
    <w:p w:rsidR="001E1991" w:rsidRPr="001E1991" w:rsidRDefault="00DD3218" w:rsidP="00D906B6">
      <w:pPr>
        <w:pStyle w:val="ListParagraph"/>
        <w:numPr>
          <w:ilvl w:val="0"/>
          <w:numId w:val="5"/>
        </w:numPr>
        <w:spacing w:after="0" w:line="360" w:lineRule="auto"/>
        <w:ind w:left="0" w:firstLine="0"/>
        <w:jc w:val="both"/>
        <w:rPr>
          <w:rFonts w:ascii="David" w:hAnsi="David" w:cs="David"/>
          <w:sz w:val="28"/>
          <w:szCs w:val="28"/>
          <w:rtl/>
        </w:rPr>
      </w:pPr>
      <w:r>
        <w:rPr>
          <w:rFonts w:ascii="David" w:hAnsi="David" w:cs="David" w:hint="cs"/>
          <w:sz w:val="28"/>
          <w:szCs w:val="28"/>
          <w:rtl/>
        </w:rPr>
        <w:lastRenderedPageBreak/>
        <w:t xml:space="preserve">כמו כן, </w:t>
      </w:r>
      <w:r w:rsidR="001E1991" w:rsidRPr="001E1991">
        <w:rPr>
          <w:rFonts w:ascii="David" w:hAnsi="David" w:cs="David"/>
          <w:sz w:val="28"/>
          <w:szCs w:val="28"/>
          <w:rtl/>
        </w:rPr>
        <w:t>כאשר החומר המבוקש, שאינו נמצא בחזקתם הפיזית של גורמי החקירה, עלול לפגוע בזכויויתיו של צד שלישי יש לערוך איזון בין האינטרסים הנוגעים בעניין ולהתחשב גם בזכויות אלו. בואר, כי:</w:t>
      </w:r>
    </w:p>
    <w:p w:rsidR="001E1991" w:rsidRPr="001E1991" w:rsidRDefault="001E1991" w:rsidP="00DD3218">
      <w:pPr>
        <w:spacing w:line="240" w:lineRule="auto"/>
        <w:ind w:left="1076" w:right="851"/>
        <w:jc w:val="both"/>
        <w:rPr>
          <w:rFonts w:ascii="David" w:hAnsi="David" w:cs="David"/>
          <w:sz w:val="28"/>
          <w:szCs w:val="28"/>
          <w:rtl/>
        </w:rPr>
      </w:pPr>
      <w:r w:rsidRPr="001E1991">
        <w:rPr>
          <w:rFonts w:ascii="David" w:hAnsi="David" w:cs="David"/>
          <w:sz w:val="28"/>
          <w:szCs w:val="28"/>
          <w:rtl/>
        </w:rPr>
        <w:t xml:space="preserve">"ככל שהזיקה בין החומר הנדון לבין השאלות שבמחלוקת במשפט רחוקה יותר, והזיקה בין החומר לפוטנציאל ההגנה של הנאשם קטנה יותר, כך גובר המשקל הניתן לשיקולים אחרים, כגון הפגיעה שעלולה להיגרם לעדים, בהם לקרבנות ולצדדים שלישיים. באיזון זה, זכותו של הנאשם למשפט הוגן אמורה להכריע באיזון חזיתי מול השיקולים הנוגדים" (בש"פ 3099/08 </w:t>
      </w:r>
      <w:r w:rsidRPr="00F838B5">
        <w:rPr>
          <w:rFonts w:ascii="David" w:hAnsi="David" w:cs="David"/>
          <w:b/>
          <w:bCs/>
          <w:sz w:val="28"/>
          <w:szCs w:val="28"/>
          <w:rtl/>
        </w:rPr>
        <w:t>אברהמי נ' מדינת ישראל</w:t>
      </w:r>
      <w:r w:rsidRPr="001E1991">
        <w:rPr>
          <w:rFonts w:ascii="David" w:hAnsi="David" w:cs="David"/>
          <w:sz w:val="28"/>
          <w:szCs w:val="28"/>
          <w:rtl/>
        </w:rPr>
        <w:t xml:space="preserve"> (טרם פורסם, 23.2.2009)).  </w:t>
      </w:r>
    </w:p>
    <w:p w:rsidR="006971CD" w:rsidRDefault="00DD3218" w:rsidP="00D906B6">
      <w:pPr>
        <w:pStyle w:val="ListParagraph"/>
        <w:numPr>
          <w:ilvl w:val="0"/>
          <w:numId w:val="5"/>
        </w:numPr>
        <w:spacing w:after="0" w:line="360" w:lineRule="auto"/>
        <w:ind w:left="0" w:firstLine="0"/>
        <w:jc w:val="both"/>
        <w:rPr>
          <w:rFonts w:ascii="David" w:hAnsi="David" w:cs="David"/>
          <w:sz w:val="28"/>
          <w:szCs w:val="28"/>
        </w:rPr>
      </w:pPr>
      <w:r>
        <w:rPr>
          <w:rFonts w:ascii="David" w:hAnsi="David" w:cs="David" w:hint="cs"/>
          <w:sz w:val="28"/>
          <w:szCs w:val="28"/>
          <w:rtl/>
        </w:rPr>
        <w:t>עולה</w:t>
      </w:r>
      <w:r w:rsidR="00AF3F6D">
        <w:rPr>
          <w:rFonts w:ascii="David" w:hAnsi="David" w:cs="David" w:hint="cs"/>
          <w:sz w:val="28"/>
          <w:szCs w:val="28"/>
          <w:rtl/>
        </w:rPr>
        <w:t xml:space="preserve"> מן המקובץ</w:t>
      </w:r>
      <w:r>
        <w:rPr>
          <w:rFonts w:ascii="David" w:hAnsi="David" w:cs="David" w:hint="cs"/>
          <w:sz w:val="28"/>
          <w:szCs w:val="28"/>
          <w:rtl/>
        </w:rPr>
        <w:t xml:space="preserve">, כי </w:t>
      </w:r>
      <w:r w:rsidR="00AF3F6D">
        <w:rPr>
          <w:rFonts w:ascii="David" w:hAnsi="David" w:cs="David" w:hint="cs"/>
          <w:sz w:val="28"/>
          <w:szCs w:val="28"/>
          <w:rtl/>
        </w:rPr>
        <w:t>קיימת חזקה, שלפיה גורמי החקירה אספו את כלל חומרי החקירה הרלוונטיים לבירור האשמה. עם זאת, במקרים חריגים, מן הראוי יהיה לסטות מן הכלל ו</w:t>
      </w:r>
      <w:r>
        <w:rPr>
          <w:rFonts w:ascii="David" w:hAnsi="David" w:cs="David" w:hint="cs"/>
          <w:sz w:val="28"/>
          <w:szCs w:val="28"/>
          <w:rtl/>
        </w:rPr>
        <w:t>להורות לגורמי החקירה לבצע פעולת חקירה</w:t>
      </w:r>
      <w:r w:rsidR="00AF3F6D">
        <w:rPr>
          <w:rFonts w:ascii="David" w:hAnsi="David" w:cs="David" w:hint="cs"/>
          <w:sz w:val="28"/>
          <w:szCs w:val="28"/>
          <w:rtl/>
        </w:rPr>
        <w:t>,</w:t>
      </w:r>
      <w:r>
        <w:rPr>
          <w:rFonts w:ascii="David" w:hAnsi="David" w:cs="David" w:hint="cs"/>
          <w:sz w:val="28"/>
          <w:szCs w:val="28"/>
          <w:rtl/>
        </w:rPr>
        <w:t xml:space="preserve"> במסגרת הדיון בבקשה לפי סעיף 74 לחוק סדר הדין הפלילי</w:t>
      </w:r>
      <w:r w:rsidR="00AF3F6D">
        <w:rPr>
          <w:rFonts w:ascii="David" w:hAnsi="David" w:cs="David" w:hint="cs"/>
          <w:sz w:val="28"/>
          <w:szCs w:val="28"/>
          <w:rtl/>
        </w:rPr>
        <w:t xml:space="preserve">. מכל מקום, אף במקרים אלו </w:t>
      </w:r>
      <w:r w:rsidR="002504C0">
        <w:rPr>
          <w:rFonts w:ascii="David" w:hAnsi="David" w:cs="David" w:hint="cs"/>
          <w:sz w:val="28"/>
          <w:szCs w:val="28"/>
          <w:rtl/>
        </w:rPr>
        <w:t>יש לה</w:t>
      </w:r>
      <w:r w:rsidR="00AF3F6D">
        <w:rPr>
          <w:rFonts w:ascii="David" w:hAnsi="David" w:cs="David" w:hint="cs"/>
          <w:sz w:val="28"/>
          <w:szCs w:val="28"/>
          <w:rtl/>
        </w:rPr>
        <w:t xml:space="preserve">יעזר </w:t>
      </w:r>
      <w:r w:rsidR="002504C0" w:rsidRPr="002504C0">
        <w:rPr>
          <w:rFonts w:ascii="David" w:hAnsi="David" w:cs="David" w:hint="cs"/>
          <w:sz w:val="28"/>
          <w:szCs w:val="28"/>
          <w:rtl/>
        </w:rPr>
        <w:t>ב</w:t>
      </w:r>
      <w:r w:rsidR="00727740">
        <w:rPr>
          <w:rFonts w:ascii="David" w:hAnsi="David" w:cs="David" w:hint="cs"/>
          <w:b/>
          <w:bCs/>
          <w:sz w:val="28"/>
          <w:szCs w:val="28"/>
          <w:rtl/>
        </w:rPr>
        <w:t>"</w:t>
      </w:r>
      <w:r w:rsidR="002504C0" w:rsidRPr="002504C0">
        <w:rPr>
          <w:rFonts w:ascii="David" w:hAnsi="David" w:cs="David" w:hint="cs"/>
          <w:b/>
          <w:bCs/>
          <w:sz w:val="28"/>
          <w:szCs w:val="28"/>
          <w:rtl/>
        </w:rPr>
        <w:t>מבחן הרלוונטיות</w:t>
      </w:r>
      <w:r w:rsidR="00727740">
        <w:rPr>
          <w:rFonts w:ascii="David" w:hAnsi="David" w:cs="David" w:hint="cs"/>
          <w:b/>
          <w:bCs/>
          <w:sz w:val="28"/>
          <w:szCs w:val="28"/>
          <w:rtl/>
        </w:rPr>
        <w:t>"</w:t>
      </w:r>
      <w:r w:rsidR="00AF3F6D">
        <w:rPr>
          <w:rFonts w:ascii="David" w:hAnsi="David" w:cs="David" w:hint="cs"/>
          <w:sz w:val="28"/>
          <w:szCs w:val="28"/>
          <w:rtl/>
        </w:rPr>
        <w:t>,</w:t>
      </w:r>
      <w:r w:rsidR="002504C0">
        <w:rPr>
          <w:rFonts w:ascii="David" w:hAnsi="David" w:cs="David" w:hint="cs"/>
          <w:sz w:val="28"/>
          <w:szCs w:val="28"/>
          <w:rtl/>
        </w:rPr>
        <w:t xml:space="preserve"> שאומץ בפסיקה</w:t>
      </w:r>
      <w:r w:rsidR="006971CD">
        <w:rPr>
          <w:rFonts w:ascii="David" w:hAnsi="David" w:cs="David" w:hint="cs"/>
          <w:sz w:val="28"/>
          <w:szCs w:val="28"/>
          <w:rtl/>
        </w:rPr>
        <w:t>:</w:t>
      </w:r>
    </w:p>
    <w:p w:rsidR="00805772" w:rsidRDefault="006971CD" w:rsidP="008D755D">
      <w:pPr>
        <w:pStyle w:val="ListParagraph"/>
        <w:spacing w:line="240" w:lineRule="auto"/>
        <w:ind w:left="935" w:right="709"/>
        <w:jc w:val="both"/>
        <w:rPr>
          <w:rFonts w:ascii="David" w:hAnsi="David" w:cs="David"/>
          <w:sz w:val="28"/>
          <w:szCs w:val="28"/>
          <w:rtl/>
        </w:rPr>
      </w:pPr>
      <w:r w:rsidRPr="006971CD">
        <w:rPr>
          <w:rFonts w:ascii="David" w:hAnsi="David" w:cs="David" w:hint="cs"/>
          <w:sz w:val="28"/>
          <w:szCs w:val="28"/>
          <w:rtl/>
        </w:rPr>
        <w:t>"</w:t>
      </w:r>
      <w:r w:rsidRPr="006971CD">
        <w:rPr>
          <w:rFonts w:cs="David" w:hint="cs"/>
          <w:sz w:val="28"/>
          <w:szCs w:val="28"/>
          <w:rtl/>
        </w:rPr>
        <w:t xml:space="preserve">לעיתים, תתפרס זכותו זו של נאשם גם לעבר חומרים, אשר אינם מצויים בתיק החקירה גופו </w:t>
      </w:r>
      <w:r w:rsidRPr="009D4230">
        <w:rPr>
          <w:rFonts w:cs="David" w:hint="cs"/>
          <w:b/>
          <w:bCs/>
          <w:sz w:val="28"/>
          <w:szCs w:val="28"/>
          <w:rtl/>
        </w:rPr>
        <w:t>ובלבד שהאמור בראיות, שהן רלבנטיות להליך המתנהל נגד הנאשם</w:t>
      </w:r>
      <w:r w:rsidRPr="006971CD">
        <w:rPr>
          <w:rFonts w:cs="David" w:hint="cs"/>
          <w:sz w:val="28"/>
          <w:szCs w:val="28"/>
          <w:rtl/>
        </w:rPr>
        <w:t>, ראיות אשר חובה הייתה על התביעה לאספן במסגרת חקירתה, אילו זו נוהלה כראוי. אמנם, ככלל, חזקה היא כי חומר שנאסף על-ידי התביעה ומצוי בתיק החקירה הוא בבחינת חומר חקירה</w:t>
      </w:r>
      <w:r>
        <w:rPr>
          <w:rFonts w:ascii="David" w:hAnsi="David" w:cs="David" w:hint="cs"/>
          <w:sz w:val="28"/>
          <w:szCs w:val="28"/>
          <w:rtl/>
        </w:rPr>
        <w:t xml:space="preserve">... </w:t>
      </w:r>
      <w:r w:rsidR="009D4230" w:rsidRPr="009D4230">
        <w:rPr>
          <w:rFonts w:ascii="David" w:hAnsi="David" w:cs="David"/>
          <w:b/>
          <w:bCs/>
          <w:sz w:val="28"/>
          <w:szCs w:val="28"/>
          <w:rtl/>
        </w:rPr>
        <w:t>השאלה, אם חוֹמר מסוים הוא אכן חומר חקירה, תוכרע באופן פרטני על פי טיבו של החומר ומידת זיקתו לסוגיות הנדונות</w:t>
      </w:r>
      <w:r w:rsidR="009D4230" w:rsidRPr="009D4230">
        <w:rPr>
          <w:rFonts w:ascii="David" w:hAnsi="David" w:cs="David"/>
          <w:sz w:val="28"/>
          <w:szCs w:val="28"/>
          <w:rtl/>
        </w:rPr>
        <w:t xml:space="preserve"> בהליך הפלילי אשר במסגרתו הוא מבוקש</w:t>
      </w:r>
      <w:r w:rsidR="009D4230">
        <w:rPr>
          <w:rFonts w:ascii="David" w:hAnsi="David" w:cs="David" w:hint="cs"/>
          <w:sz w:val="28"/>
          <w:szCs w:val="28"/>
          <w:rtl/>
        </w:rPr>
        <w:t xml:space="preserve">" (הדגשות הוספו, עלב"ש/49/12 </w:t>
      </w:r>
      <w:r w:rsidR="00727740">
        <w:rPr>
          <w:rFonts w:ascii="David" w:hAnsi="David" w:cs="David" w:hint="cs"/>
          <w:b/>
          <w:bCs/>
          <w:sz w:val="28"/>
          <w:szCs w:val="28"/>
          <w:rtl/>
        </w:rPr>
        <w:t xml:space="preserve">טור' </w:t>
      </w:r>
      <w:r w:rsidR="009D4230" w:rsidRPr="009D4230">
        <w:rPr>
          <w:rFonts w:ascii="David" w:hAnsi="David" w:cs="David" w:hint="cs"/>
          <w:b/>
          <w:bCs/>
          <w:sz w:val="28"/>
          <w:szCs w:val="28"/>
          <w:rtl/>
        </w:rPr>
        <w:t>פוזיילוב נ' התובע הצבאי הראשי</w:t>
      </w:r>
      <w:r w:rsidR="009D4230">
        <w:rPr>
          <w:rFonts w:ascii="David" w:hAnsi="David" w:cs="David" w:hint="cs"/>
          <w:sz w:val="28"/>
          <w:szCs w:val="28"/>
          <w:rtl/>
        </w:rPr>
        <w:t xml:space="preserve"> (</w:t>
      </w:r>
      <w:r w:rsidR="00154C04">
        <w:rPr>
          <w:rFonts w:ascii="David" w:hAnsi="David" w:cs="David" w:hint="cs"/>
          <w:sz w:val="28"/>
          <w:szCs w:val="28"/>
          <w:rtl/>
        </w:rPr>
        <w:t>2012)</w:t>
      </w:r>
      <w:r w:rsidR="00DD3218">
        <w:rPr>
          <w:rFonts w:ascii="David" w:hAnsi="David" w:cs="David" w:hint="cs"/>
          <w:sz w:val="28"/>
          <w:szCs w:val="28"/>
          <w:rtl/>
        </w:rPr>
        <w:t>; למקרה שבו נדחתה בקשת ההגנה להורות על פעולות חקירה מטעמים של היעדר רלוונטיות ראו:</w:t>
      </w:r>
      <w:r w:rsidR="00DD3218">
        <w:rPr>
          <w:rFonts w:ascii="David" w:hAnsi="David" w:cs="David" w:hint="cs"/>
          <w:sz w:val="28"/>
          <w:szCs w:val="28"/>
        </w:rPr>
        <w:t xml:space="preserve"> </w:t>
      </w:r>
      <w:r w:rsidR="00DD3218">
        <w:rPr>
          <w:rFonts w:ascii="David" w:hAnsi="David" w:cs="David" w:hint="cs"/>
          <w:sz w:val="28"/>
          <w:szCs w:val="28"/>
          <w:rtl/>
        </w:rPr>
        <w:t xml:space="preserve">עלב"ש/4/19 </w:t>
      </w:r>
      <w:r w:rsidR="00DD3218" w:rsidRPr="00DD3218">
        <w:rPr>
          <w:rFonts w:ascii="David" w:hAnsi="David" w:cs="David" w:hint="cs"/>
          <w:b/>
          <w:bCs/>
          <w:sz w:val="28"/>
          <w:szCs w:val="28"/>
          <w:rtl/>
        </w:rPr>
        <w:t>התובע הצבאי הראשי נ' רב"ט פחימה</w:t>
      </w:r>
      <w:r w:rsidR="00DD3218">
        <w:rPr>
          <w:rFonts w:ascii="David" w:hAnsi="David" w:cs="David" w:hint="cs"/>
          <w:sz w:val="28"/>
          <w:szCs w:val="28"/>
          <w:rtl/>
        </w:rPr>
        <w:t xml:space="preserve"> (2019); ומנגד, למקר</w:t>
      </w:r>
      <w:r w:rsidR="00154C04">
        <w:rPr>
          <w:rFonts w:ascii="David" w:hAnsi="David" w:cs="David" w:hint="cs"/>
          <w:sz w:val="28"/>
          <w:szCs w:val="28"/>
          <w:rtl/>
        </w:rPr>
        <w:t>ים</w:t>
      </w:r>
      <w:r w:rsidR="00DD3218">
        <w:rPr>
          <w:rFonts w:ascii="David" w:hAnsi="David" w:cs="David" w:hint="cs"/>
          <w:sz w:val="28"/>
          <w:szCs w:val="28"/>
          <w:rtl/>
        </w:rPr>
        <w:t xml:space="preserve"> שב</w:t>
      </w:r>
      <w:r w:rsidR="00154C04">
        <w:rPr>
          <w:rFonts w:ascii="David" w:hAnsi="David" w:cs="David" w:hint="cs"/>
          <w:sz w:val="28"/>
          <w:szCs w:val="28"/>
          <w:rtl/>
        </w:rPr>
        <w:t>הם</w:t>
      </w:r>
      <w:r w:rsidR="00DD3218">
        <w:rPr>
          <w:rFonts w:ascii="David" w:hAnsi="David" w:cs="David" w:hint="cs"/>
          <w:sz w:val="28"/>
          <w:szCs w:val="28"/>
          <w:rtl/>
        </w:rPr>
        <w:t xml:space="preserve"> התקבלה בקשה להורות על פעולת חקירה, בהיותה רלוונטית להגנת הנאשם, ראו: </w:t>
      </w:r>
      <w:r w:rsidR="00DD3218" w:rsidRPr="00DD3218">
        <w:rPr>
          <w:rFonts w:ascii="David" w:hAnsi="David" w:cs="David" w:hint="cs"/>
          <w:sz w:val="28"/>
          <w:szCs w:val="28"/>
          <w:rtl/>
        </w:rPr>
        <w:t xml:space="preserve">עלב"ש/12/19 </w:t>
      </w:r>
      <w:r w:rsidR="00727740">
        <w:rPr>
          <w:rFonts w:ascii="David" w:hAnsi="David" w:cs="David" w:hint="cs"/>
          <w:b/>
          <w:bCs/>
          <w:sz w:val="28"/>
          <w:szCs w:val="28"/>
          <w:rtl/>
        </w:rPr>
        <w:t xml:space="preserve">רס"ל </w:t>
      </w:r>
      <w:r w:rsidR="00DD3218" w:rsidRPr="00DD3218">
        <w:rPr>
          <w:rFonts w:ascii="David" w:hAnsi="David" w:cs="David" w:hint="cs"/>
          <w:b/>
          <w:bCs/>
          <w:sz w:val="28"/>
          <w:szCs w:val="28"/>
          <w:rtl/>
        </w:rPr>
        <w:t>רדלי נ' התובע הצבאי הראשי</w:t>
      </w:r>
      <w:r w:rsidR="00DD3218" w:rsidRPr="00DD3218">
        <w:rPr>
          <w:rFonts w:ascii="David" w:hAnsi="David" w:cs="David" w:hint="cs"/>
          <w:sz w:val="28"/>
          <w:szCs w:val="28"/>
          <w:rtl/>
        </w:rPr>
        <w:t xml:space="preserve"> (2019)</w:t>
      </w:r>
      <w:r w:rsidR="00154C04">
        <w:rPr>
          <w:rFonts w:ascii="David" w:hAnsi="David" w:cs="David" w:hint="cs"/>
          <w:sz w:val="28"/>
          <w:szCs w:val="28"/>
          <w:rtl/>
        </w:rPr>
        <w:t>;</w:t>
      </w:r>
      <w:r w:rsidR="00154C04" w:rsidRPr="00154C04">
        <w:rPr>
          <w:rFonts w:ascii="Times New Roman" w:eastAsia="Times New Roman" w:hAnsi="Times New Roman" w:cs="David" w:hint="cs"/>
          <w:sz w:val="24"/>
          <w:szCs w:val="24"/>
          <w:rtl/>
        </w:rPr>
        <w:t xml:space="preserve"> </w:t>
      </w:r>
      <w:r w:rsidR="00154C04" w:rsidRPr="00154C04">
        <w:rPr>
          <w:rFonts w:ascii="David" w:hAnsi="David" w:cs="David" w:hint="cs"/>
          <w:sz w:val="28"/>
          <w:szCs w:val="28"/>
          <w:rtl/>
        </w:rPr>
        <w:t>עלב"ש</w:t>
      </w:r>
      <w:r w:rsidR="00154C04">
        <w:rPr>
          <w:rFonts w:ascii="David" w:hAnsi="David" w:cs="David" w:hint="cs"/>
          <w:sz w:val="28"/>
          <w:szCs w:val="28"/>
          <w:rtl/>
        </w:rPr>
        <w:t>/</w:t>
      </w:r>
      <w:r w:rsidR="00154C04" w:rsidRPr="00154C04">
        <w:rPr>
          <w:rFonts w:ascii="David" w:hAnsi="David" w:cs="David" w:hint="cs"/>
          <w:sz w:val="28"/>
          <w:szCs w:val="28"/>
          <w:rtl/>
        </w:rPr>
        <w:t xml:space="preserve">3/08 </w:t>
      </w:r>
      <w:r w:rsidR="00154C04" w:rsidRPr="00154C04">
        <w:rPr>
          <w:rFonts w:ascii="David" w:hAnsi="David" w:cs="David" w:hint="cs"/>
          <w:b/>
          <w:bCs/>
          <w:sz w:val="28"/>
          <w:szCs w:val="28"/>
          <w:rtl/>
        </w:rPr>
        <w:t>התובע הצבאי הראשי נ' רנ"ג נחמני</w:t>
      </w:r>
      <w:r w:rsidR="00154C04" w:rsidRPr="00154C04">
        <w:rPr>
          <w:rFonts w:ascii="David" w:hAnsi="David" w:cs="David" w:hint="cs"/>
          <w:sz w:val="28"/>
          <w:szCs w:val="28"/>
          <w:rtl/>
        </w:rPr>
        <w:t xml:space="preserve"> (2008)</w:t>
      </w:r>
      <w:r w:rsidR="00B849FB">
        <w:rPr>
          <w:rFonts w:ascii="David" w:hAnsi="David" w:cs="David" w:hint="cs"/>
          <w:sz w:val="28"/>
          <w:szCs w:val="28"/>
          <w:rtl/>
        </w:rPr>
        <w:t>)</w:t>
      </w:r>
      <w:r w:rsidR="009D4230">
        <w:rPr>
          <w:rFonts w:ascii="David" w:hAnsi="David" w:cs="David" w:hint="cs"/>
          <w:sz w:val="28"/>
          <w:szCs w:val="28"/>
          <w:rtl/>
        </w:rPr>
        <w:t xml:space="preserve">. </w:t>
      </w:r>
    </w:p>
    <w:p w:rsidR="00FD0CDA" w:rsidRDefault="00FD0CDA" w:rsidP="00305D92">
      <w:pPr>
        <w:spacing w:line="360" w:lineRule="auto"/>
        <w:jc w:val="both"/>
        <w:rPr>
          <w:rFonts w:ascii="David" w:hAnsi="David" w:cs="David"/>
          <w:b/>
          <w:bCs/>
          <w:sz w:val="28"/>
          <w:szCs w:val="28"/>
        </w:rPr>
      </w:pPr>
    </w:p>
    <w:p w:rsidR="00305D92" w:rsidRDefault="00305D92" w:rsidP="00305D92">
      <w:pPr>
        <w:spacing w:line="360" w:lineRule="auto"/>
        <w:jc w:val="both"/>
        <w:rPr>
          <w:rFonts w:ascii="David" w:hAnsi="David" w:cs="David"/>
          <w:b/>
          <w:bCs/>
          <w:sz w:val="28"/>
          <w:szCs w:val="28"/>
          <w:rtl/>
        </w:rPr>
      </w:pPr>
      <w:r w:rsidRPr="00305D92">
        <w:rPr>
          <w:rFonts w:ascii="David" w:hAnsi="David" w:cs="David" w:hint="cs"/>
          <w:b/>
          <w:bCs/>
          <w:sz w:val="28"/>
          <w:szCs w:val="28"/>
          <w:rtl/>
        </w:rPr>
        <w:t>מן הכלל אל הפרט</w:t>
      </w:r>
    </w:p>
    <w:p w:rsidR="00AF3F6D" w:rsidRDefault="00AF3F6D" w:rsidP="00D906B6">
      <w:pPr>
        <w:pStyle w:val="ListParagraph"/>
        <w:numPr>
          <w:ilvl w:val="0"/>
          <w:numId w:val="5"/>
        </w:numPr>
        <w:spacing w:after="0" w:line="360" w:lineRule="auto"/>
        <w:ind w:left="0" w:firstLine="0"/>
        <w:jc w:val="both"/>
        <w:rPr>
          <w:rFonts w:ascii="David" w:hAnsi="David" w:cs="David" w:hint="cs"/>
          <w:sz w:val="28"/>
          <w:szCs w:val="28"/>
        </w:rPr>
      </w:pPr>
      <w:r>
        <w:rPr>
          <w:rFonts w:ascii="David" w:hAnsi="David" w:cs="David" w:hint="cs"/>
          <w:sz w:val="28"/>
          <w:szCs w:val="28"/>
          <w:rtl/>
        </w:rPr>
        <w:t xml:space="preserve">לאחר בחינת טענות הצדדים ועיון בחומר החקירה הקיים, מקובלת עליי מסקנתו </w:t>
      </w:r>
      <w:r w:rsidRPr="00D019B5">
        <w:rPr>
          <w:rFonts w:ascii="David" w:hAnsi="David" w:cs="David" w:hint="cs"/>
          <w:b/>
          <w:bCs/>
          <w:sz w:val="28"/>
          <w:szCs w:val="28"/>
          <w:rtl/>
        </w:rPr>
        <w:t>הכללית</w:t>
      </w:r>
      <w:r>
        <w:rPr>
          <w:rFonts w:ascii="David" w:hAnsi="David" w:cs="David" w:hint="cs"/>
          <w:sz w:val="28"/>
          <w:szCs w:val="28"/>
          <w:rtl/>
        </w:rPr>
        <w:t xml:space="preserve"> של בית הדין קמא ביחס לבקשת ההגנה לערוך חיפוש בטלפונים הניידים של עדי התביעה </w:t>
      </w:r>
      <w:r>
        <w:rPr>
          <w:rFonts w:ascii="David" w:hAnsi="David" w:cs="David"/>
          <w:sz w:val="28"/>
          <w:szCs w:val="28"/>
          <w:rtl/>
        </w:rPr>
        <w:t>–</w:t>
      </w:r>
      <w:r>
        <w:rPr>
          <w:rFonts w:ascii="David" w:hAnsi="David" w:cs="David" w:hint="cs"/>
          <w:sz w:val="28"/>
          <w:szCs w:val="28"/>
          <w:rtl/>
        </w:rPr>
        <w:t xml:space="preserve"> </w:t>
      </w:r>
    </w:p>
    <w:p w:rsidR="00154C04" w:rsidRDefault="00AF3F6D" w:rsidP="00AF3F6D">
      <w:pPr>
        <w:pStyle w:val="ListParagraph"/>
        <w:spacing w:line="240" w:lineRule="auto"/>
        <w:ind w:left="935" w:right="709"/>
        <w:jc w:val="both"/>
        <w:rPr>
          <w:rFonts w:ascii="David" w:hAnsi="David" w:cs="David"/>
          <w:sz w:val="28"/>
          <w:szCs w:val="28"/>
          <w:rtl/>
        </w:rPr>
      </w:pPr>
      <w:r>
        <w:rPr>
          <w:rFonts w:ascii="David" w:hAnsi="David" w:cs="David" w:hint="cs"/>
          <w:sz w:val="28"/>
          <w:szCs w:val="28"/>
          <w:rtl/>
        </w:rPr>
        <w:t>"</w:t>
      </w:r>
      <w:r w:rsidR="00154C04" w:rsidRPr="00AF3F6D">
        <w:rPr>
          <w:rFonts w:ascii="David" w:hAnsi="David" w:cs="David" w:hint="cs"/>
          <w:sz w:val="28"/>
          <w:szCs w:val="28"/>
          <w:rtl/>
        </w:rPr>
        <w:t xml:space="preserve">העובדה כי ההגנה מניחה כי נפגעות העבירה התכתבו עם מי מעדי התביעה על אודות האירוע באמצעות תכתובות שונות במכשיריהן הסלולאריים ולא כי עשו כן במפגשים פרונטליים או באמצעות שיחות טלפוניות קוליות איננה מתחייבת. כך גם ההנחה כי התכתבו </w:t>
      </w:r>
      <w:r w:rsidR="00154C04" w:rsidRPr="00AF3F6D">
        <w:rPr>
          <w:rFonts w:ascii="David" w:hAnsi="David" w:cs="David" w:hint="cs"/>
          <w:sz w:val="28"/>
          <w:szCs w:val="28"/>
          <w:rtl/>
        </w:rPr>
        <w:lastRenderedPageBreak/>
        <w:t xml:space="preserve">עם עדי התביעה על אודות האירוע. אין אלא לקבוע כי </w:t>
      </w:r>
      <w:r w:rsidR="00154C04" w:rsidRPr="00D019B5">
        <w:rPr>
          <w:rFonts w:ascii="David" w:hAnsi="David" w:cs="David" w:hint="cs"/>
          <w:b/>
          <w:bCs/>
          <w:sz w:val="28"/>
          <w:szCs w:val="28"/>
          <w:rtl/>
        </w:rPr>
        <w:t>המדובר בתקווה ספקולטיבית של ההגנה</w:t>
      </w:r>
      <w:r w:rsidR="00154C04" w:rsidRPr="00AF3F6D">
        <w:rPr>
          <w:rFonts w:ascii="David" w:hAnsi="David" w:cs="David" w:hint="cs"/>
          <w:sz w:val="28"/>
          <w:szCs w:val="28"/>
          <w:rtl/>
        </w:rPr>
        <w:t>, שמא נערכו חילופי תכתובות בין נפגעות העבירה לעדים אחרים וכי בנוסף עניינן של תכתובות אלו - האירוע המתואר בכתב האישום.</w:t>
      </w:r>
      <w:r>
        <w:rPr>
          <w:rFonts w:ascii="David" w:hAnsi="David" w:cs="David" w:hint="cs"/>
          <w:sz w:val="28"/>
          <w:szCs w:val="28"/>
          <w:rtl/>
        </w:rPr>
        <w:t xml:space="preserve"> </w:t>
      </w:r>
      <w:r w:rsidR="00154C04" w:rsidRPr="00AF3F6D">
        <w:rPr>
          <w:rFonts w:ascii="David" w:hAnsi="David" w:cs="David" w:hint="cs"/>
          <w:sz w:val="28"/>
          <w:szCs w:val="28"/>
          <w:rtl/>
        </w:rPr>
        <w:t xml:space="preserve">לטעמי, </w:t>
      </w:r>
      <w:r w:rsidR="00154C04" w:rsidRPr="00C62747">
        <w:rPr>
          <w:rFonts w:ascii="David" w:hAnsi="David" w:cs="David" w:hint="cs"/>
          <w:b/>
          <w:bCs/>
          <w:sz w:val="28"/>
          <w:szCs w:val="28"/>
          <w:rtl/>
        </w:rPr>
        <w:t>לא עלה בידי ההגנה להצביע על אינדיקציה</w:t>
      </w:r>
      <w:r w:rsidR="00154C04" w:rsidRPr="00AF3F6D">
        <w:rPr>
          <w:rFonts w:ascii="David" w:hAnsi="David" w:cs="David" w:hint="cs"/>
          <w:sz w:val="28"/>
          <w:szCs w:val="28"/>
          <w:rtl/>
        </w:rPr>
        <w:t xml:space="preserve"> מספקת כי נפגעות העבירה התכתבו על אודות האירוע, מעבר לאינדיקציות הנוגעות לעדים שתכתובות שלהם כבר נאספו על ידי גורמי החקירה</w:t>
      </w:r>
      <w:r>
        <w:rPr>
          <w:rFonts w:ascii="David" w:hAnsi="David" w:cs="David" w:hint="cs"/>
          <w:sz w:val="28"/>
          <w:szCs w:val="28"/>
          <w:rtl/>
        </w:rPr>
        <w:t>"</w:t>
      </w:r>
      <w:r w:rsidR="00154C04" w:rsidRPr="00AF3F6D">
        <w:rPr>
          <w:rFonts w:ascii="David" w:hAnsi="David" w:cs="David" w:hint="cs"/>
          <w:sz w:val="28"/>
          <w:szCs w:val="28"/>
          <w:rtl/>
        </w:rPr>
        <w:t xml:space="preserve"> (פסקה 13</w:t>
      </w:r>
      <w:r>
        <w:rPr>
          <w:rFonts w:ascii="David" w:hAnsi="David" w:cs="David" w:hint="cs"/>
          <w:sz w:val="28"/>
          <w:szCs w:val="28"/>
          <w:rtl/>
        </w:rPr>
        <w:t xml:space="preserve"> להחלטה</w:t>
      </w:r>
      <w:r w:rsidR="00C62747">
        <w:rPr>
          <w:rFonts w:ascii="David" w:hAnsi="David" w:cs="David" w:hint="cs"/>
          <w:sz w:val="28"/>
          <w:szCs w:val="28"/>
          <w:rtl/>
        </w:rPr>
        <w:t>, הדגשות הוספו</w:t>
      </w:r>
      <w:r w:rsidR="00154C04" w:rsidRPr="00AF3F6D">
        <w:rPr>
          <w:rFonts w:ascii="David" w:hAnsi="David" w:cs="David" w:hint="cs"/>
          <w:sz w:val="28"/>
          <w:szCs w:val="28"/>
          <w:rtl/>
        </w:rPr>
        <w:t>)</w:t>
      </w:r>
      <w:r w:rsidR="0056405B">
        <w:rPr>
          <w:rFonts w:ascii="David" w:hAnsi="David" w:cs="David" w:hint="cs"/>
          <w:sz w:val="28"/>
          <w:szCs w:val="28"/>
          <w:rtl/>
        </w:rPr>
        <w:t>.</w:t>
      </w:r>
    </w:p>
    <w:p w:rsidR="00154C04" w:rsidRPr="000E3B62" w:rsidRDefault="00AF3F6D" w:rsidP="00D906B6">
      <w:pPr>
        <w:pStyle w:val="ListParagraph"/>
        <w:numPr>
          <w:ilvl w:val="0"/>
          <w:numId w:val="5"/>
        </w:numPr>
        <w:spacing w:after="0" w:line="360" w:lineRule="auto"/>
        <w:ind w:left="0" w:firstLine="0"/>
        <w:jc w:val="both"/>
        <w:rPr>
          <w:rFonts w:ascii="David" w:hAnsi="David" w:cs="David"/>
          <w:sz w:val="28"/>
          <w:szCs w:val="28"/>
          <w:rtl/>
        </w:rPr>
      </w:pPr>
      <w:r w:rsidRPr="000E3B62">
        <w:rPr>
          <w:rFonts w:ascii="David" w:hAnsi="David" w:cs="David" w:hint="cs"/>
          <w:sz w:val="28"/>
          <w:szCs w:val="28"/>
          <w:rtl/>
        </w:rPr>
        <w:t xml:space="preserve">בדומה, אף אני התרשמתי כי </w:t>
      </w:r>
      <w:r w:rsidRPr="00C62747">
        <w:rPr>
          <w:rFonts w:ascii="David" w:hAnsi="David" w:cs="David" w:hint="cs"/>
          <w:b/>
          <w:bCs/>
          <w:sz w:val="28"/>
          <w:szCs w:val="28"/>
          <w:rtl/>
        </w:rPr>
        <w:t>אין</w:t>
      </w:r>
      <w:r w:rsidRPr="000E3B62">
        <w:rPr>
          <w:rFonts w:ascii="David" w:hAnsi="David" w:cs="David" w:hint="cs"/>
          <w:sz w:val="28"/>
          <w:szCs w:val="28"/>
          <w:rtl/>
        </w:rPr>
        <w:t xml:space="preserve"> לקבל את טענת ההגנה, כי "</w:t>
      </w:r>
      <w:r w:rsidR="00154C04" w:rsidRPr="00C62747">
        <w:rPr>
          <w:rFonts w:ascii="David" w:hAnsi="David" w:cs="David" w:hint="cs"/>
          <w:b/>
          <w:bCs/>
          <w:sz w:val="28"/>
          <w:szCs w:val="28"/>
          <w:rtl/>
        </w:rPr>
        <w:t>מלאכת איסוף הראיות הייתה סלקטיבית</w:t>
      </w:r>
      <w:r w:rsidRPr="000E3B62">
        <w:rPr>
          <w:rFonts w:ascii="David" w:hAnsi="David" w:cs="David" w:hint="cs"/>
          <w:sz w:val="28"/>
          <w:szCs w:val="28"/>
          <w:rtl/>
        </w:rPr>
        <w:t xml:space="preserve">... </w:t>
      </w:r>
      <w:r w:rsidR="00154C04" w:rsidRPr="000E3B62">
        <w:rPr>
          <w:rFonts w:ascii="David" w:hAnsi="David" w:cs="David" w:hint="cs"/>
          <w:sz w:val="28"/>
          <w:szCs w:val="28"/>
          <w:rtl/>
        </w:rPr>
        <w:t xml:space="preserve">למקרא העדויות ניתן להתרשם כי </w:t>
      </w:r>
      <w:r w:rsidR="00154C04" w:rsidRPr="00C62747">
        <w:rPr>
          <w:rFonts w:ascii="David" w:hAnsi="David" w:cs="David" w:hint="cs"/>
          <w:b/>
          <w:bCs/>
          <w:sz w:val="28"/>
          <w:szCs w:val="28"/>
          <w:rtl/>
        </w:rPr>
        <w:t>כלל עדי התביעה היטיבו להבחין בין יצירת קשר טלפוני ומפגשים פרונטליים לעומת התכתבות ב</w:t>
      </w:r>
      <w:r w:rsidR="000E3B62" w:rsidRPr="00C62747">
        <w:rPr>
          <w:rFonts w:ascii="David" w:hAnsi="David" w:cs="David" w:hint="cs"/>
          <w:b/>
          <w:bCs/>
          <w:sz w:val="28"/>
          <w:szCs w:val="28"/>
          <w:rtl/>
        </w:rPr>
        <w:t>'</w:t>
      </w:r>
      <w:r w:rsidR="00154C04" w:rsidRPr="00C62747">
        <w:rPr>
          <w:rFonts w:ascii="David" w:hAnsi="David" w:cs="David" w:hint="cs"/>
          <w:b/>
          <w:bCs/>
          <w:sz w:val="28"/>
          <w:szCs w:val="28"/>
          <w:rtl/>
        </w:rPr>
        <w:t>ווטסאפ</w:t>
      </w:r>
      <w:r w:rsidR="000E3B62" w:rsidRPr="00C62747">
        <w:rPr>
          <w:rFonts w:ascii="David" w:hAnsi="David" w:cs="David" w:hint="cs"/>
          <w:b/>
          <w:bCs/>
          <w:sz w:val="28"/>
          <w:szCs w:val="28"/>
          <w:rtl/>
        </w:rPr>
        <w:t>'</w:t>
      </w:r>
      <w:r w:rsidR="00154C04" w:rsidRPr="000E3B62">
        <w:rPr>
          <w:rFonts w:ascii="David" w:hAnsi="David" w:cs="David" w:hint="cs"/>
          <w:sz w:val="28"/>
          <w:szCs w:val="28"/>
          <w:rtl/>
        </w:rPr>
        <w:t>. הדברים מקבלים ביטוי בגוף העדויות</w:t>
      </w:r>
      <w:r w:rsidR="000E3B62">
        <w:rPr>
          <w:rFonts w:ascii="David" w:hAnsi="David" w:cs="David" w:hint="cs"/>
          <w:sz w:val="28"/>
          <w:szCs w:val="28"/>
          <w:rtl/>
        </w:rPr>
        <w:t>" (פסקה 14 להחלטה</w:t>
      </w:r>
      <w:r w:rsidR="00C62747">
        <w:rPr>
          <w:rFonts w:ascii="David" w:hAnsi="David" w:cs="David" w:hint="cs"/>
          <w:sz w:val="28"/>
          <w:szCs w:val="28"/>
          <w:rtl/>
        </w:rPr>
        <w:t>, הדגשות הוספו</w:t>
      </w:r>
      <w:r w:rsidR="000E3B62">
        <w:rPr>
          <w:rFonts w:ascii="David" w:hAnsi="David" w:cs="David" w:hint="cs"/>
          <w:sz w:val="28"/>
          <w:szCs w:val="28"/>
          <w:rtl/>
        </w:rPr>
        <w:t>)</w:t>
      </w:r>
      <w:r w:rsidR="00154C04" w:rsidRPr="000E3B62">
        <w:rPr>
          <w:rFonts w:ascii="David" w:hAnsi="David" w:cs="David" w:hint="cs"/>
          <w:sz w:val="28"/>
          <w:szCs w:val="28"/>
          <w:rtl/>
        </w:rPr>
        <w:t xml:space="preserve">. </w:t>
      </w:r>
    </w:p>
    <w:p w:rsidR="000E3B62" w:rsidRDefault="00104C68" w:rsidP="00D906B6">
      <w:pPr>
        <w:pStyle w:val="ListParagraph"/>
        <w:numPr>
          <w:ilvl w:val="0"/>
          <w:numId w:val="5"/>
        </w:numPr>
        <w:spacing w:after="0" w:line="360" w:lineRule="auto"/>
        <w:ind w:left="0" w:firstLine="0"/>
        <w:jc w:val="both"/>
        <w:rPr>
          <w:rFonts w:ascii="David" w:hAnsi="David" w:cs="David"/>
          <w:sz w:val="28"/>
          <w:szCs w:val="28"/>
        </w:rPr>
      </w:pPr>
      <w:r>
        <w:rPr>
          <w:rFonts w:ascii="David" w:hAnsi="David" w:cs="David" w:hint="cs"/>
          <w:sz w:val="28"/>
          <w:szCs w:val="28"/>
          <w:rtl/>
        </w:rPr>
        <w:t>במסגרת האמור</w:t>
      </w:r>
      <w:r w:rsidR="000E3B62" w:rsidRPr="00BB4EEC">
        <w:rPr>
          <w:rFonts w:ascii="David" w:hAnsi="David" w:cs="David" w:hint="cs"/>
          <w:sz w:val="28"/>
          <w:szCs w:val="28"/>
          <w:rtl/>
        </w:rPr>
        <w:t xml:space="preserve">, לא סברתי כי היה מקום לנקוט </w:t>
      </w:r>
      <w:r w:rsidR="00C62747">
        <w:rPr>
          <w:rFonts w:ascii="David" w:hAnsi="David" w:cs="David" w:hint="cs"/>
          <w:sz w:val="28"/>
          <w:szCs w:val="28"/>
          <w:rtl/>
        </w:rPr>
        <w:t xml:space="preserve">יחס </w:t>
      </w:r>
      <w:r w:rsidR="000E3B62" w:rsidRPr="00BB4EEC">
        <w:rPr>
          <w:rFonts w:ascii="David" w:hAnsi="David" w:cs="David" w:hint="cs"/>
          <w:sz w:val="28"/>
          <w:szCs w:val="28"/>
          <w:rtl/>
        </w:rPr>
        <w:t>שונה ב</w:t>
      </w:r>
      <w:r w:rsidR="00C62747">
        <w:rPr>
          <w:rFonts w:ascii="David" w:hAnsi="David" w:cs="David" w:hint="cs"/>
          <w:sz w:val="28"/>
          <w:szCs w:val="28"/>
          <w:rtl/>
        </w:rPr>
        <w:t xml:space="preserve">נוגע </w:t>
      </w:r>
      <w:r w:rsidR="000E3B62" w:rsidRPr="00BB4EEC">
        <w:rPr>
          <w:rFonts w:ascii="David" w:hAnsi="David" w:cs="David" w:hint="cs"/>
          <w:sz w:val="28"/>
          <w:szCs w:val="28"/>
          <w:rtl/>
        </w:rPr>
        <w:t>לעדת תביעה מס' 9. מקריאת חומר החקירה שנאסף ו</w:t>
      </w:r>
      <w:r w:rsidR="00C62747">
        <w:rPr>
          <w:rFonts w:ascii="David" w:hAnsi="David" w:cs="David" w:hint="cs"/>
          <w:sz w:val="28"/>
          <w:szCs w:val="28"/>
          <w:rtl/>
        </w:rPr>
        <w:t>מ</w:t>
      </w:r>
      <w:r w:rsidR="000E3B62" w:rsidRPr="00BB4EEC">
        <w:rPr>
          <w:rFonts w:ascii="David" w:hAnsi="David" w:cs="David" w:hint="cs"/>
          <w:sz w:val="28"/>
          <w:szCs w:val="28"/>
          <w:rtl/>
        </w:rPr>
        <w:t xml:space="preserve">עיון מדוקדק באמרתה, עולה כי בדין סבורה התביעה, שאף עדה זו </w:t>
      </w:r>
      <w:r w:rsidR="000E3B62" w:rsidRPr="00C62747">
        <w:rPr>
          <w:rFonts w:ascii="David" w:hAnsi="David" w:cs="David" w:hint="cs"/>
          <w:b/>
          <w:bCs/>
          <w:sz w:val="28"/>
          <w:szCs w:val="28"/>
          <w:rtl/>
        </w:rPr>
        <w:t>הבחינה היטב</w:t>
      </w:r>
      <w:r w:rsidR="000E3B62" w:rsidRPr="00BB4EEC">
        <w:rPr>
          <w:rFonts w:ascii="David" w:hAnsi="David" w:cs="David" w:hint="cs"/>
          <w:sz w:val="28"/>
          <w:szCs w:val="28"/>
          <w:rtl/>
        </w:rPr>
        <w:t xml:space="preserve"> בין שיחות </w:t>
      </w:r>
      <w:r w:rsidR="00C62747">
        <w:rPr>
          <w:rFonts w:ascii="David" w:hAnsi="David" w:cs="David" w:hint="cs"/>
          <w:sz w:val="28"/>
          <w:szCs w:val="28"/>
          <w:rtl/>
        </w:rPr>
        <w:t xml:space="preserve">שקיימה עם המתלוננת על האירוע המדובר, </w:t>
      </w:r>
      <w:r w:rsidR="000E3B62" w:rsidRPr="00BB4EEC">
        <w:rPr>
          <w:rFonts w:ascii="David" w:hAnsi="David" w:cs="David" w:hint="cs"/>
          <w:sz w:val="28"/>
          <w:szCs w:val="28"/>
          <w:rtl/>
        </w:rPr>
        <w:t>באמצעות יישומון ה"ווטסאפ", לבין שיחות נוספות שקיימה ע</w:t>
      </w:r>
      <w:r w:rsidR="00C62747">
        <w:rPr>
          <w:rFonts w:ascii="David" w:hAnsi="David" w:cs="David" w:hint="cs"/>
          <w:sz w:val="28"/>
          <w:szCs w:val="28"/>
          <w:rtl/>
        </w:rPr>
        <w:t xml:space="preserve">מה בנושא זה, אשר נערכו </w:t>
      </w:r>
      <w:r w:rsidR="000E3B62" w:rsidRPr="00BB4EEC">
        <w:rPr>
          <w:rFonts w:ascii="David" w:hAnsi="David" w:cs="David" w:hint="cs"/>
          <w:sz w:val="28"/>
          <w:szCs w:val="28"/>
          <w:rtl/>
        </w:rPr>
        <w:t>בעל פה, בטלפון או באופן פרונט</w:t>
      </w:r>
      <w:r w:rsidR="00C62747">
        <w:rPr>
          <w:rFonts w:ascii="David" w:hAnsi="David" w:cs="David" w:hint="cs"/>
          <w:sz w:val="28"/>
          <w:szCs w:val="28"/>
          <w:rtl/>
        </w:rPr>
        <w:t>א</w:t>
      </w:r>
      <w:r w:rsidR="000E3B62" w:rsidRPr="00BB4EEC">
        <w:rPr>
          <w:rFonts w:ascii="David" w:hAnsi="David" w:cs="David" w:hint="cs"/>
          <w:sz w:val="28"/>
          <w:szCs w:val="28"/>
          <w:rtl/>
        </w:rPr>
        <w:t xml:space="preserve">לי. ניכר, כי העדה הקפידה להציג את התיעוד לשיחות באמצעות ה"ווטסאפ", הקיים בטלפון הנייד שברשותה וידעה לתאר, בזהירות, אימתי </w:t>
      </w:r>
      <w:r w:rsidR="00C62747">
        <w:rPr>
          <w:rFonts w:ascii="David" w:hAnsi="David" w:cs="David" w:hint="cs"/>
          <w:sz w:val="28"/>
          <w:szCs w:val="28"/>
          <w:rtl/>
        </w:rPr>
        <w:t xml:space="preserve">בוצעו </w:t>
      </w:r>
      <w:r w:rsidR="000E3B62" w:rsidRPr="00BB4EEC">
        <w:rPr>
          <w:rFonts w:ascii="David" w:hAnsi="David" w:cs="David" w:hint="cs"/>
          <w:sz w:val="28"/>
          <w:szCs w:val="28"/>
          <w:rtl/>
        </w:rPr>
        <w:t>השיחות בעל פה, באופן שלא קיים להן תיעוד</w:t>
      </w:r>
      <w:r w:rsidR="009A4EBE">
        <w:rPr>
          <w:rFonts w:ascii="David" w:hAnsi="David" w:cs="David" w:hint="cs"/>
          <w:sz w:val="28"/>
          <w:szCs w:val="28"/>
          <w:rtl/>
        </w:rPr>
        <w:t>, וציינה כי מטעם זה</w:t>
      </w:r>
      <w:r>
        <w:rPr>
          <w:rFonts w:ascii="David" w:hAnsi="David" w:cs="David" w:hint="cs"/>
          <w:sz w:val="28"/>
          <w:szCs w:val="28"/>
          <w:rtl/>
        </w:rPr>
        <w:t xml:space="preserve"> </w:t>
      </w:r>
      <w:r w:rsidR="000E3B62" w:rsidRPr="00BB4EEC">
        <w:rPr>
          <w:rFonts w:ascii="David" w:hAnsi="David" w:cs="David" w:hint="cs"/>
          <w:sz w:val="28"/>
          <w:szCs w:val="28"/>
          <w:rtl/>
        </w:rPr>
        <w:t>זיכרונה בהקשר זה אינו מדויק</w:t>
      </w:r>
      <w:r w:rsidR="00C62747">
        <w:rPr>
          <w:rFonts w:ascii="David" w:hAnsi="David" w:cs="David" w:hint="cs"/>
          <w:sz w:val="28"/>
          <w:szCs w:val="28"/>
          <w:rtl/>
        </w:rPr>
        <w:t>, ואימתי נערכו באמצעות יישומון ה"ווטסאפ", באופן שנשמר להן תיעוד</w:t>
      </w:r>
      <w:r w:rsidR="000E3B62" w:rsidRPr="00BB4EEC">
        <w:rPr>
          <w:rFonts w:ascii="David" w:hAnsi="David" w:cs="David" w:hint="cs"/>
          <w:sz w:val="28"/>
          <w:szCs w:val="28"/>
          <w:rtl/>
        </w:rPr>
        <w:t xml:space="preserve">. </w:t>
      </w:r>
      <w:r w:rsidR="00BB4EEC" w:rsidRPr="00BB4EEC">
        <w:rPr>
          <w:rFonts w:ascii="David" w:hAnsi="David" w:cs="David" w:hint="cs"/>
          <w:sz w:val="28"/>
          <w:szCs w:val="28"/>
          <w:rtl/>
        </w:rPr>
        <w:t xml:space="preserve">לאורך אמרתה, סקרה העדה בהרחבה את </w:t>
      </w:r>
      <w:r>
        <w:rPr>
          <w:rFonts w:ascii="David" w:hAnsi="David" w:cs="David" w:hint="cs"/>
          <w:sz w:val="28"/>
          <w:szCs w:val="28"/>
          <w:rtl/>
        </w:rPr>
        <w:t>השיחות</w:t>
      </w:r>
      <w:r w:rsidRPr="00BB4EEC">
        <w:rPr>
          <w:rFonts w:ascii="David" w:hAnsi="David" w:cs="David" w:hint="cs"/>
          <w:sz w:val="28"/>
          <w:szCs w:val="28"/>
          <w:rtl/>
        </w:rPr>
        <w:t xml:space="preserve"> </w:t>
      </w:r>
      <w:r w:rsidR="00BB4EEC" w:rsidRPr="00BB4EEC">
        <w:rPr>
          <w:rFonts w:ascii="David" w:hAnsi="David" w:cs="David" w:hint="cs"/>
          <w:sz w:val="28"/>
          <w:szCs w:val="28"/>
          <w:rtl/>
        </w:rPr>
        <w:t xml:space="preserve">שקיימה עם המתלוננת לאחר האירוע, והשכילה להבחין </w:t>
      </w:r>
      <w:r w:rsidR="00C62747">
        <w:rPr>
          <w:rFonts w:ascii="David" w:hAnsi="David" w:cs="David" w:hint="cs"/>
          <w:sz w:val="28"/>
          <w:szCs w:val="28"/>
          <w:rtl/>
        </w:rPr>
        <w:t xml:space="preserve">בין </w:t>
      </w:r>
      <w:r w:rsidR="00BB4EEC" w:rsidRPr="00BB4EEC">
        <w:rPr>
          <w:rFonts w:ascii="David" w:hAnsi="David" w:cs="David" w:hint="cs"/>
          <w:sz w:val="28"/>
          <w:szCs w:val="28"/>
          <w:rtl/>
        </w:rPr>
        <w:t>שיחות פרונטאליות, בפגישותיה עם המתלוננת, בין שיחות טלפוניות, ו</w:t>
      </w:r>
      <w:r w:rsidR="00C62747">
        <w:rPr>
          <w:rFonts w:ascii="David" w:hAnsi="David" w:cs="David" w:hint="cs"/>
          <w:sz w:val="28"/>
          <w:szCs w:val="28"/>
          <w:rtl/>
        </w:rPr>
        <w:t xml:space="preserve">בין </w:t>
      </w:r>
      <w:r w:rsidR="00BB4EEC" w:rsidRPr="00BB4EEC">
        <w:rPr>
          <w:rFonts w:ascii="David" w:hAnsi="David" w:cs="David" w:hint="cs"/>
          <w:sz w:val="28"/>
          <w:szCs w:val="28"/>
          <w:rtl/>
        </w:rPr>
        <w:t xml:space="preserve">התכתבויות ב"ווטסאפ", כפי שנהגה אף ביחס לשיחות שקיימה עם עדים אחרים. </w:t>
      </w:r>
    </w:p>
    <w:p w:rsidR="00154C04" w:rsidRPr="00154C04" w:rsidRDefault="000E3B62" w:rsidP="00D906B6">
      <w:pPr>
        <w:pStyle w:val="ListParagraph"/>
        <w:numPr>
          <w:ilvl w:val="0"/>
          <w:numId w:val="5"/>
        </w:numPr>
        <w:spacing w:after="0" w:line="360" w:lineRule="auto"/>
        <w:ind w:left="0" w:firstLine="0"/>
        <w:jc w:val="both"/>
        <w:rPr>
          <w:rFonts w:ascii="David" w:hAnsi="David" w:cs="David"/>
          <w:sz w:val="28"/>
          <w:szCs w:val="28"/>
          <w:rtl/>
        </w:rPr>
      </w:pPr>
      <w:r>
        <w:rPr>
          <w:rFonts w:ascii="David" w:hAnsi="David" w:cs="David" w:hint="cs"/>
          <w:sz w:val="28"/>
          <w:szCs w:val="28"/>
          <w:rtl/>
        </w:rPr>
        <w:t>ההבחנה הברורה שערכה העדה מלמדת, כי לא היה מקום לסטות בעניי</w:t>
      </w:r>
      <w:r w:rsidR="00C62747">
        <w:rPr>
          <w:rFonts w:ascii="David" w:hAnsi="David" w:cs="David" w:hint="cs"/>
          <w:sz w:val="28"/>
          <w:szCs w:val="28"/>
          <w:rtl/>
        </w:rPr>
        <w:t>נה</w:t>
      </w:r>
      <w:r>
        <w:rPr>
          <w:rFonts w:ascii="David" w:hAnsi="David" w:cs="David" w:hint="cs"/>
          <w:sz w:val="28"/>
          <w:szCs w:val="28"/>
          <w:rtl/>
        </w:rPr>
        <w:t xml:space="preserve"> מן הקביעות הכלליות של בית הדין קמא, שלפיהן, לא נמצא כי גורמי האכיפה נהגו באופן סלקטיבי</w:t>
      </w:r>
      <w:r w:rsidR="00104C68">
        <w:rPr>
          <w:rFonts w:ascii="David" w:hAnsi="David" w:cs="David" w:hint="cs"/>
          <w:sz w:val="28"/>
          <w:szCs w:val="28"/>
          <w:rtl/>
        </w:rPr>
        <w:t xml:space="preserve"> או פאסיבי</w:t>
      </w:r>
      <w:r>
        <w:rPr>
          <w:rFonts w:ascii="David" w:hAnsi="David" w:cs="David" w:hint="cs"/>
          <w:sz w:val="28"/>
          <w:szCs w:val="28"/>
          <w:rtl/>
        </w:rPr>
        <w:t xml:space="preserve">, אלא, פעלו להחרים </w:t>
      </w:r>
      <w:r w:rsidRPr="00C62747">
        <w:rPr>
          <w:rFonts w:ascii="David" w:hAnsi="David" w:cs="David" w:hint="cs"/>
          <w:b/>
          <w:bCs/>
          <w:sz w:val="28"/>
          <w:szCs w:val="28"/>
          <w:rtl/>
        </w:rPr>
        <w:t>כל</w:t>
      </w:r>
      <w:r>
        <w:rPr>
          <w:rFonts w:ascii="David" w:hAnsi="David" w:cs="David" w:hint="cs"/>
          <w:sz w:val="28"/>
          <w:szCs w:val="28"/>
          <w:rtl/>
        </w:rPr>
        <w:t xml:space="preserve"> תיעוד קיים של שיחה בנוגע </w:t>
      </w:r>
      <w:r>
        <w:rPr>
          <w:rFonts w:ascii="David" w:hAnsi="David" w:cs="David" w:hint="cs"/>
          <w:sz w:val="28"/>
          <w:szCs w:val="28"/>
          <w:rtl/>
        </w:rPr>
        <w:lastRenderedPageBreak/>
        <w:t>לאירוע המדובר</w:t>
      </w:r>
      <w:r w:rsidR="00104C68">
        <w:rPr>
          <w:rFonts w:ascii="David" w:hAnsi="David" w:cs="David" w:hint="cs"/>
          <w:sz w:val="28"/>
          <w:szCs w:val="28"/>
          <w:rtl/>
        </w:rPr>
        <w:t>. משכך</w:t>
      </w:r>
      <w:r>
        <w:rPr>
          <w:rFonts w:ascii="David" w:hAnsi="David" w:cs="David" w:hint="cs"/>
          <w:sz w:val="28"/>
          <w:szCs w:val="28"/>
          <w:rtl/>
        </w:rPr>
        <w:t xml:space="preserve">, </w:t>
      </w:r>
      <w:r w:rsidRPr="00C62747">
        <w:rPr>
          <w:rFonts w:ascii="David" w:hAnsi="David" w:cs="David" w:hint="cs"/>
          <w:b/>
          <w:bCs/>
          <w:sz w:val="28"/>
          <w:szCs w:val="28"/>
          <w:rtl/>
        </w:rPr>
        <w:t>לטענות ההגנה ב</w:t>
      </w:r>
      <w:r w:rsidR="00C62747" w:rsidRPr="00C62747">
        <w:rPr>
          <w:rFonts w:ascii="David" w:hAnsi="David" w:cs="David" w:hint="cs"/>
          <w:b/>
          <w:bCs/>
          <w:sz w:val="28"/>
          <w:szCs w:val="28"/>
          <w:rtl/>
        </w:rPr>
        <w:t>הקשר זה</w:t>
      </w:r>
      <w:r w:rsidRPr="00C62747">
        <w:rPr>
          <w:rFonts w:ascii="David" w:hAnsi="David" w:cs="David" w:hint="cs"/>
          <w:b/>
          <w:bCs/>
          <w:sz w:val="28"/>
          <w:szCs w:val="28"/>
          <w:rtl/>
        </w:rPr>
        <w:t xml:space="preserve"> לא נמצאה כל אחיזה בחומר הראיות הקיים</w:t>
      </w:r>
      <w:r>
        <w:rPr>
          <w:rFonts w:ascii="David" w:hAnsi="David" w:cs="David" w:hint="cs"/>
          <w:sz w:val="28"/>
          <w:szCs w:val="28"/>
          <w:rtl/>
        </w:rPr>
        <w:t xml:space="preserve">. ההגנה לא הציגה כל מידע קונקרטי, התומך בטענותיה בדבר קיומן של שיחות כתובות נוספות, מעבר לאלה המצויות בחומר החקירה הקיים, </w:t>
      </w:r>
      <w:r w:rsidR="00B27AA4">
        <w:rPr>
          <w:rFonts w:ascii="David" w:hAnsi="David" w:cs="David" w:hint="cs"/>
          <w:sz w:val="28"/>
          <w:szCs w:val="28"/>
          <w:rtl/>
        </w:rPr>
        <w:t xml:space="preserve">גם ביחס לעדת תביעה מס' 9, </w:t>
      </w:r>
      <w:r>
        <w:rPr>
          <w:rFonts w:ascii="David" w:hAnsi="David" w:cs="David" w:hint="cs"/>
          <w:sz w:val="28"/>
          <w:szCs w:val="28"/>
          <w:rtl/>
        </w:rPr>
        <w:t xml:space="preserve">ובקשתה בעניין </w:t>
      </w:r>
      <w:r w:rsidR="00C62747">
        <w:rPr>
          <w:rFonts w:ascii="David" w:hAnsi="David" w:cs="David" w:hint="cs"/>
          <w:sz w:val="28"/>
          <w:szCs w:val="28"/>
          <w:rtl/>
        </w:rPr>
        <w:t xml:space="preserve">זה </w:t>
      </w:r>
      <w:r>
        <w:rPr>
          <w:rFonts w:ascii="David" w:hAnsi="David" w:cs="David" w:hint="cs"/>
          <w:sz w:val="28"/>
          <w:szCs w:val="28"/>
          <w:rtl/>
        </w:rPr>
        <w:t xml:space="preserve">אינה, אלא, "מסע דיג", </w:t>
      </w:r>
      <w:r w:rsidR="00C62747">
        <w:rPr>
          <w:rFonts w:ascii="David" w:hAnsi="David" w:cs="David" w:hint="cs"/>
          <w:sz w:val="28"/>
          <w:szCs w:val="28"/>
          <w:rtl/>
        </w:rPr>
        <w:t xml:space="preserve">השערה </w:t>
      </w:r>
      <w:r>
        <w:rPr>
          <w:rFonts w:ascii="David" w:hAnsi="David" w:cs="David" w:hint="cs"/>
          <w:sz w:val="28"/>
          <w:szCs w:val="28"/>
          <w:rtl/>
        </w:rPr>
        <w:t>בעלמא, שאינ</w:t>
      </w:r>
      <w:r w:rsidR="00C62747">
        <w:rPr>
          <w:rFonts w:ascii="David" w:hAnsi="David" w:cs="David" w:hint="cs"/>
          <w:sz w:val="28"/>
          <w:szCs w:val="28"/>
          <w:rtl/>
        </w:rPr>
        <w:t>ה</w:t>
      </w:r>
      <w:r>
        <w:rPr>
          <w:rFonts w:ascii="David" w:hAnsi="David" w:cs="David" w:hint="cs"/>
          <w:sz w:val="28"/>
          <w:szCs w:val="28"/>
          <w:rtl/>
        </w:rPr>
        <w:t xml:space="preserve"> מצדיק</w:t>
      </w:r>
      <w:r w:rsidR="00C62747">
        <w:rPr>
          <w:rFonts w:ascii="David" w:hAnsi="David" w:cs="David" w:hint="cs"/>
          <w:sz w:val="28"/>
          <w:szCs w:val="28"/>
          <w:rtl/>
        </w:rPr>
        <w:t>ה</w:t>
      </w:r>
      <w:r>
        <w:rPr>
          <w:rFonts w:ascii="David" w:hAnsi="David" w:cs="David" w:hint="cs"/>
          <w:sz w:val="28"/>
          <w:szCs w:val="28"/>
          <w:rtl/>
        </w:rPr>
        <w:t xml:space="preserve"> להורות על השלמת חקירה כמבוקש, במסגרת הדיון בבקשה לפי סעיף 74 לחוק סדר הדין הפלילי. </w:t>
      </w:r>
    </w:p>
    <w:p w:rsidR="00E27918" w:rsidRDefault="00BB4EEC" w:rsidP="00D906B6">
      <w:pPr>
        <w:pStyle w:val="ListParagraph"/>
        <w:numPr>
          <w:ilvl w:val="0"/>
          <w:numId w:val="5"/>
        </w:numPr>
        <w:spacing w:after="0" w:line="360" w:lineRule="auto"/>
        <w:ind w:left="0" w:firstLine="0"/>
        <w:jc w:val="both"/>
        <w:rPr>
          <w:rFonts w:ascii="David" w:hAnsi="David" w:cs="David"/>
          <w:sz w:val="28"/>
          <w:szCs w:val="28"/>
          <w:rtl/>
        </w:rPr>
      </w:pPr>
      <w:r w:rsidRPr="00BB4EEC">
        <w:rPr>
          <w:rFonts w:ascii="David" w:hAnsi="David" w:cs="David" w:hint="cs"/>
          <w:sz w:val="28"/>
          <w:szCs w:val="28"/>
          <w:rtl/>
        </w:rPr>
        <w:t xml:space="preserve">סוף דבר, יש לקבל את </w:t>
      </w:r>
      <w:r w:rsidR="009E0697" w:rsidRPr="00BB4EEC">
        <w:rPr>
          <w:rFonts w:ascii="David" w:hAnsi="David" w:cs="David" w:hint="cs"/>
          <w:sz w:val="28"/>
          <w:szCs w:val="28"/>
          <w:rtl/>
        </w:rPr>
        <w:t xml:space="preserve">ערעור </w:t>
      </w:r>
      <w:r w:rsidRPr="00BB4EEC">
        <w:rPr>
          <w:rFonts w:ascii="David" w:hAnsi="David" w:cs="David" w:hint="cs"/>
          <w:sz w:val="28"/>
          <w:szCs w:val="28"/>
          <w:rtl/>
        </w:rPr>
        <w:t xml:space="preserve">התביעה ואין לבצע את פעולת החקירה, שעליה הורה בית הדין קמא הנכבד. </w:t>
      </w:r>
    </w:p>
    <w:p w:rsidR="00E27918" w:rsidRDefault="00E27918" w:rsidP="006971CD">
      <w:pPr>
        <w:pStyle w:val="ListParagraph"/>
        <w:spacing w:line="360" w:lineRule="auto"/>
        <w:ind w:left="360"/>
        <w:jc w:val="both"/>
        <w:rPr>
          <w:rFonts w:ascii="David" w:hAnsi="David" w:cs="David"/>
          <w:sz w:val="28"/>
          <w:szCs w:val="28"/>
          <w:rtl/>
        </w:rPr>
      </w:pPr>
    </w:p>
    <w:p w:rsidR="00C62747" w:rsidRPr="00C62747" w:rsidRDefault="00A35787" w:rsidP="00D906B6">
      <w:pPr>
        <w:pStyle w:val="ListParagraph"/>
        <w:spacing w:after="0" w:line="360" w:lineRule="auto"/>
        <w:ind w:left="0"/>
        <w:jc w:val="both"/>
        <w:rPr>
          <w:rFonts w:ascii="David" w:hAnsi="David" w:cs="David"/>
          <w:sz w:val="28"/>
          <w:szCs w:val="28"/>
          <w:rtl/>
        </w:rPr>
      </w:pPr>
      <w:r>
        <w:rPr>
          <w:rFonts w:ascii="David" w:hAnsi="David" w:cs="David" w:hint="cs"/>
          <w:sz w:val="28"/>
          <w:szCs w:val="28"/>
          <w:rtl/>
        </w:rPr>
        <w:t>ניתנה</w:t>
      </w:r>
      <w:r w:rsidR="00C62747" w:rsidRPr="00C62747">
        <w:rPr>
          <w:rFonts w:ascii="David" w:hAnsi="David" w:cs="David" w:hint="cs"/>
          <w:sz w:val="28"/>
          <w:szCs w:val="28"/>
          <w:rtl/>
        </w:rPr>
        <w:t xml:space="preserve"> והודע</w:t>
      </w:r>
      <w:r>
        <w:rPr>
          <w:rFonts w:ascii="David" w:hAnsi="David" w:cs="David" w:hint="cs"/>
          <w:sz w:val="28"/>
          <w:szCs w:val="28"/>
          <w:rtl/>
        </w:rPr>
        <w:t>ה</w:t>
      </w:r>
      <w:r w:rsidR="00C62747" w:rsidRPr="00C62747">
        <w:rPr>
          <w:rFonts w:ascii="David" w:hAnsi="David" w:cs="David" w:hint="cs"/>
          <w:sz w:val="28"/>
          <w:szCs w:val="28"/>
          <w:rtl/>
        </w:rPr>
        <w:t xml:space="preserve"> היום, </w:t>
      </w:r>
      <w:r w:rsidR="00C62747">
        <w:rPr>
          <w:rFonts w:ascii="David" w:hAnsi="David" w:cs="David" w:hint="cs"/>
          <w:sz w:val="28"/>
          <w:szCs w:val="28"/>
          <w:rtl/>
        </w:rPr>
        <w:t>י"ב</w:t>
      </w:r>
      <w:r w:rsidR="00C62747" w:rsidRPr="00C62747">
        <w:rPr>
          <w:rFonts w:ascii="David" w:hAnsi="David" w:cs="David" w:hint="cs"/>
          <w:sz w:val="28"/>
          <w:szCs w:val="28"/>
          <w:rtl/>
        </w:rPr>
        <w:t xml:space="preserve"> בטבת התשפ"א, 2</w:t>
      </w:r>
      <w:r w:rsidR="00C62747">
        <w:rPr>
          <w:rFonts w:ascii="David" w:hAnsi="David" w:cs="David" w:hint="cs"/>
          <w:sz w:val="28"/>
          <w:szCs w:val="28"/>
          <w:rtl/>
        </w:rPr>
        <w:t>7</w:t>
      </w:r>
      <w:r>
        <w:rPr>
          <w:rFonts w:ascii="David" w:hAnsi="David" w:cs="David" w:hint="cs"/>
          <w:sz w:val="28"/>
          <w:szCs w:val="28"/>
          <w:rtl/>
        </w:rPr>
        <w:t xml:space="preserve"> בדצמבר 2020, בלשכה ות</w:t>
      </w:r>
      <w:bookmarkStart w:id="0" w:name="_GoBack"/>
      <w:bookmarkEnd w:id="0"/>
      <w:r w:rsidR="00C62747" w:rsidRPr="00C62747">
        <w:rPr>
          <w:rFonts w:ascii="David" w:hAnsi="David" w:cs="David" w:hint="cs"/>
          <w:sz w:val="28"/>
          <w:szCs w:val="28"/>
          <w:rtl/>
        </w:rPr>
        <w:t>ועבר לצדדים על ידי מזכירות בית הדין הצבאי לערעורים</w:t>
      </w:r>
    </w:p>
    <w:p w:rsidR="00C62747" w:rsidRPr="00C62747" w:rsidRDefault="00C62747" w:rsidP="00C62747">
      <w:pPr>
        <w:pStyle w:val="ListParagraph"/>
        <w:spacing w:line="360" w:lineRule="auto"/>
        <w:ind w:left="357"/>
        <w:rPr>
          <w:rFonts w:ascii="David" w:hAnsi="David" w:cs="David"/>
          <w:sz w:val="28"/>
          <w:szCs w:val="28"/>
          <w:rtl/>
        </w:rPr>
      </w:pPr>
    </w:p>
    <w:p w:rsidR="00CE70E6" w:rsidRDefault="00CE70E6" w:rsidP="00C62747">
      <w:pPr>
        <w:pStyle w:val="ListParagraph"/>
        <w:spacing w:line="360" w:lineRule="auto"/>
        <w:ind w:left="360"/>
        <w:jc w:val="center"/>
        <w:rPr>
          <w:rFonts w:ascii="David" w:hAnsi="David" w:cs="David"/>
          <w:b/>
          <w:bCs/>
          <w:sz w:val="28"/>
          <w:szCs w:val="28"/>
          <w:rtl/>
        </w:rPr>
      </w:pPr>
    </w:p>
    <w:p w:rsidR="00C62747" w:rsidRDefault="00C62747" w:rsidP="00C62747">
      <w:pPr>
        <w:pStyle w:val="ListParagraph"/>
        <w:spacing w:line="360" w:lineRule="auto"/>
        <w:ind w:left="360"/>
        <w:jc w:val="center"/>
        <w:rPr>
          <w:rFonts w:ascii="David" w:hAnsi="David" w:cs="David"/>
          <w:b/>
          <w:bCs/>
          <w:sz w:val="28"/>
          <w:szCs w:val="28"/>
          <w:rtl/>
        </w:rPr>
      </w:pPr>
      <w:r w:rsidRPr="00C62747">
        <w:rPr>
          <w:rFonts w:ascii="David" w:hAnsi="David" w:cs="David"/>
          <w:b/>
          <w:bCs/>
          <w:sz w:val="28"/>
          <w:szCs w:val="28"/>
          <w:rtl/>
        </w:rPr>
        <w:t>______________</w:t>
      </w:r>
    </w:p>
    <w:p w:rsidR="00C62747" w:rsidRDefault="00C62747" w:rsidP="008E0B0E">
      <w:pPr>
        <w:pStyle w:val="ListParagraph"/>
        <w:spacing w:line="360" w:lineRule="auto"/>
        <w:ind w:left="360"/>
        <w:jc w:val="center"/>
        <w:rPr>
          <w:rFonts w:ascii="David" w:hAnsi="David" w:cs="David"/>
          <w:b/>
          <w:bCs/>
          <w:sz w:val="28"/>
          <w:szCs w:val="28"/>
          <w:rtl/>
        </w:rPr>
      </w:pPr>
      <w:r w:rsidRPr="00C62747">
        <w:rPr>
          <w:rFonts w:ascii="David" w:hAnsi="David" w:cs="David" w:hint="cs"/>
          <w:b/>
          <w:bCs/>
          <w:sz w:val="28"/>
          <w:szCs w:val="28"/>
          <w:rtl/>
        </w:rPr>
        <w:t>המשנה לנשיא</w:t>
      </w:r>
    </w:p>
    <w:p w:rsidR="00CE70E6" w:rsidRPr="00C62747" w:rsidRDefault="00CE70E6" w:rsidP="008E0B0E">
      <w:pPr>
        <w:pStyle w:val="ListParagraph"/>
        <w:spacing w:line="360" w:lineRule="auto"/>
        <w:ind w:left="360"/>
        <w:jc w:val="center"/>
        <w:rPr>
          <w:rFonts w:ascii="David" w:hAnsi="David" w:cs="David"/>
          <w:b/>
          <w:bCs/>
          <w:sz w:val="28"/>
          <w:szCs w:val="28"/>
          <w:rtl/>
        </w:rPr>
      </w:pPr>
    </w:p>
    <w:p w:rsidR="00901903" w:rsidRPr="00901903" w:rsidRDefault="00901903" w:rsidP="00901903">
      <w:pPr>
        <w:keepNext/>
        <w:keepLines/>
        <w:suppressLineNumbers/>
        <w:suppressAutoHyphens/>
        <w:spacing w:after="0" w:line="360" w:lineRule="auto"/>
        <w:jc w:val="both"/>
        <w:outlineLvl w:val="0"/>
        <w:rPr>
          <w:rFonts w:ascii="Times New Roman" w:eastAsia="Times New Roman" w:hAnsi="Times New Roman" w:cs="David"/>
          <w:b/>
          <w:bCs/>
          <w:sz w:val="28"/>
          <w:szCs w:val="28"/>
          <w:rtl/>
        </w:rPr>
      </w:pPr>
      <w:r w:rsidRPr="00901903">
        <w:rPr>
          <w:rFonts w:ascii="Times New Roman" w:eastAsia="Times New Roman" w:hAnsi="Times New Roman" w:cs="David" w:hint="eastAsia"/>
          <w:b/>
          <w:bCs/>
          <w:sz w:val="28"/>
          <w:szCs w:val="28"/>
          <w:rtl/>
        </w:rPr>
        <w:t>חתימת</w:t>
      </w:r>
      <w:r w:rsidRPr="00901903">
        <w:rPr>
          <w:rFonts w:ascii="Times New Roman" w:eastAsia="Times New Roman" w:hAnsi="Times New Roman" w:cs="David"/>
          <w:b/>
          <w:bCs/>
          <w:sz w:val="28"/>
          <w:szCs w:val="28"/>
          <w:rtl/>
        </w:rPr>
        <w:t xml:space="preserve"> </w:t>
      </w:r>
      <w:r w:rsidRPr="00901903">
        <w:rPr>
          <w:rFonts w:ascii="Times New Roman" w:eastAsia="Times New Roman" w:hAnsi="Times New Roman" w:cs="David" w:hint="eastAsia"/>
          <w:b/>
          <w:bCs/>
          <w:sz w:val="28"/>
          <w:szCs w:val="28"/>
          <w:rtl/>
        </w:rPr>
        <w:t>המגיה</w:t>
      </w:r>
      <w:r w:rsidRPr="00901903">
        <w:rPr>
          <w:rFonts w:ascii="Times New Roman" w:eastAsia="Times New Roman" w:hAnsi="Times New Roman" w:cs="David"/>
          <w:b/>
          <w:bCs/>
          <w:sz w:val="28"/>
          <w:szCs w:val="28"/>
          <w:rtl/>
        </w:rPr>
        <w:t>: _________________</w:t>
      </w:r>
      <w:r w:rsidRPr="00901903">
        <w:rPr>
          <w:rFonts w:ascii="Times New Roman" w:eastAsia="Times New Roman" w:hAnsi="Times New Roman" w:cs="David" w:hint="cs"/>
          <w:b/>
          <w:bCs/>
          <w:sz w:val="28"/>
          <w:szCs w:val="28"/>
          <w:rtl/>
        </w:rPr>
        <w:tab/>
        <w:t xml:space="preserve">           </w:t>
      </w:r>
      <w:r w:rsidRPr="00901903">
        <w:rPr>
          <w:rFonts w:ascii="Times New Roman" w:eastAsia="Times New Roman" w:hAnsi="Times New Roman" w:cs="David"/>
          <w:b/>
          <w:bCs/>
          <w:sz w:val="28"/>
          <w:szCs w:val="28"/>
          <w:rtl/>
        </w:rPr>
        <w:tab/>
      </w:r>
      <w:r w:rsidRPr="00901903">
        <w:rPr>
          <w:rFonts w:ascii="Times New Roman" w:eastAsia="Times New Roman" w:hAnsi="Times New Roman" w:cs="David"/>
          <w:b/>
          <w:bCs/>
          <w:sz w:val="28"/>
          <w:szCs w:val="28"/>
          <w:rtl/>
        </w:rPr>
        <w:tab/>
      </w:r>
      <w:r w:rsidRPr="00901903">
        <w:rPr>
          <w:rFonts w:ascii="Times New Roman" w:eastAsia="Times New Roman" w:hAnsi="Times New Roman" w:cs="David" w:hint="eastAsia"/>
          <w:b/>
          <w:bCs/>
          <w:sz w:val="28"/>
          <w:szCs w:val="28"/>
          <w:rtl/>
        </w:rPr>
        <w:t>העתק</w:t>
      </w:r>
      <w:r w:rsidRPr="00901903">
        <w:rPr>
          <w:rFonts w:ascii="Times New Roman" w:eastAsia="Times New Roman" w:hAnsi="Times New Roman" w:cs="David" w:hint="cs"/>
          <w:b/>
          <w:bCs/>
          <w:sz w:val="28"/>
          <w:szCs w:val="28"/>
          <w:rtl/>
        </w:rPr>
        <w:t xml:space="preserve">    </w:t>
      </w:r>
      <w:r w:rsidRPr="00901903">
        <w:rPr>
          <w:rFonts w:ascii="Times New Roman" w:eastAsia="Times New Roman" w:hAnsi="Times New Roman" w:cs="David" w:hint="eastAsia"/>
          <w:b/>
          <w:bCs/>
          <w:sz w:val="28"/>
          <w:szCs w:val="28"/>
          <w:rtl/>
        </w:rPr>
        <w:t>נאמן</w:t>
      </w:r>
      <w:r w:rsidRPr="00901903">
        <w:rPr>
          <w:rFonts w:ascii="Times New Roman" w:eastAsia="Times New Roman" w:hAnsi="Times New Roman" w:cs="David"/>
          <w:b/>
          <w:bCs/>
          <w:sz w:val="28"/>
          <w:szCs w:val="28"/>
          <w:rtl/>
        </w:rPr>
        <w:tab/>
      </w:r>
      <w:r w:rsidRPr="00901903">
        <w:rPr>
          <w:rFonts w:ascii="Times New Roman" w:eastAsia="Times New Roman" w:hAnsi="Times New Roman" w:cs="David" w:hint="cs"/>
          <w:b/>
          <w:bCs/>
          <w:sz w:val="28"/>
          <w:szCs w:val="28"/>
          <w:rtl/>
        </w:rPr>
        <w:t xml:space="preserve">       </w:t>
      </w:r>
      <w:r w:rsidRPr="00901903">
        <w:rPr>
          <w:rFonts w:ascii="Times New Roman" w:eastAsia="Times New Roman" w:hAnsi="Times New Roman" w:cs="David" w:hint="eastAsia"/>
          <w:b/>
          <w:bCs/>
          <w:sz w:val="28"/>
          <w:szCs w:val="28"/>
          <w:rtl/>
        </w:rPr>
        <w:t>למקור</w:t>
      </w:r>
      <w:r w:rsidRPr="00901903">
        <w:rPr>
          <w:rFonts w:ascii="Times New Roman" w:eastAsia="Times New Roman" w:hAnsi="Times New Roman" w:cs="David" w:hint="cs"/>
          <w:b/>
          <w:bCs/>
          <w:sz w:val="28"/>
          <w:szCs w:val="28"/>
          <w:rtl/>
        </w:rPr>
        <w:br/>
      </w:r>
      <w:r w:rsidRPr="00901903">
        <w:rPr>
          <w:rFonts w:ascii="Times New Roman" w:eastAsia="Times New Roman" w:hAnsi="Times New Roman" w:cs="David" w:hint="cs"/>
          <w:b/>
          <w:bCs/>
          <w:sz w:val="28"/>
          <w:szCs w:val="28"/>
          <w:rtl/>
        </w:rPr>
        <w:tab/>
        <w:t xml:space="preserve">                                                                      </w:t>
      </w:r>
      <w:r w:rsidRPr="00901903">
        <w:rPr>
          <w:rFonts w:ascii="Times New Roman" w:eastAsia="Times New Roman" w:hAnsi="Times New Roman" w:cs="David"/>
          <w:b/>
          <w:bCs/>
          <w:sz w:val="28"/>
          <w:szCs w:val="28"/>
          <w:rtl/>
        </w:rPr>
        <w:tab/>
      </w:r>
      <w:r w:rsidRPr="00901903">
        <w:rPr>
          <w:rFonts w:ascii="Times New Roman" w:eastAsia="Times New Roman" w:hAnsi="Times New Roman" w:cs="David" w:hint="cs"/>
          <w:b/>
          <w:bCs/>
          <w:sz w:val="28"/>
          <w:szCs w:val="28"/>
          <w:rtl/>
        </w:rPr>
        <w:t>ס</w:t>
      </w:r>
      <w:r w:rsidR="0056405B">
        <w:rPr>
          <w:rFonts w:ascii="Times New Roman" w:eastAsia="Times New Roman" w:hAnsi="Times New Roman" w:cs="David" w:hint="cs"/>
          <w:b/>
          <w:bCs/>
          <w:sz w:val="28"/>
          <w:szCs w:val="28"/>
          <w:rtl/>
        </w:rPr>
        <w:t>מ"ר</w:t>
      </w:r>
      <w:r w:rsidRPr="00901903">
        <w:rPr>
          <w:rFonts w:ascii="Times New Roman" w:eastAsia="Times New Roman" w:hAnsi="Times New Roman" w:cs="David"/>
          <w:b/>
          <w:bCs/>
          <w:sz w:val="28"/>
          <w:szCs w:val="28"/>
          <w:rtl/>
        </w:rPr>
        <w:tab/>
      </w:r>
      <w:r w:rsidRPr="00901903">
        <w:rPr>
          <w:rFonts w:ascii="Times New Roman" w:eastAsia="Times New Roman" w:hAnsi="Times New Roman" w:cs="David" w:hint="cs"/>
          <w:b/>
          <w:bCs/>
          <w:sz w:val="28"/>
          <w:szCs w:val="28"/>
          <w:rtl/>
        </w:rPr>
        <w:t xml:space="preserve">  </w:t>
      </w:r>
      <w:r w:rsidR="0056405B">
        <w:rPr>
          <w:rFonts w:ascii="Times New Roman" w:eastAsia="Times New Roman" w:hAnsi="Times New Roman" w:cs="David" w:hint="cs"/>
          <w:b/>
          <w:bCs/>
          <w:sz w:val="28"/>
          <w:szCs w:val="28"/>
          <w:rtl/>
        </w:rPr>
        <w:t xml:space="preserve"> </w:t>
      </w:r>
      <w:r w:rsidRPr="00901903">
        <w:rPr>
          <w:rFonts w:ascii="Times New Roman" w:eastAsia="Times New Roman" w:hAnsi="Times New Roman" w:cs="David" w:hint="cs"/>
          <w:b/>
          <w:bCs/>
          <w:sz w:val="28"/>
          <w:szCs w:val="28"/>
          <w:rtl/>
        </w:rPr>
        <w:t>ע</w:t>
      </w:r>
      <w:r w:rsidR="0056405B">
        <w:rPr>
          <w:rFonts w:ascii="Times New Roman" w:eastAsia="Times New Roman" w:hAnsi="Times New Roman" w:cs="David" w:hint="cs"/>
          <w:b/>
          <w:bCs/>
          <w:sz w:val="28"/>
          <w:szCs w:val="28"/>
          <w:rtl/>
        </w:rPr>
        <w:t>די</w:t>
      </w:r>
      <w:r w:rsidRPr="00901903">
        <w:rPr>
          <w:rFonts w:ascii="Times New Roman" w:eastAsia="Times New Roman" w:hAnsi="Times New Roman" w:cs="David" w:hint="cs"/>
          <w:b/>
          <w:bCs/>
          <w:sz w:val="28"/>
          <w:szCs w:val="28"/>
          <w:rtl/>
        </w:rPr>
        <w:tab/>
      </w:r>
      <w:r w:rsidR="0056405B">
        <w:rPr>
          <w:rFonts w:ascii="Times New Roman" w:eastAsia="Times New Roman" w:hAnsi="Times New Roman" w:cs="David" w:hint="cs"/>
          <w:b/>
          <w:bCs/>
          <w:sz w:val="28"/>
          <w:szCs w:val="28"/>
          <w:rtl/>
        </w:rPr>
        <w:t xml:space="preserve">         לביא</w:t>
      </w:r>
      <w:r w:rsidRPr="00901903">
        <w:rPr>
          <w:rFonts w:ascii="Times New Roman" w:eastAsia="Times New Roman" w:hAnsi="Times New Roman" w:cs="David" w:hint="cs"/>
          <w:b/>
          <w:bCs/>
          <w:sz w:val="28"/>
          <w:szCs w:val="28"/>
          <w:rtl/>
        </w:rPr>
        <w:br/>
      </w:r>
      <w:r w:rsidRPr="00901903">
        <w:rPr>
          <w:rFonts w:ascii="Times New Roman" w:eastAsia="Times New Roman" w:hAnsi="Times New Roman" w:cs="David" w:hint="eastAsia"/>
          <w:b/>
          <w:bCs/>
          <w:sz w:val="28"/>
          <w:szCs w:val="28"/>
          <w:rtl/>
        </w:rPr>
        <w:t>תאריך</w:t>
      </w:r>
      <w:r w:rsidRPr="00901903">
        <w:rPr>
          <w:rFonts w:ascii="Times New Roman" w:eastAsia="Times New Roman" w:hAnsi="Times New Roman" w:cs="David"/>
          <w:b/>
          <w:bCs/>
          <w:sz w:val="28"/>
          <w:szCs w:val="28"/>
          <w:rtl/>
        </w:rPr>
        <w:t>: ______________________</w:t>
      </w:r>
      <w:r w:rsidRPr="00901903">
        <w:rPr>
          <w:rFonts w:ascii="Times New Roman" w:eastAsia="Times New Roman" w:hAnsi="Times New Roman" w:cs="David" w:hint="cs"/>
          <w:b/>
          <w:bCs/>
          <w:sz w:val="28"/>
          <w:szCs w:val="28"/>
          <w:rtl/>
        </w:rPr>
        <w:tab/>
        <w:t xml:space="preserve">           </w:t>
      </w:r>
      <w:r w:rsidRPr="00901903">
        <w:rPr>
          <w:rFonts w:ascii="Times New Roman" w:eastAsia="Times New Roman" w:hAnsi="Times New Roman" w:cs="David"/>
          <w:b/>
          <w:bCs/>
          <w:sz w:val="28"/>
          <w:szCs w:val="28"/>
          <w:rtl/>
        </w:rPr>
        <w:tab/>
      </w:r>
      <w:r w:rsidRPr="00901903">
        <w:rPr>
          <w:rFonts w:ascii="Times New Roman" w:eastAsia="Times New Roman" w:hAnsi="Times New Roman" w:cs="David"/>
          <w:b/>
          <w:bCs/>
          <w:sz w:val="28"/>
          <w:szCs w:val="28"/>
          <w:rtl/>
        </w:rPr>
        <w:tab/>
      </w:r>
      <w:r w:rsidRPr="00901903">
        <w:rPr>
          <w:rFonts w:ascii="Times New Roman" w:eastAsia="Times New Roman" w:hAnsi="Times New Roman" w:cs="David" w:hint="cs"/>
          <w:b/>
          <w:bCs/>
          <w:sz w:val="28"/>
          <w:szCs w:val="28"/>
          <w:rtl/>
        </w:rPr>
        <w:t>קצי</w:t>
      </w:r>
      <w:r w:rsidR="0079755E">
        <w:rPr>
          <w:rFonts w:ascii="Times New Roman" w:eastAsia="Times New Roman" w:hAnsi="Times New Roman" w:cs="David" w:hint="cs"/>
          <w:b/>
          <w:bCs/>
          <w:sz w:val="28"/>
          <w:szCs w:val="28"/>
          <w:rtl/>
        </w:rPr>
        <w:t>נת</w:t>
      </w:r>
      <w:r w:rsidRPr="00901903">
        <w:rPr>
          <w:rFonts w:ascii="Times New Roman" w:eastAsia="Times New Roman" w:hAnsi="Times New Roman" w:cs="David" w:hint="cs"/>
          <w:b/>
          <w:bCs/>
          <w:sz w:val="28"/>
          <w:szCs w:val="28"/>
          <w:rtl/>
        </w:rPr>
        <w:tab/>
        <w:t xml:space="preserve">   בית            הדין</w:t>
      </w:r>
    </w:p>
    <w:p w:rsidR="00901903" w:rsidRPr="00901903" w:rsidRDefault="00901903" w:rsidP="00901903">
      <w:pPr>
        <w:spacing w:after="0" w:line="360" w:lineRule="auto"/>
        <w:rPr>
          <w:rFonts w:ascii="Times New Roman" w:eastAsia="Times New Roman" w:hAnsi="Times New Roman" w:cs="David"/>
          <w:sz w:val="28"/>
          <w:szCs w:val="28"/>
          <w:rtl/>
        </w:rPr>
      </w:pPr>
    </w:p>
    <w:p w:rsidR="00901903" w:rsidRPr="00901903" w:rsidRDefault="00901903" w:rsidP="00901903">
      <w:pPr>
        <w:rPr>
          <w:sz w:val="24"/>
          <w:szCs w:val="24"/>
        </w:rPr>
      </w:pPr>
    </w:p>
    <w:p w:rsidR="00E27918" w:rsidRPr="00901903" w:rsidRDefault="00E27918" w:rsidP="00D906B6">
      <w:pPr>
        <w:pStyle w:val="ListParagraph"/>
        <w:spacing w:line="360" w:lineRule="auto"/>
        <w:rPr>
          <w:rFonts w:ascii="David" w:hAnsi="David" w:cs="David"/>
          <w:sz w:val="28"/>
          <w:szCs w:val="28"/>
        </w:rPr>
      </w:pPr>
    </w:p>
    <w:sectPr w:rsidR="00E27918" w:rsidRPr="00901903" w:rsidSect="005E18A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F8" w:rsidRDefault="006150F8" w:rsidP="00D32BA8">
      <w:pPr>
        <w:spacing w:after="0" w:line="240" w:lineRule="auto"/>
      </w:pPr>
      <w:r>
        <w:separator/>
      </w:r>
    </w:p>
  </w:endnote>
  <w:endnote w:type="continuationSeparator" w:id="0">
    <w:p w:rsidR="006150F8" w:rsidRDefault="006150F8" w:rsidP="00D3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40" w:rsidRPr="00901903" w:rsidRDefault="00727740">
    <w:pPr>
      <w:pStyle w:val="Footer"/>
      <w:jc w:val="center"/>
      <w:rPr>
        <w:rFonts w:ascii="David" w:hAnsi="David" w:cs="David" w:hint="cs"/>
        <w:sz w:val="28"/>
        <w:szCs w:val="28"/>
        <w:rtl/>
      </w:rPr>
    </w:pPr>
    <w:r w:rsidRPr="00901903">
      <w:rPr>
        <w:rFonts w:ascii="David" w:hAnsi="David" w:cs="David" w:hint="cs"/>
        <w:sz w:val="28"/>
        <w:szCs w:val="28"/>
      </w:rPr>
      <w:fldChar w:fldCharType="begin"/>
    </w:r>
    <w:r w:rsidRPr="00901903">
      <w:rPr>
        <w:rFonts w:ascii="David" w:hAnsi="David" w:cs="David" w:hint="cs"/>
        <w:sz w:val="28"/>
        <w:szCs w:val="28"/>
      </w:rPr>
      <w:instrText xml:space="preserve"> PAGE   \* MERGEFORMAT </w:instrText>
    </w:r>
    <w:r w:rsidRPr="00901903">
      <w:rPr>
        <w:rFonts w:ascii="David" w:hAnsi="David" w:cs="David" w:hint="cs"/>
        <w:sz w:val="28"/>
        <w:szCs w:val="28"/>
      </w:rPr>
      <w:fldChar w:fldCharType="separate"/>
    </w:r>
    <w:r w:rsidR="00A35787" w:rsidRPr="00A35787">
      <w:rPr>
        <w:rFonts w:ascii="David" w:hAnsi="David" w:cs="David"/>
        <w:noProof/>
        <w:sz w:val="28"/>
        <w:szCs w:val="28"/>
        <w:rtl/>
        <w:lang w:val="he-IL"/>
      </w:rPr>
      <w:t>7</w:t>
    </w:r>
    <w:r w:rsidRPr="00901903">
      <w:rPr>
        <w:rFonts w:ascii="David" w:hAnsi="David" w:cs="David" w:hint="cs"/>
        <w:noProof/>
        <w:sz w:val="28"/>
        <w:szCs w:val="28"/>
        <w:lang w:val="he-IL"/>
      </w:rPr>
      <w:fldChar w:fldCharType="end"/>
    </w:r>
  </w:p>
  <w:p w:rsidR="00727740" w:rsidRDefault="0072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F8" w:rsidRDefault="006150F8" w:rsidP="00D32BA8">
      <w:pPr>
        <w:spacing w:after="0" w:line="240" w:lineRule="auto"/>
      </w:pPr>
      <w:r>
        <w:separator/>
      </w:r>
    </w:p>
  </w:footnote>
  <w:footnote w:type="continuationSeparator" w:id="0">
    <w:p w:rsidR="006150F8" w:rsidRDefault="006150F8" w:rsidP="00D3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BA8" w:rsidRPr="00692F50" w:rsidRDefault="009E1432" w:rsidP="00B26F18">
    <w:pPr>
      <w:pStyle w:val="Header"/>
      <w:jc w:val="center"/>
      <w:rPr>
        <w:rFonts w:ascii="David" w:hAnsi="David" w:cs="David"/>
        <w:sz w:val="28"/>
        <w:szCs w:val="28"/>
      </w:rPr>
    </w:pPr>
    <w:r>
      <w:rPr>
        <w:rFonts w:ascii="David" w:hAnsi="David" w:cs="David" w:hint="cs"/>
        <w:sz w:val="28"/>
        <w:szCs w:val="28"/>
        <w:rtl/>
      </w:rPr>
      <w:t xml:space="preserve">                                                           </w:t>
    </w:r>
    <w:r w:rsidR="005C5706">
      <w:rPr>
        <w:rFonts w:ascii="David" w:hAnsi="David" w:cs="David" w:hint="cs"/>
        <w:sz w:val="28"/>
        <w:szCs w:val="28"/>
        <w:rtl/>
      </w:rPr>
      <w:t>בלמ"ס</w:t>
    </w:r>
    <w:r w:rsidR="00D32BA8" w:rsidRPr="00692F50">
      <w:rPr>
        <w:rFonts w:ascii="David" w:hAnsi="David" w:cs="David" w:hint="cs"/>
        <w:sz w:val="28"/>
        <w:szCs w:val="28"/>
        <w:rtl/>
      </w:rPr>
      <w:t xml:space="preserve"> </w:t>
    </w:r>
    <w:r w:rsidR="00B26F18">
      <w:rPr>
        <w:rFonts w:ascii="David" w:hAnsi="David" w:cs="David" w:hint="cs"/>
        <w:sz w:val="28"/>
        <w:szCs w:val="28"/>
        <w:rtl/>
      </w:rPr>
      <w:t xml:space="preserve">     </w:t>
    </w:r>
    <w:r>
      <w:rPr>
        <w:rFonts w:ascii="David" w:hAnsi="David" w:cs="David" w:hint="cs"/>
        <w:sz w:val="28"/>
        <w:szCs w:val="28"/>
        <w:rtl/>
      </w:rPr>
      <w:t xml:space="preserve"> </w:t>
    </w:r>
    <w:r w:rsidR="00B26F18">
      <w:rPr>
        <w:rFonts w:ascii="David" w:hAnsi="David" w:cs="David" w:hint="cs"/>
        <w:sz w:val="28"/>
        <w:szCs w:val="28"/>
        <w:rtl/>
      </w:rPr>
      <w:t xml:space="preserve">   </w:t>
    </w:r>
    <w:r>
      <w:rPr>
        <w:rFonts w:ascii="David" w:hAnsi="David" w:cs="David" w:hint="cs"/>
        <w:sz w:val="28"/>
        <w:szCs w:val="28"/>
        <w:rtl/>
      </w:rPr>
      <w:t xml:space="preserve"> </w:t>
    </w:r>
    <w:r w:rsidR="00B26F18">
      <w:rPr>
        <w:rFonts w:ascii="David" w:hAnsi="David" w:cs="David" w:hint="cs"/>
        <w:sz w:val="28"/>
        <w:szCs w:val="28"/>
        <w:rtl/>
      </w:rPr>
      <w:t xml:space="preserve">                           </w:t>
    </w:r>
    <w:r>
      <w:rPr>
        <w:rFonts w:ascii="David" w:hAnsi="David" w:cs="David" w:hint="cs"/>
        <w:sz w:val="28"/>
        <w:szCs w:val="28"/>
        <w:rtl/>
      </w:rPr>
      <w:t xml:space="preserve"> </w:t>
    </w:r>
    <w:r w:rsidR="00B26F18" w:rsidRPr="00B26F18">
      <w:rPr>
        <w:rFonts w:ascii="David" w:hAnsi="David" w:cs="David"/>
        <w:sz w:val="28"/>
        <w:szCs w:val="28"/>
        <w:rtl/>
      </w:rPr>
      <w:t>עלב"ש/17/20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FEA"/>
    <w:multiLevelType w:val="hybridMultilevel"/>
    <w:tmpl w:val="D7BC0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1006C"/>
    <w:multiLevelType w:val="hybridMultilevel"/>
    <w:tmpl w:val="CB2E544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15:restartNumberingAfterBreak="0">
    <w:nsid w:val="2CB72505"/>
    <w:multiLevelType w:val="hybridMultilevel"/>
    <w:tmpl w:val="68E81AE4"/>
    <w:lvl w:ilvl="0" w:tplc="DB02987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A32FCD"/>
    <w:multiLevelType w:val="hybridMultilevel"/>
    <w:tmpl w:val="4F6C53FA"/>
    <w:lvl w:ilvl="0" w:tplc="0F6610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8253EF"/>
    <w:multiLevelType w:val="hybridMultilevel"/>
    <w:tmpl w:val="88A6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452B8"/>
    <w:multiLevelType w:val="hybridMultilevel"/>
    <w:tmpl w:val="E20A40FC"/>
    <w:lvl w:ilvl="0" w:tplc="C1B83E0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0851F9"/>
    <w:multiLevelType w:val="hybridMultilevel"/>
    <w:tmpl w:val="E7007D32"/>
    <w:lvl w:ilvl="0" w:tplc="BD560166">
      <w:start w:val="1"/>
      <w:numFmt w:val="decimal"/>
      <w:suff w:val="space"/>
      <w:lvlText w:val="%1."/>
      <w:lvlJc w:val="left"/>
      <w:pPr>
        <w:ind w:left="360" w:hanging="360"/>
      </w:pPr>
      <w:rPr>
        <w:rFonts w:ascii="Calibri" w:hAnsi="Calibri"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54127D"/>
    <w:multiLevelType w:val="hybridMultilevel"/>
    <w:tmpl w:val="F50C86B2"/>
    <w:lvl w:ilvl="0" w:tplc="17C2CC30">
      <w:start w:val="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06B28"/>
    <w:multiLevelType w:val="hybridMultilevel"/>
    <w:tmpl w:val="4BD6B984"/>
    <w:lvl w:ilvl="0" w:tplc="797E4450">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8E"/>
    <w:rsid w:val="0000773F"/>
    <w:rsid w:val="000232B6"/>
    <w:rsid w:val="00024594"/>
    <w:rsid w:val="00065D0F"/>
    <w:rsid w:val="000731F7"/>
    <w:rsid w:val="00097979"/>
    <w:rsid w:val="000C31E0"/>
    <w:rsid w:val="000E3B62"/>
    <w:rsid w:val="000F35C4"/>
    <w:rsid w:val="00104C68"/>
    <w:rsid w:val="00136DB0"/>
    <w:rsid w:val="00146D89"/>
    <w:rsid w:val="00150B73"/>
    <w:rsid w:val="00150E82"/>
    <w:rsid w:val="00151B87"/>
    <w:rsid w:val="00154C04"/>
    <w:rsid w:val="00156A06"/>
    <w:rsid w:val="00167A75"/>
    <w:rsid w:val="001B4967"/>
    <w:rsid w:val="001B5DE6"/>
    <w:rsid w:val="001C2B43"/>
    <w:rsid w:val="001C3317"/>
    <w:rsid w:val="001E1991"/>
    <w:rsid w:val="00204DC4"/>
    <w:rsid w:val="0021651D"/>
    <w:rsid w:val="00240DD7"/>
    <w:rsid w:val="002504C0"/>
    <w:rsid w:val="0025359E"/>
    <w:rsid w:val="0026103C"/>
    <w:rsid w:val="00265FC9"/>
    <w:rsid w:val="00287A2D"/>
    <w:rsid w:val="002939D2"/>
    <w:rsid w:val="00294231"/>
    <w:rsid w:val="002A25B2"/>
    <w:rsid w:val="002A6E91"/>
    <w:rsid w:val="002B2352"/>
    <w:rsid w:val="002B61C2"/>
    <w:rsid w:val="002B77E0"/>
    <w:rsid w:val="002C2CD6"/>
    <w:rsid w:val="002D04A1"/>
    <w:rsid w:val="002D74DE"/>
    <w:rsid w:val="002E4021"/>
    <w:rsid w:val="002F7DA2"/>
    <w:rsid w:val="00305D92"/>
    <w:rsid w:val="003175EF"/>
    <w:rsid w:val="003364EB"/>
    <w:rsid w:val="00340C5F"/>
    <w:rsid w:val="00343938"/>
    <w:rsid w:val="00350C00"/>
    <w:rsid w:val="00355A75"/>
    <w:rsid w:val="00363AB2"/>
    <w:rsid w:val="003753BF"/>
    <w:rsid w:val="00383ED2"/>
    <w:rsid w:val="003A457D"/>
    <w:rsid w:val="003C2D63"/>
    <w:rsid w:val="003D3B25"/>
    <w:rsid w:val="003D612C"/>
    <w:rsid w:val="004310EB"/>
    <w:rsid w:val="00434978"/>
    <w:rsid w:val="00440A6A"/>
    <w:rsid w:val="00452429"/>
    <w:rsid w:val="0045600D"/>
    <w:rsid w:val="004B7308"/>
    <w:rsid w:val="004C67C3"/>
    <w:rsid w:val="004D45BF"/>
    <w:rsid w:val="004E3E7E"/>
    <w:rsid w:val="004E4E2E"/>
    <w:rsid w:val="004E539F"/>
    <w:rsid w:val="004F4754"/>
    <w:rsid w:val="004F5C9C"/>
    <w:rsid w:val="004F6425"/>
    <w:rsid w:val="005045DB"/>
    <w:rsid w:val="00505669"/>
    <w:rsid w:val="00511492"/>
    <w:rsid w:val="00511E92"/>
    <w:rsid w:val="0051221E"/>
    <w:rsid w:val="00514E73"/>
    <w:rsid w:val="00530C8B"/>
    <w:rsid w:val="00531D8E"/>
    <w:rsid w:val="0055488B"/>
    <w:rsid w:val="0055680F"/>
    <w:rsid w:val="0056405B"/>
    <w:rsid w:val="00577425"/>
    <w:rsid w:val="005A06C5"/>
    <w:rsid w:val="005A1269"/>
    <w:rsid w:val="005A50AB"/>
    <w:rsid w:val="005B2012"/>
    <w:rsid w:val="005C5706"/>
    <w:rsid w:val="005D57F1"/>
    <w:rsid w:val="005E18A9"/>
    <w:rsid w:val="005E3736"/>
    <w:rsid w:val="005E44A8"/>
    <w:rsid w:val="006150F8"/>
    <w:rsid w:val="00640FC8"/>
    <w:rsid w:val="00641F0D"/>
    <w:rsid w:val="00644D52"/>
    <w:rsid w:val="006548B3"/>
    <w:rsid w:val="00655A84"/>
    <w:rsid w:val="00656BE6"/>
    <w:rsid w:val="00656D40"/>
    <w:rsid w:val="00661604"/>
    <w:rsid w:val="00670D74"/>
    <w:rsid w:val="00673007"/>
    <w:rsid w:val="00675166"/>
    <w:rsid w:val="00692CC6"/>
    <w:rsid w:val="00692F50"/>
    <w:rsid w:val="00694866"/>
    <w:rsid w:val="006971CD"/>
    <w:rsid w:val="006C1FD1"/>
    <w:rsid w:val="006D7C0A"/>
    <w:rsid w:val="006E07DC"/>
    <w:rsid w:val="006E2DCF"/>
    <w:rsid w:val="007028A3"/>
    <w:rsid w:val="00703AA7"/>
    <w:rsid w:val="00711011"/>
    <w:rsid w:val="00711254"/>
    <w:rsid w:val="00723A6B"/>
    <w:rsid w:val="00727740"/>
    <w:rsid w:val="00730D53"/>
    <w:rsid w:val="00745420"/>
    <w:rsid w:val="00745A40"/>
    <w:rsid w:val="007510FC"/>
    <w:rsid w:val="00763978"/>
    <w:rsid w:val="007672BF"/>
    <w:rsid w:val="00767FE5"/>
    <w:rsid w:val="00773690"/>
    <w:rsid w:val="00791290"/>
    <w:rsid w:val="0079755E"/>
    <w:rsid w:val="007B323E"/>
    <w:rsid w:val="007C3A54"/>
    <w:rsid w:val="007C3E72"/>
    <w:rsid w:val="007C671D"/>
    <w:rsid w:val="007C7161"/>
    <w:rsid w:val="007D06E5"/>
    <w:rsid w:val="007D48D4"/>
    <w:rsid w:val="00805772"/>
    <w:rsid w:val="00812956"/>
    <w:rsid w:val="008249B6"/>
    <w:rsid w:val="00830013"/>
    <w:rsid w:val="008356CF"/>
    <w:rsid w:val="008409F9"/>
    <w:rsid w:val="00847D92"/>
    <w:rsid w:val="00853C79"/>
    <w:rsid w:val="00864839"/>
    <w:rsid w:val="00865FA7"/>
    <w:rsid w:val="00883648"/>
    <w:rsid w:val="008938F6"/>
    <w:rsid w:val="008A20E9"/>
    <w:rsid w:val="008A36BC"/>
    <w:rsid w:val="008D755D"/>
    <w:rsid w:val="008E0B0E"/>
    <w:rsid w:val="008F624C"/>
    <w:rsid w:val="008F6522"/>
    <w:rsid w:val="008F69D5"/>
    <w:rsid w:val="00901903"/>
    <w:rsid w:val="009236FC"/>
    <w:rsid w:val="00937FF4"/>
    <w:rsid w:val="00941467"/>
    <w:rsid w:val="00954781"/>
    <w:rsid w:val="00956B90"/>
    <w:rsid w:val="00963AF2"/>
    <w:rsid w:val="00984ED2"/>
    <w:rsid w:val="00985873"/>
    <w:rsid w:val="00985FBC"/>
    <w:rsid w:val="009A4EBE"/>
    <w:rsid w:val="009B0860"/>
    <w:rsid w:val="009C2341"/>
    <w:rsid w:val="009D4230"/>
    <w:rsid w:val="009E0697"/>
    <w:rsid w:val="009E1432"/>
    <w:rsid w:val="009F3E38"/>
    <w:rsid w:val="00A25FA4"/>
    <w:rsid w:val="00A35787"/>
    <w:rsid w:val="00A526B0"/>
    <w:rsid w:val="00A63EE8"/>
    <w:rsid w:val="00A665C8"/>
    <w:rsid w:val="00A80AE7"/>
    <w:rsid w:val="00AB09B0"/>
    <w:rsid w:val="00AC0405"/>
    <w:rsid w:val="00AD5445"/>
    <w:rsid w:val="00AE0818"/>
    <w:rsid w:val="00AE1F05"/>
    <w:rsid w:val="00AF3F6D"/>
    <w:rsid w:val="00B26F18"/>
    <w:rsid w:val="00B27AA4"/>
    <w:rsid w:val="00B336ED"/>
    <w:rsid w:val="00B33982"/>
    <w:rsid w:val="00B36446"/>
    <w:rsid w:val="00B52569"/>
    <w:rsid w:val="00B5589C"/>
    <w:rsid w:val="00B75B32"/>
    <w:rsid w:val="00B83166"/>
    <w:rsid w:val="00B849FB"/>
    <w:rsid w:val="00B84F77"/>
    <w:rsid w:val="00B92154"/>
    <w:rsid w:val="00B9253C"/>
    <w:rsid w:val="00B94EB5"/>
    <w:rsid w:val="00BB4EEC"/>
    <w:rsid w:val="00BB6E88"/>
    <w:rsid w:val="00BB787B"/>
    <w:rsid w:val="00BC4858"/>
    <w:rsid w:val="00BC7F07"/>
    <w:rsid w:val="00BE4DDC"/>
    <w:rsid w:val="00C13ADD"/>
    <w:rsid w:val="00C52425"/>
    <w:rsid w:val="00C566BA"/>
    <w:rsid w:val="00C5683A"/>
    <w:rsid w:val="00C62747"/>
    <w:rsid w:val="00C7457D"/>
    <w:rsid w:val="00C7649F"/>
    <w:rsid w:val="00C76885"/>
    <w:rsid w:val="00C81892"/>
    <w:rsid w:val="00C91703"/>
    <w:rsid w:val="00C92DDF"/>
    <w:rsid w:val="00CA0BA3"/>
    <w:rsid w:val="00CE2BCB"/>
    <w:rsid w:val="00CE62B1"/>
    <w:rsid w:val="00CE70E6"/>
    <w:rsid w:val="00CF72E8"/>
    <w:rsid w:val="00D019B5"/>
    <w:rsid w:val="00D0320C"/>
    <w:rsid w:val="00D14747"/>
    <w:rsid w:val="00D26C78"/>
    <w:rsid w:val="00D26D96"/>
    <w:rsid w:val="00D27F4E"/>
    <w:rsid w:val="00D32BA8"/>
    <w:rsid w:val="00D41164"/>
    <w:rsid w:val="00D435A8"/>
    <w:rsid w:val="00D44377"/>
    <w:rsid w:val="00D6631C"/>
    <w:rsid w:val="00D906B6"/>
    <w:rsid w:val="00D97FDF"/>
    <w:rsid w:val="00DA6225"/>
    <w:rsid w:val="00DB7983"/>
    <w:rsid w:val="00DD3218"/>
    <w:rsid w:val="00DE43C2"/>
    <w:rsid w:val="00DF0D61"/>
    <w:rsid w:val="00E27918"/>
    <w:rsid w:val="00E35684"/>
    <w:rsid w:val="00E364A1"/>
    <w:rsid w:val="00E50877"/>
    <w:rsid w:val="00E97961"/>
    <w:rsid w:val="00ED61FC"/>
    <w:rsid w:val="00ED73E9"/>
    <w:rsid w:val="00EE1FEB"/>
    <w:rsid w:val="00EE4FC3"/>
    <w:rsid w:val="00EE7196"/>
    <w:rsid w:val="00F006C5"/>
    <w:rsid w:val="00F369D9"/>
    <w:rsid w:val="00F57FCF"/>
    <w:rsid w:val="00F71ABC"/>
    <w:rsid w:val="00F72670"/>
    <w:rsid w:val="00F838B5"/>
    <w:rsid w:val="00F86A1A"/>
    <w:rsid w:val="00FD0CDA"/>
    <w:rsid w:val="00FE64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7DB3A"/>
  <w15:chartTrackingRefBased/>
  <w15:docId w15:val="{60D7F065-2F88-46E1-B386-25F450D4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1D8E"/>
    <w:pPr>
      <w:ind w:left="720"/>
      <w:contextualSpacing/>
    </w:pPr>
  </w:style>
  <w:style w:type="paragraph" w:styleId="Header">
    <w:name w:val="header"/>
    <w:basedOn w:val="Normal"/>
    <w:link w:val="HeaderChar"/>
    <w:uiPriority w:val="99"/>
    <w:unhideWhenUsed/>
    <w:rsid w:val="00D32B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2BA8"/>
  </w:style>
  <w:style w:type="paragraph" w:styleId="Footer">
    <w:name w:val="footer"/>
    <w:basedOn w:val="Normal"/>
    <w:link w:val="FooterChar"/>
    <w:uiPriority w:val="99"/>
    <w:unhideWhenUsed/>
    <w:rsid w:val="00D32B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2BA8"/>
  </w:style>
  <w:style w:type="paragraph" w:styleId="BalloonText">
    <w:name w:val="Balloon Text"/>
    <w:basedOn w:val="Normal"/>
    <w:link w:val="BalloonTextChar"/>
    <w:uiPriority w:val="99"/>
    <w:semiHidden/>
    <w:unhideWhenUsed/>
    <w:rsid w:val="002165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651D"/>
    <w:rPr>
      <w:rFonts w:ascii="Segoe UI" w:hAnsi="Segoe UI" w:cs="Segoe UI"/>
      <w:sz w:val="18"/>
      <w:szCs w:val="18"/>
    </w:rPr>
  </w:style>
  <w:style w:type="character" w:styleId="CommentReference">
    <w:name w:val="annotation reference"/>
    <w:uiPriority w:val="99"/>
    <w:semiHidden/>
    <w:unhideWhenUsed/>
    <w:rsid w:val="004310EB"/>
    <w:rPr>
      <w:sz w:val="16"/>
      <w:szCs w:val="16"/>
    </w:rPr>
  </w:style>
  <w:style w:type="paragraph" w:styleId="CommentText">
    <w:name w:val="annotation text"/>
    <w:basedOn w:val="Normal"/>
    <w:link w:val="CommentTextChar"/>
    <w:uiPriority w:val="99"/>
    <w:semiHidden/>
    <w:unhideWhenUsed/>
    <w:rsid w:val="004310EB"/>
    <w:rPr>
      <w:sz w:val="20"/>
      <w:szCs w:val="20"/>
    </w:rPr>
  </w:style>
  <w:style w:type="character" w:customStyle="1" w:styleId="CommentTextChar">
    <w:name w:val="Comment Text Char"/>
    <w:link w:val="CommentText"/>
    <w:uiPriority w:val="99"/>
    <w:semiHidden/>
    <w:rsid w:val="004310EB"/>
    <w:rPr>
      <w:lang w:val="en-US" w:eastAsia="en-US"/>
    </w:rPr>
  </w:style>
  <w:style w:type="paragraph" w:styleId="CommentSubject">
    <w:name w:val="annotation subject"/>
    <w:basedOn w:val="CommentText"/>
    <w:next w:val="CommentText"/>
    <w:link w:val="CommentSubjectChar"/>
    <w:uiPriority w:val="99"/>
    <w:semiHidden/>
    <w:unhideWhenUsed/>
    <w:rsid w:val="004310EB"/>
    <w:rPr>
      <w:b/>
      <w:bCs/>
    </w:rPr>
  </w:style>
  <w:style w:type="character" w:customStyle="1" w:styleId="CommentSubjectChar">
    <w:name w:val="Comment Subject Char"/>
    <w:link w:val="CommentSubject"/>
    <w:uiPriority w:val="99"/>
    <w:semiHidden/>
    <w:rsid w:val="004310EB"/>
    <w:rPr>
      <w:b/>
      <w:bCs/>
      <w:lang w:val="en-US" w:eastAsia="en-US"/>
    </w:rPr>
  </w:style>
  <w:style w:type="character" w:styleId="Hyperlink">
    <w:name w:val="Hyperlink"/>
    <w:uiPriority w:val="99"/>
    <w:unhideWhenUsed/>
    <w:rsid w:val="00FE6442"/>
    <w:rPr>
      <w:color w:val="0563C1"/>
      <w:u w:val="single"/>
    </w:rPr>
  </w:style>
  <w:style w:type="character" w:customStyle="1" w:styleId="a">
    <w:name w:val="אזכור לא מזוהה"/>
    <w:uiPriority w:val="99"/>
    <w:semiHidden/>
    <w:unhideWhenUsed/>
    <w:rsid w:val="00FE6442"/>
    <w:rPr>
      <w:color w:val="605E5C"/>
      <w:shd w:val="clear" w:color="auto" w:fill="E1DFDD"/>
    </w:rPr>
  </w:style>
  <w:style w:type="character" w:customStyle="1" w:styleId="ListParagraphChar">
    <w:name w:val="List Paragraph Char"/>
    <w:link w:val="ListParagraph"/>
    <w:uiPriority w:val="34"/>
    <w:locked/>
    <w:rsid w:val="00154C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27986">
      <w:bodyDiv w:val="1"/>
      <w:marLeft w:val="0"/>
      <w:marRight w:val="0"/>
      <w:marTop w:val="0"/>
      <w:marBottom w:val="0"/>
      <w:divBdr>
        <w:top w:val="none" w:sz="0" w:space="0" w:color="auto"/>
        <w:left w:val="none" w:sz="0" w:space="0" w:color="auto"/>
        <w:bottom w:val="none" w:sz="0" w:space="0" w:color="auto"/>
        <w:right w:val="none" w:sz="0" w:space="0" w:color="auto"/>
      </w:divBdr>
    </w:div>
    <w:div w:id="16667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A999-CCF7-4474-BB01-F466DFDD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2634</Words>
  <Characters>13170</Characters>
  <Application>Microsoft Office Word</Application>
  <DocSecurity>0</DocSecurity>
  <Lines>109</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GOI</cp:lastModifiedBy>
  <cp:revision>2</cp:revision>
  <cp:lastPrinted>2021-01-04T15:07:00Z</cp:lastPrinted>
  <dcterms:created xsi:type="dcterms:W3CDTF">2021-01-11T12:02:00Z</dcterms:created>
  <dcterms:modified xsi:type="dcterms:W3CDTF">2021-01-11T12:02:00Z</dcterms:modified>
</cp:coreProperties>
</file>