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6328" w:leader="none"/>
        </w:tabs>
        <w:spacing w:lineRule="auto" w:line="480"/>
        <w:ind w:left="-7" w:firstLine="2748"/>
        <w:rPr/>
      </w:pPr>
      <w:bookmarkStart w:id="0" w:name="_Hlk149824479"/>
      <w:bookmarkStart w:id="1" w:name="_Hlk149821736"/>
      <w:bookmarkEnd w:id="0"/>
      <w:bookmarkEnd w:id="1"/>
      <w:r>
        <w:rPr>
          <w:rtl w:val="true"/>
        </w:rPr>
        <mc:AlternateContent>
          <mc:Choice Requires="wps">
            <w:drawing>
              <wp:inline distT="0" distB="0" distL="0" distR="0" wp14:anchorId="45DF811B">
                <wp:extent cx="866775" cy="790575"/>
                <wp:effectExtent l="0" t="0" r="9525" b="28575"/>
                <wp:docPr id="1" name="Picture 1" descr="zaal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al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866880" cy="790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algn="ctr" dir="3825519" dist="28496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o:allowincell="f" style="position:absolute;margin-left:0pt;margin-top:-64.55pt;width:68.2pt;height:62.2pt;mso-wrap-style:none;v-text-anchor:middle;mso-position-vertical:top" wp14:anchorId="45DF811B" type="_x0000_t75">
                <v:imagedata r:id="rId3" o:detectmouseclick="t"/>
                <v:stroke color="#3465a4" joinstyle="round" endcap="flat"/>
                <v:shadow on="t" obscured="f" color="gray"/>
                <w10:wrap type="square"/>
              </v:shape>
            </w:pict>
          </mc:Fallback>
        </mc:AlternateContent>
      </w:r>
      <w:r>
        <w:rPr>
          <w:rtl w:val="true"/>
        </w:rPr>
        <w:tab/>
      </w:r>
      <w:r>
        <w:rPr>
          <w:rtl w:val="true"/>
        </w:rPr>
        <w:drawing>
          <wp:inline distT="0" distB="0" distL="0" distR="0">
            <wp:extent cx="581025" cy="790575"/>
            <wp:effectExtent l="0" t="0" r="0" b="0"/>
            <wp:docPr id="2" name="Picture 1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480"/>
        <w:jc w:val="center"/>
        <w:rPr>
          <w:rFonts w:ascii="David" w:hAnsi="David"/>
          <w:b/>
          <w:b/>
          <w:bCs/>
          <w:u w:val="single"/>
        </w:rPr>
      </w:pPr>
      <w:r>
        <w:rPr>
          <w:rFonts w:ascii="David" w:hAnsi="David"/>
          <w:b/>
          <w:b/>
          <w:bCs/>
          <w:u w:val="single"/>
          <w:rtl w:val="true"/>
        </w:rPr>
        <w:t>בבית הדין הצבאי לערעורים</w:t>
      </w:r>
    </w:p>
    <w:p>
      <w:pPr>
        <w:pStyle w:val="Normal"/>
        <w:spacing w:lineRule="auto" w:line="480" w:before="120" w:after="0"/>
        <w:rPr>
          <w:rFonts w:ascii="David" w:hAnsi="David"/>
        </w:rPr>
      </w:pPr>
      <w:r>
        <w:rPr>
          <w:rFonts w:ascii="David" w:hAnsi="David"/>
          <w:rtl w:val="true"/>
        </w:rPr>
        <w:t>בפני</w:t>
      </w:r>
      <w:r>
        <w:rPr>
          <w:rFonts w:ascii="David" w:hAnsi="David"/>
          <w:rtl w:val="true"/>
        </w:rPr>
        <w:t>:</w:t>
      </w:r>
    </w:p>
    <w:p>
      <w:pPr>
        <w:pStyle w:val="Normal"/>
        <w:spacing w:lineRule="auto" w:line="480" w:before="120" w:after="0"/>
        <w:ind w:left="2174" w:right="2268" w:hanging="0"/>
        <w:jc w:val="both"/>
        <w:rPr>
          <w:b/>
          <w:b/>
          <w:bCs/>
        </w:rPr>
      </w:pPr>
      <w:r>
        <w:rPr>
          <w:b/>
          <w:bCs/>
          <w:rtl w:val="true"/>
        </w:rPr>
        <w:t xml:space="preserve"> </w:t>
      </w:r>
      <w:r>
        <w:rPr>
          <w:b/>
          <w:b/>
          <w:bCs/>
          <w:rtl w:val="true"/>
        </w:rPr>
        <w:t>תא</w:t>
      </w:r>
      <w:r>
        <w:rPr>
          <w:b/>
          <w:bCs/>
          <w:rtl w:val="true"/>
        </w:rPr>
        <w:t>"</w:t>
      </w:r>
      <w:r>
        <w:rPr>
          <w:b/>
          <w:b/>
          <w:bCs/>
          <w:rtl w:val="true"/>
        </w:rPr>
        <w:t>ל       נועה        זומר</w:t>
      </w:r>
      <w:r>
        <w:rPr>
          <w:rFonts w:ascii="David" w:hAnsi="David"/>
          <w:b/>
          <w:b/>
          <w:bCs/>
          <w:rtl w:val="true"/>
        </w:rPr>
        <w:t xml:space="preserve">    –</w:t>
      </w:r>
      <w:r>
        <w:rPr>
          <w:b/>
          <w:b/>
          <w:bCs/>
          <w:rtl w:val="true"/>
        </w:rPr>
        <w:t xml:space="preserve">    </w:t>
      </w:r>
      <w:r>
        <w:rPr>
          <w:rtl w:val="true"/>
        </w:rPr>
        <w:t>המשנה לנשיאה</w:t>
      </w:r>
    </w:p>
    <w:p>
      <w:pPr>
        <w:pStyle w:val="Normal"/>
        <w:spacing w:lineRule="auto" w:line="480" w:before="120" w:after="0"/>
        <w:ind w:left="2174" w:right="2268" w:hanging="0"/>
        <w:jc w:val="both"/>
        <w:rPr>
          <w:b/>
          <w:b/>
          <w:bCs/>
        </w:rPr>
      </w:pPr>
      <w:r>
        <w:rPr>
          <w:b/>
          <w:bCs/>
          <w:rtl w:val="true"/>
        </w:rPr>
        <w:t xml:space="preserve"> </w:t>
      </w:r>
      <w:r>
        <w:rPr>
          <w:b/>
          <w:b/>
          <w:bCs/>
          <w:rtl w:val="true"/>
        </w:rPr>
        <w:t>אל</w:t>
      </w:r>
      <w:r>
        <w:rPr>
          <w:b/>
          <w:bCs/>
          <w:rtl w:val="true"/>
        </w:rPr>
        <w:t>"</w:t>
      </w:r>
      <w:r>
        <w:rPr>
          <w:b/>
          <w:b/>
          <w:bCs/>
          <w:rtl w:val="true"/>
        </w:rPr>
        <w:t>ם מאיה  גולדשמידט</w:t>
      </w:r>
      <w:r>
        <w:rPr>
          <w:rFonts w:ascii="David" w:hAnsi="David"/>
          <w:rtl w:val="true"/>
        </w:rPr>
        <w:t xml:space="preserve">   </w:t>
      </w:r>
      <w:r>
        <w:rPr>
          <w:rFonts w:ascii="David" w:hAnsi="David"/>
          <w:b/>
          <w:b/>
          <w:bCs/>
          <w:rtl w:val="true"/>
        </w:rPr>
        <w:t>–</w:t>
      </w:r>
      <w:r>
        <w:rPr>
          <w:rFonts w:ascii="David" w:hAnsi="David"/>
          <w:rtl w:val="true"/>
        </w:rPr>
        <w:t xml:space="preserve">                 </w:t>
      </w:r>
      <w:r>
        <w:rPr>
          <w:rtl w:val="true"/>
        </w:rPr>
        <w:t>שופטת</w:t>
      </w:r>
      <w:r>
        <w:rPr>
          <w:b/>
          <w:b/>
          <w:bCs/>
          <w:rtl w:val="true"/>
        </w:rPr>
        <w:t xml:space="preserve"> </w:t>
      </w:r>
    </w:p>
    <w:p>
      <w:pPr>
        <w:pStyle w:val="Normal"/>
        <w:spacing w:lineRule="auto" w:line="480" w:before="120" w:after="0"/>
        <w:ind w:left="2174" w:right="2268" w:hanging="0"/>
        <w:jc w:val="both"/>
        <w:rPr/>
      </w:pPr>
      <w:r>
        <w:rPr>
          <w:b/>
          <w:b/>
          <w:bCs/>
          <w:rtl w:val="true"/>
        </w:rPr>
        <w:t>אל</w:t>
      </w:r>
      <w:r>
        <w:rPr>
          <w:b/>
          <w:bCs/>
          <w:rtl w:val="true"/>
        </w:rPr>
        <w:t>"</w:t>
      </w:r>
      <w:r>
        <w:rPr>
          <w:b/>
          <w:b/>
          <w:bCs/>
          <w:rtl w:val="true"/>
        </w:rPr>
        <w:t xml:space="preserve">ם </w:t>
      </w:r>
      <w:r>
        <w:rPr>
          <w:b/>
          <w:bCs/>
          <w:rtl w:val="true"/>
        </w:rPr>
        <w:t>(</w:t>
      </w:r>
      <w:r>
        <w:rPr>
          <w:b/>
          <w:b/>
          <w:bCs/>
          <w:rtl w:val="true"/>
        </w:rPr>
        <w:t>מיל</w:t>
      </w:r>
      <w:r>
        <w:rPr>
          <w:b/>
          <w:bCs/>
          <w:rtl w:val="true"/>
        </w:rPr>
        <w:t xml:space="preserve">') </w:t>
      </w:r>
      <w:r>
        <w:rPr>
          <w:b/>
          <w:b/>
          <w:bCs/>
          <w:rtl w:val="true"/>
        </w:rPr>
        <w:t xml:space="preserve">רמי בן  עמי    </w:t>
      </w:r>
      <w:r>
        <w:rPr>
          <w:rFonts w:ascii="David" w:hAnsi="David"/>
          <w:b/>
          <w:b/>
          <w:bCs/>
          <w:rtl w:val="true"/>
        </w:rPr>
        <w:t>–</w:t>
      </w:r>
      <w:r>
        <w:rPr>
          <w:b/>
          <w:b/>
          <w:bCs/>
          <w:rtl w:val="true"/>
        </w:rPr>
        <w:t xml:space="preserve">                    </w:t>
      </w:r>
      <w:r>
        <w:rPr>
          <w:rtl w:val="true"/>
        </w:rPr>
        <w:t>שופט</w:t>
      </w:r>
    </w:p>
    <w:p>
      <w:pPr>
        <w:pStyle w:val="Normal"/>
        <w:rPr>
          <w:rFonts w:ascii="David" w:hAnsi="David"/>
        </w:rPr>
      </w:pPr>
      <w:r>
        <w:rPr>
          <w:rFonts w:ascii="David" w:hAnsi="David"/>
          <w:rtl w:val="true"/>
        </w:rPr>
        <w:t>בעניין</w:t>
      </w:r>
      <w:r>
        <w:rPr>
          <w:rFonts w:ascii="David" w:hAnsi="David"/>
          <w:rtl w:val="true"/>
        </w:rPr>
        <w:t>:</w:t>
      </w:r>
    </w:p>
    <w:p>
      <w:pPr>
        <w:pStyle w:val="Normal"/>
        <w:bidi w:val="0"/>
        <w:jc w:val="center"/>
        <w:rPr>
          <w:rFonts w:ascii="David" w:hAnsi="David"/>
        </w:rPr>
      </w:pPr>
      <w:r>
        <w:rPr>
          <w:rFonts w:ascii="David" w:hAnsi="David"/>
          <w:b/>
          <w:b/>
          <w:bCs/>
          <w:rtl w:val="true"/>
        </w:rPr>
        <w:t>התובע הצבאי הראשי –</w:t>
      </w:r>
      <w:r>
        <w:rPr>
          <w:rFonts w:ascii="David" w:hAnsi="David"/>
          <w:rtl w:val="true"/>
        </w:rPr>
        <w:t xml:space="preserve"> המערער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י 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כ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רס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ן אוהד מנור</w:t>
      </w:r>
      <w:r>
        <w:rPr>
          <w:rFonts w:ascii="David" w:hAnsi="David"/>
          <w:rtl w:val="true"/>
        </w:rPr>
        <w:t xml:space="preserve">; </w:t>
      </w:r>
      <w:r>
        <w:rPr>
          <w:rFonts w:ascii="David" w:hAnsi="David"/>
          <w:rtl w:val="true"/>
        </w:rPr>
        <w:t>סרן הודיה אביב</w:t>
      </w:r>
      <w:r>
        <w:rPr>
          <w:rFonts w:ascii="David" w:hAnsi="David"/>
          <w:rtl w:val="true"/>
        </w:rPr>
        <w:t>)</w:t>
      </w:r>
    </w:p>
    <w:p>
      <w:pPr>
        <w:pStyle w:val="Normal"/>
        <w:jc w:val="center"/>
        <w:rPr>
          <w:rFonts w:ascii="David" w:hAnsi="David"/>
          <w:sz w:val="12"/>
          <w:szCs w:val="12"/>
        </w:rPr>
      </w:pPr>
      <w:r>
        <w:rPr>
          <w:rFonts w:ascii="David" w:hAnsi="David"/>
          <w:sz w:val="12"/>
          <w:szCs w:val="12"/>
          <w:rtl w:val="true"/>
        </w:rPr>
      </w:r>
    </w:p>
    <w:p>
      <w:pPr>
        <w:pStyle w:val="Normal"/>
        <w:spacing w:before="0" w:after="360"/>
        <w:jc w:val="center"/>
        <w:rPr>
          <w:rFonts w:ascii="David" w:hAnsi="David"/>
          <w:b/>
          <w:b/>
          <w:bCs/>
        </w:rPr>
      </w:pPr>
      <w:r>
        <w:rPr>
          <w:rFonts w:ascii="David" w:hAnsi="David"/>
          <w:b/>
          <w:b/>
          <w:bCs/>
          <w:rtl w:val="true"/>
        </w:rPr>
        <w:t xml:space="preserve">נ ג ד </w:t>
      </w:r>
    </w:p>
    <w:p>
      <w:pPr>
        <w:pStyle w:val="Normal"/>
        <w:spacing w:before="0" w:after="120"/>
        <w:jc w:val="center"/>
        <w:rPr>
          <w:rFonts w:ascii="David" w:hAnsi="David"/>
        </w:rPr>
      </w:pPr>
      <w:r>
        <w:rPr>
          <w:rFonts w:eastAsia="Times New Roman" w:ascii="David" w:hAnsi="David"/>
          <w:b/>
          <w:bCs/>
          <w:szCs w:val="24"/>
        </w:rPr>
        <w:t>X</w:t>
      </w:r>
      <w:r>
        <w:rPr>
          <w:rFonts w:eastAsia="Times New Roman" w:ascii="Times New Roman" w:hAnsi="Times New Roman"/>
          <w:b/>
          <w:bCs/>
          <w:sz w:val="32"/>
        </w:rPr>
        <w:t>/</w:t>
      </w:r>
      <w:r>
        <w:rPr>
          <w:rFonts w:ascii="David" w:hAnsi="David"/>
          <w:b/>
          <w:bCs/>
        </w:rPr>
        <w:t>XXXXXXX</w:t>
      </w:r>
      <w:r>
        <w:rPr>
          <w:rFonts w:eastAsia="Times New Roman" w:ascii="Times New Roman" w:hAnsi="Times New Roman"/>
          <w:b/>
          <w:bCs/>
          <w:sz w:val="32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רס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 xml:space="preserve">ל </w:t>
      </w:r>
      <w:r>
        <w:rPr>
          <w:rFonts w:ascii="David" w:hAnsi="David"/>
          <w:b/>
          <w:bCs/>
          <w:rtl w:val="true"/>
        </w:rPr>
        <w:t>(</w:t>
      </w:r>
      <w:r>
        <w:rPr>
          <w:rFonts w:ascii="David" w:hAnsi="David"/>
          <w:b/>
          <w:b/>
          <w:bCs/>
          <w:rtl w:val="true"/>
        </w:rPr>
        <w:t>מיל</w:t>
      </w:r>
      <w:r>
        <w:rPr>
          <w:rFonts w:ascii="David" w:hAnsi="David"/>
          <w:b/>
          <w:bCs/>
          <w:rtl w:val="true"/>
        </w:rPr>
        <w:t xml:space="preserve">') </w:t>
      </w:r>
      <w:r>
        <w:rPr>
          <w:rFonts w:ascii="David" w:hAnsi="David"/>
          <w:b/>
          <w:b/>
          <w:bCs/>
          <w:rtl w:val="true"/>
        </w:rPr>
        <w:t>ש’ ש’</w:t>
      </w:r>
      <w:r>
        <w:rPr>
          <w:rFonts w:ascii="David" w:hAnsi="David"/>
          <w:b/>
          <w:b/>
          <w:bCs/>
          <w:rtl w:val="true"/>
        </w:rPr>
        <w:t xml:space="preserve"> –</w:t>
      </w:r>
      <w:r>
        <w:rPr>
          <w:rFonts w:ascii="David" w:hAnsi="David"/>
          <w:rtl w:val="true"/>
        </w:rPr>
        <w:t xml:space="preserve"> המשיב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י 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כ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עו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ד עדי ריטיגשטיין אייזנר</w:t>
      </w:r>
      <w:r>
        <w:rPr>
          <w:rFonts w:ascii="David" w:hAnsi="David"/>
          <w:rtl w:val="true"/>
        </w:rPr>
        <w:t>)</w:t>
      </w:r>
    </w:p>
    <w:p>
      <w:pPr>
        <w:pStyle w:val="Normal"/>
        <w:spacing w:before="0" w:after="120"/>
        <w:rPr>
          <w:rFonts w:ascii="David" w:hAnsi="David"/>
          <w:sz w:val="18"/>
          <w:szCs w:val="18"/>
        </w:rPr>
      </w:pPr>
      <w:r>
        <w:rPr>
          <w:rFonts w:ascii="David" w:hAnsi="David"/>
          <w:sz w:val="18"/>
          <w:szCs w:val="18"/>
          <w:rtl w:val="true"/>
        </w:rPr>
      </w:r>
    </w:p>
    <w:p>
      <w:pPr>
        <w:pStyle w:val="Normal"/>
        <w:spacing w:before="0" w:after="120"/>
        <w:rPr>
          <w:rFonts w:ascii="David" w:hAnsi="David"/>
        </w:rPr>
      </w:pPr>
      <w:r>
        <w:rPr>
          <w:rFonts w:ascii="David" w:hAnsi="David"/>
          <w:rtl w:val="true"/>
        </w:rPr>
        <w:t>ובעניין</w:t>
      </w:r>
      <w:r>
        <w:rPr>
          <w:rFonts w:ascii="David" w:hAnsi="David"/>
          <w:rtl w:val="true"/>
        </w:rPr>
        <w:t>:</w:t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/>
          <w:b/>
          <w:b/>
          <w:bCs/>
          <w:sz w:val="22"/>
          <w:szCs w:val="20"/>
        </w:rPr>
      </w:pPr>
      <w:r>
        <w:rPr>
          <w:rFonts w:eastAsia="Times New Roman" w:ascii="Times New Roman" w:hAnsi="Times New Roman"/>
          <w:b/>
          <w:bCs/>
          <w:sz w:val="22"/>
          <w:szCs w:val="20"/>
          <w:rtl w:val="true"/>
        </w:rPr>
      </w:r>
    </w:p>
    <w:p>
      <w:pPr>
        <w:pStyle w:val="Normal"/>
        <w:spacing w:before="0" w:after="120"/>
        <w:jc w:val="center"/>
        <w:rPr>
          <w:rFonts w:ascii="David" w:hAnsi="David"/>
        </w:rPr>
      </w:pPr>
      <w:r>
        <w:rPr>
          <w:rFonts w:eastAsia="Times New Roman" w:ascii="David" w:hAnsi="David"/>
          <w:b/>
          <w:bCs/>
          <w:szCs w:val="24"/>
        </w:rPr>
        <w:t>X</w:t>
      </w:r>
      <w:r>
        <w:rPr>
          <w:rFonts w:eastAsia="Times New Roman" w:ascii="Times New Roman" w:hAnsi="Times New Roman"/>
          <w:b/>
          <w:bCs/>
          <w:sz w:val="32"/>
        </w:rPr>
        <w:t>/</w:t>
      </w:r>
      <w:r>
        <w:rPr>
          <w:rFonts w:ascii="David" w:hAnsi="David"/>
          <w:b/>
          <w:bCs/>
        </w:rPr>
        <w:t>XXXXXXX</w:t>
      </w:r>
      <w:r>
        <w:rPr>
          <w:rFonts w:eastAsia="Times New Roman" w:ascii="Times New Roman" w:hAnsi="Times New Roman"/>
          <w:b/>
          <w:bCs/>
          <w:sz w:val="32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רס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 xml:space="preserve">ל </w:t>
      </w:r>
      <w:r>
        <w:rPr>
          <w:rFonts w:ascii="David" w:hAnsi="David"/>
          <w:b/>
          <w:bCs/>
          <w:rtl w:val="true"/>
        </w:rPr>
        <w:t>(</w:t>
      </w:r>
      <w:r>
        <w:rPr>
          <w:rFonts w:ascii="David" w:hAnsi="David"/>
          <w:b/>
          <w:b/>
          <w:bCs/>
          <w:rtl w:val="true"/>
        </w:rPr>
        <w:t>מיל</w:t>
      </w:r>
      <w:r>
        <w:rPr>
          <w:rFonts w:ascii="David" w:hAnsi="David"/>
          <w:b/>
          <w:bCs/>
          <w:rtl w:val="true"/>
        </w:rPr>
        <w:t xml:space="preserve">') </w:t>
      </w:r>
      <w:r>
        <w:rPr>
          <w:rFonts w:ascii="David" w:hAnsi="David"/>
          <w:b/>
          <w:b/>
          <w:bCs/>
          <w:rtl w:val="true"/>
        </w:rPr>
        <w:t>ש’ ש’</w:t>
      </w:r>
      <w:r>
        <w:rPr>
          <w:rFonts w:ascii="David" w:hAnsi="David"/>
          <w:b/>
          <w:b/>
          <w:bCs/>
          <w:rtl w:val="true"/>
        </w:rPr>
        <w:t xml:space="preserve"> –</w:t>
      </w:r>
      <w:r>
        <w:rPr>
          <w:rFonts w:ascii="David" w:hAnsi="David"/>
          <w:rtl w:val="true"/>
        </w:rPr>
        <w:t xml:space="preserve"> המערער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י 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כ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עו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ד עדי ריטיגשטיין אייזנר</w:t>
      </w:r>
      <w:r>
        <w:rPr>
          <w:rFonts w:ascii="David" w:hAnsi="David"/>
          <w:rtl w:val="true"/>
        </w:rPr>
        <w:t>)</w:t>
      </w:r>
    </w:p>
    <w:p>
      <w:pPr>
        <w:pStyle w:val="Normal"/>
        <w:jc w:val="center"/>
        <w:rPr>
          <w:rFonts w:ascii="David" w:hAnsi="David"/>
          <w:sz w:val="16"/>
          <w:szCs w:val="16"/>
        </w:rPr>
      </w:pPr>
      <w:r>
        <w:rPr>
          <w:rFonts w:ascii="David" w:hAnsi="David"/>
          <w:sz w:val="16"/>
          <w:szCs w:val="16"/>
          <w:rtl w:val="true"/>
        </w:rPr>
      </w:r>
    </w:p>
    <w:p>
      <w:pPr>
        <w:pStyle w:val="Normal"/>
        <w:spacing w:before="0" w:after="360"/>
        <w:jc w:val="center"/>
        <w:rPr>
          <w:rFonts w:ascii="David" w:hAnsi="David"/>
          <w:b/>
          <w:b/>
          <w:bCs/>
        </w:rPr>
      </w:pPr>
      <w:r>
        <w:rPr>
          <w:rFonts w:ascii="David" w:hAnsi="David"/>
          <w:b/>
          <w:b/>
          <w:bCs/>
          <w:rtl w:val="true"/>
        </w:rPr>
        <w:t xml:space="preserve">נ ג ד </w:t>
      </w:r>
    </w:p>
    <w:p>
      <w:pPr>
        <w:pStyle w:val="Normal"/>
        <w:bidi w:val="0"/>
        <w:jc w:val="center"/>
        <w:rPr>
          <w:rFonts w:ascii="David" w:hAnsi="David"/>
        </w:rPr>
      </w:pPr>
      <w:r>
        <w:rPr>
          <w:rFonts w:ascii="David" w:hAnsi="David"/>
          <w:b/>
          <w:b/>
          <w:bCs/>
          <w:rtl w:val="true"/>
        </w:rPr>
        <w:t>התובע הצבאי הראשי –</w:t>
      </w:r>
      <w:r>
        <w:rPr>
          <w:rFonts w:ascii="David" w:hAnsi="David"/>
          <w:rtl w:val="true"/>
        </w:rPr>
        <w:t xml:space="preserve"> המשיב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י 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כ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רס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ן אוהד מנור</w:t>
      </w:r>
      <w:r>
        <w:rPr>
          <w:rFonts w:ascii="David" w:hAnsi="David"/>
          <w:rtl w:val="true"/>
        </w:rPr>
        <w:t xml:space="preserve">; </w:t>
      </w:r>
      <w:r>
        <w:rPr>
          <w:rFonts w:ascii="David" w:hAnsi="David"/>
          <w:rtl w:val="true"/>
        </w:rPr>
        <w:t>סרן הודיה אביב</w:t>
      </w:r>
      <w:r>
        <w:rPr>
          <w:rFonts w:ascii="David" w:hAnsi="David"/>
          <w:rtl w:val="true"/>
        </w:rPr>
        <w:t>)</w:t>
      </w:r>
    </w:p>
    <w:p>
      <w:pPr>
        <w:pStyle w:val="Normal"/>
        <w:bidi w:val="0"/>
        <w:jc w:val="center"/>
        <w:rPr>
          <w:rFonts w:ascii="David" w:hAnsi="David"/>
        </w:rPr>
      </w:pPr>
      <w:r>
        <w:rPr>
          <w:rFonts w:ascii="David" w:hAnsi="David"/>
        </w:rPr>
      </w:r>
      <w:bookmarkStart w:id="2" w:name="_Hlk149824479"/>
      <w:bookmarkStart w:id="3" w:name="_Hlk149821736"/>
      <w:bookmarkStart w:id="4" w:name="_Hlk149824479"/>
      <w:bookmarkStart w:id="5" w:name="_Hlk149821736"/>
      <w:bookmarkEnd w:id="4"/>
      <w:bookmarkEnd w:id="5"/>
    </w:p>
    <w:p>
      <w:pPr>
        <w:pStyle w:val="Normal"/>
        <w:numPr>
          <w:ilvl w:val="0"/>
          <w:numId w:val="0"/>
        </w:numPr>
        <w:spacing w:lineRule="auto" w:line="360" w:before="0" w:after="0"/>
        <w:contextualSpacing/>
        <w:jc w:val="both"/>
        <w:outlineLvl w:val="0"/>
        <w:rPr>
          <w:rFonts w:ascii="David" w:hAnsi="David"/>
          <w:b/>
          <w:b/>
          <w:bCs/>
          <w:u w:val="single"/>
        </w:rPr>
      </w:pPr>
      <w:r>
        <w:rPr>
          <w:rFonts w:ascii="David" w:hAnsi="David"/>
          <w:rtl w:val="true"/>
        </w:rPr>
        <w:t>ערעור על גזר דין של בית הדין הצבאי המחוזי במחוז שיפוטי חיל האוויר שניתן בתיק חיל האוויר ת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פ </w:t>
      </w:r>
      <w:r>
        <w:rPr>
          <w:rFonts w:ascii="David" w:hAnsi="David"/>
        </w:rPr>
        <w:t>59674-04-25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  <w:rtl w:val="true"/>
        </w:rPr>
        <w:t>אל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ם שחר גרינברג – אב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ד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רס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ן שקד לוי – שופטת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רס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ן דוד עמר – שופט</w:t>
      </w:r>
      <w:r>
        <w:rPr>
          <w:rFonts w:ascii="David" w:hAnsi="David"/>
          <w:rtl w:val="true"/>
        </w:rPr>
        <w:t xml:space="preserve">) </w:t>
      </w:r>
      <w:r>
        <w:rPr>
          <w:rFonts w:ascii="David" w:hAnsi="David"/>
          <w:rtl w:val="true"/>
        </w:rPr>
        <w:t xml:space="preserve">ביום </w:t>
      </w:r>
      <w:r>
        <w:rPr>
          <w:rFonts w:ascii="David" w:hAnsi="David"/>
        </w:rPr>
        <w:t>3.12.2025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ערעור התביעה התקבל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ערעור ההגנה נדחה</w:t>
      </w:r>
      <w:r>
        <w:rPr>
          <w:rFonts w:ascii="David" w:hAnsi="David"/>
          <w:rtl w:val="true"/>
        </w:rPr>
        <w:t>.</w:t>
      </w:r>
    </w:p>
    <w:p>
      <w:pPr>
        <w:pStyle w:val="Normal"/>
        <w:numPr>
          <w:ilvl w:val="0"/>
          <w:numId w:val="0"/>
        </w:numPr>
        <w:spacing w:lineRule="auto" w:line="360" w:before="0" w:after="0"/>
        <w:contextualSpacing/>
        <w:outlineLvl w:val="0"/>
        <w:rPr>
          <w:rFonts w:ascii="David" w:hAnsi="David"/>
          <w:b/>
          <w:b/>
          <w:bCs/>
          <w:u w:val="single"/>
        </w:rPr>
      </w:pPr>
      <w:r>
        <w:rPr>
          <w:rFonts w:ascii="David" w:hAnsi="David"/>
          <w:b/>
          <w:bCs/>
          <w:u w:val="single"/>
          <w:rtl w:val="true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contextualSpacing/>
        <w:jc w:val="center"/>
        <w:outlineLvl w:val="0"/>
        <w:rPr>
          <w:rFonts w:ascii="David" w:hAnsi="David"/>
          <w:b/>
          <w:b/>
          <w:bCs/>
          <w:u w:val="single"/>
        </w:rPr>
      </w:pPr>
      <w:r>
        <w:rPr>
          <w:rFonts w:ascii="David" w:hAnsi="David"/>
          <w:b/>
          <w:b/>
          <w:bCs/>
          <w:u w:val="single"/>
          <w:rtl w:val="true"/>
        </w:rPr>
        <w:t xml:space="preserve">פ ס ק </w:t>
      </w:r>
      <w:r>
        <w:rPr>
          <w:rFonts w:ascii="David" w:hAnsi="David"/>
          <w:b/>
          <w:bCs/>
          <w:u w:val="single"/>
          <w:rtl w:val="true"/>
        </w:rPr>
        <w:t>-</w:t>
      </w:r>
      <w:r>
        <w:rPr>
          <w:rFonts w:ascii="David" w:hAnsi="David"/>
          <w:b/>
          <w:b/>
          <w:bCs/>
          <w:u w:val="single"/>
          <w:rtl w:val="true"/>
        </w:rPr>
        <w:t>ד י ן</w:t>
      </w:r>
    </w:p>
    <w:p>
      <w:pPr>
        <w:pStyle w:val="1"/>
        <w:numPr>
          <w:ilvl w:val="0"/>
          <w:numId w:val="0"/>
        </w:numPr>
        <w:tabs>
          <w:tab w:val="clear" w:pos="720"/>
          <w:tab w:val="left" w:pos="283" w:leader="none"/>
        </w:tabs>
        <w:spacing w:lineRule="auto" w:line="360"/>
        <w:ind w:left="0" w:hanging="0"/>
        <w:jc w:val="both"/>
        <w:outlineLvl w:val="0"/>
        <w:rPr>
          <w:rFonts w:ascii="David" w:hAnsi="David" w:cs="David"/>
          <w:b/>
          <w:b/>
          <w:bCs/>
          <w:sz w:val="20"/>
          <w:szCs w:val="20"/>
          <w:u w:val="single"/>
        </w:rPr>
      </w:pPr>
      <w:r>
        <w:rPr>
          <w:rFonts w:cs="David" w:ascii="David" w:hAnsi="David"/>
          <w:b/>
          <w:bCs/>
          <w:sz w:val="20"/>
          <w:szCs w:val="20"/>
          <w:u w:val="single"/>
          <w:rtl w:val="true"/>
        </w:rPr>
      </w:r>
    </w:p>
    <w:p>
      <w:pPr>
        <w:pStyle w:val="1"/>
        <w:numPr>
          <w:ilvl w:val="0"/>
          <w:numId w:val="0"/>
        </w:numPr>
        <w:tabs>
          <w:tab w:val="clear" w:pos="720"/>
          <w:tab w:val="left" w:pos="283" w:leader="none"/>
        </w:tabs>
        <w:spacing w:lineRule="auto" w:line="360"/>
        <w:ind w:left="0" w:hanging="0"/>
        <w:jc w:val="both"/>
        <w:outlineLvl w:val="0"/>
        <w:rPr>
          <w:rFonts w:ascii="David" w:hAnsi="David" w:cs="David"/>
          <w:b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u w:val="single"/>
          <w:rtl w:val="true"/>
        </w:rPr>
        <w:t>רקע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רס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ל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מיל</w:t>
      </w:r>
      <w:r>
        <w:rPr>
          <w:rFonts w:ascii="David" w:hAnsi="David"/>
          <w:rtl w:val="true"/>
        </w:rPr>
        <w:t xml:space="preserve">') </w:t>
      </w:r>
      <w:r>
        <w:rPr>
          <w:rFonts w:ascii="David" w:hAnsi="David"/>
          <w:rtl w:val="true"/>
        </w:rPr>
        <w:t>ש’ ש’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הורשע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על</w:t>
      </w:r>
      <w:r>
        <w:rPr>
          <w:rFonts w:ascii="David" w:hAnsi="David"/>
          <w:rtl w:val="true"/>
        </w:rPr>
        <w:t>-</w:t>
      </w:r>
      <w:r>
        <w:rPr>
          <w:rFonts w:ascii="David" w:hAnsi="David"/>
          <w:rtl w:val="true"/>
        </w:rPr>
        <w:t>פי הודאתו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בעבירה של פגיעה בפרטיות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לפי סעיפים </w:t>
      </w:r>
      <w:r>
        <w:rPr>
          <w:rFonts w:ascii="David" w:hAnsi="David"/>
        </w:rPr>
        <w:t>2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1</w:t>
      </w:r>
      <w:r>
        <w:rPr>
          <w:rFonts w:ascii="David" w:hAnsi="David"/>
          <w:rtl w:val="true"/>
        </w:rPr>
        <w:t xml:space="preserve">) </w:t>
      </w:r>
      <w:r>
        <w:rPr>
          <w:rFonts w:ascii="David" w:hAnsi="David"/>
          <w:rtl w:val="true"/>
        </w:rPr>
        <w:t>ו</w:t>
      </w:r>
      <w:r>
        <w:rPr>
          <w:rFonts w:ascii="David" w:hAnsi="David"/>
          <w:rtl w:val="true"/>
        </w:rPr>
        <w:t>-</w:t>
      </w:r>
      <w:r>
        <w:rPr>
          <w:rFonts w:ascii="David" w:hAnsi="David"/>
        </w:rPr>
        <w:t>2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3</w:t>
      </w:r>
      <w:r>
        <w:rPr>
          <w:rFonts w:ascii="David" w:hAnsi="David"/>
          <w:rtl w:val="true"/>
        </w:rPr>
        <w:t xml:space="preserve">) </w:t>
      </w:r>
      <w:r>
        <w:rPr>
          <w:rFonts w:ascii="David" w:hAnsi="David"/>
          <w:rtl w:val="true"/>
        </w:rPr>
        <w:t>לחוק הגנת הפרטיות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תשמ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א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</w:rPr>
        <w:t>1981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בעבירה של מעשה מגונה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לפי סעיף </w:t>
      </w:r>
      <w:r>
        <w:rPr>
          <w:rFonts w:ascii="David" w:hAnsi="David"/>
        </w:rPr>
        <w:t>348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ג</w:t>
      </w:r>
      <w:r>
        <w:rPr>
          <w:rFonts w:ascii="David" w:hAnsi="David"/>
          <w:rtl w:val="true"/>
        </w:rPr>
        <w:t xml:space="preserve">) </w:t>
      </w:r>
      <w:r>
        <w:rPr>
          <w:rFonts w:ascii="David" w:hAnsi="David"/>
          <w:rtl w:val="true"/>
        </w:rPr>
        <w:t>לחוק העונשין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תשל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ז</w:t>
      </w:r>
      <w:r>
        <w:rPr>
          <w:rFonts w:ascii="David" w:hAnsi="David"/>
          <w:rtl w:val="true"/>
        </w:rPr>
        <w:t>-</w:t>
      </w:r>
      <w:r>
        <w:rPr>
          <w:rFonts w:ascii="David" w:hAnsi="David"/>
        </w:rPr>
        <w:t>1977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ובעבירה של התנהגות שאינה הולמת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לפי סעיף </w:t>
      </w:r>
      <w:r>
        <w:rPr>
          <w:rFonts w:ascii="David" w:hAnsi="David"/>
        </w:rPr>
        <w:t>130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לחוק השיפוט הצבאי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תשט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ו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</w:rPr>
        <w:t>1955</w:t>
      </w:r>
      <w:r>
        <w:rPr>
          <w:rFonts w:ascii="David" w:hAnsi="David"/>
          <w:rtl w:val="true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בית הדין קמא הנכבד השית על המערער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בגין הרשעתו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ארבעה חודשי 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מאסרים מותנים והורדה לדרגת טוראי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לנפגעת העבירה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סמל ש</w:t>
      </w:r>
      <w:r>
        <w:rPr>
          <w:rFonts w:ascii="David" w:hAnsi="David"/>
          <w:rtl w:val="true"/>
        </w:rPr>
        <w:t xml:space="preserve">', </w:t>
      </w:r>
      <w:r>
        <w:rPr>
          <w:rFonts w:ascii="David" w:hAnsi="David"/>
          <w:rtl w:val="true"/>
        </w:rPr>
        <w:t xml:space="preserve">נפסקו פיצויים בסך </w:t>
      </w:r>
      <w:r>
        <w:rPr>
          <w:rFonts w:ascii="David" w:hAnsi="David"/>
        </w:rPr>
        <w:t>1,500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ש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ח ולנפגעת העבירה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', </w:t>
      </w:r>
      <w:r>
        <w:rPr>
          <w:rFonts w:ascii="David" w:hAnsi="David"/>
          <w:rtl w:val="true"/>
        </w:rPr>
        <w:t xml:space="preserve">נפסקו פיצויים בסך </w:t>
      </w:r>
      <w:r>
        <w:rPr>
          <w:rFonts w:ascii="David" w:hAnsi="David"/>
        </w:rPr>
        <w:t>500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ש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ח</w:t>
      </w:r>
      <w:r>
        <w:rPr>
          <w:rFonts w:ascii="David" w:hAnsi="David"/>
          <w:rtl w:val="tru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ההגנה לא השלימה עם חומרתו של עונש המאסר בפועל ועתרה להקל במשכו או להורות על נשיאתו בדרך של עבודה צבאית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התביעה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מנגד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עתרה להגדיל את סכום הפיצויים שנפסקו לנפגעות העבירה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מכאן הערעורים שלפנינו</w:t>
      </w:r>
      <w:r>
        <w:rPr>
          <w:rFonts w:ascii="David" w:hAnsi="David"/>
          <w:rtl w:val="true"/>
        </w:rPr>
        <w:t>.</w:t>
      </w:r>
    </w:p>
    <w:p>
      <w:pPr>
        <w:pStyle w:val="Normal"/>
        <w:tabs>
          <w:tab w:val="clear" w:pos="720"/>
          <w:tab w:val="left" w:pos="425" w:leader="none"/>
        </w:tabs>
        <w:spacing w:lineRule="auto" w:line="360" w:before="0" w:after="0"/>
        <w:contextualSpacing/>
        <w:jc w:val="both"/>
        <w:rPr>
          <w:rFonts w:ascii="David" w:hAnsi="David"/>
          <w:sz w:val="20"/>
          <w:szCs w:val="20"/>
        </w:rPr>
      </w:pPr>
      <w:r>
        <w:rPr>
          <w:rFonts w:ascii="David" w:hAnsi="David"/>
          <w:sz w:val="20"/>
          <w:szCs w:val="20"/>
          <w:rtl w:val="true"/>
        </w:rPr>
      </w:r>
    </w:p>
    <w:p>
      <w:pPr>
        <w:pStyle w:val="Normal"/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b/>
          <w:b/>
          <w:bCs/>
          <w:u w:val="single"/>
          <w:rtl w:val="true"/>
        </w:rPr>
        <w:t>ההליכים בבית הדין המחוזי ועיקרי גזר הדין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נסיבות ביצוען של העבירות פורטו בגזר דינו של בית הדין קמא כדלקמן</w:t>
      </w:r>
      <w:r>
        <w:rPr>
          <w:rFonts w:ascii="David" w:hAnsi="David"/>
          <w:rtl w:val="true"/>
        </w:rPr>
        <w:t>:</w:t>
      </w:r>
    </w:p>
    <w:p>
      <w:pPr>
        <w:pStyle w:val="Normal"/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tabs>
          <w:tab w:val="clear" w:pos="720"/>
          <w:tab w:val="left" w:pos="425" w:leader="none"/>
        </w:tabs>
        <w:spacing w:lineRule="auto" w:line="240" w:before="0" w:after="0"/>
        <w:ind w:left="851" w:right="851" w:hanging="0"/>
        <w:contextualSpacing/>
        <w:jc w:val="both"/>
        <w:rPr>
          <w:rFonts w:ascii="David" w:hAnsi="David"/>
        </w:rPr>
      </w:pP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ביום </w:t>
      </w:r>
      <w:r>
        <w:rPr>
          <w:rFonts w:ascii="David" w:hAnsi="David"/>
        </w:rPr>
        <w:t>8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באוקטובר </w:t>
      </w:r>
      <w:r>
        <w:rPr>
          <w:rFonts w:ascii="David" w:hAnsi="David"/>
        </w:rPr>
        <w:t>2023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גויס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לשירות מילואים פעיל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ושימש בתפקיד רכז ביטחון מידע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גויסה אף היא לשירות מילואים פעיל ושירתה באותו בסיס עם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>]. 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וסמל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הכירו על רקע שירותם המשותף בבסיס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ביום </w:t>
      </w:r>
      <w:r>
        <w:rPr>
          <w:rFonts w:ascii="David" w:hAnsi="David"/>
        </w:rPr>
        <w:t>11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באוקטובר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צ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ל</w:t>
      </w:r>
      <w:r>
        <w:rPr>
          <w:rFonts w:ascii="David" w:hAnsi="David"/>
          <w:rtl w:val="true"/>
        </w:rPr>
        <w:t xml:space="preserve">: </w:t>
      </w:r>
      <w:r>
        <w:rPr>
          <w:rFonts w:ascii="David" w:hAnsi="David"/>
          <w:rtl w:val="true"/>
        </w:rPr>
        <w:t>נובמבר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</w:rPr>
        <w:t>2024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החזיק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במפתח לרכב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אשר הכיל בתוכו מצלמה זעירה נסתרת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באמצעותה ניתן לתעד ולהקליט באופן חזותי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ולשדר בזמן אמת למכשיר הסלולארי של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>] (</w:t>
      </w:r>
      <w:r>
        <w:rPr>
          <w:rFonts w:ascii="David" w:hAnsi="David"/>
          <w:rtl w:val="true"/>
        </w:rPr>
        <w:t>להלן</w:t>
      </w:r>
      <w:r>
        <w:rPr>
          <w:rFonts w:ascii="David" w:hAnsi="David"/>
          <w:rtl w:val="true"/>
        </w:rPr>
        <w:t xml:space="preserve">: </w:t>
      </w:r>
      <w:r>
        <w:rPr>
          <w:rFonts w:ascii="David" w:hAnsi="David"/>
          <w:rtl w:val="true"/>
        </w:rPr>
        <w:t>ההתקן</w:t>
      </w:r>
      <w:r>
        <w:rPr>
          <w:rFonts w:ascii="David" w:hAnsi="David"/>
          <w:rtl w:val="true"/>
        </w:rPr>
        <w:t xml:space="preserve">). </w:t>
      </w:r>
      <w:r>
        <w:rPr>
          <w:rFonts w:ascii="David" w:hAnsi="David"/>
          <w:rtl w:val="true"/>
        </w:rPr>
        <w:t>במועד האמור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ישבו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וסמל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בבסיס כחלק ממשמרת</w:t>
      </w:r>
      <w:r>
        <w:rPr>
          <w:rFonts w:ascii="David" w:hAnsi="David"/>
          <w:rtl w:val="true"/>
        </w:rPr>
        <w:t>. 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אחז בידו בהתקן וסמל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שאלה אותו על אודות ההתקן</w:t>
      </w:r>
      <w:r>
        <w:rPr>
          <w:rFonts w:ascii="David" w:hAnsi="David"/>
          <w:rtl w:val="true"/>
        </w:rPr>
        <w:t>. 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השיב לה כי מדובר בחפץ חסר חשיבות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בהמשך היום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סמוך לשעה </w:t>
      </w:r>
      <w:r>
        <w:rPr>
          <w:rFonts w:ascii="David" w:hAnsi="David"/>
        </w:rPr>
        <w:t>19:00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נכנס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לחדר המקלחות במגורי הבנות</w:t>
      </w:r>
      <w:r>
        <w:rPr>
          <w:rFonts w:ascii="David" w:hAnsi="David"/>
          <w:rtl w:val="true"/>
        </w:rPr>
        <w:t>. 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הניח את ההתקן על אריזת נייר טואלט שהונחה על הרצפה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סמוך לתאי המקלחות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וכיסה את ההתקן בחולצה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כך שעינית המצלמה שבו הופנתה לכיוון המקלחות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לאחר מכן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יצא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מחדר המקלחות כשהוא מחזיק במכשיר הסלולארי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ושהה במקום סמוך כדי לצפות בשידור ישיר בחיילות מתקלחות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אך בפועל לא צפה במכשיר הסלולארי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בהמשך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בשעה </w:t>
      </w:r>
      <w:r>
        <w:rPr>
          <w:rFonts w:ascii="David" w:hAnsi="David"/>
        </w:rPr>
        <w:t>19:30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נכנסה 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לחדר המקלחות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בעת שהתקלחה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והייתה ללא בגדים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הבחינה 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באור אדום מהבהב שמופנה לכיוונה מעמדת גלילי נייר הטואלט עליה הונח ההתקן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כאשר 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התקרבה למקור האור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בעוד לבושה בתחתונים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הבחינה כי מתחת לבגד שהונח במקום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הוצב ההתקן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שצורתו מפתח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אשר הכיל מצלמה זעירה שהופנתה כלפי תאי המקלחות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נטלה את ההתקן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יצאה מתא המקלחת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ניגשה ל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ששהה במקום סמוך ושאלה אותו האם ההתקן שייך לו</w:t>
      </w:r>
      <w:r>
        <w:rPr>
          <w:rFonts w:ascii="David" w:hAnsi="David"/>
          <w:rtl w:val="true"/>
        </w:rPr>
        <w:t>. 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השיב בחיוב</w:t>
      </w:r>
      <w:r>
        <w:rPr>
          <w:rFonts w:ascii="David" w:hAnsi="David"/>
          <w:rtl w:val="true"/>
        </w:rPr>
        <w:t>.</w:t>
      </w:r>
    </w:p>
    <w:p>
      <w:pPr>
        <w:pStyle w:val="Normal"/>
        <w:tabs>
          <w:tab w:val="clear" w:pos="720"/>
          <w:tab w:val="left" w:pos="425" w:leader="none"/>
        </w:tabs>
        <w:spacing w:lineRule="auto" w:line="240" w:before="0" w:after="0"/>
        <w:ind w:left="851" w:right="851" w:hanging="0"/>
        <w:contextualSpacing/>
        <w:jc w:val="both"/>
        <w:rPr>
          <w:rFonts w:ascii="David" w:hAnsi="David"/>
        </w:rPr>
      </w:pPr>
      <w:r>
        <w:rPr>
          <w:rFonts w:ascii="David" w:hAnsi="David"/>
          <w:rtl w:val="true"/>
        </w:rPr>
        <w:t>לאחר שיח בין השניים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נכנס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ליישומון ייעודי במכשירו הסלולארי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בו משודרים תוצרי הסרטונים המתועדים בהתקן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ושדרכו ניתן לצפות בשידור ישיר בצילומי ההתקן</w:t>
      </w:r>
      <w:r>
        <w:rPr>
          <w:rFonts w:ascii="David" w:hAnsi="David"/>
          <w:rtl w:val="true"/>
        </w:rPr>
        <w:t>. 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מחק את הסרטונים שצולמו במכשירו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לרבות הסרטון שתיעד את 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בחדר המקלחות</w:t>
      </w:r>
      <w:r>
        <w:rPr>
          <w:rFonts w:ascii="David" w:hAnsi="David"/>
          <w:rtl w:val="true"/>
        </w:rPr>
        <w:t>....</w:t>
      </w:r>
    </w:p>
    <w:p>
      <w:pPr>
        <w:pStyle w:val="Normal"/>
        <w:tabs>
          <w:tab w:val="clear" w:pos="720"/>
          <w:tab w:val="left" w:pos="425" w:leader="none"/>
        </w:tabs>
        <w:spacing w:lineRule="auto" w:line="240" w:before="0" w:after="0"/>
        <w:ind w:left="851" w:right="851" w:hanging="0"/>
        <w:contextualSpacing/>
        <w:jc w:val="both"/>
        <w:rPr>
          <w:rFonts w:ascii="David" w:hAnsi="David"/>
        </w:rPr>
      </w:pPr>
      <w:r>
        <w:rPr>
          <w:rFonts w:ascii="David" w:hAnsi="David"/>
          <w:rtl w:val="true"/>
        </w:rPr>
        <w:t>בנוסף</w:t>
      </w:r>
      <w:r>
        <w:rPr>
          <w:rFonts w:ascii="David" w:hAnsi="David"/>
          <w:rtl w:val="true"/>
        </w:rPr>
        <w:t xml:space="preserve">... </w:t>
      </w:r>
      <w:r>
        <w:rPr>
          <w:rFonts w:ascii="David" w:hAnsi="David"/>
          <w:rtl w:val="true"/>
        </w:rPr>
        <w:t xml:space="preserve">ביום </w:t>
      </w:r>
      <w:r>
        <w:rPr>
          <w:rFonts w:ascii="David" w:hAnsi="David"/>
        </w:rPr>
        <w:t>9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ביולי </w:t>
      </w:r>
      <w:r>
        <w:rPr>
          <w:rFonts w:ascii="David" w:hAnsi="David"/>
        </w:rPr>
        <w:t>2024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צפו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וחיילים נוספים בבסיס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בהם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', </w:t>
      </w:r>
      <w:r>
        <w:rPr>
          <w:rFonts w:ascii="David" w:hAnsi="David"/>
          <w:rtl w:val="true"/>
        </w:rPr>
        <w:t>במשחק כדורגל ששודר בטלוויזיה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במהלך הצפייה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ישבה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על ספה ו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ישב על כסא משמאלה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עם תום המשחק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בסמוך לשעה </w:t>
      </w:r>
      <w:r>
        <w:rPr>
          <w:rFonts w:ascii="David" w:hAnsi="David"/>
        </w:rPr>
        <w:t>23:30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קמה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מהספה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אז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עבר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לכורסה סמוכה ליד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', </w:t>
      </w:r>
      <w:r>
        <w:rPr>
          <w:rFonts w:ascii="David" w:hAnsi="David"/>
          <w:rtl w:val="true"/>
        </w:rPr>
        <w:t xml:space="preserve">אשר ממוקמת בזווית נמוכה  מהכיסא עליו ישב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קודם לכן</w:t>
      </w:r>
      <w:r>
        <w:rPr>
          <w:rFonts w:ascii="David" w:hAnsi="David"/>
          <w:rtl w:val="true"/>
        </w:rPr>
        <w:t>. 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 </w:t>
      </w:r>
      <w:r>
        <w:rPr>
          <w:rFonts w:ascii="David" w:hAnsi="David"/>
          <w:rtl w:val="true"/>
        </w:rPr>
        <w:t>הניח את מכשירו הסלולארי על ברכיו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כאשר פני המכשיר על ברכיו ומצלמת המכשיר האחורית כלפי מעלה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אז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הפעיל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את מצלמת מכשירו הסלולארי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במצב שמתעד סרטון וידאו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ובעת שרב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יצאה מהמועדון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כיוון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>את המצלמה מתחת לחצאיתה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והסריט את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הולכת במשך מספר שניות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כך שבסרטון נראים פלחי ישבנה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מתחת לחצאיתה</w:t>
      </w:r>
      <w:r>
        <w:rPr>
          <w:rFonts w:ascii="David" w:hAnsi="David"/>
          <w:rtl w:val="true"/>
        </w:rPr>
        <w:t>...</w:t>
      </w:r>
    </w:p>
    <w:p>
      <w:pPr>
        <w:pStyle w:val="Normal"/>
        <w:tabs>
          <w:tab w:val="clear" w:pos="720"/>
          <w:tab w:val="left" w:pos="425" w:leader="none"/>
        </w:tabs>
        <w:spacing w:lineRule="auto" w:line="240" w:before="0" w:after="0"/>
        <w:ind w:left="851" w:right="851" w:hanging="0"/>
        <w:contextualSpacing/>
        <w:jc w:val="both"/>
        <w:rPr>
          <w:rFonts w:ascii="David" w:hAnsi="David"/>
        </w:rPr>
      </w:pPr>
      <w:r>
        <w:rPr>
          <w:rFonts w:ascii="David" w:hAnsi="David"/>
          <w:rtl w:val="true"/>
        </w:rPr>
        <w:t>במסגרת תיק זה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שהה </w:t>
      </w:r>
      <w:r>
        <w:rPr>
          <w:rFonts w:ascii="David" w:hAnsi="David"/>
          <w:rtl w:val="true"/>
        </w:rPr>
        <w:t>[</w:t>
      </w:r>
      <w:r>
        <w:rPr>
          <w:rFonts w:ascii="David" w:hAnsi="David"/>
          <w:rtl w:val="true"/>
        </w:rPr>
        <w:t>המערער</w:t>
      </w:r>
      <w:r>
        <w:rPr>
          <w:rFonts w:ascii="David" w:hAnsi="David"/>
          <w:rtl w:val="true"/>
        </w:rPr>
        <w:t xml:space="preserve">] </w:t>
      </w:r>
      <w:r>
        <w:rPr>
          <w:rFonts w:ascii="David" w:hAnsi="David"/>
          <w:rtl w:val="true"/>
        </w:rPr>
        <w:t xml:space="preserve">במעצר סגור החל מיום </w:t>
      </w:r>
      <w:r>
        <w:rPr>
          <w:rFonts w:ascii="David" w:hAnsi="David"/>
        </w:rPr>
        <w:t>17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בנובמבר </w:t>
      </w:r>
      <w:r>
        <w:rPr>
          <w:rFonts w:ascii="David" w:hAnsi="David"/>
        </w:rPr>
        <w:t>2024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ועד ליום </w:t>
      </w:r>
      <w:r>
        <w:rPr>
          <w:rFonts w:ascii="David" w:hAnsi="David"/>
        </w:rPr>
        <w:t>25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בנובמבר </w:t>
      </w:r>
      <w:r>
        <w:rPr>
          <w:rFonts w:ascii="David" w:hAnsi="David"/>
        </w:rPr>
        <w:t>2024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החל מיום </w:t>
      </w:r>
      <w:r>
        <w:rPr>
          <w:rFonts w:ascii="David" w:hAnsi="David"/>
        </w:rPr>
        <w:t>25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בנובמבר </w:t>
      </w:r>
      <w:r>
        <w:rPr>
          <w:rFonts w:ascii="David" w:hAnsi="David"/>
        </w:rPr>
        <w:t>2024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שהה במעצר בית בתנאים מגבילים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עד ליום </w:t>
      </w:r>
      <w:r>
        <w:rPr>
          <w:rFonts w:ascii="David" w:hAnsi="David"/>
        </w:rPr>
        <w:t>24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באפריל </w:t>
      </w:r>
      <w:r>
        <w:rPr>
          <w:rFonts w:ascii="David" w:hAnsi="David"/>
        </w:rPr>
        <w:t>2025</w:t>
      </w:r>
      <w:r>
        <w:rPr>
          <w:rFonts w:ascii="David" w:hAnsi="David"/>
          <w:rtl w:val="true"/>
        </w:rPr>
        <w:t xml:space="preserve">". </w:t>
      </w:r>
    </w:p>
    <w:p>
      <w:pPr>
        <w:pStyle w:val="Normal"/>
        <w:tabs>
          <w:tab w:val="clear" w:pos="720"/>
          <w:tab w:val="left" w:pos="425" w:leader="none"/>
        </w:tabs>
        <w:spacing w:lineRule="auto" w:line="360" w:before="0" w:after="0"/>
        <w:ind w:left="851" w:right="851" w:hanging="0"/>
        <w:contextualSpacing/>
        <w:jc w:val="both"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בית הדין מצא לקבוע כי לאור הפגיעה בשתי נפגעות שונות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בהפרש זמנים של כארבעה חודשים ובנסיבות שונות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של מקום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זמן ואמצעי</w:t>
      </w:r>
      <w:r>
        <w:rPr>
          <w:rFonts w:ascii="David" w:hAnsi="David"/>
          <w:rtl w:val="true"/>
        </w:rPr>
        <w:t xml:space="preserve">) - </w:t>
      </w:r>
      <w:r>
        <w:rPr>
          <w:rFonts w:ascii="David" w:hAnsi="David"/>
          <w:rtl w:val="true"/>
        </w:rPr>
        <w:t>המדובר בשני אירועים שונים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המחייבים קביעה של שני מתחמי עונש הולם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הודגשו הפגיעה בכבודן ובפרטיותן של שתי הנפגעות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תוך מעילה באמון שנתנו במערער כחלק מן השירות המשותף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המערער אמנם מחק את הסרטונים שצילם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ובכך צמצם את פוטנציאל הנזק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אך מהצהרות הנפגעות ניתן ללמוד על פגיעה נמשכת ביכולתן לסמוך על אחרים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בראי נסיבות העבירות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מידת הפגיעה בערכים המוגנים ומדיניות הענישה הנהוגה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הועמד מתחם העונש ההולם לגבי הנפגעת 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על 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בכליאה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לתקופה שבין שלושה עד שישה חודשים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אשר לעניינה של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', </w:t>
      </w:r>
      <w:r>
        <w:rPr>
          <w:rFonts w:ascii="David" w:hAnsi="David"/>
          <w:rtl w:val="true"/>
        </w:rPr>
        <w:t>נקבע כי מתחם העונש ההולם ינוע בין חודש לשלושה חודשי 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שיכול שירוצה גם בעבודה צבאית</w:t>
      </w:r>
      <w:r>
        <w:rPr>
          <w:rFonts w:ascii="David" w:hAnsi="David"/>
          <w:rtl w:val="tru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בתוך המתחמים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נשקלה הודאתו של המערער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כבר בשלב החקירה</w:t>
      </w:r>
      <w:r>
        <w:rPr>
          <w:rFonts w:ascii="David" w:hAnsi="David"/>
          <w:rtl w:val="true"/>
        </w:rPr>
        <w:t xml:space="preserve">; </w:t>
      </w:r>
      <w:r>
        <w:rPr>
          <w:rFonts w:ascii="David" w:hAnsi="David"/>
          <w:rtl w:val="true"/>
        </w:rPr>
        <w:t xml:space="preserve">פרק הזמן שבו שהה במעצר בית בתנאים מגבילים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כחמישה חודשים</w:t>
      </w:r>
      <w:r>
        <w:rPr>
          <w:rFonts w:ascii="David" w:hAnsi="David"/>
          <w:rtl w:val="true"/>
        </w:rPr>
        <w:t xml:space="preserve">); </w:t>
      </w:r>
      <w:r>
        <w:rPr>
          <w:rFonts w:ascii="David" w:hAnsi="David"/>
          <w:rtl w:val="true"/>
        </w:rPr>
        <w:t>שירותו הצבאי התורם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כעולה מתדפיסו האישי</w:t>
      </w:r>
      <w:r>
        <w:rPr>
          <w:rFonts w:ascii="David" w:hAnsi="David"/>
          <w:rtl w:val="true"/>
        </w:rPr>
        <w:t xml:space="preserve">; </w:t>
      </w:r>
      <w:r>
        <w:rPr>
          <w:rFonts w:ascii="David" w:hAnsi="David"/>
          <w:rtl w:val="true"/>
        </w:rPr>
        <w:t>וכן הירתמותו להליך טיפולי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הגם שלפי מסמך העדכון בעניין זה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נדרש עוד המשך טיפול לשם יישום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בחיי היום יום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של התובנות שהושגו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בהקשר זה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הוטעם כי מסוכנותו המינית של המערער הוערכה כבינונית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תוך שמסר למעריכת המסוכנות כי אינו יכול להתחייב שלא לחזור על המעשים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משכך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נקבע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שיקולי השיקום אינם מצדיקים סטיה לקולה ממתחמי העונש ההולם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אך מאפשרים את קביעת העונש בסיפם התחתון</w:t>
      </w:r>
      <w:r>
        <w:rPr>
          <w:rFonts w:ascii="David" w:hAnsi="David"/>
          <w:rtl w:val="true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על המערער הושת עונש כולל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של ארבעה חודשי 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בכליאה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תוך שנקבע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נשיאת העונש בדרך של עבודה צבאית אינה הולמת את חומרת המעשים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עוד נגזרו לו מאסרים מותנים והורדה לדרגת טוראי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לנפגעות 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ורב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נפסקו פיצויים בסך </w:t>
      </w:r>
      <w:r>
        <w:rPr>
          <w:rFonts w:ascii="David" w:hAnsi="David"/>
        </w:rPr>
        <w:t>1,500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ש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ח ו</w:t>
      </w:r>
      <w:r>
        <w:rPr>
          <w:rFonts w:ascii="David" w:hAnsi="David"/>
          <w:rtl w:val="true"/>
        </w:rPr>
        <w:t>-</w:t>
      </w:r>
      <w:r>
        <w:rPr>
          <w:rFonts w:ascii="David" w:hAnsi="David"/>
        </w:rPr>
        <w:t>500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ש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ח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בהתאמה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מכשירו הסלולארי של המערער חולט</w:t>
      </w:r>
      <w:r>
        <w:rPr>
          <w:rFonts w:ascii="David" w:hAnsi="David"/>
          <w:rtl w:val="true"/>
        </w:rPr>
        <w:t>.</w:t>
      </w:r>
    </w:p>
    <w:p>
      <w:pPr>
        <w:pStyle w:val="Heading1"/>
        <w:spacing w:before="0" w:after="0"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Heading1"/>
        <w:spacing w:before="0" w:after="0"/>
        <w:rPr>
          <w:rFonts w:ascii="David" w:hAnsi="David"/>
        </w:rPr>
      </w:pPr>
      <w:r>
        <w:rPr>
          <w:rFonts w:ascii="David" w:hAnsi="David"/>
          <w:rtl w:val="true"/>
        </w:rPr>
        <w:t xml:space="preserve">ערעור ההגנה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לדעת ההגנה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עונש המאסר בפועל שהוטל על המערער הוא חריג בחומרתו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ואינו תואם את מדיניות הענישה הנהוגה במקרים דומים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נטען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לא היה מקום לקבוע שני מתחמי עונש הולם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לאור ביצועם של המעשים באותה יחידה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כחלק מתוכנית עבריינית אחת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של תיעוד אדם ללא הסכמתו וידיעתו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נטען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הדבר אף מנוגד לעמדתה של התביעה הצבאית בתיקים אחרים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שבהם הורשעו הנאשמים באירועים צילום מרובים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באמצעות מכשירים שונים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על כל פנים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נטען כי המתחמים שנקבעו מחמירים כאמור ביחס למדיניות הענישה הנהוגה ולנסיבות העבירות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בהינתן שכתב האישום אינו מתאר במפורש שסמל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תועדה כאשר היא עירומה</w:t>
      </w:r>
      <w:r>
        <w:rPr>
          <w:rFonts w:ascii="David" w:hAnsi="David"/>
          <w:rtl w:val="true"/>
        </w:rPr>
        <w:t xml:space="preserve">; </w:t>
      </w:r>
      <w:r>
        <w:rPr>
          <w:rFonts w:ascii="David" w:hAnsi="David"/>
          <w:rtl w:val="true"/>
        </w:rPr>
        <w:t>ויש אף להניח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בנסיבות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צילום פלג גופה התחתון של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מתייחס לביגוד תחתון שלבשה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>ובגינו הורשע המערער בעבירה של התנהגות שאינה הולמת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שלבדה הייתה מטופלת במישור המשמעתי בלבד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הודגש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הצילומים היו קצרים בזמן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אחד מהם נמחק מיידית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והם לא נשמרו או הופצו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בין המערער לנפגעות לא היה קשר של פיקוד או מרות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ורק אחד מן המעשים היה בעל מאפיינים של תכנון</w:t>
      </w:r>
      <w:r>
        <w:rPr>
          <w:rFonts w:ascii="David" w:hAnsi="David"/>
          <w:rtl w:val="tru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הוטעם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המערער הודה ונטל אחריות על מעשיו למן הרגע הראשון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בקשת ההגנה לדחות את מועד הטיעונים לעונש בארבעה עד שישה חודשים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מתוך סבב טיפולי ראשון של שנה</w:t>
      </w:r>
      <w:r>
        <w:rPr>
          <w:rFonts w:ascii="David" w:hAnsi="David"/>
          <w:rtl w:val="true"/>
        </w:rPr>
        <w:t xml:space="preserve">), </w:t>
      </w:r>
      <w:r>
        <w:rPr>
          <w:rFonts w:ascii="David" w:hAnsi="David"/>
          <w:rtl w:val="true"/>
        </w:rPr>
        <w:t>כדי להתקדם בהליך הטיפול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נדחתה בהחלטת בית הדין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בשל החובה לנהל את ההליך תוך פרק זמן סביר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>אף שהמערער הורשע בחלוף ארבעה חודשים בלבד ממועד הגשת האישום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בכך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נמנעה ממנו ההקלה בעונש שלה היה זוכה אילו ניתן היה להצביע על התקדמותו בטיפול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ובנסיבות אלה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ודאי שאין לזקוף לחובתו את דבריו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הכנים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למעריכת המסוכנות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שלפיהם אינו יכול להתחייב שלא לבצע מעשים דומים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>דברים התואמים את השלב שאליו הגיע בטיפול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נטען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בגזירת העונש ללא המתנה להתקדמות בטיפול לא מושג אינטרס המניעה מפני ביצוען של עבירות נוספות בעתיד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ובכך אף הופלה המערער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הנשפט במערכת הצבאית ומממן בעצמו הליך טיפולי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אל מול נאשמים הנידונים במערכת השיפוט הכללית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ומופנים לתסקיר של שירות המבחן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תוך כדי ההליך הטיפולי וטרם גזירת העונש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עתירת ההגנה היא להפחית משמעותית את משך המאסר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ולכל הפחות לקבוע כי ירוצה בדרך של מאסר בעבודה צבאית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באופן שיאפשר למערער לשמור על רציפות טיפולית</w:t>
      </w:r>
      <w:r>
        <w:rPr>
          <w:rFonts w:ascii="David" w:hAnsi="David"/>
          <w:rtl w:val="tru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אשר לערעור התביעה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ציינה ההגנה כי הפיצויים שנפסקו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לצד המאסר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הולמים את קולתן היחסית של העבירות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ומכל מקום אינם מצדיקים את התערבותה של ערכאת הערעור</w:t>
      </w:r>
      <w:r>
        <w:rPr>
          <w:rFonts w:ascii="David" w:hAnsi="David"/>
          <w:rtl w:val="true"/>
        </w:rPr>
        <w:t>.</w:t>
      </w:r>
    </w:p>
    <w:p>
      <w:pPr>
        <w:pStyle w:val="Normal"/>
        <w:tabs>
          <w:tab w:val="clear" w:pos="720"/>
          <w:tab w:val="left" w:pos="283" w:leader="none"/>
        </w:tabs>
        <w:spacing w:lineRule="auto" w:line="360" w:before="0" w:after="0"/>
        <w:contextualSpacing/>
        <w:jc w:val="both"/>
        <w:rPr>
          <w:rFonts w:ascii="David" w:hAnsi="David"/>
          <w:b/>
          <w:b/>
          <w:bCs/>
          <w:sz w:val="12"/>
          <w:szCs w:val="12"/>
          <w:u w:val="single"/>
        </w:rPr>
      </w:pPr>
      <w:r>
        <w:rPr>
          <w:rFonts w:ascii="David" w:hAnsi="David"/>
          <w:b/>
          <w:bCs/>
          <w:sz w:val="12"/>
          <w:szCs w:val="12"/>
          <w:u w:val="single"/>
          <w:rtl w:val="true"/>
        </w:rPr>
      </w:r>
    </w:p>
    <w:p>
      <w:pPr>
        <w:pStyle w:val="Normal"/>
        <w:tabs>
          <w:tab w:val="clear" w:pos="720"/>
          <w:tab w:val="left" w:pos="283" w:leader="none"/>
        </w:tabs>
        <w:spacing w:lineRule="auto" w:line="360" w:before="0" w:after="0"/>
        <w:contextualSpacing/>
        <w:jc w:val="both"/>
        <w:rPr>
          <w:rFonts w:ascii="David" w:hAnsi="David"/>
          <w:b/>
          <w:b/>
          <w:bCs/>
          <w:sz w:val="12"/>
          <w:szCs w:val="12"/>
          <w:u w:val="single"/>
        </w:rPr>
      </w:pPr>
      <w:r>
        <w:rPr>
          <w:rFonts w:ascii="David" w:hAnsi="David"/>
          <w:b/>
          <w:bCs/>
          <w:sz w:val="12"/>
          <w:szCs w:val="12"/>
          <w:u w:val="single"/>
          <w:rtl w:val="true"/>
        </w:rPr>
      </w:r>
    </w:p>
    <w:p>
      <w:pPr>
        <w:pStyle w:val="Normal"/>
        <w:tabs>
          <w:tab w:val="clear" w:pos="720"/>
          <w:tab w:val="left" w:pos="283" w:leader="none"/>
        </w:tabs>
        <w:spacing w:lineRule="auto" w:line="360" w:before="0" w:after="0"/>
        <w:contextualSpacing/>
        <w:jc w:val="both"/>
        <w:rPr>
          <w:rFonts w:ascii="David" w:hAnsi="David"/>
          <w:b/>
          <w:b/>
          <w:bCs/>
          <w:u w:val="single"/>
        </w:rPr>
      </w:pPr>
      <w:r>
        <w:rPr>
          <w:rFonts w:ascii="David" w:hAnsi="David"/>
          <w:b/>
          <w:b/>
          <w:bCs/>
          <w:u w:val="single"/>
          <w:rtl w:val="true"/>
        </w:rPr>
        <w:t>ערעור התביעה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התביעה ביקשה לדחות את ערעור ההגנה על חומרתו של המאסר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וציינה כי מתחמי העונש ההולם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ביחס לשני האירועים הנפרדים הנדונים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תואמים את מדיניות הענישה הנהוגה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ואינם מצדיקים את התערבותה של ערכאת הערעור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מטעם זה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גם לא הוגש על ידיה ערעור על קולתו של עונש המאסר בפועל</w:t>
      </w:r>
      <w:r>
        <w:rPr>
          <w:rFonts w:ascii="David" w:hAnsi="David"/>
          <w:rtl w:val="true"/>
        </w:rPr>
        <w:t>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בערעורה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התמקדה התביעה בשיעור הפיצויים שנפסק לנפגעות העבירה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נטען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הסכומים נמוכים משמעותית מאלה שנפסקו במקרים דומים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ואף מתקרת הפיצוי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 xml:space="preserve">הנמוכה ממילא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>הנקובה בחוק השיפוט הצבאי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מכל מקום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נטען כי אין בפיצויים שנפסקו כדי להעניק לנפגעות סעד כלכלי מהיר לשיקום חייהן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בראי הנזק הממשי שנגרם והפגיעה שחוו בתחושת הביטחון האישי דווקא בתוך המסגרת הצבאית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האמורה להגן עליהן</w:t>
      </w:r>
      <w:r>
        <w:rPr>
          <w:rFonts w:ascii="David" w:hAnsi="David"/>
          <w:rtl w:val="true"/>
        </w:rPr>
        <w:t xml:space="preserve">. </w:t>
      </w:r>
    </w:p>
    <w:p>
      <w:pPr>
        <w:pStyle w:val="Normal"/>
        <w:tabs>
          <w:tab w:val="clear" w:pos="720"/>
          <w:tab w:val="left" w:pos="283" w:leader="none"/>
        </w:tabs>
        <w:spacing w:lineRule="auto" w:line="360" w:before="0" w:after="0"/>
        <w:contextualSpacing/>
        <w:jc w:val="both"/>
        <w:rPr>
          <w:rFonts w:ascii="David" w:hAnsi="David"/>
          <w:b/>
          <w:b/>
          <w:bCs/>
          <w:sz w:val="20"/>
          <w:szCs w:val="20"/>
          <w:u w:val="single"/>
        </w:rPr>
      </w:pPr>
      <w:r>
        <w:rPr>
          <w:rFonts w:ascii="David" w:hAnsi="David"/>
          <w:b/>
          <w:bCs/>
          <w:sz w:val="20"/>
          <w:szCs w:val="20"/>
          <w:u w:val="single"/>
          <w:rtl w:val="true"/>
        </w:rPr>
      </w:r>
    </w:p>
    <w:p>
      <w:pPr>
        <w:pStyle w:val="Normal"/>
        <w:tabs>
          <w:tab w:val="clear" w:pos="720"/>
          <w:tab w:val="left" w:pos="283" w:leader="none"/>
        </w:tabs>
        <w:spacing w:lineRule="auto" w:line="360" w:before="0" w:after="0"/>
        <w:contextualSpacing/>
        <w:jc w:val="both"/>
        <w:rPr>
          <w:rFonts w:ascii="David" w:hAnsi="David"/>
        </w:rPr>
      </w:pPr>
      <w:r>
        <w:rPr>
          <w:rFonts w:ascii="David" w:hAnsi="David"/>
          <w:b/>
          <w:b/>
          <w:bCs/>
          <w:u w:val="single"/>
          <w:rtl w:val="true"/>
        </w:rPr>
        <w:t>דיון והכרעה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/>
      </w:pPr>
      <w:r>
        <w:rPr>
          <w:rtl w:val="true"/>
        </w:rPr>
        <w:t>כידוע</w:t>
      </w:r>
      <w:r>
        <w:rPr>
          <w:rtl w:val="true"/>
        </w:rPr>
        <w:t>, "</w:t>
      </w:r>
      <w:r>
        <w:rPr>
          <w:rtl w:val="true"/>
        </w:rPr>
        <w:t>התערבות ערכאת הערעור בגזר הדין של הערכאה הדיונית</w:t>
      </w:r>
      <w:r>
        <w:rPr>
          <w:rtl w:val="true"/>
        </w:rPr>
        <w:t xml:space="preserve">, </w:t>
      </w:r>
      <w:r>
        <w:rPr>
          <w:rtl w:val="true"/>
        </w:rPr>
        <w:t xml:space="preserve">שמורה למקרים בהם נפלה </w:t>
      </w:r>
      <w:r>
        <w:rPr>
          <w:rFonts w:ascii="David" w:hAnsi="David"/>
          <w:rtl w:val="true"/>
        </w:rPr>
        <w:t>טעות</w:t>
      </w:r>
      <w:r>
        <w:rPr>
          <w:rtl w:val="true"/>
        </w:rPr>
        <w:t xml:space="preserve"> מהותית</w:t>
      </w:r>
      <w:r>
        <w:rPr>
          <w:rtl w:val="true"/>
        </w:rPr>
        <w:t xml:space="preserve">, </w:t>
      </w:r>
      <w:r>
        <w:rPr>
          <w:rtl w:val="true"/>
        </w:rPr>
        <w:t>או כאשר העונש שנגזר על המערער חורג באופן ניכר וממשי מרמת הענישה הראויה או הנוהגת בנסיבות דומות</w:t>
      </w:r>
      <w:r>
        <w:rPr>
          <w:rtl w:val="true"/>
        </w:rPr>
        <w:t>" (</w:t>
      </w:r>
      <w:r>
        <w:rPr>
          <w:rtl w:val="true"/>
        </w:rPr>
        <w:t>עפ</w:t>
      </w:r>
      <w:r>
        <w:rPr>
          <w:rtl w:val="true"/>
        </w:rPr>
        <w:t>"</w:t>
      </w:r>
      <w:r>
        <w:rPr>
          <w:rtl w:val="true"/>
        </w:rPr>
        <w:t xml:space="preserve">ג </w:t>
      </w:r>
      <w:r>
        <w:rPr/>
        <w:t>6666-07-25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פלוני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מדינת ישראל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13</w:t>
      </w:r>
      <w:r>
        <w:rPr>
          <w:rtl w:val="true"/>
        </w:rPr>
        <w:t xml:space="preserve"> (</w:t>
      </w:r>
      <w:r>
        <w:rPr/>
        <w:t>26.1.2026</w:t>
      </w:r>
      <w:r>
        <w:rPr>
          <w:rtl w:val="true"/>
        </w:rPr>
        <w:t xml:space="preserve">)). </w:t>
      </w:r>
      <w:r>
        <w:rPr>
          <w:rtl w:val="true"/>
        </w:rPr>
        <w:t>לא מצאנו כי המקרה שלפנינו עונה על מבחן זה</w:t>
      </w:r>
      <w:r>
        <w:rPr>
          <w:rtl w:val="true"/>
        </w:rPr>
        <w:t xml:space="preserve">, </w:t>
      </w:r>
      <w:r>
        <w:rPr>
          <w:rtl w:val="true"/>
        </w:rPr>
        <w:t>לגבי רכיב המאסר בפועל</w:t>
      </w:r>
      <w:r>
        <w:rPr>
          <w:rtl w:val="tru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/>
      </w:pPr>
      <w:r>
        <w:rPr>
          <w:rtl w:val="true"/>
        </w:rPr>
        <w:t>תחילה</w:t>
      </w:r>
      <w:r>
        <w:rPr>
          <w:rtl w:val="true"/>
        </w:rPr>
        <w:t xml:space="preserve">, </w:t>
      </w:r>
      <w:r>
        <w:rPr>
          <w:rtl w:val="true"/>
        </w:rPr>
        <w:t xml:space="preserve">בשאלה האם העבירות שבהן הורשע המערער הן בגדר </w:t>
      </w:r>
      <w:r>
        <w:rPr>
          <w:rtl w:val="true"/>
        </w:rPr>
        <w:t>"</w:t>
      </w:r>
      <w:r>
        <w:rPr>
          <w:rtl w:val="true"/>
        </w:rPr>
        <w:t>אירוע</w:t>
      </w:r>
      <w:r>
        <w:rPr>
          <w:rtl w:val="true"/>
        </w:rPr>
        <w:t xml:space="preserve">" </w:t>
      </w:r>
      <w:r>
        <w:rPr>
          <w:rtl w:val="true"/>
        </w:rPr>
        <w:t xml:space="preserve">אחד או מספר </w:t>
      </w:r>
      <w:r>
        <w:rPr>
          <w:rtl w:val="true"/>
        </w:rPr>
        <w:t>"</w:t>
      </w:r>
      <w:r>
        <w:rPr>
          <w:rtl w:val="true"/>
        </w:rPr>
        <w:t>אירועים</w:t>
      </w:r>
      <w:r>
        <w:rPr>
          <w:rtl w:val="true"/>
        </w:rPr>
        <w:t xml:space="preserve">" </w:t>
      </w:r>
      <w:r>
        <w:rPr>
          <w:rtl w:val="true"/>
        </w:rPr>
        <w:t>נפרדים</w:t>
      </w:r>
      <w:r>
        <w:rPr>
          <w:rtl w:val="true"/>
        </w:rPr>
        <w:t xml:space="preserve">, </w:t>
      </w:r>
      <w:r>
        <w:rPr>
          <w:rtl w:val="true"/>
        </w:rPr>
        <w:t xml:space="preserve">המוכרעת לפי מבחן </w:t>
      </w:r>
      <w:r>
        <w:rPr>
          <w:rtl w:val="true"/>
        </w:rPr>
        <w:t>"</w:t>
      </w:r>
      <w:r>
        <w:rPr>
          <w:rtl w:val="true"/>
        </w:rPr>
        <w:t>הקשר ההדוק</w:t>
      </w:r>
      <w:r>
        <w:rPr>
          <w:rtl w:val="true"/>
        </w:rPr>
        <w:t xml:space="preserve">" </w:t>
      </w:r>
      <w:r>
        <w:rPr>
          <w:rtl w:val="true"/>
        </w:rPr>
        <w:t xml:space="preserve">בין המעשים </w:t>
      </w:r>
      <w:r>
        <w:rPr>
          <w:rtl w:val="true"/>
        </w:rPr>
        <w:t>(</w:t>
      </w:r>
      <w:r>
        <w:rPr>
          <w:rtl w:val="true"/>
        </w:rPr>
        <w:t xml:space="preserve">סעיף </w:t>
      </w:r>
      <w:r>
        <w:rPr/>
        <w:t>40</w:t>
      </w:r>
      <w:r>
        <w:rPr>
          <w:rtl w:val="true"/>
        </w:rPr>
        <w:t>יג לחוק העונשין</w:t>
      </w:r>
      <w:r>
        <w:rPr>
          <w:rtl w:val="true"/>
        </w:rPr>
        <w:t xml:space="preserve">; 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4910/13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ג</w:t>
      </w:r>
      <w:r>
        <w:rPr>
          <w:b/>
          <w:bCs/>
          <w:rtl w:val="true"/>
        </w:rPr>
        <w:t>'</w:t>
      </w:r>
      <w:r>
        <w:rPr>
          <w:b/>
          <w:b/>
          <w:bCs/>
          <w:rtl w:val="true"/>
        </w:rPr>
        <w:t>אבר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מדינת ישראל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5</w:t>
      </w:r>
      <w:r>
        <w:rPr>
          <w:rtl w:val="true"/>
        </w:rPr>
        <w:t xml:space="preserve"> </w:t>
      </w:r>
      <w:r>
        <w:rPr>
          <w:rtl w:val="true"/>
        </w:rPr>
        <w:t>לפסק דינה של כב</w:t>
      </w:r>
      <w:r>
        <w:rPr>
          <w:rtl w:val="true"/>
        </w:rPr>
        <w:t xml:space="preserve">' </w:t>
      </w:r>
      <w:r>
        <w:rPr>
          <w:rtl w:val="true"/>
        </w:rPr>
        <w:t>השופטת ברק</w:t>
      </w:r>
      <w:r>
        <w:rPr>
          <w:rtl w:val="true"/>
        </w:rPr>
        <w:t>-</w:t>
      </w:r>
      <w:r>
        <w:rPr>
          <w:rtl w:val="true"/>
        </w:rPr>
        <w:t xml:space="preserve">ארז </w:t>
      </w:r>
      <w:r>
        <w:rPr>
          <w:rtl w:val="true"/>
        </w:rPr>
        <w:t>(</w:t>
      </w:r>
      <w:r>
        <w:rPr/>
        <w:t>29.10.2014</w:t>
      </w:r>
      <w:r>
        <w:rPr>
          <w:rtl w:val="true"/>
        </w:rPr>
        <w:t xml:space="preserve">)). </w:t>
      </w:r>
      <w:r>
        <w:rPr>
          <w:rtl w:val="true"/>
        </w:rPr>
        <w:t>יישומו של המבחן בענייננו מצביע כי על פניו</w:t>
      </w:r>
      <w:r>
        <w:rPr>
          <w:rtl w:val="true"/>
        </w:rPr>
        <w:t>, "</w:t>
      </w:r>
      <w:r>
        <w:rPr>
          <w:rtl w:val="true"/>
        </w:rPr>
        <w:t>המדובר במעשים שאינם קשורים זה בזה מבחינת סוג העבירות</w:t>
      </w:r>
      <w:r>
        <w:rPr>
          <w:rtl w:val="true"/>
        </w:rPr>
        <w:t xml:space="preserve">, </w:t>
      </w:r>
      <w:r>
        <w:rPr>
          <w:rtl w:val="true"/>
        </w:rPr>
        <w:t>אופן ביצוען</w:t>
      </w:r>
      <w:r>
        <w:rPr>
          <w:rtl w:val="true"/>
        </w:rPr>
        <w:t xml:space="preserve">, </w:t>
      </w:r>
      <w:r>
        <w:rPr>
          <w:rtl w:val="true"/>
        </w:rPr>
        <w:t>מקום הביצוע</w:t>
      </w:r>
      <w:r>
        <w:rPr>
          <w:rtl w:val="true"/>
        </w:rPr>
        <w:t xml:space="preserve">, </w:t>
      </w:r>
      <w:r>
        <w:rPr>
          <w:rtl w:val="true"/>
        </w:rPr>
        <w:t>וכן מבחינת נפגעי העבירות</w:t>
      </w:r>
      <w:r>
        <w:rPr>
          <w:rtl w:val="true"/>
        </w:rPr>
        <w:t xml:space="preserve">. </w:t>
      </w:r>
      <w:r>
        <w:rPr>
          <w:rtl w:val="true"/>
        </w:rPr>
        <w:t>העבירות המתוארות באישומים השונים אינן מאופיינות בשיטתיות מסוימת</w:t>
      </w:r>
      <w:r>
        <w:rPr>
          <w:rtl w:val="true"/>
        </w:rPr>
        <w:t xml:space="preserve">; </w:t>
      </w:r>
      <w:r>
        <w:rPr>
          <w:rtl w:val="true"/>
        </w:rPr>
        <w:t>ביצועה של אחת מהן לא נועד לשרת את ביצועה של האחרת</w:t>
      </w:r>
      <w:r>
        <w:rPr>
          <w:rtl w:val="true"/>
        </w:rPr>
        <w:t xml:space="preserve">; </w:t>
      </w:r>
      <w:r>
        <w:rPr>
          <w:rtl w:val="true"/>
        </w:rPr>
        <w:t>ואף קשה לומר כי הן חלק מתוכנית עבריינית אחת</w:t>
      </w:r>
      <w:r>
        <w:rPr>
          <w:rtl w:val="true"/>
        </w:rPr>
        <w:t>" (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6894/22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אסכאפי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מדינת ישראל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14</w:t>
      </w:r>
      <w:r>
        <w:rPr>
          <w:rtl w:val="true"/>
        </w:rPr>
        <w:t xml:space="preserve"> (</w:t>
      </w:r>
      <w:r>
        <w:rPr/>
        <w:t>15.8.2023</w:t>
      </w:r>
      <w:r>
        <w:rPr>
          <w:rtl w:val="true"/>
        </w:rPr>
        <w:t xml:space="preserve">)). </w:t>
      </w:r>
      <w:r>
        <w:rPr>
          <w:rtl w:val="true"/>
        </w:rPr>
        <w:t>אכן</w:t>
      </w:r>
      <w:r>
        <w:rPr>
          <w:rtl w:val="true"/>
        </w:rPr>
        <w:t xml:space="preserve">, </w:t>
      </w:r>
      <w:r>
        <w:rPr>
          <w:rtl w:val="true"/>
        </w:rPr>
        <w:t xml:space="preserve">הצילומים השונים </w:t>
      </w:r>
      <w:r>
        <w:rPr>
          <w:rtl w:val="true"/>
        </w:rPr>
        <w:t>"</w:t>
      </w:r>
      <w:r>
        <w:rPr>
          <w:rtl w:val="true"/>
        </w:rPr>
        <w:t>לא היו חלק מאותה תוכנית עבריינית</w:t>
      </w:r>
      <w:r>
        <w:rPr>
          <w:rtl w:val="true"/>
        </w:rPr>
        <w:t xml:space="preserve">, </w:t>
      </w:r>
      <w:r>
        <w:rPr>
          <w:rtl w:val="true"/>
        </w:rPr>
        <w:t xml:space="preserve">אשר </w:t>
      </w:r>
      <w:r>
        <w:rPr>
          <w:b/>
          <w:b/>
          <w:bCs/>
          <w:rtl w:val="true"/>
        </w:rPr>
        <w:t>טווחי הזמן בין חלקם ארוכים</w:t>
      </w:r>
      <w:r>
        <w:rPr>
          <w:b/>
          <w:bCs/>
          <w:rtl w:val="true"/>
        </w:rPr>
        <w:t xml:space="preserve">, </w:t>
      </w:r>
      <w:r>
        <w:rPr>
          <w:b/>
          <w:b/>
          <w:bCs/>
          <w:rtl w:val="true"/>
        </w:rPr>
        <w:t>ואשר לכל אחד מהם נסיבות קונקרטיות משלו</w:t>
      </w:r>
      <w:r>
        <w:rPr>
          <w:rtl w:val="true"/>
        </w:rPr>
        <w:t>" (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5405/21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כהן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מדינת ישראל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35</w:t>
      </w:r>
      <w:r>
        <w:rPr>
          <w:rtl w:val="true"/>
        </w:rPr>
        <w:t xml:space="preserve">. </w:t>
      </w:r>
      <w:r>
        <w:rPr>
          <w:rtl w:val="true"/>
        </w:rPr>
        <w:t xml:space="preserve">ההדגשה הוספה </w:t>
      </w:r>
      <w:r>
        <w:rPr>
          <w:rtl w:val="true"/>
        </w:rPr>
        <w:t>(</w:t>
      </w:r>
      <w:r>
        <w:rPr/>
        <w:t>24.8.2022</w:t>
      </w:r>
      <w:r>
        <w:rPr>
          <w:rtl w:val="true"/>
        </w:rPr>
        <w:t xml:space="preserve">)). </w:t>
      </w:r>
      <w:r>
        <w:rPr>
          <w:rtl w:val="true"/>
        </w:rPr>
        <w:t>אף שהמשותף לשתי העבירות שביצע המערער הוא צילום גופן של נפגעות העבירה</w:t>
      </w:r>
      <w:r>
        <w:rPr>
          <w:rtl w:val="true"/>
        </w:rPr>
        <w:t xml:space="preserve">, </w:t>
      </w:r>
      <w:r>
        <w:rPr>
          <w:rtl w:val="true"/>
        </w:rPr>
        <w:t xml:space="preserve">ללא הסכמתן </w:t>
      </w:r>
      <w:r>
        <w:rPr>
          <w:rtl w:val="true"/>
        </w:rPr>
        <w:t xml:space="preserve">- </w:t>
      </w:r>
      <w:r>
        <w:rPr>
          <w:rtl w:val="true"/>
        </w:rPr>
        <w:t xml:space="preserve">הרי שהן בוצעו בנסיבות שונות </w:t>
      </w:r>
      <w:r>
        <w:rPr>
          <w:rtl w:val="true"/>
        </w:rPr>
        <w:t>(</w:t>
      </w:r>
      <w:r>
        <w:rPr>
          <w:rtl w:val="true"/>
        </w:rPr>
        <w:t>צילום מתחת לבגדיה של רב</w:t>
      </w:r>
      <w:r>
        <w:rPr>
          <w:rtl w:val="true"/>
        </w:rPr>
        <w:t>"</w:t>
      </w:r>
      <w:r>
        <w:rPr>
          <w:rtl w:val="true"/>
        </w:rPr>
        <w:t>ט מ</w:t>
      </w:r>
      <w:r>
        <w:rPr>
          <w:rtl w:val="true"/>
        </w:rPr>
        <w:t xml:space="preserve">', </w:t>
      </w:r>
      <w:r>
        <w:rPr>
          <w:rtl w:val="true"/>
        </w:rPr>
        <w:t xml:space="preserve">בחודש יולי </w:t>
      </w:r>
      <w:r>
        <w:rPr/>
        <w:t>2024</w:t>
      </w:r>
      <w:r>
        <w:rPr>
          <w:rtl w:val="true"/>
        </w:rPr>
        <w:t xml:space="preserve">, </w:t>
      </w:r>
      <w:r>
        <w:rPr>
          <w:rtl w:val="true"/>
        </w:rPr>
        <w:t>בתום צפייה במשחק</w:t>
      </w:r>
      <w:r>
        <w:rPr>
          <w:rtl w:val="true"/>
        </w:rPr>
        <w:t xml:space="preserve">, </w:t>
      </w:r>
      <w:r>
        <w:rPr>
          <w:rtl w:val="true"/>
        </w:rPr>
        <w:t>בחדר שבו שהו חיילים אחרים</w:t>
      </w:r>
      <w:r>
        <w:rPr>
          <w:rtl w:val="true"/>
        </w:rPr>
        <w:t xml:space="preserve">, </w:t>
      </w:r>
      <w:r>
        <w:rPr>
          <w:rtl w:val="true"/>
        </w:rPr>
        <w:t>באמצעות מכשיר הטלפון הנייד של המערער</w:t>
      </w:r>
      <w:r>
        <w:rPr>
          <w:rtl w:val="true"/>
        </w:rPr>
        <w:t xml:space="preserve">; </w:t>
      </w:r>
      <w:r>
        <w:rPr>
          <w:rtl w:val="true"/>
        </w:rPr>
        <w:t>לעומת צילומה של סמל ש</w:t>
      </w:r>
      <w:r>
        <w:rPr>
          <w:rtl w:val="true"/>
        </w:rPr>
        <w:t xml:space="preserve">', </w:t>
      </w:r>
      <w:r>
        <w:rPr>
          <w:rtl w:val="true"/>
        </w:rPr>
        <w:t>בחדר המקלחות של החיילות</w:t>
      </w:r>
      <w:r>
        <w:rPr>
          <w:rtl w:val="true"/>
        </w:rPr>
        <w:t xml:space="preserve">, </w:t>
      </w:r>
      <w:r>
        <w:rPr>
          <w:rtl w:val="true"/>
        </w:rPr>
        <w:t xml:space="preserve">בחודש נובמבר </w:t>
      </w:r>
      <w:r>
        <w:rPr/>
        <w:t>2024</w:t>
      </w:r>
      <w:r>
        <w:rPr>
          <w:rtl w:val="true"/>
        </w:rPr>
        <w:t xml:space="preserve">, </w:t>
      </w:r>
      <w:r>
        <w:rPr>
          <w:rtl w:val="true"/>
        </w:rPr>
        <w:t>באמצעות מצלמה זעירה נסתרת</w:t>
      </w:r>
      <w:r>
        <w:rPr>
          <w:rtl w:val="true"/>
        </w:rPr>
        <w:t xml:space="preserve">).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/>
      </w:pPr>
      <w:r>
        <w:rPr>
          <w:rFonts w:ascii="David" w:hAnsi="David"/>
          <w:rtl w:val="true"/>
        </w:rPr>
        <w:t>כך או כך</w:t>
      </w:r>
      <w:r>
        <w:rPr>
          <w:rFonts w:ascii="David" w:hAnsi="David"/>
          <w:rtl w:val="true"/>
        </w:rPr>
        <w:t>:</w:t>
      </w:r>
      <w:r>
        <w:rPr>
          <w:rtl w:val="true"/>
        </w:rPr>
        <w:t xml:space="preserve"> </w:t>
      </w:r>
      <w:r>
        <w:rPr>
          <w:rtl w:val="true"/>
        </w:rPr>
        <w:t>בית הדין קמא השית על המערער</w:t>
      </w:r>
      <w:r>
        <w:rPr>
          <w:rtl w:val="true"/>
        </w:rPr>
        <w:t xml:space="preserve">, </w:t>
      </w:r>
      <w:r>
        <w:rPr>
          <w:rtl w:val="true"/>
        </w:rPr>
        <w:t xml:space="preserve">מכוח סעיף </w:t>
      </w:r>
      <w:r>
        <w:rPr/>
        <w:t>40</w:t>
      </w:r>
      <w:r>
        <w:rPr>
          <w:rtl w:val="true"/>
        </w:rPr>
        <w:t>יג</w:t>
      </w:r>
      <w:r>
        <w:rPr>
          <w:rtl w:val="true"/>
        </w:rPr>
        <w:t>(</w:t>
      </w:r>
      <w:r>
        <w:rPr>
          <w:rtl w:val="true"/>
        </w:rPr>
        <w:t>ב</w:t>
      </w:r>
      <w:r>
        <w:rPr>
          <w:rtl w:val="true"/>
        </w:rPr>
        <w:t xml:space="preserve">) </w:t>
      </w:r>
      <w:r>
        <w:rPr>
          <w:rtl w:val="true"/>
        </w:rPr>
        <w:t>לחוק העונשין</w:t>
      </w:r>
      <w:r>
        <w:rPr>
          <w:rtl w:val="true"/>
        </w:rPr>
        <w:t xml:space="preserve">, </w:t>
      </w:r>
      <w:r>
        <w:rPr>
          <w:b/>
          <w:b/>
          <w:bCs/>
          <w:rtl w:val="true"/>
        </w:rPr>
        <w:t>עונש כולל</w:t>
      </w:r>
      <w:r>
        <w:rPr>
          <w:rtl w:val="true"/>
        </w:rPr>
        <w:t xml:space="preserve">. </w:t>
      </w:r>
      <w:r>
        <w:rPr>
          <w:rtl w:val="true"/>
        </w:rPr>
        <w:t>משכך</w:t>
      </w:r>
      <w:r>
        <w:rPr>
          <w:rtl w:val="true"/>
        </w:rPr>
        <w:t>, "</w:t>
      </w:r>
      <w:r>
        <w:rPr>
          <w:rtl w:val="true"/>
        </w:rPr>
        <w:t xml:space="preserve">החשיבות של מספר האירועים לגזירת העונש </w:t>
      </w:r>
      <w:r>
        <w:rPr>
          <w:rtl w:val="true"/>
        </w:rPr>
        <w:t xml:space="preserve">- </w:t>
      </w:r>
      <w:r>
        <w:rPr>
          <w:rtl w:val="true"/>
        </w:rPr>
        <w:t>פחותה בנסיבות העניין</w:t>
      </w:r>
      <w:r>
        <w:rPr>
          <w:rtl w:val="true"/>
        </w:rPr>
        <w:t>" (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6888/17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שירזי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מדינת ישראל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14</w:t>
      </w:r>
      <w:r>
        <w:rPr>
          <w:rtl w:val="true"/>
        </w:rPr>
        <w:t xml:space="preserve"> (</w:t>
      </w:r>
      <w:r>
        <w:rPr/>
        <w:t>10.12.2018</w:t>
      </w:r>
      <w:r>
        <w:rPr>
          <w:rtl w:val="true"/>
        </w:rPr>
        <w:t xml:space="preserve">); </w:t>
      </w:r>
      <w:r>
        <w:rPr>
          <w:rtl w:val="true"/>
        </w:rPr>
        <w:t>ע</w:t>
      </w:r>
      <w:r>
        <w:rPr>
          <w:rtl w:val="true"/>
        </w:rPr>
        <w:t>/</w:t>
      </w:r>
      <w:r>
        <w:rPr/>
        <w:t>20/22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סמל יגר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158</w:t>
      </w:r>
      <w:r>
        <w:rPr>
          <w:rtl w:val="true"/>
        </w:rPr>
        <w:t xml:space="preserve"> (</w:t>
      </w:r>
      <w:r>
        <w:rPr/>
        <w:t>2023</w:t>
      </w:r>
      <w:r>
        <w:rPr>
          <w:rtl w:val="true"/>
        </w:rPr>
        <w:t xml:space="preserve">)).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/>
      </w:pPr>
      <w:r>
        <w:rPr>
          <w:rtl w:val="true"/>
        </w:rPr>
        <w:t>לסיכום עניין זה</w:t>
      </w:r>
      <w:r>
        <w:rPr>
          <w:rtl w:val="true"/>
        </w:rPr>
        <w:t xml:space="preserve">: </w:t>
      </w:r>
      <w:r>
        <w:rPr>
          <w:rFonts w:ascii="David" w:hAnsi="David"/>
          <w:rtl w:val="true"/>
        </w:rPr>
        <w:t>כידוע</w:t>
      </w:r>
      <w:r>
        <w:rPr>
          <w:rFonts w:ascii="David" w:hAnsi="David"/>
          <w:rtl w:val="true"/>
        </w:rPr>
        <w:t>, "</w:t>
      </w:r>
      <w:r>
        <w:rPr>
          <w:rFonts w:ascii="David" w:hAnsi="David"/>
          <w:rtl w:val="true"/>
        </w:rPr>
        <w:t xml:space="preserve">מטרת סיווגם של </w:t>
      </w:r>
      <w:r>
        <w:rPr>
          <w:rFonts w:ascii="David" w:hAnsi="David"/>
          <w:rtl w:val="true"/>
        </w:rPr>
        <w:t>'</w:t>
      </w:r>
      <w:r>
        <w:rPr>
          <w:rFonts w:ascii="David" w:hAnsi="David"/>
          <w:rtl w:val="true"/>
        </w:rPr>
        <w:t>מספר מעשים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ל</w:t>
      </w:r>
      <w:r>
        <w:rPr>
          <w:rFonts w:ascii="David" w:hAnsi="David"/>
          <w:rtl w:val="true"/>
        </w:rPr>
        <w:t>'</w:t>
      </w:r>
      <w:r>
        <w:rPr>
          <w:rFonts w:ascii="David" w:hAnsi="David"/>
          <w:rtl w:val="true"/>
        </w:rPr>
        <w:t>אירוע אחד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או יותר היא </w:t>
      </w:r>
      <w:r>
        <w:rPr>
          <w:rFonts w:ascii="David" w:hAnsi="David"/>
          <w:rtl w:val="true"/>
        </w:rPr>
        <w:t>'</w:t>
      </w:r>
      <w:r>
        <w:rPr>
          <w:rFonts w:ascii="David" w:hAnsi="David"/>
          <w:rtl w:val="true"/>
        </w:rPr>
        <w:t>לשמש כלי עזר לערכאה הדיונית בבואה להשוות את העניין שלפניה למקרים דומים אחרים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על כן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סיווג שגוי כשלעצמו אינו מצדיק בהכרח התערבות של ערכאת הערעור בעונש שנגזר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מקום שהעונש שהושת על נאשם בערכאה הדיונית אינו חורג ממתחם העונש ההולם</w:t>
      </w:r>
      <w:r>
        <w:rPr>
          <w:rFonts w:ascii="David" w:hAnsi="David"/>
          <w:rtl w:val="true"/>
        </w:rPr>
        <w:t>'" 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פ </w:t>
      </w:r>
      <w:r>
        <w:rPr>
          <w:rFonts w:ascii="David" w:hAnsi="David"/>
        </w:rPr>
        <w:t>9308/12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עיסא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מדינת ישראל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100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30.7.2015</w:t>
      </w:r>
      <w:r>
        <w:rPr>
          <w:rFonts w:ascii="David" w:hAnsi="David"/>
          <w:rtl w:val="true"/>
        </w:rPr>
        <w:t xml:space="preserve">)). </w:t>
      </w:r>
      <w:r>
        <w:rPr>
          <w:rtl w:val="true"/>
        </w:rPr>
        <w:t>זאת ועוד</w:t>
      </w:r>
      <w:r>
        <w:rPr>
          <w:rtl w:val="true"/>
        </w:rPr>
        <w:t xml:space="preserve">, </w:t>
      </w:r>
      <w:r>
        <w:rPr>
          <w:rFonts w:eastAsia="Times New Roman" w:ascii="Times New Roman" w:hAnsi="Times New Roman"/>
          <w:rtl w:val="true"/>
        </w:rPr>
        <w:t>"</w:t>
      </w:r>
      <w:r>
        <w:rPr>
          <w:rtl w:val="true"/>
        </w:rPr>
        <w:t>ממילא במישור המהותי מוטל על בית משפט הקובע מתחם עונש לשקול את מספר המעשים ואת חומרתם</w:t>
      </w:r>
      <w:r>
        <w:rPr>
          <w:rtl w:val="true"/>
        </w:rPr>
        <w:t xml:space="preserve">, </w:t>
      </w:r>
      <w:r>
        <w:rPr>
          <w:rtl w:val="true"/>
        </w:rPr>
        <w:t>אף אם הם סווגו כחלק מאירוע עברייני אחד</w:t>
      </w:r>
      <w:r>
        <w:rPr>
          <w:rtl w:val="true"/>
        </w:rPr>
        <w:t>" (</w:t>
      </w:r>
      <w:hyperlink r:id="rId5">
        <w:r>
          <w:rPr>
            <w:rtl w:val="true"/>
          </w:rPr>
          <w:t>ע</w:t>
        </w:r>
        <w:r>
          <w:rPr>
            <w:rtl w:val="true"/>
          </w:rPr>
          <w:t>"</w:t>
        </w:r>
        <w:r>
          <w:rPr>
            <w:rtl w:val="true"/>
          </w:rPr>
          <w:t xml:space="preserve">פ </w:t>
        </w:r>
        <w:r>
          <w:rPr/>
          <w:t>6888/17</w:t>
        </w:r>
      </w:hyperlink>
      <w:r>
        <w:rPr>
          <w:color w:val="000000"/>
          <w:rtl w:val="true"/>
        </w:rPr>
        <w:t xml:space="preserve"> </w:t>
      </w:r>
      <w:r>
        <w:rPr>
          <w:b/>
          <w:b/>
          <w:bCs/>
          <w:color w:val="000000"/>
          <w:rtl w:val="true"/>
        </w:rPr>
        <w:t xml:space="preserve">שירזי </w:t>
      </w:r>
      <w:r>
        <w:rPr>
          <w:color w:val="000000"/>
          <w:rtl w:val="true"/>
        </w:rPr>
        <w:t>הנ</w:t>
      </w:r>
      <w:r>
        <w:rPr>
          <w:color w:val="000000"/>
          <w:rtl w:val="true"/>
        </w:rPr>
        <w:t>"</w:t>
      </w:r>
      <w:r>
        <w:rPr>
          <w:color w:val="000000"/>
          <w:rtl w:val="true"/>
        </w:rPr>
        <w:t>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14</w:t>
      </w:r>
      <w:r>
        <w:rPr>
          <w:rtl w:val="true"/>
        </w:rPr>
        <w:t xml:space="preserve">; </w:t>
      </w:r>
      <w:r>
        <w:rPr>
          <w:rtl w:val="true"/>
        </w:rPr>
        <w:t>ע</w:t>
      </w:r>
      <w:r>
        <w:rPr>
          <w:rtl w:val="true"/>
        </w:rPr>
        <w:t>/</w:t>
      </w:r>
      <w:r>
        <w:rPr/>
        <w:t>21/23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אסולין נ</w:t>
      </w:r>
      <w:r>
        <w:rPr>
          <w:b/>
          <w:bCs/>
          <w:rtl w:val="true"/>
        </w:rPr>
        <w:t>'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37</w:t>
      </w:r>
      <w:r>
        <w:rPr>
          <w:rtl w:val="true"/>
        </w:rPr>
        <w:t xml:space="preserve"> (</w:t>
      </w:r>
      <w:r>
        <w:rPr/>
        <w:t>2023</w:t>
      </w:r>
      <w:r>
        <w:rPr>
          <w:rtl w:val="true"/>
        </w:rPr>
        <w:t xml:space="preserve">); </w:t>
      </w:r>
      <w:r>
        <w:rPr>
          <w:rtl w:val="true"/>
        </w:rPr>
        <w:t>ע</w:t>
      </w:r>
      <w:r>
        <w:rPr>
          <w:rtl w:val="true"/>
        </w:rPr>
        <w:t>/</w:t>
      </w:r>
      <w:r>
        <w:rPr/>
        <w:t>51/23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סמל רשף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22</w:t>
      </w:r>
      <w:r>
        <w:rPr>
          <w:rtl w:val="true"/>
        </w:rPr>
        <w:t xml:space="preserve"> (</w:t>
      </w:r>
      <w:r>
        <w:rPr/>
        <w:t>2023</w:t>
      </w:r>
      <w:r>
        <w:rPr>
          <w:rtl w:val="true"/>
        </w:rPr>
        <w:t xml:space="preserve">); 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28536-02-25</w:t>
      </w:r>
      <w:r>
        <w:rPr>
          <w:rtl w:val="true"/>
        </w:rPr>
        <w:t xml:space="preserve">, </w:t>
      </w:r>
      <w:r>
        <w:rPr/>
        <w:t>3-04-25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רס</w:t>
      </w:r>
      <w:r>
        <w:rPr>
          <w:b/>
          <w:bCs/>
          <w:rtl w:val="true"/>
        </w:rPr>
        <w:t>"</w:t>
      </w:r>
      <w:r>
        <w:rPr>
          <w:b/>
          <w:b/>
          <w:bCs/>
          <w:rtl w:val="true"/>
        </w:rPr>
        <w:t xml:space="preserve">ל </w:t>
      </w:r>
      <w:r>
        <w:rPr>
          <w:b/>
          <w:bCs/>
          <w:rtl w:val="true"/>
        </w:rPr>
        <w:t>(</w:t>
      </w:r>
      <w:r>
        <w:rPr>
          <w:b/>
          <w:b/>
          <w:bCs/>
          <w:rtl w:val="true"/>
        </w:rPr>
        <w:t>מיל</w:t>
      </w:r>
      <w:r>
        <w:rPr>
          <w:b/>
          <w:bCs/>
          <w:rtl w:val="true"/>
        </w:rPr>
        <w:t xml:space="preserve">') </w:t>
      </w:r>
      <w:r>
        <w:rPr>
          <w:b/>
          <w:b/>
          <w:bCs/>
          <w:rtl w:val="true"/>
        </w:rPr>
        <w:t>בדלוב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21</w:t>
      </w:r>
      <w:r>
        <w:rPr>
          <w:rtl w:val="true"/>
        </w:rPr>
        <w:t xml:space="preserve"> </w:t>
      </w:r>
      <w:r>
        <w:rPr>
          <w:rtl w:val="true"/>
        </w:rPr>
        <w:t xml:space="preserve">והאסמכתאות שם </w:t>
      </w:r>
      <w:r>
        <w:rPr>
          <w:rtl w:val="true"/>
        </w:rPr>
        <w:t>(</w:t>
      </w:r>
      <w:r>
        <w:rPr/>
        <w:t>2025</w:t>
      </w:r>
      <w:r>
        <w:rPr>
          <w:rtl w:val="true"/>
        </w:rPr>
        <w:t xml:space="preserve">)). </w:t>
      </w:r>
      <w:r>
        <w:rPr>
          <w:rtl w:val="true"/>
        </w:rPr>
        <w:t>בהינתן שני המעשים הנפרדים בענייננו</w:t>
      </w:r>
      <w:r>
        <w:rPr>
          <w:rtl w:val="true"/>
        </w:rPr>
        <w:t xml:space="preserve">, </w:t>
      </w:r>
      <w:r>
        <w:rPr>
          <w:rtl w:val="true"/>
        </w:rPr>
        <w:t>שאותם יש לגלם בין אם ייקבע מתחם עונש הולם אחד</w:t>
      </w:r>
      <w:r>
        <w:rPr>
          <w:rtl w:val="true"/>
        </w:rPr>
        <w:t xml:space="preserve">, </w:t>
      </w:r>
      <w:r>
        <w:rPr>
          <w:rtl w:val="true"/>
        </w:rPr>
        <w:t xml:space="preserve">ובין אם ייקבעו שני מתחמים </w:t>
      </w:r>
      <w:r>
        <w:rPr>
          <w:rtl w:val="true"/>
        </w:rPr>
        <w:t xml:space="preserve">- </w:t>
      </w:r>
      <w:r>
        <w:rPr>
          <w:rtl w:val="true"/>
        </w:rPr>
        <w:t>והעונש הכולל בגינם</w:t>
      </w:r>
      <w:r>
        <w:rPr>
          <w:rtl w:val="true"/>
        </w:rPr>
        <w:t xml:space="preserve">, </w:t>
      </w:r>
      <w:r>
        <w:rPr>
          <w:rtl w:val="true"/>
        </w:rPr>
        <w:t xml:space="preserve">שנגזר ממילא </w:t>
      </w:r>
      <w:r>
        <w:rPr>
          <w:rtl w:val="true"/>
        </w:rPr>
        <w:t xml:space="preserve">- </w:t>
      </w:r>
      <w:r>
        <w:rPr>
          <w:rtl w:val="true"/>
        </w:rPr>
        <w:t>הסוגייה אינה מצריכה את התערבותנו</w:t>
      </w:r>
      <w:r>
        <w:rPr>
          <w:rtl w:val="tru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tl w:val="true"/>
        </w:rPr>
        <w:t>אשר למתחמי העונש ההולם שנקבעו</w:t>
      </w:r>
      <w:r>
        <w:rPr>
          <w:rtl w:val="true"/>
        </w:rPr>
        <w:t xml:space="preserve">, </w:t>
      </w:r>
      <w:r>
        <w:rPr>
          <w:rtl w:val="true"/>
        </w:rPr>
        <w:t>לגופם</w:t>
      </w:r>
      <w:r>
        <w:rPr>
          <w:rtl w:val="true"/>
        </w:rPr>
        <w:t xml:space="preserve">: </w:t>
      </w:r>
      <w:r>
        <w:rPr>
          <w:rtl w:val="true"/>
        </w:rPr>
        <w:t>המערער צילם את פלחי ישבנה של רב</w:t>
      </w:r>
      <w:r>
        <w:rPr>
          <w:rtl w:val="true"/>
        </w:rPr>
        <w:t>"</w:t>
      </w:r>
      <w:r>
        <w:rPr>
          <w:rtl w:val="true"/>
        </w:rPr>
        <w:t>ט מ</w:t>
      </w:r>
      <w:r>
        <w:rPr>
          <w:rtl w:val="true"/>
        </w:rPr>
        <w:t xml:space="preserve">', </w:t>
      </w:r>
      <w:r>
        <w:rPr>
          <w:rtl w:val="true"/>
        </w:rPr>
        <w:t>מתחת לחצאיתה</w:t>
      </w:r>
      <w:r>
        <w:rPr>
          <w:rtl w:val="true"/>
        </w:rPr>
        <w:t xml:space="preserve">. </w:t>
      </w:r>
      <w:r>
        <w:rPr>
          <w:rtl w:val="true"/>
        </w:rPr>
        <w:t>לגבי סמל ש</w:t>
      </w:r>
      <w:r>
        <w:rPr>
          <w:rtl w:val="true"/>
        </w:rPr>
        <w:t xml:space="preserve">' </w:t>
      </w:r>
      <w:r>
        <w:rPr>
          <w:rtl w:val="true"/>
        </w:rPr>
        <w:t>וטענות ההגנה בעניין זה</w:t>
      </w:r>
      <w:r>
        <w:rPr>
          <w:rtl w:val="true"/>
        </w:rPr>
        <w:t xml:space="preserve">, </w:t>
      </w:r>
      <w:r>
        <w:rPr>
          <w:rtl w:val="true"/>
        </w:rPr>
        <w:t>קריאה מדוקדקת של כתב האישום מעלה כי התקן הצילום שהניח המערער</w:t>
      </w:r>
      <w:r>
        <w:rPr>
          <w:rtl w:val="true"/>
        </w:rPr>
        <w:t xml:space="preserve">, </w:t>
      </w:r>
      <w:r>
        <w:rPr>
          <w:rtl w:val="true"/>
        </w:rPr>
        <w:t>כאשר הוא מכוון אל תאי המקלחות</w:t>
      </w:r>
      <w:r>
        <w:rPr>
          <w:rtl w:val="true"/>
        </w:rPr>
        <w:t xml:space="preserve">, </w:t>
      </w:r>
      <w:r>
        <w:rPr>
          <w:rtl w:val="true"/>
        </w:rPr>
        <w:t xml:space="preserve">פעל שם כאשר היא מתקלחת </w:t>
      </w:r>
      <w:r>
        <w:rPr>
          <w:b/>
          <w:b/>
          <w:bCs/>
          <w:rtl w:val="true"/>
        </w:rPr>
        <w:t>ללא בגדים</w:t>
      </w:r>
      <w:r>
        <w:rPr>
          <w:rtl w:val="true"/>
        </w:rPr>
        <w:t xml:space="preserve">, </w:t>
      </w:r>
      <w:r>
        <w:rPr>
          <w:rtl w:val="true"/>
        </w:rPr>
        <w:t>וכי כאשר התקרבה סמל ש</w:t>
      </w:r>
      <w:r>
        <w:rPr>
          <w:rtl w:val="true"/>
        </w:rPr>
        <w:t xml:space="preserve">' </w:t>
      </w:r>
      <w:r>
        <w:rPr>
          <w:rtl w:val="true"/>
        </w:rPr>
        <w:t>אל מקור האור בהתקן</w:t>
      </w:r>
      <w:r>
        <w:rPr>
          <w:rtl w:val="true"/>
        </w:rPr>
        <w:t xml:space="preserve">, </w:t>
      </w:r>
      <w:r>
        <w:rPr>
          <w:rtl w:val="true"/>
        </w:rPr>
        <w:t xml:space="preserve">הייתה לבושה </w:t>
      </w:r>
      <w:r>
        <w:rPr>
          <w:b/>
          <w:b/>
          <w:bCs/>
          <w:rtl w:val="true"/>
        </w:rPr>
        <w:t>בתחתוניה</w:t>
      </w:r>
      <w:r>
        <w:rPr>
          <w:rtl w:val="true"/>
        </w:rPr>
        <w:t xml:space="preserve">. </w:t>
      </w:r>
      <w:r>
        <w:rPr>
          <w:rtl w:val="true"/>
        </w:rPr>
        <w:t>מכאן</w:t>
      </w:r>
      <w:r>
        <w:rPr>
          <w:rtl w:val="true"/>
        </w:rPr>
        <w:t xml:space="preserve">, </w:t>
      </w:r>
      <w:r>
        <w:rPr>
          <w:rtl w:val="true"/>
        </w:rPr>
        <w:t>לכן</w:t>
      </w:r>
      <w:r>
        <w:rPr>
          <w:rtl w:val="true"/>
        </w:rPr>
        <w:t xml:space="preserve">, </w:t>
      </w:r>
      <w:r>
        <w:rPr>
          <w:rtl w:val="true"/>
        </w:rPr>
        <w:t xml:space="preserve">כי 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המערער ניצל את קורבנותיו והפך אותן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בעל כורחן וללא הסכמתן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למושא לסיפוק תאוותו המינית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בהתנהגותו זו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פגע המערער בזכות האוטונומיה של הקורבנות על גופן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בפרטיותן ובצניעותן וזוהי הפגיעה שמפניה מבקש החוק לגונן בעבירת המעשה המגונה</w:t>
      </w:r>
      <w:r>
        <w:rPr>
          <w:rFonts w:ascii="David" w:hAnsi="David"/>
          <w:rtl w:val="true"/>
        </w:rPr>
        <w:t>" 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פ </w:t>
      </w:r>
      <w:r>
        <w:rPr>
          <w:rFonts w:ascii="David" w:hAnsi="David"/>
        </w:rPr>
        <w:t>9603/09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פלוני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מדינת ישראל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16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לפסק דינו של כב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הש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ג</w:t>
      </w:r>
      <w:r>
        <w:rPr>
          <w:rFonts w:ascii="David" w:hAnsi="David"/>
          <w:rtl w:val="true"/>
        </w:rPr>
        <w:t>'</w:t>
      </w:r>
      <w:r>
        <w:rPr>
          <w:rFonts w:ascii="David" w:hAnsi="David"/>
          <w:rtl w:val="true"/>
        </w:rPr>
        <w:t xml:space="preserve">ובראן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27.9.2011</w:t>
      </w:r>
      <w:r>
        <w:rPr>
          <w:rFonts w:ascii="David" w:hAnsi="David"/>
          <w:rtl w:val="true"/>
        </w:rPr>
        <w:t xml:space="preserve">)). </w:t>
      </w:r>
      <w:r>
        <w:rPr>
          <w:rFonts w:ascii="David" w:hAnsi="David"/>
          <w:rtl w:val="true"/>
        </w:rPr>
        <w:t>לא לחינם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הורשע המערער גם בפגיעה בפרטיותה של סמל ש</w:t>
      </w:r>
      <w:r>
        <w:rPr>
          <w:rFonts w:ascii="David" w:hAnsi="David"/>
          <w:rtl w:val="true"/>
        </w:rPr>
        <w:t xml:space="preserve">', </w:t>
      </w:r>
      <w:r>
        <w:rPr>
          <w:rFonts w:ascii="David" w:hAnsi="David"/>
          <w:rtl w:val="true"/>
        </w:rPr>
        <w:t xml:space="preserve">שכן עבירה זו מדגישה 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את מימד הפגיעה </w:t>
      </w:r>
      <w:r>
        <w:rPr>
          <w:rFonts w:ascii="David" w:hAnsi="David"/>
          <w:b/>
          <w:b/>
          <w:bCs/>
          <w:rtl w:val="true"/>
        </w:rPr>
        <w:t>בזכות לצנעת הפרט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שאף היא משקפת את הזכות לכבוד</w:t>
      </w:r>
      <w:r>
        <w:rPr>
          <w:rFonts w:ascii="David" w:hAnsi="David"/>
          <w:rtl w:val="true"/>
        </w:rPr>
        <w:t>" 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40/17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סגן שרון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51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ההדגשות במקור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2017</w:t>
      </w:r>
      <w:r>
        <w:rPr>
          <w:rFonts w:ascii="David" w:hAnsi="David"/>
          <w:rtl w:val="true"/>
        </w:rPr>
        <w:t xml:space="preserve">); 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55/06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התובע הצבאי הראשי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רב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>ט גבאי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2006</w:t>
      </w:r>
      <w:r>
        <w:rPr>
          <w:rFonts w:ascii="David" w:hAnsi="David"/>
          <w:rtl w:val="true"/>
        </w:rPr>
        <w:t xml:space="preserve">)). </w:t>
      </w:r>
      <w:r>
        <w:rPr>
          <w:rFonts w:ascii="David" w:hAnsi="David"/>
          <w:rtl w:val="true"/>
        </w:rPr>
        <w:t>מעשה הצילום</w:t>
      </w:r>
      <w:r>
        <w:rPr>
          <w:rFonts w:ascii="David" w:hAnsi="David"/>
          <w:rtl w:val="true"/>
        </w:rPr>
        <w:t>, "</w:t>
      </w:r>
      <w:r>
        <w:rPr>
          <w:rFonts w:ascii="David" w:hAnsi="David"/>
          <w:rtl w:val="true"/>
        </w:rPr>
        <w:t>גם ללא ידיעת הקורבנות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היא עבירה פוגענית המצדיקה ענישה מחמירה</w:t>
      </w:r>
      <w:r>
        <w:rPr>
          <w:rFonts w:ascii="David" w:hAnsi="David"/>
          <w:rtl w:val="true"/>
        </w:rPr>
        <w:t>" 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פ </w:t>
      </w:r>
      <w:r>
        <w:rPr>
          <w:rFonts w:ascii="David" w:hAnsi="David"/>
        </w:rPr>
        <w:t>1269/15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פלוני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מדינת ישראל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10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23.12.2015</w:t>
      </w:r>
      <w:r>
        <w:rPr>
          <w:rFonts w:ascii="David" w:hAnsi="David"/>
          <w:rtl w:val="true"/>
        </w:rPr>
        <w:t xml:space="preserve">); 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4,3/22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סגן אברגיל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33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2022</w:t>
      </w:r>
      <w:r>
        <w:rPr>
          <w:rFonts w:ascii="David" w:hAnsi="David"/>
          <w:rtl w:val="true"/>
        </w:rPr>
        <w:t xml:space="preserve">)). </w:t>
      </w:r>
      <w:r>
        <w:rPr>
          <w:rFonts w:ascii="David" w:hAnsi="David"/>
          <w:rtl w:val="true"/>
        </w:rPr>
        <w:t>ואכן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כפי שנקבע בבית דין זה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זה מכבר</w:t>
      </w:r>
      <w:r>
        <w:rPr>
          <w:rFonts w:ascii="David" w:hAnsi="David"/>
          <w:rtl w:val="true"/>
        </w:rPr>
        <w:t>:</w:t>
      </w:r>
    </w:p>
    <w:p>
      <w:pPr>
        <w:pStyle w:val="Normal"/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  <w:sz w:val="20"/>
          <w:szCs w:val="20"/>
        </w:rPr>
      </w:pPr>
      <w:r>
        <w:rPr>
          <w:rFonts w:ascii="David" w:hAnsi="David"/>
          <w:sz w:val="20"/>
          <w:szCs w:val="20"/>
          <w:rtl w:val="true"/>
        </w:rPr>
      </w:r>
    </w:p>
    <w:p>
      <w:pPr>
        <w:pStyle w:val="Normal"/>
        <w:tabs>
          <w:tab w:val="clear" w:pos="720"/>
          <w:tab w:val="left" w:pos="425" w:leader="none"/>
        </w:tabs>
        <w:spacing w:lineRule="auto" w:line="240" w:before="0" w:after="0"/>
        <w:ind w:left="851" w:right="851" w:hanging="0"/>
        <w:contextualSpacing/>
        <w:jc w:val="both"/>
        <w:rPr>
          <w:rFonts w:ascii="David" w:hAnsi="David"/>
        </w:rPr>
      </w:pP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חדירה לפרטיות כל אדם בדרך של צפייה בו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ברגע אינטימי ומביך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בין שתועדה ובין שלא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מגלמת פגיעה קשה בכבודו ובפרטיותו של כל אדם ומסבה לו נזק קשה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b/>
          <w:b/>
          <w:bCs/>
          <w:rtl w:val="true"/>
        </w:rPr>
        <w:t>אף בלא הפצת התמונות או הסרטונים</w:t>
      </w:r>
      <w:r>
        <w:rPr>
          <w:rFonts w:ascii="David" w:hAnsi="David"/>
          <w:rtl w:val="true"/>
        </w:rPr>
        <w:t>".</w:t>
      </w:r>
    </w:p>
    <w:p>
      <w:pPr>
        <w:pStyle w:val="Normal"/>
        <w:tabs>
          <w:tab w:val="clear" w:pos="720"/>
          <w:tab w:val="left" w:pos="425" w:leader="none"/>
        </w:tabs>
        <w:spacing w:lineRule="auto" w:line="240" w:before="0" w:after="0"/>
        <w:ind w:left="851" w:right="851" w:hanging="0"/>
        <w:contextualSpacing/>
        <w:jc w:val="both"/>
        <w:rPr>
          <w:rFonts w:ascii="David" w:hAnsi="David"/>
        </w:rPr>
      </w:pP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37/15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סמל מולה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6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ההדגשה הוספה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2015</w:t>
      </w:r>
      <w:r>
        <w:rPr>
          <w:rFonts w:ascii="David" w:hAnsi="David"/>
          <w:rtl w:val="true"/>
        </w:rPr>
        <w:t>)).</w:t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425" w:leader="none"/>
        </w:tabs>
        <w:spacing w:lineRule="auto" w:line="360" w:before="0" w:after="0"/>
        <w:contextualSpacing/>
        <w:jc w:val="both"/>
        <w:rPr>
          <w:rFonts w:ascii="David" w:hAnsi="David"/>
        </w:rPr>
      </w:pPr>
      <w:r>
        <w:rPr>
          <w:rFonts w:ascii="David" w:hAnsi="David"/>
          <w:rtl w:val="true"/>
        </w:rPr>
      </w:r>
    </w:p>
    <w:p>
      <w:pPr>
        <w:pStyle w:val="Normal"/>
        <w:spacing w:lineRule="auto" w:line="360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וכפי שהוטעם</w:t>
      </w:r>
      <w:r>
        <w:rPr>
          <w:rFonts w:ascii="David" w:hAnsi="David"/>
          <w:rtl w:val="true"/>
        </w:rPr>
        <w:t>, "</w:t>
      </w:r>
      <w:r>
        <w:rPr>
          <w:rFonts w:ascii="David" w:hAnsi="David"/>
          <w:rtl w:val="true"/>
        </w:rPr>
        <w:t>הקידמה הטכנולוגית וזמינות הצילום בעידן הדיגיטלי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אחסונו והפצתו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מחייבים את מערכת השפיטה לתרום את תרומתה למלחמת החורמה בתיעוד פוגעני של הזולת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תוך רמיסת כבודו ופרטיותו</w:t>
      </w:r>
      <w:r>
        <w:rPr>
          <w:rFonts w:ascii="David" w:hAnsi="David"/>
          <w:rtl w:val="true"/>
        </w:rPr>
        <w:t>" 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26,33/19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סמל נהרי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20</w:t>
      </w:r>
      <w:r>
        <w:rPr>
          <w:rFonts w:ascii="David" w:hAnsi="David"/>
          <w:b/>
          <w:bCs/>
          <w:rtl w:val="true"/>
        </w:rPr>
        <w:t xml:space="preserve">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2019</w:t>
      </w:r>
      <w:r>
        <w:rPr>
          <w:rFonts w:ascii="David" w:hAnsi="David"/>
          <w:rtl w:val="true"/>
        </w:rPr>
        <w:t xml:space="preserve">); 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3,2/22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 xml:space="preserve">סגן אברגיל </w:t>
      </w:r>
      <w:r>
        <w:rPr>
          <w:rFonts w:ascii="David" w:hAnsi="David"/>
          <w:rtl w:val="true"/>
        </w:rPr>
        <w:t>הנ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ל</w:t>
      </w:r>
      <w:r>
        <w:rPr>
          <w:rtl w:val="true"/>
        </w:rPr>
        <w:t xml:space="preserve">, </w:t>
      </w:r>
      <w:r>
        <w:rPr>
          <w:rtl w:val="true"/>
        </w:rPr>
        <w:t xml:space="preserve">פסקאות </w:t>
      </w:r>
      <w:r>
        <w:rPr/>
        <w:t>32-30</w:t>
      </w:r>
      <w:r>
        <w:rPr>
          <w:rtl w:val="true"/>
        </w:rPr>
        <w:t xml:space="preserve">; </w:t>
      </w:r>
      <w:r>
        <w:rPr>
          <w:rtl w:val="true"/>
        </w:rPr>
        <w:t>ע</w:t>
      </w:r>
      <w:r>
        <w:rPr>
          <w:rtl w:val="true"/>
        </w:rPr>
        <w:t>/</w:t>
      </w:r>
      <w:r>
        <w:rPr/>
        <w:t>5/24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טור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סהלו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26</w:t>
      </w:r>
      <w:r>
        <w:rPr>
          <w:rtl w:val="true"/>
        </w:rPr>
        <w:t xml:space="preserve"> (</w:t>
      </w:r>
      <w:r>
        <w:rPr/>
        <w:t>2024</w:t>
      </w:r>
      <w:r>
        <w:rPr>
          <w:rtl w:val="true"/>
        </w:rPr>
        <w:t xml:space="preserve">)). </w:t>
      </w:r>
      <w:r>
        <w:rPr>
          <w:rtl w:val="true"/>
        </w:rPr>
        <w:t>לא לחינם</w:t>
      </w:r>
      <w:r>
        <w:rPr>
          <w:rtl w:val="true"/>
        </w:rPr>
        <w:t xml:space="preserve">, </w:t>
      </w:r>
      <w:r>
        <w:rPr>
          <w:rtl w:val="true"/>
        </w:rPr>
        <w:t>ניתן להצביע על מגמה של החמרה בענישה בגין עבירות מין הכרוכות בפגיעה בפרטיות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40/23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טור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מרזם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18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2024</w:t>
      </w:r>
      <w:r>
        <w:rPr>
          <w:rFonts w:ascii="David" w:hAnsi="David"/>
          <w:rtl w:val="true"/>
        </w:rPr>
        <w:t>)).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60" w:before="0" w:after="0"/>
        <w:jc w:val="both"/>
        <w:rPr>
          <w:rFonts w:ascii="David" w:hAnsi="David"/>
        </w:rPr>
      </w:pPr>
      <w:r>
        <w:rPr>
          <w:rtl w:val="true"/>
        </w:rPr>
        <w:t>לכך נוספת הפגיעה בערכים המוגנים הייחודיים למערכת הצבאית</w:t>
      </w:r>
      <w:r>
        <w:rPr>
          <w:rtl w:val="true"/>
        </w:rPr>
        <w:t xml:space="preserve">, </w:t>
      </w:r>
      <w:r>
        <w:rPr>
          <w:rtl w:val="true"/>
        </w:rPr>
        <w:t>ובראשם ערך הרעות</w:t>
      </w:r>
      <w:r>
        <w:rPr>
          <w:rtl w:val="true"/>
        </w:rPr>
        <w:t xml:space="preserve">, </w:t>
      </w:r>
      <w:r>
        <w:rPr>
          <w:rtl w:val="true"/>
        </w:rPr>
        <w:t>האמון החייב לשרור בין המשרתים ואמון הציבור בצה</w:t>
      </w:r>
      <w:r>
        <w:rPr>
          <w:rtl w:val="true"/>
        </w:rPr>
        <w:t>"</w:t>
      </w:r>
      <w:r>
        <w:rPr>
          <w:rtl w:val="true"/>
        </w:rPr>
        <w:t>ל</w:t>
      </w:r>
      <w:r>
        <w:rPr>
          <w:rtl w:val="true"/>
        </w:rPr>
        <w:t xml:space="preserve">. </w:t>
      </w:r>
      <w:r>
        <w:rPr>
          <w:rtl w:val="true"/>
        </w:rPr>
        <w:t>בית דין זה שב והתריע</w:t>
      </w:r>
      <w:r>
        <w:rPr>
          <w:rtl w:val="true"/>
        </w:rPr>
        <w:t xml:space="preserve">, </w:t>
      </w:r>
      <w:r>
        <w:rPr>
          <w:rtl w:val="true"/>
        </w:rPr>
        <w:t xml:space="preserve">כי </w:t>
      </w:r>
      <w:r>
        <w:rPr>
          <w:rtl w:val="true"/>
        </w:rPr>
        <w:t>"</w:t>
      </w:r>
      <w:r>
        <w:rPr>
          <w:rtl w:val="true"/>
        </w:rPr>
        <w:t>ההגנה על פרטיותם של חיילים וחיילות</w:t>
      </w:r>
      <w:r>
        <w:rPr>
          <w:rtl w:val="true"/>
        </w:rPr>
        <w:t xml:space="preserve">, </w:t>
      </w:r>
      <w:r>
        <w:rPr>
          <w:rtl w:val="true"/>
        </w:rPr>
        <w:t>המשרתים מכוח חוק בצבא ושוהים</w:t>
      </w:r>
      <w:r>
        <w:rPr>
          <w:rtl w:val="true"/>
        </w:rPr>
        <w:t xml:space="preserve">, </w:t>
      </w:r>
      <w:r>
        <w:rPr>
          <w:rtl w:val="true"/>
        </w:rPr>
        <w:t>נוכח צורכי תפקידם</w:t>
      </w:r>
      <w:r>
        <w:rPr>
          <w:rtl w:val="true"/>
        </w:rPr>
        <w:t xml:space="preserve">, </w:t>
      </w:r>
      <w:r>
        <w:rPr>
          <w:rtl w:val="true"/>
        </w:rPr>
        <w:t>ביחידות צבאיות</w:t>
      </w:r>
      <w:r>
        <w:rPr>
          <w:rtl w:val="true"/>
        </w:rPr>
        <w:t xml:space="preserve">, </w:t>
      </w:r>
      <w:r>
        <w:rPr>
          <w:rtl w:val="true"/>
        </w:rPr>
        <w:t xml:space="preserve">בתנאים המחייבים לינה ומגורים משותפים </w:t>
      </w:r>
      <w:r>
        <w:rPr>
          <w:rtl w:val="true"/>
        </w:rPr>
        <w:t xml:space="preserve">- </w:t>
      </w:r>
      <w:r>
        <w:rPr>
          <w:rtl w:val="true"/>
        </w:rPr>
        <w:t>מחייבת אכיפה קפדנית ורחבה של החוקים והכללים</w:t>
      </w:r>
      <w:r>
        <w:rPr>
          <w:rtl w:val="true"/>
        </w:rPr>
        <w:t xml:space="preserve">, </w:t>
      </w:r>
      <w:r>
        <w:rPr>
          <w:rtl w:val="true"/>
        </w:rPr>
        <w:t>שנועדו להבטיח מידה ראויה של פרטיות במרחב המשותף</w:t>
      </w:r>
      <w:r>
        <w:rPr>
          <w:rtl w:val="true"/>
        </w:rPr>
        <w:t>" (</w:t>
      </w:r>
      <w:r>
        <w:rPr>
          <w:rtl w:val="true"/>
        </w:rPr>
        <w:t>ע</w:t>
      </w:r>
      <w:r>
        <w:rPr>
          <w:rtl w:val="true"/>
        </w:rPr>
        <w:t>/</w:t>
      </w:r>
      <w:r>
        <w:rPr/>
        <w:t>40/17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 xml:space="preserve">סגן שרון </w:t>
      </w:r>
      <w:r>
        <w:rPr>
          <w:rtl w:val="true"/>
        </w:rPr>
        <w:t>הנ</w:t>
      </w:r>
      <w:r>
        <w:rPr>
          <w:rtl w:val="true"/>
        </w:rPr>
        <w:t>"</w:t>
      </w:r>
      <w:r>
        <w:rPr>
          <w:rtl w:val="true"/>
        </w:rPr>
        <w:t>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29</w:t>
      </w:r>
      <w:r>
        <w:rPr>
          <w:rtl w:val="true"/>
        </w:rPr>
        <w:t xml:space="preserve"> (</w:t>
      </w:r>
      <w:r>
        <w:rPr/>
        <w:t>2017</w:t>
      </w:r>
      <w:r>
        <w:rPr>
          <w:rtl w:val="true"/>
        </w:rPr>
        <w:t xml:space="preserve">)). </w:t>
      </w:r>
      <w:r>
        <w:rPr>
          <w:b/>
          <w:bCs/>
          <w:rtl w:val="true"/>
        </w:rPr>
        <w:t xml:space="preserve"> </w:t>
      </w:r>
      <w:r>
        <w:rPr>
          <w:rtl w:val="true"/>
        </w:rPr>
        <w:t>על עונשו של המערער לשקף</w:t>
      </w:r>
      <w:r>
        <w:rPr>
          <w:rtl w:val="true"/>
        </w:rPr>
        <w:t xml:space="preserve">, </w:t>
      </w:r>
      <w:r>
        <w:rPr>
          <w:rtl w:val="true"/>
        </w:rPr>
        <w:t>לכן</w:t>
      </w:r>
      <w:r>
        <w:rPr>
          <w:rtl w:val="true"/>
        </w:rPr>
        <w:t xml:space="preserve">, </w:t>
      </w:r>
      <w:r>
        <w:rPr>
          <w:rtl w:val="true"/>
        </w:rPr>
        <w:t>גם את מאפייני המסגרת הצבאית</w:t>
      </w:r>
      <w:r>
        <w:rPr>
          <w:rtl w:val="true"/>
        </w:rPr>
        <w:t xml:space="preserve">, </w:t>
      </w:r>
      <w:r>
        <w:rPr>
          <w:rtl w:val="true"/>
        </w:rPr>
        <w:t xml:space="preserve">ייחודיותה ודרישותיה </w:t>
      </w:r>
      <w:r>
        <w:rPr>
          <w:rtl w:val="true"/>
        </w:rPr>
        <w:t>(</w:t>
      </w:r>
      <w:r>
        <w:rPr>
          <w:rtl w:val="true"/>
        </w:rPr>
        <w:t>רע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381/17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פלוני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התובעת הצבאי הראשית</w:t>
      </w:r>
      <w:r>
        <w:rPr>
          <w:rtl w:val="true"/>
        </w:rPr>
        <w:t>,</w:t>
      </w:r>
      <w:r>
        <w:rPr>
          <w:b/>
          <w:bCs/>
          <w:rtl w:val="true"/>
        </w:rPr>
        <w:t xml:space="preserve"> </w:t>
      </w:r>
      <w:r>
        <w:rPr>
          <w:rtl w:val="true"/>
        </w:rPr>
        <w:t xml:space="preserve">פסקה </w:t>
      </w:r>
      <w:r>
        <w:rPr/>
        <w:t>12</w:t>
      </w:r>
      <w:r>
        <w:rPr>
          <w:rtl w:val="true"/>
        </w:rPr>
        <w:t xml:space="preserve"> (</w:t>
      </w:r>
      <w:r>
        <w:rPr/>
        <w:t>15.1.2017</w:t>
      </w:r>
      <w:r>
        <w:rPr>
          <w:rtl w:val="true"/>
        </w:rPr>
        <w:t>);</w:t>
      </w:r>
      <w:r>
        <w:rPr>
          <w:b/>
          <w:bCs/>
          <w:rtl w:val="true"/>
        </w:rPr>
        <w:t xml:space="preserve"> </w:t>
      </w:r>
      <w:r>
        <w:rPr>
          <w:rtl w:val="true"/>
        </w:rPr>
        <w:t>רע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6505/20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חסקל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8</w:t>
      </w:r>
      <w:r>
        <w:rPr>
          <w:rtl w:val="true"/>
        </w:rPr>
        <w:t xml:space="preserve"> (</w:t>
      </w:r>
      <w:r>
        <w:rPr/>
        <w:t>30.9.2020</w:t>
      </w:r>
      <w:r>
        <w:rPr>
          <w:rtl w:val="true"/>
        </w:rPr>
        <w:t xml:space="preserve">)). </w:t>
      </w:r>
      <w:r>
        <w:rPr>
          <w:rtl w:val="true"/>
        </w:rPr>
        <w:t>ואמנם</w:t>
      </w:r>
      <w:r>
        <w:rPr>
          <w:rtl w:val="true"/>
        </w:rPr>
        <w:t>, "</w:t>
      </w:r>
      <w:r>
        <w:rPr>
          <w:rtl w:val="true"/>
        </w:rPr>
        <w:t>הרשעה בעבירות מין ובעבירות של פגיעה בפרטיות שבוצעו במסגרת הצבאית</w:t>
      </w:r>
      <w:r>
        <w:rPr>
          <w:rtl w:val="true"/>
        </w:rPr>
        <w:t xml:space="preserve">, </w:t>
      </w:r>
      <w:r>
        <w:rPr>
          <w:rtl w:val="true"/>
        </w:rPr>
        <w:t>נוכח מאפייניה הייחודיים</w:t>
      </w:r>
      <w:r>
        <w:rPr>
          <w:rtl w:val="true"/>
        </w:rPr>
        <w:t xml:space="preserve">, </w:t>
      </w:r>
      <w:r>
        <w:rPr>
          <w:rtl w:val="true"/>
        </w:rPr>
        <w:t xml:space="preserve">כפי שנקבע לא אחת בפסיקת בית דין זה </w:t>
      </w:r>
      <w:r>
        <w:rPr>
          <w:rtl w:val="true"/>
        </w:rPr>
        <w:t xml:space="preserve">- </w:t>
      </w:r>
      <w:r>
        <w:rPr>
          <w:rtl w:val="true"/>
        </w:rPr>
        <w:t xml:space="preserve">מחייבת </w:t>
      </w:r>
      <w:r>
        <w:rPr>
          <w:rtl w:val="true"/>
        </w:rPr>
        <w:t>'</w:t>
      </w:r>
      <w:r>
        <w:rPr>
          <w:rtl w:val="true"/>
        </w:rPr>
        <w:t>לנקוט ענישה מחמירה</w:t>
      </w:r>
      <w:r>
        <w:rPr>
          <w:rtl w:val="true"/>
        </w:rPr>
        <w:t xml:space="preserve">, </w:t>
      </w:r>
      <w:r>
        <w:rPr>
          <w:rtl w:val="true"/>
        </w:rPr>
        <w:t>משיקולים של הלימה</w:t>
      </w:r>
      <w:r>
        <w:rPr>
          <w:rtl w:val="true"/>
        </w:rPr>
        <w:t>'" (</w:t>
      </w:r>
      <w:r>
        <w:rPr>
          <w:rtl w:val="true"/>
        </w:rPr>
        <w:t>ע</w:t>
      </w:r>
      <w:r>
        <w:rPr>
          <w:rtl w:val="true"/>
        </w:rPr>
        <w:t>/</w:t>
      </w:r>
      <w:r>
        <w:rPr/>
        <w:t>4,3/22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 xml:space="preserve">סגן אברגיל </w:t>
      </w:r>
      <w:r>
        <w:rPr>
          <w:rtl w:val="true"/>
        </w:rPr>
        <w:t>הנ</w:t>
      </w:r>
      <w:r>
        <w:rPr>
          <w:rtl w:val="true"/>
        </w:rPr>
        <w:t>"</w:t>
      </w:r>
      <w:r>
        <w:rPr>
          <w:rtl w:val="true"/>
        </w:rPr>
        <w:t>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38</w:t>
      </w:r>
      <w:r>
        <w:rPr>
          <w:rtl w:val="true"/>
        </w:rPr>
        <w:t xml:space="preserve">. </w:t>
      </w:r>
      <w:r>
        <w:rPr>
          <w:rtl w:val="true"/>
        </w:rPr>
        <w:t>כן ראו ע</w:t>
      </w:r>
      <w:r>
        <w:rPr>
          <w:rtl w:val="true"/>
        </w:rPr>
        <w:t>/</w:t>
      </w:r>
      <w:r>
        <w:rPr/>
        <w:t>4,2/23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רס</w:t>
      </w:r>
      <w:r>
        <w:rPr>
          <w:b/>
          <w:bCs/>
          <w:rtl w:val="true"/>
        </w:rPr>
        <w:t>"</w:t>
      </w:r>
      <w:r>
        <w:rPr>
          <w:b/>
          <w:b/>
          <w:bCs/>
          <w:rtl w:val="true"/>
        </w:rPr>
        <w:t>ב חשאן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28</w:t>
      </w:r>
      <w:r>
        <w:rPr>
          <w:rtl w:val="true"/>
        </w:rPr>
        <w:t xml:space="preserve"> (</w:t>
      </w:r>
      <w:r>
        <w:rPr/>
        <w:t>2023</w:t>
      </w:r>
      <w:r>
        <w:rPr>
          <w:rtl w:val="true"/>
        </w:rPr>
        <w:t xml:space="preserve">)). </w:t>
      </w:r>
      <w:r>
        <w:rPr>
          <w:rtl w:val="true"/>
        </w:rPr>
        <w:t>הדברים מקבלים משנה תוקף</w:t>
      </w:r>
      <w:r>
        <w:rPr>
          <w:rtl w:val="true"/>
        </w:rPr>
        <w:t xml:space="preserve">, </w:t>
      </w:r>
      <w:r>
        <w:rPr>
          <w:rtl w:val="true"/>
        </w:rPr>
        <w:t>שעה שהמערער וסמל ש</w:t>
      </w:r>
      <w:r>
        <w:rPr>
          <w:rtl w:val="true"/>
        </w:rPr>
        <w:t xml:space="preserve">' </w:t>
      </w:r>
      <w:r>
        <w:rPr>
          <w:rtl w:val="true"/>
        </w:rPr>
        <w:t>גויסו שניהם לשירות מילואים</w:t>
      </w:r>
      <w:r>
        <w:rPr>
          <w:rtl w:val="true"/>
        </w:rPr>
        <w:t xml:space="preserve">, </w:t>
      </w:r>
      <w:r>
        <w:rPr>
          <w:rtl w:val="true"/>
        </w:rPr>
        <w:t>לאחר פרוץ מלחמת התקומה</w:t>
      </w:r>
      <w:r>
        <w:rPr>
          <w:rtl w:val="true"/>
        </w:rPr>
        <w:t xml:space="preserve">, </w:t>
      </w:r>
      <w:r>
        <w:rPr>
          <w:rtl w:val="true"/>
        </w:rPr>
        <w:t xml:space="preserve">שכן לערכים מוגנים </w:t>
      </w:r>
      <w:r>
        <w:rPr>
          <w:rFonts w:ascii="David" w:hAnsi="David"/>
          <w:rtl w:val="true"/>
        </w:rPr>
        <w:t xml:space="preserve">אלה 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חשיבות רבה גם כאשר עסקינן </w:t>
      </w:r>
      <w:r>
        <w:rPr>
          <w:rFonts w:ascii="David" w:hAnsi="David"/>
          <w:b/>
          <w:b/>
          <w:bCs/>
          <w:rtl w:val="true"/>
        </w:rPr>
        <w:t>בעבירות מין שבוצעו בין משרתי מילואים</w:t>
      </w:r>
      <w:r>
        <w:rPr>
          <w:rFonts w:ascii="David" w:hAnsi="David"/>
          <w:b/>
          <w:bCs/>
          <w:rtl w:val="true"/>
        </w:rPr>
        <w:t xml:space="preserve">, </w:t>
      </w:r>
      <w:r>
        <w:rPr>
          <w:rFonts w:ascii="David" w:hAnsi="David"/>
          <w:b/>
          <w:b/>
          <w:bCs/>
          <w:rtl w:val="true"/>
        </w:rPr>
        <w:t>ודאי בשעת מלחמה</w:t>
      </w:r>
      <w:r>
        <w:rPr>
          <w:rFonts w:ascii="David" w:hAnsi="David"/>
          <w:b/>
          <w:bCs/>
          <w:rtl w:val="true"/>
        </w:rPr>
        <w:t xml:space="preserve">, </w:t>
      </w:r>
      <w:r>
        <w:rPr>
          <w:rFonts w:ascii="David" w:hAnsi="David"/>
          <w:b/>
          <w:b/>
          <w:bCs/>
          <w:rtl w:val="true"/>
        </w:rPr>
        <w:t>שבמהלכה</w:t>
      </w:r>
      <w:r>
        <w:rPr>
          <w:rFonts w:ascii="David" w:hAnsi="David"/>
          <w:b/>
          <w:bCs/>
          <w:rtl w:val="true"/>
        </w:rPr>
        <w:t xml:space="preserve">, </w:t>
      </w:r>
      <w:r>
        <w:rPr>
          <w:rFonts w:ascii="David" w:hAnsi="David"/>
          <w:b/>
          <w:b/>
          <w:bCs/>
          <w:rtl w:val="true"/>
        </w:rPr>
        <w:t>הפכה המסגרת הצבאית ל</w:t>
      </w:r>
      <w:r>
        <w:rPr>
          <w:rFonts w:ascii="David" w:hAnsi="David"/>
          <w:b/>
          <w:bCs/>
          <w:rtl w:val="true"/>
        </w:rPr>
        <w:t>'</w:t>
      </w:r>
      <w:r>
        <w:rPr>
          <w:rFonts w:ascii="David" w:hAnsi="David"/>
          <w:b/>
          <w:b/>
          <w:bCs/>
          <w:rtl w:val="true"/>
        </w:rPr>
        <w:t>בית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עבורם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חובתו של צה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ל להגן על שלומה ועל כבודה של נפגעת העבירה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b/>
          <w:b/>
          <w:bCs/>
          <w:rtl w:val="true"/>
        </w:rPr>
        <w:t>שמילאה את תפקידה בשירות מילואים על פי צו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ומתוך רצון לתרום ולסייע למדינה בשעתה הקשה</w:t>
      </w:r>
      <w:r>
        <w:rPr>
          <w:rFonts w:ascii="David" w:hAnsi="David"/>
          <w:rtl w:val="true"/>
        </w:rPr>
        <w:t>" 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53/24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רס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 xml:space="preserve">ל </w:t>
      </w:r>
      <w:r>
        <w:rPr>
          <w:rFonts w:ascii="David" w:hAnsi="David"/>
          <w:b/>
          <w:bCs/>
          <w:rtl w:val="true"/>
        </w:rPr>
        <w:t>(</w:t>
      </w:r>
      <w:r>
        <w:rPr>
          <w:rFonts w:ascii="David" w:hAnsi="David"/>
          <w:b/>
          <w:b/>
          <w:bCs/>
          <w:rtl w:val="true"/>
        </w:rPr>
        <w:t>מיל</w:t>
      </w:r>
      <w:r>
        <w:rPr>
          <w:rFonts w:ascii="David" w:hAnsi="David"/>
          <w:b/>
          <w:bCs/>
          <w:rtl w:val="true"/>
        </w:rPr>
        <w:t xml:space="preserve">') </w:t>
      </w:r>
      <w:r>
        <w:rPr>
          <w:rFonts w:ascii="David" w:hAnsi="David"/>
          <w:b/>
          <w:b/>
          <w:bCs/>
          <w:rtl w:val="true"/>
        </w:rPr>
        <w:t>פרץ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32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ההדגשות הוספו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2024</w:t>
      </w:r>
      <w:r>
        <w:rPr>
          <w:rFonts w:ascii="David" w:hAnsi="David"/>
          <w:rtl w:val="true"/>
        </w:rPr>
        <w:t xml:space="preserve">); 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28536-02-25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רס</w:t>
      </w:r>
      <w:r>
        <w:rPr>
          <w:b/>
          <w:bCs/>
          <w:rtl w:val="true"/>
        </w:rPr>
        <w:t>"</w:t>
      </w:r>
      <w:r>
        <w:rPr>
          <w:b/>
          <w:b/>
          <w:bCs/>
          <w:rtl w:val="true"/>
        </w:rPr>
        <w:t xml:space="preserve">ל </w:t>
      </w:r>
      <w:r>
        <w:rPr>
          <w:b/>
          <w:bCs/>
          <w:rtl w:val="true"/>
        </w:rPr>
        <w:t>(</w:t>
      </w:r>
      <w:r>
        <w:rPr>
          <w:b/>
          <w:b/>
          <w:bCs/>
          <w:rtl w:val="true"/>
        </w:rPr>
        <w:t>מיל</w:t>
      </w:r>
      <w:r>
        <w:rPr>
          <w:b/>
          <w:bCs/>
          <w:rtl w:val="true"/>
        </w:rPr>
        <w:t xml:space="preserve">') </w:t>
      </w:r>
      <w:r>
        <w:rPr>
          <w:b/>
          <w:b/>
          <w:bCs/>
          <w:rtl w:val="true"/>
        </w:rPr>
        <w:t>בדלוב</w:t>
      </w:r>
      <w:r>
        <w:rPr>
          <w:rFonts w:ascii="David" w:hAnsi="David"/>
          <w:rtl w:val="true"/>
        </w:rPr>
        <w:t xml:space="preserve"> הנ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19</w:t>
      </w:r>
      <w:r>
        <w:rPr>
          <w:rFonts w:ascii="David" w:hAnsi="David"/>
          <w:rtl w:val="true"/>
        </w:rPr>
        <w:t>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36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מקובל עלינו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בענייננו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נעדרו מעשיו של המערער נסיבות מחמירות של מעילה במעמדו של הנאשם כמפקד ובאמון הניתן בו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כבעניינם של </w:t>
      </w:r>
      <w:r>
        <w:rPr>
          <w:rFonts w:ascii="David" w:hAnsi="David"/>
          <w:b/>
          <w:b/>
          <w:bCs/>
          <w:rtl w:val="true"/>
        </w:rPr>
        <w:t>רס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>ב חשאן</w:t>
      </w:r>
      <w:r>
        <w:rPr>
          <w:rFonts w:ascii="David" w:hAnsi="David"/>
          <w:rtl w:val="true"/>
        </w:rPr>
        <w:t xml:space="preserve"> ו</w:t>
      </w:r>
      <w:r>
        <w:rPr>
          <w:rFonts w:ascii="David" w:hAnsi="David"/>
          <w:b/>
          <w:b/>
          <w:bCs/>
          <w:rtl w:val="true"/>
        </w:rPr>
        <w:t>סמל רשף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באחד מן המקרים שבגינם הורשע</w:t>
      </w:r>
      <w:r>
        <w:rPr>
          <w:rFonts w:ascii="David" w:hAnsi="David"/>
          <w:rtl w:val="true"/>
        </w:rPr>
        <w:t xml:space="preserve">), </w:t>
      </w:r>
      <w:r>
        <w:rPr>
          <w:rFonts w:ascii="David" w:hAnsi="David"/>
          <w:rtl w:val="true"/>
        </w:rPr>
        <w:t>אשר נידונו לעונשי 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בגין צילומם של נפגעים רבים יותר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לתקופות של עשרה ו</w:t>
      </w:r>
      <w:r>
        <w:rPr>
          <w:rFonts w:ascii="David" w:hAnsi="David"/>
          <w:rtl w:val="true"/>
        </w:rPr>
        <w:t>-</w:t>
      </w:r>
      <w:r>
        <w:rPr>
          <w:rFonts w:ascii="David" w:hAnsi="David"/>
        </w:rPr>
        <w:t>12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חודשים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בהתאמה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כמו כן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הסרטון המתעד את 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בחדר המקלחות נמחק על ידי המערער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ולא הופץ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והוא אינו כולל תיעוד של אקט מיני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כבעניינם של </w:t>
      </w:r>
      <w:r>
        <w:rPr>
          <w:rFonts w:ascii="David" w:hAnsi="David"/>
          <w:b/>
          <w:b/>
          <w:bCs/>
          <w:rtl w:val="true"/>
        </w:rPr>
        <w:t>טור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 xml:space="preserve">סהלו </w:t>
      </w:r>
      <w:r>
        <w:rPr>
          <w:rFonts w:ascii="David" w:hAnsi="David"/>
          <w:rtl w:val="true"/>
        </w:rPr>
        <w:t>ו</w:t>
      </w:r>
      <w:r>
        <w:rPr>
          <w:rFonts w:ascii="David" w:hAnsi="David"/>
          <w:b/>
          <w:b/>
          <w:bCs/>
          <w:rtl w:val="true"/>
        </w:rPr>
        <w:t>טור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מרזם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שנידונו לעונשי מאסר בפועל בני שמונה וחמישה חודשים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בהתאמה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ואף על פי כן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>ניכר בתצהיריהן של הנפגעות כי תיעודן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תוך חדירה למרחב האינטימי והאישי של כל אחת מהן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הותיר בהן משקעים ניכרים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אף ציינה כי מאז האירוע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שאותו חדלה בעצמה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בזמן אמת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כאשר הבחינה בצילום בזמן המקלחת</w:t>
      </w:r>
      <w:r>
        <w:rPr>
          <w:rFonts w:ascii="David" w:hAnsi="David"/>
          <w:rtl w:val="true"/>
        </w:rPr>
        <w:t xml:space="preserve">), </w:t>
      </w:r>
      <w:r>
        <w:rPr>
          <w:rFonts w:ascii="David" w:hAnsi="David"/>
          <w:rtl w:val="true"/>
        </w:rPr>
        <w:t>היא נזקקת לטיפולים מתאימים</w:t>
      </w:r>
      <w:r>
        <w:rPr>
          <w:rFonts w:ascii="David" w:hAnsi="David"/>
          <w:rtl w:val="true"/>
        </w:rPr>
        <w:t xml:space="preserve">. </w:t>
      </w:r>
      <w:r>
        <w:rPr>
          <w:rtl w:val="true"/>
        </w:rPr>
        <w:t>ואמנם</w:t>
      </w:r>
      <w:r>
        <w:rPr>
          <w:rtl w:val="true"/>
        </w:rPr>
        <w:t>, "</w:t>
      </w:r>
      <w:r>
        <w:rPr>
          <w:rtl w:val="true"/>
        </w:rPr>
        <w:t>כלל חשוב נוסף לפיו אנו מצווים לפסוק ממקד את זרקורנו במצבה של נפגעת העבירה</w:t>
      </w:r>
      <w:r>
        <w:rPr>
          <w:rtl w:val="true"/>
        </w:rPr>
        <w:t xml:space="preserve">. </w:t>
      </w:r>
      <w:r>
        <w:rPr>
          <w:rtl w:val="true"/>
        </w:rPr>
        <w:t>כלל זה נגזר מעיקרון ההלימה שנבחר על ידי המחוקק לעיצוב דרכי ענישתם של עבריינים</w:t>
      </w:r>
      <w:r>
        <w:rPr>
          <w:rtl w:val="true"/>
        </w:rPr>
        <w:t>" (</w:t>
      </w:r>
      <w:hyperlink r:id="rId6">
        <w:r>
          <w:rPr>
            <w:rtl w:val="true"/>
          </w:rPr>
          <w:t>ע</w:t>
        </w:r>
        <w:r>
          <w:rPr>
            <w:rtl w:val="true"/>
          </w:rPr>
          <w:t>"</w:t>
        </w:r>
        <w:r>
          <w:rPr>
            <w:rtl w:val="true"/>
          </w:rPr>
          <w:t xml:space="preserve">פ </w:t>
        </w:r>
        <w:r>
          <w:rPr/>
          <w:t>6111/23</w:t>
        </w:r>
      </w:hyperlink>
      <w:r>
        <w:rPr>
          <w:rtl w:val="true"/>
        </w:rPr>
        <w:t xml:space="preserve"> </w:t>
      </w:r>
      <w:r>
        <w:rPr>
          <w:b/>
          <w:b/>
          <w:bCs/>
          <w:rtl w:val="true"/>
        </w:rPr>
        <w:t>פלוני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מדינת ישראל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37</w:t>
      </w:r>
      <w:r>
        <w:rPr>
          <w:rtl w:val="true"/>
        </w:rPr>
        <w:t xml:space="preserve"> (</w:t>
      </w:r>
      <w:r>
        <w:rPr/>
        <w:t>22.2.2024</w:t>
      </w:r>
      <w:r>
        <w:rPr>
          <w:rtl w:val="true"/>
        </w:rPr>
        <w:t>)).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36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לא זו אף זו</w:t>
      </w:r>
      <w:r>
        <w:rPr>
          <w:rFonts w:ascii="David" w:hAnsi="David"/>
          <w:rtl w:val="true"/>
        </w:rPr>
        <w:t xml:space="preserve">: </w:t>
      </w:r>
      <w:r>
        <w:rPr>
          <w:rFonts w:ascii="David" w:hAnsi="David"/>
          <w:rtl w:val="true"/>
        </w:rPr>
        <w:t>תיעודה של 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בחדר המקלחות התאפיין </w:t>
      </w:r>
      <w:r>
        <w:rPr>
          <w:rFonts w:ascii="David" w:hAnsi="David"/>
          <w:b/>
          <w:b/>
          <w:bCs/>
          <w:rtl w:val="true"/>
        </w:rPr>
        <w:t>בתכנון מוקפד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בדומה לעניינו של </w:t>
      </w:r>
      <w:r>
        <w:rPr>
          <w:rFonts w:ascii="David" w:hAnsi="David"/>
          <w:b/>
          <w:b/>
          <w:bCs/>
          <w:rtl w:val="true"/>
        </w:rPr>
        <w:t>רס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>ב חשאן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אך בשונה ממנו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 xml:space="preserve">לא בוצע באמצעות 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המצלמות במכשירי הטלפון הניידים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המצויים ברשותו של כל אדם</w:t>
      </w:r>
      <w:r>
        <w:rPr>
          <w:rFonts w:ascii="David" w:hAnsi="David"/>
          <w:b/>
          <w:bCs/>
          <w:rtl w:val="true"/>
        </w:rPr>
        <w:t xml:space="preserve">" </w:t>
      </w:r>
      <w:r>
        <w:rPr>
          <w:rFonts w:ascii="David" w:hAnsi="David"/>
          <w:rtl w:val="true"/>
        </w:rPr>
        <w:t>(</w:t>
      </w:r>
      <w:r>
        <w:rPr>
          <w:rtl w:val="true"/>
        </w:rPr>
        <w:t>ע</w:t>
      </w:r>
      <w:r>
        <w:rPr>
          <w:rtl w:val="true"/>
        </w:rPr>
        <w:t>/</w:t>
      </w:r>
      <w:r>
        <w:rPr/>
        <w:t>4,3/22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 xml:space="preserve">סגן אברגיל </w:t>
      </w:r>
      <w:r>
        <w:rPr>
          <w:rtl w:val="true"/>
        </w:rPr>
        <w:t>הנ</w:t>
      </w:r>
      <w:r>
        <w:rPr>
          <w:rtl w:val="true"/>
        </w:rPr>
        <w:t>"</w:t>
      </w:r>
      <w:r>
        <w:rPr>
          <w:rtl w:val="true"/>
        </w:rPr>
        <w:t>ל</w:t>
      </w:r>
      <w:r>
        <w:rPr>
          <w:rtl w:val="true"/>
        </w:rPr>
        <w:t xml:space="preserve">, </w:t>
      </w:r>
      <w:r>
        <w:rPr>
          <w:rtl w:val="true"/>
        </w:rPr>
        <w:t xml:space="preserve">פסקאות </w:t>
      </w:r>
      <w:r>
        <w:rPr/>
        <w:t>32-30</w:t>
      </w:r>
      <w:r>
        <w:rPr>
          <w:rtl w:val="true"/>
        </w:rPr>
        <w:t xml:space="preserve">), </w:t>
      </w:r>
      <w:r>
        <w:rPr>
          <w:rtl w:val="true"/>
        </w:rPr>
        <w:t xml:space="preserve">אלא באמצעות </w:t>
      </w:r>
      <w:r>
        <w:rPr>
          <w:b/>
          <w:b/>
          <w:bCs/>
          <w:rtl w:val="true"/>
        </w:rPr>
        <w:t>התקן ייעודי</w:t>
      </w:r>
      <w:r>
        <w:rPr>
          <w:b/>
          <w:bCs/>
          <w:rtl w:val="true"/>
        </w:rPr>
        <w:t xml:space="preserve">, </w:t>
      </w:r>
      <w:r>
        <w:rPr>
          <w:b/>
          <w:b/>
          <w:bCs/>
          <w:rtl w:val="true"/>
        </w:rPr>
        <w:t xml:space="preserve">בדמות מפתח לרכב שבתוכו מצלמה נסתרת </w:t>
      </w:r>
      <w:r>
        <w:rPr>
          <w:b/>
          <w:bCs/>
          <w:rtl w:val="true"/>
        </w:rPr>
        <w:t xml:space="preserve">- </w:t>
      </w:r>
      <w:r>
        <w:rPr>
          <w:b/>
          <w:b/>
          <w:bCs/>
          <w:rtl w:val="true"/>
        </w:rPr>
        <w:t>המשדרת בזמן אמת למכשירו הסלולארי</w:t>
      </w:r>
      <w:r>
        <w:rPr>
          <w:rtl w:val="true"/>
        </w:rPr>
        <w:t xml:space="preserve"> של המערער</w:t>
      </w:r>
      <w:r>
        <w:rPr>
          <w:rtl w:val="true"/>
        </w:rPr>
        <w:t xml:space="preserve">. </w:t>
      </w:r>
      <w:r>
        <w:rPr>
          <w:rtl w:val="true"/>
        </w:rPr>
        <w:t>לא זו בלבד שהמערער הצטייד בהתקן זה</w:t>
      </w:r>
      <w:r>
        <w:rPr>
          <w:rtl w:val="true"/>
        </w:rPr>
        <w:t xml:space="preserve">, </w:t>
      </w:r>
      <w:r>
        <w:rPr>
          <w:rtl w:val="true"/>
        </w:rPr>
        <w:t>מבעוד מועד</w:t>
      </w:r>
      <w:r>
        <w:rPr>
          <w:rtl w:val="true"/>
        </w:rPr>
        <w:t xml:space="preserve">, </w:t>
      </w:r>
      <w:r>
        <w:rPr>
          <w:rtl w:val="true"/>
        </w:rPr>
        <w:t xml:space="preserve">אלא שאף הוצב בפניו </w:t>
      </w:r>
      <w:r>
        <w:rPr>
          <w:b/>
          <w:bCs/>
          <w:rtl w:val="true"/>
        </w:rPr>
        <w:t>"</w:t>
      </w:r>
      <w:r>
        <w:rPr>
          <w:b/>
          <w:b/>
          <w:bCs/>
          <w:rtl w:val="true"/>
        </w:rPr>
        <w:t>תמרור עצור</w:t>
      </w:r>
      <w:r>
        <w:rPr>
          <w:rtl w:val="true"/>
        </w:rPr>
        <w:t xml:space="preserve">", </w:t>
      </w:r>
      <w:r>
        <w:rPr>
          <w:rtl w:val="true"/>
        </w:rPr>
        <w:t xml:space="preserve">בעת </w:t>
      </w:r>
      <w:r>
        <w:rPr>
          <w:rFonts w:ascii="David" w:hAnsi="David"/>
          <w:b/>
          <w:b/>
          <w:bCs/>
          <w:rtl w:val="true"/>
        </w:rPr>
        <w:t>שסמל ש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שאלה אותו על מפתח הרכב שבו אחז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המערער השיב לה כי המדובר בחפץ חסר חשיבות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>וכבר באותו ערב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ביצע </w:t>
      </w:r>
      <w:r>
        <w:rPr>
          <w:rFonts w:ascii="David" w:hAnsi="David"/>
          <w:b/>
          <w:b/>
          <w:bCs/>
          <w:rtl w:val="true"/>
        </w:rPr>
        <w:t>מספר פעולות נוספות</w:t>
      </w:r>
      <w:r>
        <w:rPr>
          <w:rFonts w:ascii="David" w:hAnsi="David"/>
          <w:rtl w:val="true"/>
        </w:rPr>
        <w:t xml:space="preserve"> כדי להתקינו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במיוחד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בסמוך לתאי המקלחות של החיילות ולהסוותו שם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תוך שהוא ממתין במקום סמוך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כדי לצפות בדברים בשידור ישיר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אמנם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מוסכם כי 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נקודת הסיום</w:t>
      </w:r>
      <w:r>
        <w:rPr>
          <w:rFonts w:ascii="David" w:hAnsi="David"/>
          <w:rtl w:val="true"/>
        </w:rPr>
        <w:t xml:space="preserve">", </w:t>
      </w:r>
      <w:r>
        <w:rPr>
          <w:rFonts w:ascii="David" w:hAnsi="David"/>
          <w:rtl w:val="true"/>
        </w:rPr>
        <w:t xml:space="preserve">לא צפה המערער במכשיר הסלולארי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 xml:space="preserve">אך </w:t>
      </w:r>
      <w:r>
        <w:rPr>
          <w:rFonts w:ascii="David" w:hAnsi="David"/>
          <w:b/>
          <w:b/>
          <w:bCs/>
          <w:rtl w:val="true"/>
        </w:rPr>
        <w:t>בכל צומת בדרך יכול היה לחדול מפעולותיו</w:t>
      </w:r>
      <w:r>
        <w:rPr>
          <w:rFonts w:ascii="David" w:hAnsi="David"/>
          <w:b/>
          <w:bCs/>
          <w:rtl w:val="true"/>
        </w:rPr>
        <w:t xml:space="preserve">, </w:t>
      </w:r>
      <w:r>
        <w:rPr>
          <w:rFonts w:ascii="David" w:hAnsi="David"/>
          <w:b/>
          <w:b/>
          <w:bCs/>
          <w:rtl w:val="true"/>
        </w:rPr>
        <w:t>ולא עשה זאת</w:t>
      </w:r>
      <w:r>
        <w:rPr>
          <w:rFonts w:ascii="David" w:hAnsi="David"/>
          <w:rtl w:val="true"/>
        </w:rPr>
        <w:t>.</w:t>
      </w:r>
      <w:r>
        <w:rPr>
          <w:rFonts w:ascii="David" w:hAnsi="David"/>
          <w:b/>
          <w:bCs/>
          <w:rtl w:val="true"/>
        </w:rPr>
        <w:t xml:space="preserve"> </w:t>
      </w:r>
      <w:r>
        <w:rPr>
          <w:rFonts w:ascii="David" w:hAnsi="David"/>
          <w:rtl w:val="true"/>
        </w:rPr>
        <w:t>אירוע זה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בכללותו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מגלם </w:t>
      </w:r>
      <w:r>
        <w:rPr>
          <w:rFonts w:ascii="David" w:hAnsi="David"/>
          <w:b/>
          <w:b/>
          <w:bCs/>
          <w:rtl w:val="true"/>
        </w:rPr>
        <w:t>הסלמה של הפעולות שאותן העז לנקוט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מאז צילם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ספונטנית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באמצעות מכשירו הסלולארי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את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מתחת לחצאיתה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b/>
          <w:b/>
          <w:bCs/>
          <w:rtl w:val="true"/>
        </w:rPr>
        <w:t>ארבעה חודשים</w:t>
      </w:r>
      <w:r>
        <w:rPr>
          <w:rFonts w:ascii="David" w:hAnsi="David"/>
          <w:rtl w:val="true"/>
        </w:rPr>
        <w:t xml:space="preserve"> קודם לכן</w:t>
      </w:r>
      <w:r>
        <w:rPr>
          <w:rFonts w:ascii="David" w:hAnsi="David"/>
          <w:rtl w:val="tru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36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נוכח כלל האמור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לא מצאנו חומרה יתירה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ובוודאי לא כזו המצדיקה את התערבותה של ערכאת הערעור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במתחם העונש ההולם שנקבע לאירוע בעניינה של סמל ש</w:t>
      </w:r>
      <w:r>
        <w:rPr>
          <w:rFonts w:ascii="David" w:hAnsi="David"/>
          <w:rtl w:val="true"/>
        </w:rPr>
        <w:t xml:space="preserve">', </w:t>
      </w:r>
      <w:r>
        <w:rPr>
          <w:rFonts w:ascii="David" w:hAnsi="David"/>
          <w:rtl w:val="true"/>
        </w:rPr>
        <w:t>הנע בין שלושה לשישה חודשי 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בכליאה</w:t>
      </w:r>
      <w:r>
        <w:rPr>
          <w:rFonts w:ascii="David" w:hAnsi="David"/>
          <w:rtl w:val="true"/>
        </w:rPr>
        <w:t xml:space="preserve">; </w:t>
      </w:r>
      <w:r>
        <w:rPr>
          <w:rFonts w:ascii="David" w:hAnsi="David"/>
          <w:rtl w:val="true"/>
        </w:rPr>
        <w:t>ואף לא במתחם שנקבע לצילומה של 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', </w:t>
      </w:r>
      <w:r>
        <w:rPr>
          <w:rFonts w:ascii="David" w:hAnsi="David"/>
          <w:rtl w:val="true"/>
        </w:rPr>
        <w:t>של מאסר בפועל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שיכול וירוצה בעבודה צבאית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לתקופה שבין חודש ימים לשלושה חודשים</w:t>
      </w:r>
      <w:r>
        <w:rPr>
          <w:rFonts w:ascii="David" w:hAnsi="David"/>
          <w:rtl w:val="true"/>
        </w:rPr>
        <w:t>.</w:t>
      </w:r>
      <w:r>
        <w:rPr>
          <w:rFonts w:ascii="David" w:hAnsi="David"/>
          <w:b/>
          <w:bCs/>
          <w:rtl w:val="true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336" w:before="0" w:after="0"/>
        <w:jc w:val="both"/>
        <w:rPr>
          <w:rFonts w:ascii="David" w:hAnsi="David"/>
        </w:rPr>
      </w:pPr>
      <w:r>
        <w:rPr>
          <w:rFonts w:ascii="David" w:hAnsi="David"/>
          <w:rtl w:val="true"/>
        </w:rPr>
        <w:t>איננו מתעלמים מכנות חרטתו של המערער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מרצונו לעבור הליך של טיפול לעברייני מין ומשיתוף הפעולה שלו בטיפול עד כה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כעולה מן העדכון שמסרה הקרימינולוגית השיקומית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עם זאת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כפי שציינה</w:t>
      </w:r>
      <w:r>
        <w:rPr>
          <w:rFonts w:ascii="David" w:hAnsi="David"/>
          <w:rtl w:val="true"/>
        </w:rPr>
        <w:t>, "</w:t>
      </w:r>
      <w:r>
        <w:rPr>
          <w:rFonts w:ascii="David" w:hAnsi="David"/>
          <w:rtl w:val="true"/>
        </w:rPr>
        <w:t>נדרשת המשך עבודה לצורך יצירת אינטגרציה בין התובנות והרגשות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לבין יכולת יישום בחיי היומיום</w:t>
      </w:r>
      <w:r>
        <w:rPr>
          <w:rFonts w:ascii="David" w:hAnsi="David"/>
          <w:rtl w:val="true"/>
        </w:rPr>
        <w:t xml:space="preserve">". </w:t>
      </w:r>
      <w:r>
        <w:rPr>
          <w:rFonts w:ascii="David" w:hAnsi="David"/>
          <w:rtl w:val="true"/>
        </w:rPr>
        <w:t>המדובר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אפוא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בשלב טיפולי שאינו בא בגדר המקרים המצדיקים סטיה ממתחם העונש ההולם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מטעמי שיקום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מקרים אלה הם 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>חריגים שבחריגים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שבהם </w:t>
      </w:r>
      <w:r>
        <w:rPr>
          <w:rFonts w:ascii="David" w:hAnsi="David"/>
          <w:b/>
          <w:b/>
          <w:bCs/>
          <w:rtl w:val="true"/>
        </w:rPr>
        <w:t>ניכר בפועל</w:t>
      </w:r>
      <w:r>
        <w:rPr>
          <w:rFonts w:ascii="David" w:hAnsi="David"/>
          <w:rtl w:val="true"/>
        </w:rPr>
        <w:t xml:space="preserve"> שיקום משמעותי או כשקיימים סיכויי שיקום </w:t>
      </w:r>
      <w:r>
        <w:rPr>
          <w:rFonts w:ascii="David" w:hAnsi="David"/>
          <w:b/>
          <w:b/>
          <w:bCs/>
          <w:rtl w:val="true"/>
        </w:rPr>
        <w:t>מובהקים</w:t>
      </w:r>
      <w:r>
        <w:rPr>
          <w:rFonts w:ascii="David" w:hAnsi="David"/>
          <w:rtl w:val="true"/>
        </w:rPr>
        <w:t>" (</w:t>
      </w:r>
      <w:r>
        <w:rPr>
          <w:rFonts w:ascii="David" w:hAnsi="David"/>
          <w:rtl w:val="true"/>
        </w:rPr>
        <w:t>עפ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ג </w:t>
      </w:r>
      <w:r>
        <w:rPr>
          <w:rFonts w:ascii="David" w:hAnsi="David"/>
        </w:rPr>
        <w:t>23873-03-25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פלוני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מדינת ישראל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13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לפסק דינה של כב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השופטת וילנר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ההדגשות חלקן במקור וחלקן הוספו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20.1.2026</w:t>
      </w:r>
      <w:r>
        <w:rPr>
          <w:rFonts w:ascii="David" w:hAnsi="David"/>
          <w:rtl w:val="true"/>
        </w:rPr>
        <w:t xml:space="preserve">)). </w:t>
      </w:r>
      <w:r>
        <w:rPr>
          <w:rFonts w:ascii="David" w:hAnsi="David"/>
          <w:rtl w:val="true"/>
        </w:rPr>
        <w:t>בהקשר זה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וחרף התועלת</w:t>
      </w:r>
      <w:r>
        <w:rPr>
          <w:rFonts w:ascii="David" w:hAnsi="David"/>
          <w:b/>
          <w:b/>
          <w:bCs/>
          <w:rtl w:val="true"/>
        </w:rPr>
        <w:t xml:space="preserve"> </w:t>
      </w:r>
      <w:r>
        <w:rPr>
          <w:rFonts w:ascii="David" w:hAnsi="David"/>
          <w:rtl w:val="true"/>
        </w:rPr>
        <w:t>שבשיקום מוצלח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הן לעברייני מין והן לחברה כולה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עפ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ג </w:t>
      </w:r>
      <w:r>
        <w:rPr>
          <w:rFonts w:ascii="David" w:hAnsi="David"/>
        </w:rPr>
        <w:t>23873-03-25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 xml:space="preserve">פלוני </w:t>
      </w:r>
      <w:r>
        <w:rPr>
          <w:rFonts w:ascii="David" w:hAnsi="David"/>
          <w:rtl w:val="true"/>
        </w:rPr>
        <w:t>הנ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פסק דינה של כב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השופטת רונן</w:t>
      </w:r>
      <w:r>
        <w:rPr>
          <w:rFonts w:ascii="David" w:hAnsi="David"/>
          <w:rtl w:val="true"/>
        </w:rPr>
        <w:t xml:space="preserve">) - </w:t>
      </w:r>
      <w:r>
        <w:rPr>
          <w:rFonts w:ascii="David" w:hAnsi="David"/>
          <w:rtl w:val="true"/>
        </w:rPr>
        <w:t>איננו סבורים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כי היה מקום לעכב את ההליך המשפטי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כפי שביקשה ההגנה מבית הדין קמא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לתקופה בלתי מבוטלת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עד להתקדמות נוספת בטיפול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שכן </w:t>
      </w:r>
      <w:r>
        <w:rPr>
          <w:rFonts w:ascii="David" w:hAnsi="David"/>
          <w:rtl w:val="true"/>
        </w:rPr>
        <w:t>"'</w:t>
      </w:r>
      <w:r>
        <w:rPr>
          <w:rFonts w:ascii="David" w:hAnsi="David"/>
          <w:rtl w:val="true"/>
        </w:rPr>
        <w:t>גרירת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>ההליך מהסוג האמור גורמת לעינוי דין לא רק לנאשמים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אלא גם לנפגעי העבירה ולאינטרס הציבורי</w:t>
      </w:r>
      <w:r>
        <w:rPr>
          <w:rFonts w:ascii="David" w:hAnsi="David"/>
          <w:rtl w:val="true"/>
        </w:rPr>
        <w:t>" 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פ </w:t>
      </w:r>
      <w:r>
        <w:rPr>
          <w:rFonts w:ascii="David" w:hAnsi="David"/>
        </w:rPr>
        <w:t>766/21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רביעה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מדינת ישראל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20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23.2.2023</w:t>
      </w:r>
      <w:r>
        <w:rPr>
          <w:rFonts w:ascii="David" w:hAnsi="David"/>
          <w:rtl w:val="true"/>
        </w:rPr>
        <w:t xml:space="preserve">); </w:t>
      </w:r>
      <w:r>
        <w:rPr>
          <w:rFonts w:ascii="David" w:hAnsi="David"/>
          <w:rtl w:val="true"/>
        </w:rPr>
        <w:t xml:space="preserve">סעיף </w:t>
      </w:r>
      <w:r>
        <w:rPr>
          <w:rFonts w:ascii="David" w:hAnsi="David"/>
        </w:rPr>
        <w:t>12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לחוק זכויות נפגעי עבירה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תשס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א</w:t>
      </w:r>
      <w:r>
        <w:rPr>
          <w:rFonts w:ascii="David" w:hAnsi="David"/>
          <w:rtl w:val="true"/>
        </w:rPr>
        <w:t>-</w:t>
      </w:r>
      <w:r>
        <w:rPr>
          <w:rFonts w:ascii="David" w:hAnsi="David"/>
        </w:rPr>
        <w:t>2001</w:t>
      </w:r>
      <w:r>
        <w:rPr>
          <w:rFonts w:ascii="David" w:hAnsi="David"/>
          <w:rtl w:val="true"/>
        </w:rPr>
        <w:t xml:space="preserve">; </w:t>
      </w:r>
      <w:r>
        <w:rPr>
          <w:rFonts w:ascii="David" w:hAnsi="David"/>
          <w:rtl w:val="true"/>
        </w:rPr>
        <w:t xml:space="preserve">סעיף </w:t>
      </w:r>
      <w:r>
        <w:rPr>
          <w:rFonts w:ascii="David" w:hAnsi="David"/>
        </w:rPr>
        <w:t>513</w:t>
      </w:r>
      <w:r>
        <w:rPr>
          <w:rFonts w:ascii="David" w:hAnsi="David"/>
          <w:rtl w:val="true"/>
        </w:rPr>
        <w:t>יב לחוק השיפוט הצבאי</w:t>
      </w:r>
      <w:r>
        <w:rPr>
          <w:rFonts w:ascii="David" w:hAnsi="David"/>
          <w:rtl w:val="true"/>
        </w:rPr>
        <w:t xml:space="preserve">; </w:t>
      </w:r>
      <w:r>
        <w:rPr>
          <w:rFonts w:ascii="David" w:hAnsi="David"/>
          <w:rtl w:val="true"/>
        </w:rPr>
        <w:t>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ש </w:t>
      </w:r>
      <w:r>
        <w:rPr>
          <w:rFonts w:ascii="David" w:hAnsi="David"/>
        </w:rPr>
        <w:t>57/22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רס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>ן קלימי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2022</w:t>
      </w:r>
      <w:r>
        <w:rPr>
          <w:rFonts w:ascii="David" w:hAnsi="David"/>
          <w:rtl w:val="true"/>
        </w:rPr>
        <w:t>)).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336" w:before="0" w:after="0"/>
        <w:jc w:val="both"/>
        <w:rPr/>
      </w:pPr>
      <w:r>
        <w:rPr>
          <w:rtl w:val="true"/>
        </w:rPr>
        <w:t xml:space="preserve">אף </w:t>
      </w:r>
      <w:r>
        <w:rPr>
          <w:b/>
          <w:b/>
          <w:bCs/>
          <w:rtl w:val="true"/>
        </w:rPr>
        <w:t>בעונש הכולל</w:t>
      </w:r>
      <w:r>
        <w:rPr>
          <w:rtl w:val="true"/>
        </w:rPr>
        <w:t xml:space="preserve"> שנפסק</w:t>
      </w:r>
      <w:r>
        <w:rPr>
          <w:rtl w:val="true"/>
        </w:rPr>
        <w:t xml:space="preserve">, </w:t>
      </w:r>
      <w:r>
        <w:rPr>
          <w:rtl w:val="true"/>
        </w:rPr>
        <w:t xml:space="preserve">תוך שימורו של עיקרון ההלימה </w:t>
      </w:r>
      <w:r>
        <w:rPr>
          <w:rtl w:val="true"/>
        </w:rPr>
        <w:t>(</w:t>
      </w:r>
      <w:r>
        <w:rPr>
          <w:rtl w:val="true"/>
        </w:rPr>
        <w:t xml:space="preserve">סעיף </w:t>
      </w:r>
      <w:r>
        <w:rPr/>
        <w:t>40</w:t>
      </w:r>
      <w:r>
        <w:rPr>
          <w:rtl w:val="true"/>
        </w:rPr>
        <w:t>יג</w:t>
      </w:r>
      <w:r>
        <w:rPr>
          <w:rtl w:val="true"/>
        </w:rPr>
        <w:t>(</w:t>
      </w:r>
      <w:r>
        <w:rPr>
          <w:rtl w:val="true"/>
        </w:rPr>
        <w:t>ג</w:t>
      </w:r>
      <w:r>
        <w:rPr>
          <w:rtl w:val="true"/>
        </w:rPr>
        <w:t xml:space="preserve">) </w:t>
      </w:r>
      <w:r>
        <w:rPr>
          <w:rtl w:val="true"/>
        </w:rPr>
        <w:t>לחוק העונשין</w:t>
      </w:r>
      <w:r>
        <w:rPr>
          <w:rtl w:val="true"/>
        </w:rPr>
        <w:t xml:space="preserve">, </w:t>
      </w:r>
      <w:r>
        <w:rPr>
          <w:rtl w:val="true"/>
        </w:rPr>
        <w:t>ע</w:t>
      </w:r>
      <w:r>
        <w:rPr>
          <w:rtl w:val="true"/>
        </w:rPr>
        <w:t>/</w:t>
      </w:r>
      <w:r>
        <w:rPr/>
        <w:t>13,12/22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סמ</w:t>
      </w:r>
      <w:r>
        <w:rPr>
          <w:b/>
          <w:bCs/>
          <w:rtl w:val="true"/>
        </w:rPr>
        <w:t>"</w:t>
      </w:r>
      <w:r>
        <w:rPr>
          <w:b/>
          <w:b/>
          <w:bCs/>
          <w:rtl w:val="true"/>
        </w:rPr>
        <w:t>ר אמסלם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פסקאות </w:t>
      </w:r>
      <w:r>
        <w:rPr/>
        <w:t>43-42</w:t>
      </w:r>
      <w:r>
        <w:rPr>
          <w:rtl w:val="true"/>
        </w:rPr>
        <w:t xml:space="preserve"> (</w:t>
      </w:r>
      <w:r>
        <w:rPr/>
        <w:t>2022</w:t>
      </w:r>
      <w:r>
        <w:rPr>
          <w:rtl w:val="true"/>
        </w:rPr>
        <w:t xml:space="preserve">); 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10162-01-25</w:t>
      </w:r>
      <w:r>
        <w:rPr>
          <w:rtl w:val="true"/>
        </w:rPr>
        <w:t xml:space="preserve">, </w:t>
      </w:r>
      <w:r>
        <w:rPr/>
        <w:t>34786-01-25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התובע הצבאי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טור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ללום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39</w:t>
      </w:r>
      <w:r>
        <w:rPr>
          <w:rtl w:val="true"/>
        </w:rPr>
        <w:t xml:space="preserve"> (</w:t>
      </w:r>
      <w:r>
        <w:rPr/>
        <w:t>2025</w:t>
      </w:r>
      <w:r>
        <w:rPr>
          <w:rtl w:val="true"/>
        </w:rPr>
        <w:t xml:space="preserve">)) - </w:t>
      </w:r>
      <w:r>
        <w:rPr>
          <w:rtl w:val="true"/>
        </w:rPr>
        <w:t>לא מצאנו להתערב</w:t>
      </w:r>
      <w:r>
        <w:rPr>
          <w:rtl w:val="true"/>
        </w:rPr>
        <w:t xml:space="preserve">. </w:t>
      </w:r>
      <w:r>
        <w:rPr>
          <w:rtl w:val="true"/>
        </w:rPr>
        <w:t>בית הדין קמא התחשב</w:t>
      </w:r>
      <w:r>
        <w:rPr>
          <w:rtl w:val="true"/>
        </w:rPr>
        <w:t xml:space="preserve">, </w:t>
      </w:r>
      <w:r>
        <w:rPr>
          <w:rtl w:val="true"/>
        </w:rPr>
        <w:t>אל נכון</w:t>
      </w:r>
      <w:r>
        <w:rPr>
          <w:rtl w:val="true"/>
        </w:rPr>
        <w:t xml:space="preserve">, </w:t>
      </w:r>
      <w:r>
        <w:rPr>
          <w:rtl w:val="true"/>
        </w:rPr>
        <w:t>בסיכויי שיקומו של המערער</w:t>
      </w:r>
      <w:r>
        <w:rPr>
          <w:rtl w:val="true"/>
        </w:rPr>
        <w:t xml:space="preserve">, </w:t>
      </w:r>
      <w:r>
        <w:rPr>
          <w:rtl w:val="true"/>
        </w:rPr>
        <w:t xml:space="preserve">כנימוק להעמדת העונש בחלקם התחתון של המתחמים שנקבעו </w:t>
      </w:r>
      <w:r>
        <w:rPr>
          <w:rtl w:val="true"/>
        </w:rPr>
        <w:t>(</w:t>
      </w:r>
      <w:r>
        <w:rPr>
          <w:rtl w:val="true"/>
        </w:rPr>
        <w:t>ראו</w:t>
      </w:r>
      <w:r>
        <w:rPr>
          <w:rtl w:val="true"/>
        </w:rPr>
        <w:t xml:space="preserve">, </w:t>
      </w:r>
      <w:r>
        <w:rPr>
          <w:rtl w:val="true"/>
        </w:rPr>
        <w:t>לעניין משקל ניכר לשיקול השיקומי בתוך מתחם העונש ההולם</w:t>
      </w:r>
      <w:r>
        <w:rPr>
          <w:rtl w:val="true"/>
        </w:rPr>
        <w:t xml:space="preserve">, </w:t>
      </w:r>
      <w:r>
        <w:rPr>
          <w:rtl w:val="true"/>
        </w:rPr>
        <w:t>גם אם ללא חריגה מן המתחם</w:t>
      </w:r>
      <w:r>
        <w:rPr>
          <w:rtl w:val="true"/>
        </w:rPr>
        <w:t xml:space="preserve">, </w:t>
      </w:r>
      <w:r>
        <w:rPr>
          <w:rtl w:val="true"/>
        </w:rPr>
        <w:t>את 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5634/16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שחר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מדינת ישראל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13</w:t>
      </w:r>
      <w:r>
        <w:rPr>
          <w:rtl w:val="true"/>
        </w:rPr>
        <w:t xml:space="preserve"> (</w:t>
      </w:r>
      <w:r>
        <w:rPr/>
        <w:t>27.10.2016</w:t>
      </w:r>
      <w:r>
        <w:rPr>
          <w:rtl w:val="true"/>
        </w:rPr>
        <w:t xml:space="preserve">); </w:t>
      </w:r>
      <w:r>
        <w:rPr>
          <w:rtl w:val="true"/>
        </w:rPr>
        <w:t>וכן 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36438-07-25</w:t>
      </w:r>
      <w:r>
        <w:rPr>
          <w:rtl w:val="true"/>
        </w:rPr>
        <w:t xml:space="preserve">, </w:t>
      </w:r>
      <w:r>
        <w:rPr/>
        <w:t>61475-07-25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טור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דניאל שיש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63</w:t>
      </w:r>
      <w:r>
        <w:rPr>
          <w:rtl w:val="true"/>
        </w:rPr>
        <w:t xml:space="preserve"> (</w:t>
      </w:r>
      <w:r>
        <w:rPr/>
        <w:t>2026</w:t>
      </w:r>
      <w:r>
        <w:rPr>
          <w:rtl w:val="true"/>
        </w:rPr>
        <w:t>)).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360" w:before="0" w:after="0"/>
        <w:jc w:val="both"/>
        <w:rPr>
          <w:u w:val="single"/>
        </w:rPr>
      </w:pPr>
      <w:r>
        <w:rPr>
          <w:rFonts w:ascii="David" w:hAnsi="David"/>
          <w:rtl w:val="true"/>
        </w:rPr>
        <w:t>בד בבד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בנסיבות העניין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לא ניתן להיעתר לבקשת ההגנה להימנע מריצויו של המאסר בפועל בכליאה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 xml:space="preserve">הדברים שמסר המערער למעריכת המסוכנות הביאו לקביעה בדבר הפרעה מסוג ויוריזם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מציצנות</w:t>
      </w:r>
      <w:r>
        <w:rPr>
          <w:rFonts w:ascii="David" w:hAnsi="David"/>
          <w:rtl w:val="true"/>
        </w:rPr>
        <w:t xml:space="preserve">), </w:t>
      </w:r>
      <w:r>
        <w:rPr>
          <w:rFonts w:ascii="David" w:hAnsi="David"/>
          <w:rtl w:val="true"/>
        </w:rPr>
        <w:t>שממנה הוא סובל מזה שנים רבות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ומתקשה בשליטה על תסמיניה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ראו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לעניין הערכת המסוכנות המינית הנשענת על תיאורים שמסר הנבדק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את 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פ </w:t>
      </w:r>
      <w:r>
        <w:rPr>
          <w:rFonts w:ascii="David" w:hAnsi="David"/>
        </w:rPr>
        <w:t>3376-08-25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</w:rPr>
        <w:t>39774-08-25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רס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>ל בן אדיבה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30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2025</w:t>
      </w:r>
      <w:r>
        <w:rPr>
          <w:rFonts w:ascii="David" w:hAnsi="David"/>
          <w:rtl w:val="true"/>
        </w:rPr>
        <w:t xml:space="preserve">)). </w:t>
      </w:r>
      <w:r>
        <w:rPr>
          <w:rFonts w:ascii="David" w:hAnsi="David"/>
          <w:rtl w:val="true"/>
        </w:rPr>
        <w:t>מסוכנותו המינית של המערער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חרף הליך הטיפול שבו החל וגורמי התמיכה המשפחתיים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הוערכה </w:t>
      </w:r>
      <w:r>
        <w:rPr>
          <w:rFonts w:ascii="David" w:hAnsi="David"/>
          <w:b/>
          <w:b/>
          <w:bCs/>
          <w:rtl w:val="true"/>
        </w:rPr>
        <w:t>כבינונית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ולא למטה מכך</w:t>
      </w:r>
      <w:r>
        <w:rPr>
          <w:rFonts w:ascii="David" w:hAnsi="David"/>
          <w:rtl w:val="true"/>
        </w:rPr>
        <w:t xml:space="preserve">. </w:t>
      </w:r>
      <w:r>
        <w:rPr>
          <w:rFonts w:ascii="David" w:hAnsi="David"/>
          <w:rtl w:val="true"/>
        </w:rPr>
        <w:t>בנסיבות אלה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יש בהערכת המסוכנות המינית לשמש שיקול לחומרה בגזירת העונש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בהיותה 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מספקת לבית המשפט בעיקרה מידע הרלוונטי לשיקול ההגנה על שלום הציבור</w:t>
      </w:r>
      <w:r>
        <w:rPr>
          <w:rFonts w:ascii="David" w:hAnsi="David"/>
          <w:rtl w:val="true"/>
        </w:rPr>
        <w:t>" 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פ </w:t>
      </w:r>
      <w:r>
        <w:rPr>
          <w:rFonts w:ascii="David" w:hAnsi="David"/>
        </w:rPr>
        <w:t>6080/23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פלוני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מדינת ישראל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62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19.9.2024</w:t>
      </w:r>
      <w:r>
        <w:rPr>
          <w:rFonts w:ascii="David" w:hAnsi="David"/>
          <w:rtl w:val="true"/>
        </w:rPr>
        <w:t>);</w:t>
      </w:r>
      <w:r>
        <w:rPr>
          <w:rFonts w:ascii="David" w:hAnsi="David"/>
          <w:b/>
          <w:bCs/>
          <w:rtl w:val="true"/>
        </w:rPr>
        <w:t xml:space="preserve"> 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58/24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טור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תורג</w:t>
      </w:r>
      <w:r>
        <w:rPr>
          <w:rFonts w:ascii="David" w:hAnsi="David"/>
          <w:b/>
          <w:bCs/>
          <w:rtl w:val="true"/>
        </w:rPr>
        <w:t>'</w:t>
      </w:r>
      <w:r>
        <w:rPr>
          <w:rFonts w:ascii="David" w:hAnsi="David"/>
          <w:b/>
          <w:b/>
          <w:bCs/>
          <w:rtl w:val="true"/>
        </w:rPr>
        <w:t>מן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התובע הצבאי הראשי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22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2024</w:t>
      </w:r>
      <w:r>
        <w:rPr>
          <w:rFonts w:ascii="David" w:hAnsi="David"/>
          <w:rtl w:val="true"/>
        </w:rPr>
        <w:t>)).</w:t>
      </w:r>
      <w:r>
        <w:rPr>
          <w:rFonts w:ascii="David" w:hAnsi="David"/>
          <w:b/>
          <w:bCs/>
          <w:rtl w:val="true"/>
        </w:rPr>
        <w:t xml:space="preserve"> </w:t>
      </w:r>
      <w:r>
        <w:rPr>
          <w:rFonts w:ascii="David" w:hAnsi="David"/>
          <w:rtl w:val="true"/>
        </w:rPr>
        <w:t>טעמי ההרתעה האישית עקב מסוכנותו המינית של המערער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לצד העיקרון המנחה בענישה </w:t>
      </w:r>
      <w:r>
        <w:rPr>
          <w:rFonts w:ascii="David" w:hAnsi="David"/>
          <w:rtl w:val="true"/>
        </w:rPr>
        <w:t xml:space="preserve">- </w:t>
      </w:r>
      <w:r>
        <w:rPr>
          <w:rFonts w:ascii="David" w:hAnsi="David"/>
          <w:rtl w:val="true"/>
        </w:rPr>
        <w:t>של יחס הולם בין חומרת מעשה העבירה בנסיבותיו ומידת אשמו של הנאשם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ובין סוג ומידת העונש המוטל עליו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 xml:space="preserve">סעיף </w:t>
      </w:r>
      <w:r>
        <w:rPr>
          <w:rFonts w:ascii="David" w:hAnsi="David"/>
        </w:rPr>
        <w:t>40</w:t>
      </w:r>
      <w:r>
        <w:rPr>
          <w:rFonts w:ascii="David" w:hAnsi="David"/>
          <w:rtl w:val="true"/>
        </w:rPr>
        <w:t>ב לחוק העונשין</w:t>
      </w:r>
      <w:r>
        <w:rPr>
          <w:rFonts w:ascii="David" w:hAnsi="David"/>
          <w:rtl w:val="true"/>
        </w:rPr>
        <w:t xml:space="preserve">), </w:t>
      </w:r>
      <w:r>
        <w:rPr>
          <w:rFonts w:ascii="David" w:hAnsi="David"/>
          <w:rtl w:val="true"/>
        </w:rPr>
        <w:t>אינם מאפשרים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לכן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הוראה על נשיאתו של עונש המאסר בפועל בדרך של עבודה צבאית</w:t>
      </w:r>
      <w:r>
        <w:rPr>
          <w:rFonts w:ascii="David" w:hAnsi="David"/>
          <w:rtl w:val="true"/>
        </w:rPr>
        <w:t>.</w:t>
      </w:r>
      <w:r>
        <w:rPr>
          <w:rtl w:val="true"/>
        </w:rPr>
        <w:t xml:space="preserve"> </w:t>
      </w:r>
      <w:r>
        <w:rPr>
          <w:rtl w:val="true"/>
        </w:rPr>
        <w:t>יש לקוות</w:t>
      </w:r>
      <w:r>
        <w:rPr>
          <w:rtl w:val="true"/>
        </w:rPr>
        <w:t xml:space="preserve">, </w:t>
      </w:r>
      <w:r>
        <w:rPr>
          <w:rtl w:val="true"/>
        </w:rPr>
        <w:t>כי המערער יתמיד בהליך הטיפול</w:t>
      </w:r>
      <w:r>
        <w:rPr>
          <w:rtl w:val="true"/>
        </w:rPr>
        <w:t xml:space="preserve">, </w:t>
      </w:r>
      <w:r>
        <w:rPr>
          <w:rtl w:val="true"/>
        </w:rPr>
        <w:t>גם לאחר תקופת הכליאה הקצרה יחסית</w:t>
      </w:r>
      <w:r>
        <w:rPr>
          <w:rtl w:val="true"/>
        </w:rPr>
        <w:t xml:space="preserve">, </w:t>
      </w:r>
      <w:r>
        <w:rPr>
          <w:rtl w:val="true"/>
        </w:rPr>
        <w:t xml:space="preserve">מבלי שיהיה בה כדי להכשיל את התקדמותו עד כה </w:t>
      </w:r>
      <w:r>
        <w:rPr>
          <w:rFonts w:ascii="David" w:hAnsi="David"/>
          <w:rtl w:val="true"/>
        </w:rPr>
        <w:t>(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פ </w:t>
      </w:r>
      <w:r>
        <w:rPr>
          <w:rFonts w:ascii="David" w:hAnsi="David"/>
        </w:rPr>
        <w:t>2421/21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ברמי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מדינת ישראל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10</w:t>
      </w:r>
      <w:r>
        <w:rPr>
          <w:rFonts w:ascii="David" w:hAnsi="David"/>
          <w:rtl w:val="true"/>
        </w:rPr>
        <w:t xml:space="preserve"> (</w:t>
      </w:r>
      <w:r>
        <w:rPr>
          <w:rFonts w:ascii="David" w:hAnsi="David"/>
        </w:rPr>
        <w:t>7.7.2022</w:t>
      </w:r>
      <w:r>
        <w:rPr>
          <w:rFonts w:ascii="David" w:hAnsi="David"/>
          <w:rtl w:val="true"/>
        </w:rPr>
        <w:t xml:space="preserve">); </w:t>
      </w:r>
      <w:r>
        <w:rPr>
          <w:rFonts w:ascii="David" w:hAnsi="David"/>
          <w:rtl w:val="true"/>
        </w:rPr>
        <w:t>ע</w:t>
      </w:r>
      <w:r>
        <w:rPr>
          <w:rFonts w:ascii="David" w:hAnsi="David"/>
          <w:rtl w:val="true"/>
        </w:rPr>
        <w:t>/</w:t>
      </w:r>
      <w:r>
        <w:rPr>
          <w:rFonts w:ascii="David" w:hAnsi="David"/>
        </w:rPr>
        <w:t>40/23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טור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 xml:space="preserve">מרזם </w:t>
      </w:r>
      <w:r>
        <w:rPr>
          <w:rFonts w:ascii="David" w:hAnsi="David"/>
          <w:rtl w:val="true"/>
        </w:rPr>
        <w:t>הנ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ל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 xml:space="preserve">פסקה </w:t>
      </w:r>
      <w:r>
        <w:rPr>
          <w:rFonts w:ascii="David" w:hAnsi="David"/>
        </w:rPr>
        <w:t>24</w:t>
      </w:r>
      <w:r>
        <w:rPr>
          <w:rFonts w:ascii="David" w:hAnsi="David"/>
          <w:rtl w:val="true"/>
        </w:rPr>
        <w:t xml:space="preserve">).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36" w:before="0" w:after="0"/>
        <w:jc w:val="both"/>
        <w:rPr>
          <w:rFonts w:ascii="David" w:hAnsi="David"/>
        </w:rPr>
      </w:pPr>
      <w:r>
        <w:rPr>
          <w:rtl w:val="true"/>
        </w:rPr>
        <w:t>אשר לערעור התביעה על שיעור הפיצויים לנפגעות העבירה</w:t>
      </w:r>
      <w:r>
        <w:rPr>
          <w:rtl w:val="true"/>
        </w:rPr>
        <w:t xml:space="preserve">. </w:t>
      </w:r>
      <w:r>
        <w:rPr>
          <w:rtl w:val="true"/>
        </w:rPr>
        <w:t>ברגיל</w:t>
      </w:r>
      <w:r>
        <w:rPr>
          <w:rtl w:val="true"/>
        </w:rPr>
        <w:t xml:space="preserve">, </w:t>
      </w:r>
      <w:r>
        <w:rPr>
          <w:rtl w:val="true"/>
        </w:rPr>
        <w:t xml:space="preserve">לא תיטה ערכאת הערעור להתערב בשיקול דעתה של הערכאה הדיונית ביחס לשיעור הפיצויים </w:t>
      </w:r>
      <w:r>
        <w:rPr>
          <w:rtl w:val="true"/>
        </w:rPr>
        <w:t>(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77069-09-24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פרסגי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מדינת ישראל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47</w:t>
      </w:r>
      <w:r>
        <w:rPr>
          <w:rtl w:val="true"/>
        </w:rPr>
        <w:t xml:space="preserve"> (</w:t>
      </w:r>
      <w:r>
        <w:rPr/>
        <w:t>30.11.2025</w:t>
      </w:r>
      <w:r>
        <w:rPr>
          <w:rtl w:val="true"/>
        </w:rPr>
        <w:t xml:space="preserve">); 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55980-06-25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התובע הצבאי הראשי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טור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קרטובר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66</w:t>
      </w:r>
      <w:r>
        <w:rPr>
          <w:rtl w:val="true"/>
        </w:rPr>
        <w:t xml:space="preserve"> (</w:t>
      </w:r>
      <w:r>
        <w:rPr/>
        <w:t>2025</w:t>
      </w:r>
      <w:r>
        <w:rPr>
          <w:rtl w:val="true"/>
        </w:rPr>
        <w:t xml:space="preserve">)). </w:t>
      </w:r>
      <w:r>
        <w:rPr>
          <w:rtl w:val="true"/>
        </w:rPr>
        <w:t>ברם</w:t>
      </w:r>
      <w:r>
        <w:rPr>
          <w:rtl w:val="true"/>
        </w:rPr>
        <w:t xml:space="preserve">, </w:t>
      </w:r>
      <w:r>
        <w:rPr>
          <w:rtl w:val="true"/>
        </w:rPr>
        <w:t>בנסיבות העניין ולאור הנזק שתיארו הנפגעות בתצהיריהן</w:t>
      </w:r>
      <w:r>
        <w:rPr>
          <w:rtl w:val="true"/>
        </w:rPr>
        <w:t xml:space="preserve">, </w:t>
      </w:r>
      <w:r>
        <w:rPr>
          <w:rtl w:val="true"/>
        </w:rPr>
        <w:t>מקובל עלינו כי הסכום שנפסק נמוך מן הראוי ואינו תואם את תכליתו של הפיצוי</w:t>
      </w:r>
      <w:r>
        <w:rPr>
          <w:rtl w:val="true"/>
        </w:rPr>
        <w:t xml:space="preserve">, </w:t>
      </w:r>
      <w:r>
        <w:rPr>
          <w:rtl w:val="true"/>
        </w:rPr>
        <w:t xml:space="preserve">שהיא </w:t>
      </w:r>
      <w:r>
        <w:rPr>
          <w:rtl w:val="true"/>
        </w:rPr>
        <w:t>"</w:t>
      </w:r>
      <w:r>
        <w:rPr>
          <w:rtl w:val="true"/>
        </w:rPr>
        <w:t>מתן סעד מהיר ויעיל לאדם שניזוק מן העבירה בגין הנזק והסבל שנגרמו לו כתוצאה ממנה</w:t>
      </w:r>
      <w:r>
        <w:rPr>
          <w:rtl w:val="true"/>
        </w:rPr>
        <w:t>" (</w:t>
      </w:r>
      <w:r>
        <w:rPr>
          <w:rtl w:val="true"/>
        </w:rPr>
        <w:t>דנ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5625/16</w:t>
      </w:r>
      <w:r>
        <w:rPr>
          <w:rtl w:val="true"/>
        </w:rPr>
        <w:t xml:space="preserve"> </w:t>
      </w:r>
      <w:r>
        <w:rPr>
          <w:b/>
          <w:b/>
          <w:bCs/>
          <w:rtl w:val="true"/>
        </w:rPr>
        <w:t>אסרף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בוקובזה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17</w:t>
      </w:r>
      <w:r>
        <w:rPr>
          <w:rtl w:val="true"/>
        </w:rPr>
        <w:t xml:space="preserve"> </w:t>
      </w:r>
      <w:r>
        <w:rPr>
          <w:rtl w:val="true"/>
        </w:rPr>
        <w:t>לפסק דינה של כב</w:t>
      </w:r>
      <w:r>
        <w:rPr>
          <w:rtl w:val="true"/>
        </w:rPr>
        <w:t xml:space="preserve">' </w:t>
      </w:r>
      <w:r>
        <w:rPr>
          <w:rtl w:val="true"/>
        </w:rPr>
        <w:t xml:space="preserve">השופטת </w:t>
      </w:r>
      <w:r>
        <w:rPr>
          <w:rtl w:val="true"/>
        </w:rPr>
        <w:t>(</w:t>
      </w:r>
      <w:r>
        <w:rPr>
          <w:rtl w:val="true"/>
        </w:rPr>
        <w:t>כתוארה אז</w:t>
      </w:r>
      <w:r>
        <w:rPr>
          <w:rtl w:val="true"/>
        </w:rPr>
        <w:t xml:space="preserve">) </w:t>
      </w:r>
      <w:r>
        <w:rPr>
          <w:rtl w:val="true"/>
        </w:rPr>
        <w:t xml:space="preserve">חיות </w:t>
      </w:r>
      <w:r>
        <w:rPr>
          <w:rtl w:val="true"/>
        </w:rPr>
        <w:t>(</w:t>
      </w:r>
      <w:r>
        <w:rPr/>
        <w:t>13.9.2017</w:t>
      </w:r>
      <w:r>
        <w:rPr>
          <w:rtl w:val="true"/>
        </w:rPr>
        <w:t xml:space="preserve">); </w:t>
      </w:r>
      <w:r>
        <w:rPr>
          <w:rtl w:val="true"/>
        </w:rPr>
        <w:t>ע</w:t>
      </w:r>
      <w:r>
        <w:rPr>
          <w:rtl w:val="true"/>
        </w:rPr>
        <w:t>"</w:t>
      </w:r>
      <w:r>
        <w:rPr>
          <w:rtl w:val="true"/>
        </w:rPr>
        <w:t xml:space="preserve">פ </w:t>
      </w:r>
      <w:r>
        <w:rPr/>
        <w:t>23377-01-25</w:t>
      </w:r>
      <w:r>
        <w:rPr>
          <w:rtl w:val="true"/>
        </w:rPr>
        <w:t xml:space="preserve">, </w:t>
      </w:r>
      <w:r>
        <w:rPr/>
        <w:t>23542-01-25</w:t>
      </w:r>
      <w:r>
        <w:rPr>
          <w:b/>
          <w:bCs/>
          <w:rtl w:val="true"/>
        </w:rPr>
        <w:t xml:space="preserve"> </w:t>
      </w:r>
      <w:r>
        <w:rPr>
          <w:b/>
          <w:b/>
          <w:bCs/>
          <w:rtl w:val="true"/>
        </w:rPr>
        <w:t xml:space="preserve">סמל </w:t>
      </w:r>
      <w:r>
        <w:rPr>
          <w:b/>
          <w:bCs/>
          <w:rtl w:val="true"/>
        </w:rPr>
        <w:t>(</w:t>
      </w:r>
      <w:r>
        <w:rPr>
          <w:b/>
          <w:b/>
          <w:bCs/>
          <w:rtl w:val="true"/>
        </w:rPr>
        <w:t>מיל</w:t>
      </w:r>
      <w:r>
        <w:rPr>
          <w:b/>
          <w:bCs/>
          <w:rtl w:val="true"/>
        </w:rPr>
        <w:t xml:space="preserve">') </w:t>
      </w:r>
      <w:r>
        <w:rPr>
          <w:b/>
          <w:b/>
          <w:bCs/>
          <w:rtl w:val="true"/>
        </w:rPr>
        <w:t>אביה לוי נ</w:t>
      </w:r>
      <w:r>
        <w:rPr>
          <w:b/>
          <w:bCs/>
          <w:rtl w:val="true"/>
        </w:rPr>
        <w:t xml:space="preserve">' </w:t>
      </w:r>
      <w:r>
        <w:rPr>
          <w:b/>
          <w:b/>
          <w:bCs/>
          <w:rtl w:val="true"/>
        </w:rPr>
        <w:t>התובע הצבאי הראשי</w:t>
      </w:r>
      <w:r>
        <w:rPr>
          <w:rtl w:val="true"/>
        </w:rPr>
        <w:t xml:space="preserve">, </w:t>
      </w:r>
      <w:r>
        <w:rPr>
          <w:rtl w:val="true"/>
        </w:rPr>
        <w:t xml:space="preserve">פסקה </w:t>
      </w:r>
      <w:r>
        <w:rPr/>
        <w:t>54</w:t>
      </w:r>
      <w:r>
        <w:rPr>
          <w:rtl w:val="true"/>
        </w:rPr>
        <w:t xml:space="preserve"> (</w:t>
      </w:r>
      <w:r>
        <w:rPr/>
        <w:t>2025</w:t>
      </w:r>
      <w:r>
        <w:rPr>
          <w:rtl w:val="true"/>
        </w:rPr>
        <w:t>)).</w:t>
      </w:r>
      <w:r>
        <w:rPr>
          <w:b/>
          <w:bCs/>
          <w:rtl w:val="true"/>
        </w:rPr>
        <w:t xml:space="preserve"> </w:t>
      </w:r>
      <w:r>
        <w:rPr>
          <w:rtl w:val="true"/>
        </w:rPr>
        <w:t>לא למותר להזכיר</w:t>
      </w:r>
      <w:r>
        <w:rPr>
          <w:rtl w:val="true"/>
        </w:rPr>
        <w:t xml:space="preserve">, </w:t>
      </w:r>
      <w:r>
        <w:rPr>
          <w:rtl w:val="true"/>
        </w:rPr>
        <w:t>את סכום הפיצוי המירבי</w:t>
      </w:r>
      <w:r>
        <w:rPr>
          <w:rtl w:val="true"/>
        </w:rPr>
        <w:t xml:space="preserve">, </w:t>
      </w:r>
      <w:r>
        <w:rPr>
          <w:rtl w:val="true"/>
        </w:rPr>
        <w:t xml:space="preserve">בסך </w:t>
      </w:r>
      <w:r>
        <w:rPr/>
        <w:t>50,000</w:t>
      </w:r>
      <w:r>
        <w:rPr>
          <w:rtl w:val="true"/>
        </w:rPr>
        <w:t xml:space="preserve"> </w:t>
      </w:r>
      <w:r>
        <w:rPr>
          <w:rtl w:val="true"/>
        </w:rPr>
        <w:t>ש</w:t>
      </w:r>
      <w:r>
        <w:rPr>
          <w:rtl w:val="true"/>
        </w:rPr>
        <w:t>"</w:t>
      </w:r>
      <w:r>
        <w:rPr>
          <w:rtl w:val="true"/>
        </w:rPr>
        <w:t>ח</w:t>
      </w:r>
      <w:r>
        <w:rPr>
          <w:rtl w:val="true"/>
        </w:rPr>
        <w:t xml:space="preserve">, </w:t>
      </w:r>
      <w:r>
        <w:rPr>
          <w:rtl w:val="true"/>
        </w:rPr>
        <w:t>ללא הוכחת נזק</w:t>
      </w:r>
      <w:r>
        <w:rPr>
          <w:rtl w:val="true"/>
        </w:rPr>
        <w:t xml:space="preserve">, </w:t>
      </w:r>
      <w:r>
        <w:rPr>
          <w:rtl w:val="true"/>
        </w:rPr>
        <w:t xml:space="preserve">הקבוע בסעיף </w:t>
      </w:r>
      <w:r>
        <w:rPr/>
        <w:t>29</w:t>
      </w:r>
      <w:r>
        <w:rPr>
          <w:rtl w:val="true"/>
        </w:rPr>
        <w:t>א לחוק הגנת הפרטיות</w:t>
      </w:r>
      <w:r>
        <w:rPr>
          <w:rtl w:val="true"/>
        </w:rPr>
        <w:t xml:space="preserve">, </w:t>
      </w:r>
      <w:r>
        <w:rPr>
          <w:rtl w:val="true"/>
        </w:rPr>
        <w:t xml:space="preserve">שבו ניתן לחייב את מי שהורשע בעבירה לפי סעיף </w:t>
      </w:r>
      <w:r>
        <w:rPr/>
        <w:t>5</w:t>
      </w:r>
      <w:r>
        <w:rPr>
          <w:rtl w:val="true"/>
        </w:rPr>
        <w:t xml:space="preserve"> </w:t>
      </w:r>
      <w:r>
        <w:rPr>
          <w:rtl w:val="true"/>
        </w:rPr>
        <w:t xml:space="preserve">לחוק </w:t>
      </w:r>
      <w:r>
        <w:rPr>
          <w:rtl w:val="true"/>
        </w:rPr>
        <w:t>(</w:t>
      </w:r>
      <w:r>
        <w:rPr>
          <w:rtl w:val="true"/>
        </w:rPr>
        <w:t>בין היתר</w:t>
      </w:r>
      <w:r>
        <w:rPr>
          <w:rtl w:val="true"/>
        </w:rPr>
        <w:t xml:space="preserve">, </w:t>
      </w:r>
      <w:r>
        <w:rPr>
          <w:rtl w:val="true"/>
        </w:rPr>
        <w:t xml:space="preserve">באחת מדרכי הפגיעה בפרטיות האמורות בסעיף </w:t>
      </w:r>
      <w:r>
        <w:rPr/>
        <w:t>2</w:t>
      </w:r>
      <w:r>
        <w:rPr>
          <w:rtl w:val="true"/>
        </w:rPr>
        <w:t>(</w:t>
      </w:r>
      <w:r>
        <w:rPr/>
        <w:t>1</w:t>
      </w:r>
      <w:r>
        <w:rPr>
          <w:rtl w:val="true"/>
        </w:rPr>
        <w:t xml:space="preserve">) </w:t>
      </w:r>
      <w:r>
        <w:rPr>
          <w:rtl w:val="true"/>
        </w:rPr>
        <w:t>ו</w:t>
      </w:r>
      <w:r>
        <w:rPr>
          <w:rtl w:val="true"/>
        </w:rPr>
        <w:t>-(</w:t>
      </w:r>
      <w:r>
        <w:rPr/>
        <w:t>3</w:t>
      </w:r>
      <w:r>
        <w:rPr>
          <w:rtl w:val="true"/>
        </w:rPr>
        <w:t xml:space="preserve">) </w:t>
      </w:r>
      <w:r>
        <w:rPr>
          <w:rtl w:val="true"/>
        </w:rPr>
        <w:t>לחוק</w:t>
      </w:r>
      <w:r>
        <w:rPr>
          <w:rtl w:val="true"/>
        </w:rPr>
        <w:t xml:space="preserve">, </w:t>
      </w:r>
      <w:r>
        <w:rPr>
          <w:rtl w:val="true"/>
        </w:rPr>
        <w:t>אשר בהן הורשע המערער</w:t>
      </w:r>
      <w:r>
        <w:rPr>
          <w:rtl w:val="true"/>
        </w:rPr>
        <w:t xml:space="preserve">) - </w:t>
      </w:r>
      <w:r>
        <w:rPr>
          <w:rtl w:val="true"/>
        </w:rPr>
        <w:t>ו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בהקשר זה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אף צדק בית משפט קמא בהפנותו לדברי חקיקה העוסקים בפגיעה בפרטיות ומאפשרים קבלת פיצויים משמעותיים בהרבה מאלו שנפסקו על ידי בית משפט השלום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ללמדנו על חומרת הדברים והשלכותיהם</w:t>
      </w:r>
      <w:r>
        <w:rPr>
          <w:rFonts w:ascii="David" w:hAnsi="David"/>
          <w:rtl w:val="true"/>
        </w:rPr>
        <w:t>"</w:t>
      </w:r>
      <w:r>
        <w:rPr>
          <w:rtl w:val="true"/>
        </w:rPr>
        <w:t xml:space="preserve"> (</w:t>
      </w:r>
      <w:r>
        <w:rPr>
          <w:rFonts w:ascii="David" w:hAnsi="David"/>
          <w:rtl w:val="true"/>
        </w:rPr>
        <w:t>רע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 xml:space="preserve">א </w:t>
      </w:r>
      <w:r>
        <w:rPr>
          <w:rFonts w:ascii="David" w:hAnsi="David"/>
        </w:rPr>
        <w:t>6187/22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b/>
          <w:b/>
          <w:bCs/>
          <w:rtl w:val="true"/>
        </w:rPr>
        <w:t>פלוני נ</w:t>
      </w:r>
      <w:r>
        <w:rPr>
          <w:rFonts w:ascii="David" w:hAnsi="David"/>
          <w:b/>
          <w:bCs/>
          <w:rtl w:val="true"/>
        </w:rPr>
        <w:t xml:space="preserve">' </w:t>
      </w:r>
      <w:r>
        <w:rPr>
          <w:rFonts w:ascii="David" w:hAnsi="David"/>
          <w:b/>
          <w:b/>
          <w:bCs/>
          <w:rtl w:val="true"/>
        </w:rPr>
        <w:t>פלונית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(</w:t>
      </w:r>
      <w:r>
        <w:rPr>
          <w:rFonts w:ascii="David" w:hAnsi="David"/>
        </w:rPr>
        <w:t>21.9.2022</w:t>
      </w:r>
      <w:r>
        <w:rPr>
          <w:rFonts w:ascii="David" w:hAnsi="David"/>
          <w:rtl w:val="true"/>
        </w:rPr>
        <w:t xml:space="preserve">)). </w:t>
      </w:r>
      <w:r>
        <w:rPr>
          <w:rFonts w:ascii="David" w:hAnsi="David"/>
          <w:rtl w:val="true"/>
        </w:rPr>
        <w:t>הפיצוי לסמל ש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יועמד אפוא על </w:t>
      </w:r>
      <w:r>
        <w:rPr>
          <w:rFonts w:ascii="David" w:hAnsi="David"/>
        </w:rPr>
        <w:t>3,000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ש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ח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והפיצוי לרב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ט מ</w:t>
      </w:r>
      <w:r>
        <w:rPr>
          <w:rFonts w:ascii="David" w:hAnsi="David"/>
          <w:rtl w:val="true"/>
        </w:rPr>
        <w:t xml:space="preserve">' </w:t>
      </w:r>
      <w:r>
        <w:rPr>
          <w:rFonts w:ascii="David" w:hAnsi="David"/>
          <w:rtl w:val="true"/>
        </w:rPr>
        <w:t xml:space="preserve">יועמד על </w:t>
      </w:r>
      <w:r>
        <w:rPr>
          <w:rFonts w:ascii="David" w:hAnsi="David"/>
        </w:rPr>
        <w:t>1,000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>ש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ח</w:t>
      </w:r>
      <w:r>
        <w:rPr>
          <w:rFonts w:ascii="David" w:hAnsi="David"/>
          <w:rtl w:val="true"/>
        </w:rPr>
        <w:t>.</w:t>
      </w:r>
    </w:p>
    <w:p>
      <w:pPr>
        <w:pStyle w:val="Normal"/>
        <w:tabs>
          <w:tab w:val="clear" w:pos="720"/>
          <w:tab w:val="left" w:pos="368" w:leader="none"/>
        </w:tabs>
        <w:spacing w:lineRule="auto" w:line="336" w:before="0" w:after="0"/>
        <w:jc w:val="both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  <w:rtl w:val="true"/>
        </w:rPr>
      </w:r>
    </w:p>
    <w:p>
      <w:pPr>
        <w:pStyle w:val="Normal"/>
        <w:tabs>
          <w:tab w:val="clear" w:pos="720"/>
          <w:tab w:val="left" w:pos="374" w:leader="none"/>
        </w:tabs>
        <w:spacing w:lineRule="auto" w:line="336" w:before="0" w:after="0"/>
        <w:jc w:val="both"/>
        <w:rPr>
          <w:b/>
          <w:b/>
          <w:bCs/>
          <w:u w:val="single"/>
        </w:rPr>
      </w:pPr>
      <w:r>
        <w:rPr>
          <w:b/>
          <w:b/>
          <w:bCs/>
          <w:u w:val="single"/>
          <w:rtl w:val="true"/>
        </w:rPr>
        <w:t>התוצאה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36" w:before="0" w:after="0"/>
        <w:jc w:val="both"/>
        <w:rPr/>
      </w:pPr>
      <w:r>
        <w:rPr>
          <w:rtl w:val="true"/>
        </w:rPr>
        <w:t>נוכח כלל האמור</w:t>
      </w:r>
      <w:r>
        <w:rPr>
          <w:rtl w:val="true"/>
        </w:rPr>
        <w:t xml:space="preserve">, </w:t>
      </w:r>
      <w:r>
        <w:rPr>
          <w:rtl w:val="true"/>
        </w:rPr>
        <w:t>ערעור ההגנה על משכו ומתכונתו של רכיב המאסר בפועל נדחה</w:t>
      </w:r>
      <w:r>
        <w:rPr>
          <w:rtl w:val="true"/>
        </w:rPr>
        <w:t xml:space="preserve">. </w:t>
      </w:r>
      <w:r>
        <w:rPr>
          <w:rtl w:val="true"/>
        </w:rPr>
        <w:t>אין שינוי ברכיבי המאסרים המותנים וההורדה בדרגה</w:t>
      </w:r>
      <w:r>
        <w:rPr>
          <w:rtl w:val="true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36" w:before="0" w:after="0"/>
        <w:jc w:val="both"/>
        <w:rPr/>
      </w:pPr>
      <w:r>
        <w:rPr>
          <w:rtl w:val="true"/>
        </w:rPr>
        <w:t>המערער יתייצב לריצוי עונשו בבס</w:t>
      </w:r>
      <w:r>
        <w:rPr>
          <w:rtl w:val="true"/>
        </w:rPr>
        <w:t>"</w:t>
      </w:r>
      <w:r>
        <w:rPr>
          <w:rtl w:val="true"/>
        </w:rPr>
        <w:t xml:space="preserve">כ </w:t>
      </w:r>
      <w:r>
        <w:rPr/>
        <w:t>416</w:t>
      </w:r>
      <w:r>
        <w:rPr>
          <w:rtl w:val="true"/>
        </w:rPr>
        <w:t xml:space="preserve"> </w:t>
      </w:r>
      <w:r>
        <w:rPr>
          <w:rtl w:val="true"/>
        </w:rPr>
        <w:t xml:space="preserve">ביום </w:t>
      </w:r>
      <w:r>
        <w:rPr/>
        <w:t>5</w:t>
      </w:r>
      <w:r>
        <w:rPr>
          <w:rtl w:val="true"/>
        </w:rPr>
        <w:t xml:space="preserve"> </w:t>
      </w:r>
      <w:r>
        <w:rPr>
          <w:rtl w:val="true"/>
        </w:rPr>
        <w:t xml:space="preserve">באפריל </w:t>
      </w:r>
      <w:r>
        <w:rPr/>
        <w:t>2026</w:t>
      </w:r>
      <w:r>
        <w:rPr>
          <w:rtl w:val="true"/>
        </w:rPr>
        <w:t xml:space="preserve">, </w:t>
      </w:r>
      <w:r>
        <w:rPr>
          <w:rtl w:val="true"/>
        </w:rPr>
        <w:t xml:space="preserve">עד השעה </w:t>
      </w:r>
      <w:r>
        <w:rPr/>
        <w:t>10:00</w:t>
      </w:r>
      <w:r>
        <w:rPr>
          <w:rtl w:val="true"/>
        </w:rPr>
        <w:t>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336" w:before="0" w:after="0"/>
        <w:jc w:val="both"/>
        <w:rPr/>
      </w:pPr>
      <w:r>
        <w:rPr>
          <w:rtl w:val="true"/>
        </w:rPr>
        <w:t>ערעור התביעה על שיעור הפיצויים מתקבל</w:t>
      </w:r>
      <w:r>
        <w:rPr>
          <w:rtl w:val="true"/>
        </w:rPr>
        <w:t xml:space="preserve">. </w:t>
      </w:r>
      <w:r>
        <w:rPr>
          <w:rtl w:val="true"/>
        </w:rPr>
        <w:t>המערער ישלם לסמל ש</w:t>
      </w:r>
      <w:r>
        <w:rPr>
          <w:rtl w:val="true"/>
        </w:rPr>
        <w:t xml:space="preserve">' </w:t>
      </w:r>
      <w:r>
        <w:rPr>
          <w:rtl w:val="true"/>
        </w:rPr>
        <w:t xml:space="preserve">סכום של </w:t>
      </w:r>
      <w:r>
        <w:rPr/>
        <w:t>3,000</w:t>
      </w:r>
      <w:r>
        <w:rPr>
          <w:rtl w:val="true"/>
        </w:rPr>
        <w:t xml:space="preserve"> </w:t>
      </w:r>
      <w:r>
        <w:rPr>
          <w:rtl w:val="true"/>
        </w:rPr>
        <w:t>ש</w:t>
      </w:r>
      <w:r>
        <w:rPr>
          <w:rtl w:val="true"/>
        </w:rPr>
        <w:t>"</w:t>
      </w:r>
      <w:r>
        <w:rPr>
          <w:rtl w:val="true"/>
        </w:rPr>
        <w:t>ח ולרב</w:t>
      </w:r>
      <w:r>
        <w:rPr>
          <w:rtl w:val="true"/>
        </w:rPr>
        <w:t>"</w:t>
      </w:r>
      <w:r>
        <w:rPr>
          <w:rtl w:val="true"/>
        </w:rPr>
        <w:t>ט מ</w:t>
      </w:r>
      <w:r>
        <w:rPr>
          <w:rtl w:val="true"/>
        </w:rPr>
        <w:t xml:space="preserve">' </w:t>
      </w:r>
      <w:r>
        <w:rPr>
          <w:rtl w:val="true"/>
        </w:rPr>
        <w:t xml:space="preserve">סכום של </w:t>
      </w:r>
      <w:r>
        <w:rPr/>
        <w:t>1,000</w:t>
      </w:r>
      <w:r>
        <w:rPr>
          <w:rtl w:val="true"/>
        </w:rPr>
        <w:t xml:space="preserve"> </w:t>
      </w:r>
      <w:r>
        <w:rPr>
          <w:rtl w:val="true"/>
        </w:rPr>
        <w:t>ש</w:t>
      </w:r>
      <w:r>
        <w:rPr>
          <w:rtl w:val="true"/>
        </w:rPr>
        <w:t>"</w:t>
      </w:r>
      <w:r>
        <w:rPr>
          <w:rtl w:val="true"/>
        </w:rPr>
        <w:t>ח</w:t>
      </w:r>
      <w:r>
        <w:rPr>
          <w:rtl w:val="true"/>
        </w:rPr>
        <w:t xml:space="preserve">, </w:t>
      </w:r>
      <w:r>
        <w:rPr>
          <w:rtl w:val="true"/>
        </w:rPr>
        <w:t xml:space="preserve">עד יום </w:t>
      </w:r>
      <w:r>
        <w:rPr/>
        <w:t>30</w:t>
      </w:r>
      <w:r>
        <w:rPr>
          <w:rtl w:val="true"/>
        </w:rPr>
        <w:t xml:space="preserve"> </w:t>
      </w:r>
      <w:r>
        <w:rPr>
          <w:rtl w:val="true"/>
        </w:rPr>
        <w:t xml:space="preserve">באפריל </w:t>
      </w:r>
      <w:r>
        <w:rPr/>
        <w:t>2026</w:t>
      </w:r>
      <w:r>
        <w:rPr>
          <w:rtl w:val="true"/>
        </w:rPr>
        <w:t xml:space="preserve">, </w:t>
      </w:r>
      <w:r>
        <w:rPr>
          <w:rtl w:val="true"/>
        </w:rPr>
        <w:t>לפי הפרטים שתמסור התביעה לבאת כוחו</w:t>
      </w:r>
      <w:r>
        <w:rPr>
          <w:rtl w:val="true"/>
        </w:rPr>
        <w:t>.</w:t>
      </w:r>
    </w:p>
    <w:p>
      <w:pPr>
        <w:pStyle w:val="Normal"/>
        <w:numPr>
          <w:ilvl w:val="0"/>
          <w:numId w:val="0"/>
        </w:numPr>
        <w:spacing w:lineRule="auto" w:line="336" w:before="0" w:after="0"/>
        <w:contextualSpacing/>
        <w:jc w:val="both"/>
        <w:outlineLvl w:val="0"/>
        <w:rPr>
          <w:rFonts w:ascii="David" w:hAnsi="David"/>
          <w:sz w:val="22"/>
          <w:szCs w:val="22"/>
        </w:rPr>
      </w:pPr>
      <w:r>
        <w:rPr>
          <w:rFonts w:ascii="David" w:hAnsi="David"/>
          <w:sz w:val="22"/>
          <w:szCs w:val="22"/>
          <w:rtl w:val="true"/>
        </w:rPr>
      </w:r>
    </w:p>
    <w:p>
      <w:pPr>
        <w:pStyle w:val="Normal"/>
        <w:numPr>
          <w:ilvl w:val="0"/>
          <w:numId w:val="0"/>
        </w:numPr>
        <w:spacing w:lineRule="auto" w:line="336" w:before="0" w:after="0"/>
        <w:contextualSpacing/>
        <w:jc w:val="both"/>
        <w:outlineLvl w:val="0"/>
        <w:rPr>
          <w:rFonts w:ascii="David" w:hAnsi="David"/>
        </w:rPr>
      </w:pPr>
      <w:r>
        <w:rPr>
          <w:rFonts w:ascii="David" w:hAnsi="David"/>
          <w:rtl w:val="true"/>
        </w:rPr>
        <w:t>ניתן והודע היום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ה באדר התשפ</w:t>
      </w:r>
      <w:r>
        <w:rPr>
          <w:rFonts w:ascii="David" w:hAnsi="David"/>
          <w:rtl w:val="true"/>
        </w:rPr>
        <w:t>"</w:t>
      </w:r>
      <w:r>
        <w:rPr>
          <w:rFonts w:ascii="David" w:hAnsi="David"/>
          <w:rtl w:val="true"/>
        </w:rPr>
        <w:t>ו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</w:rPr>
        <w:t>22</w:t>
      </w:r>
      <w:r>
        <w:rPr>
          <w:rFonts w:ascii="David" w:hAnsi="David"/>
          <w:rtl w:val="true"/>
        </w:rPr>
        <w:t xml:space="preserve"> </w:t>
      </w:r>
      <w:r>
        <w:rPr>
          <w:rFonts w:ascii="David" w:hAnsi="David"/>
          <w:rtl w:val="true"/>
        </w:rPr>
        <w:t xml:space="preserve">בפברואר </w:t>
      </w:r>
      <w:r>
        <w:rPr>
          <w:rFonts w:ascii="David" w:hAnsi="David"/>
        </w:rPr>
        <w:t>2026</w:t>
      </w:r>
      <w:r>
        <w:rPr>
          <w:rFonts w:ascii="David" w:hAnsi="David"/>
          <w:rtl w:val="true"/>
        </w:rPr>
        <w:t xml:space="preserve">, </w:t>
      </w:r>
      <w:r>
        <w:rPr>
          <w:rFonts w:ascii="David" w:hAnsi="David"/>
          <w:rtl w:val="true"/>
        </w:rPr>
        <w:t>בפומבי ובמעמד הצדדים</w:t>
      </w:r>
      <w:r>
        <w:rPr>
          <w:rFonts w:ascii="David" w:hAnsi="David"/>
          <w:rtl w:val="true"/>
        </w:rPr>
        <w:t>.</w:t>
      </w:r>
    </w:p>
    <w:p>
      <w:pPr>
        <w:pStyle w:val="Normal"/>
        <w:tabs>
          <w:tab w:val="clear" w:pos="720"/>
          <w:tab w:val="center" w:pos="1599" w:leader="none"/>
          <w:tab w:val="center" w:pos="4150" w:leader="none"/>
          <w:tab w:val="center" w:pos="6702" w:leader="none"/>
        </w:tabs>
        <w:spacing w:lineRule="auto" w:line="240" w:before="0" w:after="0"/>
        <w:contextualSpacing/>
        <w:rPr>
          <w:rFonts w:ascii="David" w:hAnsi="David"/>
          <w:b/>
          <w:b/>
          <w:bCs/>
          <w:sz w:val="10"/>
          <w:szCs w:val="10"/>
        </w:rPr>
      </w:pPr>
      <w:r>
        <w:rPr>
          <w:rFonts w:ascii="David" w:hAnsi="David"/>
          <w:b/>
          <w:bCs/>
          <w:sz w:val="10"/>
          <w:szCs w:val="10"/>
          <w:rtl w:val="true"/>
        </w:rPr>
      </w:r>
    </w:p>
    <w:p>
      <w:pPr>
        <w:pStyle w:val="Normal"/>
        <w:tabs>
          <w:tab w:val="clear" w:pos="720"/>
          <w:tab w:val="center" w:pos="1599" w:leader="none"/>
          <w:tab w:val="center" w:pos="4150" w:leader="none"/>
          <w:tab w:val="center" w:pos="6702" w:leader="none"/>
        </w:tabs>
        <w:spacing w:lineRule="auto" w:line="240" w:before="0" w:after="0"/>
        <w:contextualSpacing/>
        <w:rPr>
          <w:rFonts w:ascii="David" w:hAnsi="David"/>
          <w:b/>
          <w:b/>
          <w:bCs/>
        </w:rPr>
      </w:pPr>
      <w:r>
        <w:rPr>
          <w:rFonts w:ascii="David" w:hAnsi="David"/>
          <w:b/>
          <w:bCs/>
          <w:rtl w:val="true"/>
        </w:rPr>
      </w:r>
    </w:p>
    <w:p>
      <w:pPr>
        <w:pStyle w:val="Normal"/>
        <w:tabs>
          <w:tab w:val="clear" w:pos="720"/>
          <w:tab w:val="center" w:pos="1599" w:leader="none"/>
          <w:tab w:val="center" w:pos="4150" w:leader="none"/>
          <w:tab w:val="center" w:pos="6702" w:leader="none"/>
        </w:tabs>
        <w:spacing w:lineRule="auto" w:line="240" w:before="0" w:after="0"/>
        <w:contextualSpacing/>
        <w:rPr>
          <w:rFonts w:ascii="David" w:hAnsi="David"/>
          <w:b/>
          <w:b/>
          <w:bCs/>
        </w:rPr>
      </w:pPr>
      <w:r>
        <w:rPr>
          <w:rFonts w:ascii="David" w:hAnsi="David"/>
          <w:b/>
          <w:bCs/>
          <w:rtl w:val="true"/>
        </w:rPr>
      </w:r>
    </w:p>
    <w:p>
      <w:pPr>
        <w:pStyle w:val="Normal"/>
        <w:tabs>
          <w:tab w:val="clear" w:pos="720"/>
          <w:tab w:val="center" w:pos="1599" w:leader="none"/>
          <w:tab w:val="center" w:pos="4150" w:leader="none"/>
          <w:tab w:val="center" w:pos="6702" w:leader="none"/>
        </w:tabs>
        <w:spacing w:lineRule="auto" w:line="240" w:before="0" w:after="0"/>
        <w:contextualSpacing/>
        <w:rPr>
          <w:rFonts w:ascii="David" w:hAnsi="David"/>
          <w:b/>
          <w:b/>
          <w:bCs/>
        </w:rPr>
      </w:pPr>
      <w:r>
        <w:rPr>
          <w:rFonts w:ascii="David" w:hAnsi="David"/>
          <w:b/>
          <w:bCs/>
          <w:rtl w:val="true"/>
        </w:rPr>
        <w:t>______________</w:t>
        <w:tab/>
        <w:t xml:space="preserve">            ______________</w:t>
        <w:tab/>
        <w:t xml:space="preserve">                             ______________</w:t>
      </w:r>
    </w:p>
    <w:p>
      <w:pPr>
        <w:pStyle w:val="Normal"/>
        <w:tabs>
          <w:tab w:val="clear" w:pos="720"/>
          <w:tab w:val="center" w:pos="1599" w:leader="none"/>
          <w:tab w:val="center" w:pos="4150" w:leader="none"/>
          <w:tab w:val="center" w:pos="6702" w:leader="none"/>
        </w:tabs>
        <w:spacing w:before="0" w:after="0"/>
        <w:contextualSpacing/>
        <w:rPr>
          <w:rFonts w:ascii="David" w:hAnsi="David"/>
          <w:b/>
          <w:b/>
          <w:bCs/>
        </w:rPr>
      </w:pPr>
      <w:r>
        <w:rPr>
          <w:rFonts w:ascii="David" w:hAnsi="David"/>
          <w:b/>
          <w:bCs/>
          <w:rtl w:val="true"/>
        </w:rPr>
        <w:t xml:space="preserve">         </w:t>
      </w:r>
      <w:r>
        <w:rPr>
          <w:rFonts w:ascii="David" w:hAnsi="David"/>
          <w:b/>
          <w:b/>
          <w:bCs/>
          <w:rtl w:val="true"/>
        </w:rPr>
        <w:t xml:space="preserve">שופטת         </w:t>
      </w:r>
      <w:r>
        <w:rPr>
          <w:rFonts w:ascii="David" w:hAnsi="David"/>
          <w:b/>
          <w:bCs/>
          <w:rtl w:val="true"/>
        </w:rPr>
        <w:tab/>
        <w:t xml:space="preserve">           </w:t>
      </w:r>
      <w:r>
        <w:rPr>
          <w:rFonts w:ascii="David" w:hAnsi="David"/>
          <w:b/>
          <w:b/>
          <w:bCs/>
          <w:rtl w:val="true"/>
        </w:rPr>
        <w:t>המשנה לנשיאה</w:t>
      </w:r>
      <w:r>
        <w:rPr>
          <w:rFonts w:ascii="David" w:hAnsi="David"/>
          <w:b/>
          <w:bCs/>
          <w:rtl w:val="true"/>
        </w:rPr>
        <w:tab/>
        <w:t xml:space="preserve">                                            </w:t>
      </w:r>
      <w:r>
        <w:rPr>
          <w:rFonts w:ascii="David" w:hAnsi="David"/>
          <w:b/>
          <w:b/>
          <w:bCs/>
          <w:rtl w:val="true"/>
        </w:rPr>
        <w:t>שופט</w:t>
      </w:r>
      <w:bookmarkStart w:id="6" w:name="_Hlk141797760"/>
      <w:bookmarkStart w:id="7" w:name="_Hlk122599666"/>
    </w:p>
    <w:p>
      <w:pPr>
        <w:pStyle w:val="Normal"/>
        <w:ind w:left="-58" w:right="-567" w:hanging="0"/>
        <w:rPr>
          <w:rFonts w:ascii="David" w:hAnsi="David"/>
          <w:b/>
          <w:b/>
          <w:bCs/>
          <w:sz w:val="18"/>
          <w:szCs w:val="18"/>
        </w:rPr>
      </w:pPr>
      <w:r>
        <w:rPr>
          <w:rFonts w:ascii="David" w:hAnsi="David"/>
          <w:b/>
          <w:bCs/>
          <w:sz w:val="18"/>
          <w:szCs w:val="18"/>
          <w:rtl w:val="true"/>
        </w:rPr>
      </w:r>
    </w:p>
    <w:p>
      <w:pPr>
        <w:pStyle w:val="Normal"/>
        <w:ind w:left="-58" w:right="-567" w:hanging="0"/>
        <w:rPr>
          <w:rFonts w:ascii="David" w:hAnsi="David"/>
          <w:b/>
          <w:b/>
          <w:bCs/>
        </w:rPr>
      </w:pPr>
      <w:r>
        <w:rPr>
          <w:rFonts w:ascii="David" w:hAnsi="David"/>
          <w:b/>
          <w:bCs/>
          <w:rtl w:val="true"/>
        </w:rPr>
      </w:r>
    </w:p>
    <w:p>
      <w:pPr>
        <w:pStyle w:val="Normal"/>
        <w:ind w:left="-58" w:right="-567" w:hanging="0"/>
        <w:rPr>
          <w:rFonts w:ascii="David" w:hAnsi="David"/>
          <w:b/>
          <w:b/>
          <w:bCs/>
        </w:rPr>
      </w:pPr>
      <w:r>
        <w:rPr>
          <w:rFonts w:ascii="David" w:hAnsi="David"/>
          <w:b/>
          <w:b/>
          <w:bCs/>
          <w:rtl w:val="true"/>
        </w:rPr>
        <w:t>חתימת המגיה</w:t>
      </w:r>
      <w:r>
        <w:rPr>
          <w:rFonts w:ascii="David" w:hAnsi="David"/>
          <w:b/>
          <w:bCs/>
          <w:rtl w:val="true"/>
        </w:rPr>
        <w:t xml:space="preserve">: _______________________________      </w:t>
      </w:r>
      <w:r>
        <w:rPr>
          <w:rFonts w:ascii="David" w:hAnsi="David"/>
          <w:b/>
          <w:b/>
          <w:bCs/>
          <w:rtl w:val="true"/>
        </w:rPr>
        <w:t xml:space="preserve">העתק          נאמן         למקור             </w:t>
      </w:r>
    </w:p>
    <w:p>
      <w:pPr>
        <w:pStyle w:val="Normal"/>
        <w:ind w:left="-58" w:right="-567" w:hanging="0"/>
        <w:rPr>
          <w:rFonts w:ascii="David" w:hAnsi="David"/>
          <w:b/>
          <w:b/>
          <w:bCs/>
        </w:rPr>
      </w:pPr>
      <w:r>
        <w:rPr>
          <w:rFonts w:ascii="David" w:hAnsi="David"/>
          <w:b/>
          <w:bCs/>
          <w:rtl w:val="true"/>
        </w:rPr>
        <w:t xml:space="preserve">                                                                                                       </w:t>
      </w:r>
      <w:r>
        <w:rPr>
          <w:rFonts w:ascii="David" w:hAnsi="David"/>
          <w:b/>
          <w:b/>
          <w:bCs/>
          <w:rtl w:val="true"/>
        </w:rPr>
        <w:t>רס</w:t>
      </w:r>
      <w:r>
        <w:rPr>
          <w:rFonts w:ascii="David" w:hAnsi="David"/>
          <w:b/>
          <w:bCs/>
          <w:rtl w:val="true"/>
        </w:rPr>
        <w:t>"</w:t>
      </w:r>
      <w:r>
        <w:rPr>
          <w:rFonts w:ascii="David" w:hAnsi="David"/>
          <w:b/>
          <w:b/>
          <w:bCs/>
          <w:rtl w:val="true"/>
        </w:rPr>
        <w:t>ל          מיקה        אשרוב</w:t>
      </w:r>
    </w:p>
    <w:p>
      <w:pPr>
        <w:pStyle w:val="Normal"/>
        <w:spacing w:before="0" w:after="200"/>
        <w:ind w:left="-58" w:right="-567" w:hanging="0"/>
        <w:rPr>
          <w:rFonts w:ascii="David" w:hAnsi="David"/>
          <w:b/>
          <w:b/>
          <w:bCs/>
        </w:rPr>
      </w:pPr>
      <w:r>
        <w:rPr>
          <w:rFonts w:ascii="David" w:hAnsi="David"/>
          <w:b/>
          <w:b/>
          <w:bCs/>
          <w:rtl w:val="true"/>
        </w:rPr>
        <w:t>תאריך</w:t>
      </w:r>
      <w:r>
        <w:rPr>
          <w:rFonts w:ascii="David" w:hAnsi="David"/>
          <w:b/>
          <w:bCs/>
          <w:rtl w:val="true"/>
        </w:rPr>
        <w:t xml:space="preserve">: ____________________________________        </w:t>
      </w:r>
      <w:r>
        <w:rPr>
          <w:rFonts w:ascii="David" w:hAnsi="David"/>
          <w:b/>
          <w:b/>
          <w:bCs/>
          <w:rtl w:val="true"/>
        </w:rPr>
        <w:t>קצינת           בית           הדי</w:t>
      </w:r>
      <w:bookmarkEnd w:id="6"/>
      <w:bookmarkEnd w:id="7"/>
      <w:r>
        <w:rPr>
          <w:rFonts w:ascii="David" w:hAnsi="David"/>
          <w:b/>
          <w:b/>
          <w:bCs/>
          <w:rtl w:val="true"/>
        </w:rPr>
        <w:t>ן</w:t>
      </w:r>
    </w:p>
    <w:sectPr>
      <w:headerReference w:type="even" r:id="rId7"/>
      <w:headerReference w:type="default" r:id="rId8"/>
      <w:headerReference w:type="first" r:id="rId9"/>
      <w:footerReference w:type="default" r:id="rId10"/>
      <w:type w:val="nextPage"/>
      <w:pgSz w:w="12240" w:h="15840"/>
      <w:pgMar w:left="1418" w:right="1418" w:gutter="0" w:header="567" w:top="1418" w:footer="0" w:bottom="1418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1"/>
    <w:family w:val="roman"/>
    <w:pitch w:val="variable"/>
  </w:font>
  <w:font w:name="Calibri">
    <w:charset w:val="b1"/>
    <w:family w:val="roman"/>
    <w:pitch w:val="variable"/>
  </w:font>
  <w:font w:name="Times New Roman">
    <w:charset w:val="b1"/>
    <w:family w:val="roman"/>
    <w:pitch w:val="variable"/>
  </w:font>
  <w:font w:name="Arial TUR">
    <w:charset w:val="b1"/>
    <w:family w:val="roman"/>
    <w:pitch w:val="variable"/>
  </w:font>
  <w:font w:name="Garamond">
    <w:charset w:val="b1"/>
    <w:family w:val="roman"/>
    <w:pitch w:val="variable"/>
  </w:font>
  <w:font w:name="Liberation Sans">
    <w:altName w:val="Arial"/>
    <w:charset w:val="b1"/>
    <w:family w:val="swiss"/>
    <w:pitch w:val="variable"/>
  </w:font>
  <w:font w:name="David">
    <w:charset w:val="b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center"/>
      <w:rPr>
        <w:rFonts w:ascii="David" w:hAnsi="David"/>
      </w:rPr>
    </w:pPr>
    <w:r>
      <w:rPr>
        <w:rFonts w:ascii="David" w:hAnsi="David"/>
        <w:rtl w:val="true"/>
      </w:rPr>
      <w:fldChar w:fldCharType="begin"/>
    </w:r>
    <w:r>
      <w:rPr>
        <w:rtl w:val="true"/>
        <w:rFonts w:ascii="David" w:hAnsi="David"/>
      </w:rPr>
      <w:instrText xml:space="preserve"> PAGE </w:instrText>
    </w:r>
    <w:r>
      <w:rPr>
        <w:rtl w:val="true"/>
        <w:rFonts w:ascii="David" w:hAnsi="David"/>
      </w:rPr>
      <w:fldChar w:fldCharType="separate"/>
    </w:r>
    <w:r>
      <w:rPr>
        <w:rtl w:val="true"/>
        <w:rFonts w:ascii="David" w:hAnsi="David"/>
      </w:rPr>
      <w:t>11</w:t>
    </w:r>
    <w:r>
      <w:rPr>
        <w:rtl w:val="true"/>
        <w:rFonts w:ascii="David" w:hAnsi="David"/>
      </w:rPr>
      <w:fldChar w:fldCharType="end"/>
    </w:r>
  </w:p>
  <w:p>
    <w:pPr>
      <w:pStyle w:val="Footer"/>
      <w:tabs>
        <w:tab w:val="clear" w:pos="4153"/>
        <w:tab w:val="clear" w:pos="8306"/>
        <w:tab w:val="left" w:pos="7742" w:leader="none"/>
      </w:tabs>
      <w:spacing w:before="0" w:after="200"/>
      <w:rPr>
        <w:rFonts w:ascii="David" w:hAnsi="David"/>
      </w:rPr>
    </w:pPr>
    <w:r>
      <w:rPr>
        <w:rFonts w:ascii="David" w:hAnsi="David"/>
        <w:rtl w:val="tru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  <w:tab w:val="center" w:pos="4320" w:leader="none"/>
      </w:tabs>
      <w:bidi w:val="0"/>
      <w:spacing w:before="0" w:after="0"/>
      <w:contextualSpacing/>
      <w:jc w:val="both"/>
      <w:rPr/>
    </w:pPr>
    <w:r>
      <w:rPr/>
      <w:t xml:space="preserve">                  </w:t>
    </w:r>
    <w:r>
      <w:rPr>
        <w:rtl w:val="true"/>
      </w:rPr>
      <w:t>ע</w:t>
    </w:r>
    <w:r>
      <w:rPr>
        <w:rtl w:val="true"/>
      </w:rPr>
      <w:t>"</w:t>
    </w:r>
    <w:r>
      <w:rPr>
        <w:rtl w:val="true"/>
      </w:rPr>
      <w:t xml:space="preserve">פ </w:t>
    </w:r>
    <w:r>
      <w:rPr/>
      <w:t>47509-12-25</w:t>
    </w:r>
    <w:r>
      <w:rPr>
        <w:rtl w:val="true"/>
      </w:rPr>
      <w:t xml:space="preserve">, </w:t>
    </w:r>
    <w:r>
      <w:rPr/>
      <w:t>54370-12-25</w:t>
    </w:r>
    <w:r>
      <w:rPr/>
      <w:tab/>
    </w:r>
    <w:r>
      <w:rPr>
        <w:rtl w:val="true"/>
      </w:rPr>
      <w:t xml:space="preserve">          </w:t>
    </w:r>
    <w:r>
      <w:rPr>
        <w:rtl w:val="true"/>
      </w:rPr>
      <w:t xml:space="preserve">ב ל מ </w:t>
    </w:r>
    <w:r>
      <w:rPr>
        <w:rtl w:val="true"/>
      </w:rPr>
      <w:t xml:space="preserve">" </w:t>
    </w:r>
    <w:r>
      <w:rPr>
        <w:rtl w:val="true"/>
      </w:rPr>
      <w:t>ס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  <w:tab w:val="center" w:pos="4320" w:leader="none"/>
      </w:tabs>
      <w:bidi w:val="0"/>
      <w:spacing w:before="0" w:after="0"/>
      <w:contextualSpacing/>
      <w:jc w:val="both"/>
      <w:rPr/>
    </w:pPr>
    <w:r>
      <w:rPr/>
      <w:t xml:space="preserve">                  </w:t>
    </w:r>
    <w:r>
      <w:rPr>
        <w:rtl w:val="true"/>
      </w:rPr>
      <w:t>ע</w:t>
    </w:r>
    <w:r>
      <w:rPr>
        <w:rtl w:val="true"/>
      </w:rPr>
      <w:t>"</w:t>
    </w:r>
    <w:r>
      <w:rPr>
        <w:rtl w:val="true"/>
      </w:rPr>
      <w:t xml:space="preserve">פ </w:t>
    </w:r>
    <w:r>
      <w:rPr/>
      <w:t>47509-12-25</w:t>
    </w:r>
    <w:r>
      <w:rPr>
        <w:rtl w:val="true"/>
      </w:rPr>
      <w:t xml:space="preserve">, </w:t>
    </w:r>
    <w:r>
      <w:rPr/>
      <w:t>54370-12-25</w:t>
    </w:r>
    <w:r>
      <w:rPr/>
      <w:tab/>
    </w:r>
    <w:r>
      <w:rPr>
        <w:rtl w:val="true"/>
      </w:rPr>
      <w:t xml:space="preserve">          </w:t>
    </w:r>
    <w:r>
      <w:rPr>
        <w:rtl w:val="true"/>
      </w:rPr>
      <w:t xml:space="preserve">ב ל מ </w:t>
    </w:r>
    <w:r>
      <w:rPr>
        <w:rtl w:val="true"/>
      </w:rPr>
      <w:t xml:space="preserve">" </w:t>
    </w:r>
    <w:r>
      <w:rPr>
        <w:rtl w:val="true"/>
      </w:rPr>
      <w:t>ס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en-US" w:eastAsia="en-US" w:bidi="he-I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56a3"/>
    <w:pPr>
      <w:widowControl/>
      <w:bidi w:val="1"/>
      <w:spacing w:lineRule="auto" w:line="276" w:before="0" w:after="200"/>
      <w:jc w:val="left"/>
    </w:pPr>
    <w:rPr>
      <w:rFonts w:cs="David" w:ascii="Calibri" w:hAnsi="Calibri" w:eastAsia="Calibri"/>
      <w:color w:val="auto"/>
      <w:kern w:val="0"/>
      <w:sz w:val="28"/>
      <w:szCs w:val="28"/>
      <w:lang w:val="en-US" w:eastAsia="en-US" w:bidi="he-IL"/>
    </w:rPr>
  </w:style>
  <w:style w:type="paragraph" w:styleId="Heading1">
    <w:name w:val="Heading 1"/>
    <w:basedOn w:val="Normal"/>
    <w:link w:val="Heading1Char"/>
    <w:qFormat/>
    <w:rsid w:val="00e34563"/>
    <w:pPr>
      <w:keepNext w:val="true"/>
      <w:spacing w:lineRule="auto" w:line="360" w:before="120" w:after="120"/>
      <w:outlineLvl w:val="0"/>
    </w:pPr>
    <w:rPr>
      <w:rFonts w:ascii="Times New Roman" w:hAnsi="Times New Roman" w:eastAsia="Times New Roman"/>
      <w:b/>
      <w:bCs/>
      <w:kern w:val="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פיסקת רשימה תו"/>
    <w:link w:val="1"/>
    <w:uiPriority w:val="34"/>
    <w:qFormat/>
    <w:locked/>
    <w:rsid w:val="004556a3"/>
    <w:rPr>
      <w:rFonts w:ascii="Times New Roman" w:hAnsi="Times New Roman" w:eastAsia="Times New Roman" w:cs="Times New Roman"/>
      <w:sz w:val="24"/>
      <w:szCs w:val="24"/>
    </w:rPr>
  </w:style>
  <w:style w:type="character" w:styleId="HeaderChar" w:customStyle="1">
    <w:name w:val="Header Char"/>
    <w:link w:val="Header"/>
    <w:qFormat/>
    <w:rsid w:val="00fb4276"/>
    <w:rPr>
      <w:rFonts w:cs="David"/>
      <w:sz w:val="28"/>
      <w:szCs w:val="28"/>
    </w:rPr>
  </w:style>
  <w:style w:type="character" w:styleId="FooterChar" w:customStyle="1">
    <w:name w:val="Footer Char"/>
    <w:link w:val="Footer"/>
    <w:uiPriority w:val="99"/>
    <w:qFormat/>
    <w:rsid w:val="00fb4276"/>
    <w:rPr>
      <w:rFonts w:cs="David"/>
      <w:sz w:val="28"/>
      <w:szCs w:val="28"/>
    </w:rPr>
  </w:style>
  <w:style w:type="character" w:styleId="2" w:customStyle="1">
    <w:name w:val="סגנון2 תו"/>
    <w:link w:val="21"/>
    <w:qFormat/>
    <w:rsid w:val="009943be"/>
    <w:rPr>
      <w:rFonts w:ascii="Times New Roman" w:hAnsi="Times New Roman" w:eastAsia="Times New Roman" w:cs="David"/>
      <w:sz w:val="28"/>
      <w:szCs w:val="28"/>
    </w:rPr>
  </w:style>
  <w:style w:type="character" w:styleId="Ruller4" w:customStyle="1">
    <w:name w:val="Ruller4 תו"/>
    <w:link w:val="Ruller42"/>
    <w:qFormat/>
    <w:locked/>
    <w:rsid w:val="0040137e"/>
    <w:rPr>
      <w:rFonts w:ascii="Arial TUR" w:hAnsi="Arial TUR" w:cs="FrankRuehl"/>
      <w:spacing w:val="10"/>
      <w:sz w:val="22"/>
      <w:szCs w:val="28"/>
    </w:rPr>
  </w:style>
  <w:style w:type="character" w:styleId="Ruller41" w:customStyle="1">
    <w:name w:val="Ruller 4 ממוספר תו"/>
    <w:link w:val="Ruller43"/>
    <w:qFormat/>
    <w:locked/>
    <w:rsid w:val="000f7804"/>
    <w:rPr>
      <w:rFonts w:ascii="Garamond" w:hAnsi="Garamond" w:eastAsia="Times New Roman" w:cs="FrankRuehl"/>
      <w:spacing w:val="10"/>
      <w:sz w:val="24"/>
      <w:szCs w:val="28"/>
    </w:rPr>
  </w:style>
  <w:style w:type="character" w:styleId="Heading1Char" w:customStyle="1">
    <w:name w:val="Heading 1 Char"/>
    <w:link w:val="Heading1"/>
    <w:qFormat/>
    <w:rsid w:val="00e34563"/>
    <w:rPr>
      <w:rFonts w:ascii="Times New Roman" w:hAnsi="Times New Roman" w:eastAsia="Times New Roman" w:cs="David"/>
      <w:b/>
      <w:bCs/>
      <w:kern w:val="2"/>
      <w:sz w:val="28"/>
      <w:szCs w:val="28"/>
      <w:u w:val="singl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  <w:lang w:val="zxx" w:eastAsia="zxx" w:bidi="zxx"/>
    </w:rPr>
  </w:style>
  <w:style w:type="paragraph" w:styleId="1" w:customStyle="1">
    <w:name w:val="פיסקת רשימה1"/>
    <w:basedOn w:val="Normal"/>
    <w:link w:val="Style13"/>
    <w:uiPriority w:val="34"/>
    <w:qFormat/>
    <w:rsid w:val="004556a3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21" w:customStyle="1">
    <w:name w:val="סגנון2"/>
    <w:basedOn w:val="1"/>
    <w:link w:val="2"/>
    <w:qFormat/>
    <w:rsid w:val="004556a3"/>
    <w:pPr>
      <w:spacing w:lineRule="auto" w:line="360"/>
      <w:jc w:val="both"/>
    </w:pPr>
    <w:rPr>
      <w:rFonts w:cs="David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fb427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Ruller42" w:customStyle="1">
    <w:name w:val="Ruller4"/>
    <w:basedOn w:val="Normal"/>
    <w:link w:val="Ruller4"/>
    <w:qFormat/>
    <w:rsid w:val="0040137e"/>
    <w:pPr>
      <w:tabs>
        <w:tab w:val="clear" w:pos="720"/>
        <w:tab w:val="left" w:pos="800" w:leader="none"/>
      </w:tabs>
      <w:overflowPunct w:val="true"/>
      <w:spacing w:lineRule="auto" w:line="360" w:before="0" w:after="0"/>
      <w:jc w:val="both"/>
    </w:pPr>
    <w:rPr>
      <w:rFonts w:ascii="Arial TUR" w:hAnsi="Arial TUR" w:cs="FrankRuehl"/>
      <w:spacing w:val="10"/>
      <w:sz w:val="22"/>
    </w:rPr>
  </w:style>
  <w:style w:type="paragraph" w:styleId="Ruller43" w:customStyle="1">
    <w:name w:val="Ruller 4 ממוספר"/>
    <w:basedOn w:val="Ruller42"/>
    <w:link w:val="Ruller41"/>
    <w:qFormat/>
    <w:rsid w:val="000f7804"/>
    <w:pPr>
      <w:textAlignment w:val="baseline"/>
    </w:pPr>
    <w:rPr>
      <w:rFonts w:ascii="Garamond" w:hAnsi="Garamond" w:eastAsia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../../&#1488;&#1502;&#1497;&#1500;&#1497;&#1504;&#1488;&#1497;&#1502;&#1503;/AppData/Local/Temp/AppData/Local/Microsoft/Windows/INetCache/Content.Outlook/KVBJD20A/removed.url" TargetMode="External"/><Relationship Id="rId6" Type="http://schemas.openxmlformats.org/officeDocument/2006/relationships/hyperlink" Target="../../&#1488;&#1502;&#1497;&#1500;&#1497;&#1504;&#1488;&#1497;&#1502;&#1503;/AppData/Local/Temp/AppData/Local/Microsoft/Windows/INetCache/Content.Outlook/KVBJD20A/removed.url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Edit_Docx_PLUS/7.4.0.3$Windows_X86_64 LibreOffice_project/</Application>
  <AppVersion>15.0000</AppVersion>
  <Pages>11</Pages>
  <Words>3626</Words>
  <Characters>17484</Characters>
  <CharactersWithSpaces>21431</CharactersWithSpaces>
  <Paragraphs>65</Paragraphs>
  <Company>MOD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2026-02-23T14:01:00Z</dcterms:created>
  <dc:creator>יבד"ץ 205/בית הדין הצבאי לערעורים/המשנה לנשיאה/נועה זומר</dc:creator>
  <dc:description/>
  <dc:language>en-US</dc:language>
  <cp:lastModifiedBy/>
  <cp:lastPrinted>2026-02-23T08:20:00Z</cp:lastPrinted>
  <dcterms:modified xsi:type="dcterms:W3CDTF">2026-04-15T18:28:47Z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1b9bfc-c426-492e-a46c-1a922d5fe54b_ActionId">
    <vt:lpwstr>ea96a6fe-b7ee-4a91-8015-f277d50810ef</vt:lpwstr>
  </property>
  <property fmtid="{D5CDD505-2E9C-101B-9397-08002B2CF9AE}" pid="3" name="MSIP_Label_701b9bfc-c426-492e-a46c-1a922d5fe54b_ContentBits">
    <vt:lpwstr>1</vt:lpwstr>
  </property>
  <property fmtid="{D5CDD505-2E9C-101B-9397-08002B2CF9AE}" pid="4" name="MSIP_Label_701b9bfc-c426-492e-a46c-1a922d5fe54b_Enabled">
    <vt:lpwstr>true</vt:lpwstr>
  </property>
  <property fmtid="{D5CDD505-2E9C-101B-9397-08002B2CF9AE}" pid="5" name="MSIP_Label_701b9bfc-c426-492e-a46c-1a922d5fe54b_Method">
    <vt:lpwstr>Privileged</vt:lpwstr>
  </property>
  <property fmtid="{D5CDD505-2E9C-101B-9397-08002B2CF9AE}" pid="6" name="MSIP_Label_701b9bfc-c426-492e-a46c-1a922d5fe54b_Name">
    <vt:lpwstr>בלמ"ס</vt:lpwstr>
  </property>
  <property fmtid="{D5CDD505-2E9C-101B-9397-08002B2CF9AE}" pid="7" name="MSIP_Label_701b9bfc-c426-492e-a46c-1a922d5fe54b_SetDate">
    <vt:lpwstr>2026-02-23T14:01:56Z</vt:lpwstr>
  </property>
  <property fmtid="{D5CDD505-2E9C-101B-9397-08002B2CF9AE}" pid="8" name="MSIP_Label_701b9bfc-c426-492e-a46c-1a922d5fe54b_SiteId">
    <vt:lpwstr>78820852-55fa-450b-908d-45c0d911e76b</vt:lpwstr>
  </property>
  <property fmtid="{D5CDD505-2E9C-101B-9397-08002B2CF9AE}" pid="9" name="MSIP_Label_701b9bfc-c426-492e-a46c-1a922d5fe54b_Tag">
    <vt:lpwstr>10, 0, 1, 1</vt:lpwstr>
  </property>
</Properties>
</file>