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BBD1" w14:textId="77777777" w:rsidR="00F47ECA" w:rsidRPr="00126E94" w:rsidRDefault="00F47ECA" w:rsidP="00F47ECA">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1EA39AC0" wp14:editId="0574836E">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61E2D7F8" wp14:editId="56842A19">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7EE1526" w14:textId="77777777" w:rsidR="00F47ECA" w:rsidRPr="00FD2DDA" w:rsidRDefault="00F47ECA" w:rsidP="00F47ECA">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73AE0C92" w14:textId="77777777" w:rsidR="00F47ECA" w:rsidRPr="00FD2DDA" w:rsidRDefault="00F47ECA" w:rsidP="00F47ECA">
      <w:pPr>
        <w:spacing w:before="120" w:line="480" w:lineRule="auto"/>
        <w:rPr>
          <w:rFonts w:ascii="David" w:hAnsi="David"/>
          <w:rtl/>
        </w:rPr>
      </w:pPr>
      <w:r w:rsidRPr="00FD2DDA">
        <w:rPr>
          <w:rFonts w:ascii="David" w:hAnsi="David" w:hint="cs"/>
          <w:rtl/>
        </w:rPr>
        <w:t>בפני:</w:t>
      </w:r>
    </w:p>
    <w:p w14:paraId="77253EF6" w14:textId="209429D9" w:rsidR="00F47ECA" w:rsidRDefault="00F47ECA" w:rsidP="00F47ECA">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6F1622B3" w14:textId="77777777" w:rsidR="00F47ECA" w:rsidRPr="00F47ECA" w:rsidRDefault="00F47ECA" w:rsidP="00F47ECA">
      <w:pPr>
        <w:spacing w:line="240" w:lineRule="auto"/>
        <w:jc w:val="center"/>
        <w:rPr>
          <w:sz w:val="22"/>
          <w:szCs w:val="22"/>
          <w:rtl/>
        </w:rPr>
      </w:pPr>
    </w:p>
    <w:p w14:paraId="6AED625E" w14:textId="3F3E280F" w:rsidR="00F47ECA" w:rsidRDefault="00F47ECA" w:rsidP="00F47ECA">
      <w:pPr>
        <w:rPr>
          <w:rFonts w:ascii="David" w:hAnsi="David"/>
          <w:rtl/>
        </w:rPr>
      </w:pPr>
      <w:r w:rsidRPr="00FD2DDA">
        <w:rPr>
          <w:rFonts w:ascii="David" w:hAnsi="David" w:hint="cs"/>
          <w:rtl/>
        </w:rPr>
        <w:t>בעניין:</w:t>
      </w:r>
    </w:p>
    <w:p w14:paraId="4E93AB2E" w14:textId="77777777" w:rsidR="00F47ECA" w:rsidRPr="00F47ECA" w:rsidRDefault="00F47ECA" w:rsidP="00F47ECA">
      <w:pPr>
        <w:rPr>
          <w:rFonts w:ascii="David" w:hAnsi="David"/>
          <w:sz w:val="18"/>
          <w:szCs w:val="18"/>
          <w:rtl/>
        </w:rPr>
      </w:pPr>
    </w:p>
    <w:p w14:paraId="2FE3ABDB" w14:textId="4993D3DC" w:rsidR="00F47ECA" w:rsidRPr="00FD2DDA" w:rsidRDefault="00F47ECA" w:rsidP="007A1BA6">
      <w:pPr>
        <w:jc w:val="center"/>
        <w:rPr>
          <w:rFonts w:ascii="David" w:hAnsi="David"/>
          <w:rtl/>
        </w:rPr>
      </w:pPr>
      <w:r>
        <w:rPr>
          <w:rFonts w:ascii="David" w:hAnsi="David" w:hint="cs"/>
          <w:b/>
          <w:bCs/>
          <w:rtl/>
        </w:rPr>
        <w:t>ח/</w:t>
      </w:r>
      <w:r w:rsidR="007A1BA6">
        <w:rPr>
          <w:rFonts w:ascii="David" w:hAnsi="David" w:hint="cs"/>
          <w:b/>
          <w:bCs/>
        </w:rPr>
        <w:t>XXXXXXX</w:t>
      </w:r>
      <w:r>
        <w:rPr>
          <w:rFonts w:ascii="David" w:hAnsi="David" w:hint="cs"/>
          <w:b/>
          <w:bCs/>
          <w:rtl/>
        </w:rPr>
        <w:t xml:space="preserve"> סמל </w:t>
      </w:r>
      <w:r w:rsidR="007A1BA6">
        <w:rPr>
          <w:rFonts w:ascii="David" w:hAnsi="David" w:hint="cs"/>
          <w:b/>
          <w:bCs/>
          <w:rtl/>
        </w:rPr>
        <w:t>א' נ'</w:t>
      </w:r>
      <w:r w:rsidRPr="00FD2DDA">
        <w:rPr>
          <w:rFonts w:ascii="David" w:hAnsi="David" w:hint="cs"/>
          <w:b/>
          <w:bCs/>
          <w:rtl/>
        </w:rPr>
        <w:t xml:space="preserve"> –</w:t>
      </w:r>
      <w:r w:rsidRPr="00FD2DDA">
        <w:rPr>
          <w:rFonts w:ascii="David" w:hAnsi="David" w:hint="cs"/>
          <w:rtl/>
        </w:rPr>
        <w:t xml:space="preserve"> המערער (ע"י ב"כ,</w:t>
      </w:r>
      <w:r>
        <w:rPr>
          <w:rFonts w:ascii="David" w:hAnsi="David" w:hint="cs"/>
          <w:rtl/>
        </w:rPr>
        <w:t xml:space="preserve"> עו"ד עדי</w:t>
      </w:r>
      <w:r w:rsidR="007B6BFA">
        <w:rPr>
          <w:rFonts w:ascii="David" w:hAnsi="David" w:hint="cs"/>
          <w:rtl/>
        </w:rPr>
        <w:t xml:space="preserve"> </w:t>
      </w:r>
      <w:proofErr w:type="spellStart"/>
      <w:r w:rsidR="007B6BFA">
        <w:rPr>
          <w:rFonts w:ascii="David" w:hAnsi="David" w:hint="cs"/>
          <w:rtl/>
        </w:rPr>
        <w:t>ריטיגשטיין</w:t>
      </w:r>
      <w:proofErr w:type="spellEnd"/>
      <w:r w:rsidR="007B6BFA">
        <w:rPr>
          <w:rFonts w:ascii="David" w:hAnsi="David" w:hint="cs"/>
          <w:rtl/>
        </w:rPr>
        <w:t xml:space="preserve"> -</w:t>
      </w:r>
      <w:r>
        <w:rPr>
          <w:rFonts w:ascii="David" w:hAnsi="David" w:hint="cs"/>
          <w:rtl/>
        </w:rPr>
        <w:t xml:space="preserve"> </w:t>
      </w:r>
      <w:proofErr w:type="spellStart"/>
      <w:r>
        <w:rPr>
          <w:rFonts w:ascii="David" w:hAnsi="David" w:hint="cs"/>
          <w:rtl/>
        </w:rPr>
        <w:t>אייזנר</w:t>
      </w:r>
      <w:proofErr w:type="spellEnd"/>
      <w:r w:rsidRPr="00FD2DDA">
        <w:rPr>
          <w:rFonts w:ascii="David" w:hAnsi="David" w:hint="cs"/>
          <w:rtl/>
        </w:rPr>
        <w:t>)</w:t>
      </w:r>
    </w:p>
    <w:p w14:paraId="4C44C634" w14:textId="77777777" w:rsidR="00F47ECA" w:rsidRPr="00FD2DDA" w:rsidRDefault="00F47ECA" w:rsidP="00F47ECA">
      <w:pPr>
        <w:jc w:val="center"/>
        <w:rPr>
          <w:rFonts w:ascii="David" w:hAnsi="David"/>
          <w:rtl/>
        </w:rPr>
      </w:pPr>
    </w:p>
    <w:p w14:paraId="057483F9" w14:textId="77777777" w:rsidR="00F47ECA" w:rsidRPr="00FD2DDA" w:rsidRDefault="00F47ECA" w:rsidP="00F47ECA">
      <w:pPr>
        <w:spacing w:after="360"/>
        <w:jc w:val="center"/>
        <w:rPr>
          <w:rFonts w:ascii="David" w:hAnsi="David"/>
          <w:b/>
          <w:bCs/>
          <w:rtl/>
        </w:rPr>
      </w:pPr>
      <w:r w:rsidRPr="00FD2DDA">
        <w:rPr>
          <w:rFonts w:ascii="David" w:hAnsi="David" w:hint="cs"/>
          <w:b/>
          <w:bCs/>
          <w:rtl/>
        </w:rPr>
        <w:t xml:space="preserve">נ ג ד </w:t>
      </w:r>
    </w:p>
    <w:p w14:paraId="61F79B15" w14:textId="554E2F70" w:rsidR="00F47ECA" w:rsidRPr="00FD2DDA" w:rsidRDefault="00F47ECA" w:rsidP="00F47ECA">
      <w:pPr>
        <w:spacing w:after="120"/>
        <w:jc w:val="center"/>
        <w:rPr>
          <w:rFonts w:ascii="David" w:hAnsi="David"/>
          <w:rtl/>
        </w:rPr>
      </w:pPr>
      <w:r>
        <w:rPr>
          <w:rFonts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סגן יעל </w:t>
      </w:r>
      <w:proofErr w:type="spellStart"/>
      <w:r>
        <w:rPr>
          <w:rFonts w:ascii="David" w:hAnsi="David" w:hint="cs"/>
          <w:rtl/>
        </w:rPr>
        <w:t>יוסילביץ</w:t>
      </w:r>
      <w:proofErr w:type="spellEnd"/>
      <w:r>
        <w:rPr>
          <w:rFonts w:ascii="David" w:hAnsi="David" w:hint="cs"/>
          <w:rtl/>
        </w:rPr>
        <w:t>'</w:t>
      </w:r>
      <w:r w:rsidRPr="00FD2DDA">
        <w:rPr>
          <w:rFonts w:ascii="David" w:hAnsi="David" w:hint="cs"/>
          <w:rtl/>
        </w:rPr>
        <w:t>)</w:t>
      </w:r>
    </w:p>
    <w:p w14:paraId="7305543C" w14:textId="77777777" w:rsidR="00F47ECA" w:rsidRPr="00FD2DDA" w:rsidRDefault="00F47ECA" w:rsidP="00F47ECA">
      <w:pPr>
        <w:spacing w:after="360"/>
        <w:rPr>
          <w:rFonts w:ascii="David" w:hAnsi="David"/>
          <w:b/>
          <w:bCs/>
          <w:u w:val="single"/>
          <w:rtl/>
        </w:rPr>
      </w:pPr>
    </w:p>
    <w:bookmarkEnd w:id="0"/>
    <w:bookmarkEnd w:id="1"/>
    <w:p w14:paraId="2E7D794F" w14:textId="15AAC06A" w:rsidR="00F47ECA" w:rsidRDefault="00F47ECA" w:rsidP="00F47ECA">
      <w:pPr>
        <w:spacing w:after="360"/>
        <w:rPr>
          <w:rFonts w:ascii="David" w:hAnsi="David"/>
          <w:rtl/>
        </w:rPr>
      </w:pPr>
      <w:r w:rsidRPr="00EE22D0">
        <w:rPr>
          <w:rFonts w:ascii="David" w:hAnsi="David" w:hint="cs"/>
          <w:rtl/>
        </w:rPr>
        <w:t xml:space="preserve">ערעור על החלטה של בית הדין הצבאי המחוזי במחוז שיפוטי </w:t>
      </w:r>
      <w:r>
        <w:rPr>
          <w:rFonts w:ascii="David" w:hAnsi="David" w:hint="cs"/>
          <w:rtl/>
        </w:rPr>
        <w:t>הצפון</w:t>
      </w:r>
      <w:r w:rsidRPr="00EE22D0">
        <w:rPr>
          <w:rFonts w:ascii="David" w:hAnsi="David" w:hint="cs"/>
          <w:rtl/>
        </w:rPr>
        <w:t xml:space="preserve"> שניתן בתיק </w:t>
      </w:r>
      <w:r>
        <w:rPr>
          <w:rFonts w:ascii="David" w:hAnsi="David" w:hint="cs"/>
          <w:rtl/>
        </w:rPr>
        <w:t>צפון</w:t>
      </w:r>
      <w:r w:rsidRPr="00EE22D0">
        <w:rPr>
          <w:rFonts w:ascii="David" w:hAnsi="David" w:hint="cs"/>
          <w:rtl/>
        </w:rPr>
        <w:t xml:space="preserve"> מ"י </w:t>
      </w:r>
      <w:r>
        <w:rPr>
          <w:rFonts w:ascii="David" w:hAnsi="David" w:hint="cs"/>
          <w:rtl/>
        </w:rPr>
        <w:t>55598</w:t>
      </w:r>
      <w:r w:rsidRPr="00EE22D0">
        <w:rPr>
          <w:rFonts w:ascii="David" w:hAnsi="David" w:hint="cs"/>
          <w:rtl/>
        </w:rPr>
        <w:t>-</w:t>
      </w:r>
      <w:r w:rsidR="00B90C83">
        <w:rPr>
          <w:rFonts w:ascii="David" w:hAnsi="David" w:hint="cs"/>
          <w:rtl/>
        </w:rPr>
        <w:t>07</w:t>
      </w:r>
      <w:r w:rsidRPr="00EE22D0">
        <w:rPr>
          <w:rFonts w:ascii="David" w:hAnsi="David" w:hint="cs"/>
          <w:rtl/>
        </w:rPr>
        <w:t>-25 (סא"ל</w:t>
      </w:r>
      <w:r w:rsidR="00B90C83">
        <w:rPr>
          <w:rFonts w:ascii="David" w:hAnsi="David" w:hint="cs"/>
          <w:rtl/>
        </w:rPr>
        <w:t xml:space="preserve"> </w:t>
      </w:r>
      <w:r w:rsidR="007B6BFA">
        <w:rPr>
          <w:rFonts w:ascii="David" w:hAnsi="David" w:hint="cs"/>
          <w:rtl/>
        </w:rPr>
        <w:t xml:space="preserve">נעמאן </w:t>
      </w:r>
      <w:proofErr w:type="spellStart"/>
      <w:r w:rsidR="007B6BFA">
        <w:rPr>
          <w:rFonts w:ascii="David" w:hAnsi="David" w:hint="cs"/>
          <w:rtl/>
        </w:rPr>
        <w:t>ח'טיב</w:t>
      </w:r>
      <w:proofErr w:type="spellEnd"/>
      <w:r w:rsidRPr="00EE22D0">
        <w:rPr>
          <w:rFonts w:ascii="David" w:hAnsi="David" w:hint="cs"/>
          <w:rtl/>
        </w:rPr>
        <w:t xml:space="preserve"> – שופט) ביום </w:t>
      </w:r>
      <w:r w:rsidR="007B6BFA">
        <w:rPr>
          <w:rFonts w:ascii="David" w:hAnsi="David" w:hint="cs"/>
          <w:rtl/>
        </w:rPr>
        <w:t>16.11</w:t>
      </w:r>
      <w:r w:rsidRPr="00EE22D0">
        <w:rPr>
          <w:rFonts w:ascii="David" w:hAnsi="David" w:hint="cs"/>
          <w:rtl/>
        </w:rPr>
        <w:t xml:space="preserve">.2025. הערעור </w:t>
      </w:r>
      <w:r w:rsidR="00B90C83">
        <w:rPr>
          <w:rFonts w:ascii="David" w:hAnsi="David" w:hint="cs"/>
          <w:rtl/>
        </w:rPr>
        <w:t>התקבל</w:t>
      </w:r>
      <w:r w:rsidRPr="00EE22D0">
        <w:rPr>
          <w:rFonts w:ascii="David" w:hAnsi="David" w:hint="cs"/>
          <w:rtl/>
        </w:rPr>
        <w:t>.</w:t>
      </w:r>
    </w:p>
    <w:p w14:paraId="1D4C5075" w14:textId="77777777" w:rsidR="00B90C83" w:rsidRPr="00EE22D0" w:rsidRDefault="00B90C83" w:rsidP="00F47ECA">
      <w:pPr>
        <w:spacing w:after="360"/>
        <w:rPr>
          <w:rFonts w:ascii="David" w:hAnsi="David"/>
          <w:rtl/>
        </w:rPr>
      </w:pPr>
    </w:p>
    <w:p w14:paraId="16A41600" w14:textId="77777777" w:rsidR="00F47ECA" w:rsidRDefault="00F47ECA" w:rsidP="00F47ECA">
      <w:pPr>
        <w:pStyle w:val="ListParagraph"/>
        <w:tabs>
          <w:tab w:val="left" w:pos="226"/>
        </w:tabs>
        <w:ind w:left="-58"/>
        <w:jc w:val="center"/>
        <w:rPr>
          <w:b/>
          <w:bCs/>
          <w:u w:val="single"/>
          <w:rtl/>
        </w:rPr>
      </w:pPr>
    </w:p>
    <w:p w14:paraId="6D99B949" w14:textId="78209FEC" w:rsidR="00F47ECA" w:rsidRDefault="00F47ECA" w:rsidP="00F47ECA">
      <w:pPr>
        <w:pStyle w:val="ListParagraph"/>
        <w:tabs>
          <w:tab w:val="left" w:pos="226"/>
        </w:tabs>
        <w:ind w:left="-58"/>
        <w:jc w:val="center"/>
        <w:rPr>
          <w:b/>
          <w:bCs/>
          <w:u w:val="single"/>
          <w:rtl/>
        </w:rPr>
      </w:pPr>
      <w:r w:rsidRPr="0016109F">
        <w:rPr>
          <w:rFonts w:hint="cs"/>
          <w:b/>
          <w:bCs/>
          <w:u w:val="single"/>
          <w:rtl/>
        </w:rPr>
        <w:t>ה</w:t>
      </w:r>
      <w:r>
        <w:rPr>
          <w:rFonts w:hint="cs"/>
          <w:b/>
          <w:bCs/>
          <w:u w:val="single"/>
          <w:rtl/>
        </w:rPr>
        <w:t xml:space="preserve"> </w:t>
      </w:r>
      <w:r w:rsidRPr="0016109F">
        <w:rPr>
          <w:rFonts w:hint="cs"/>
          <w:b/>
          <w:bCs/>
          <w:u w:val="single"/>
          <w:rtl/>
        </w:rPr>
        <w:t>ח</w:t>
      </w:r>
      <w:r>
        <w:rPr>
          <w:rFonts w:hint="cs"/>
          <w:b/>
          <w:bCs/>
          <w:u w:val="single"/>
          <w:rtl/>
        </w:rPr>
        <w:t xml:space="preserve"> </w:t>
      </w:r>
      <w:r w:rsidRPr="0016109F">
        <w:rPr>
          <w:rFonts w:hint="cs"/>
          <w:b/>
          <w:bCs/>
          <w:u w:val="single"/>
          <w:rtl/>
        </w:rPr>
        <w:t>ל</w:t>
      </w:r>
      <w:r>
        <w:rPr>
          <w:rFonts w:hint="cs"/>
          <w:b/>
          <w:bCs/>
          <w:u w:val="single"/>
          <w:rtl/>
        </w:rPr>
        <w:t xml:space="preserve"> </w:t>
      </w:r>
      <w:r w:rsidRPr="0016109F">
        <w:rPr>
          <w:rFonts w:hint="cs"/>
          <w:b/>
          <w:bCs/>
          <w:u w:val="single"/>
          <w:rtl/>
        </w:rPr>
        <w:t>ט</w:t>
      </w:r>
      <w:r>
        <w:rPr>
          <w:rFonts w:hint="cs"/>
          <w:b/>
          <w:bCs/>
          <w:u w:val="single"/>
          <w:rtl/>
        </w:rPr>
        <w:t xml:space="preserve"> </w:t>
      </w:r>
      <w:r w:rsidRPr="0016109F">
        <w:rPr>
          <w:rFonts w:hint="cs"/>
          <w:b/>
          <w:bCs/>
          <w:u w:val="single"/>
          <w:rtl/>
        </w:rPr>
        <w:t>ה</w:t>
      </w:r>
      <w:r>
        <w:rPr>
          <w:rFonts w:hint="cs"/>
          <w:b/>
          <w:bCs/>
          <w:u w:val="single"/>
          <w:rtl/>
        </w:rPr>
        <w:t xml:space="preserve"> </w:t>
      </w:r>
    </w:p>
    <w:p w14:paraId="3D662905" w14:textId="77777777" w:rsidR="00F47ECA" w:rsidRPr="0016109F" w:rsidRDefault="00F47ECA" w:rsidP="00F47ECA">
      <w:pPr>
        <w:pStyle w:val="ListParagraph"/>
        <w:tabs>
          <w:tab w:val="left" w:pos="226"/>
        </w:tabs>
        <w:ind w:left="-58"/>
        <w:jc w:val="center"/>
        <w:rPr>
          <w:b/>
          <w:bCs/>
          <w:u w:val="single"/>
          <w:rtl/>
        </w:rPr>
      </w:pPr>
    </w:p>
    <w:p w14:paraId="13407644" w14:textId="4CECC0A2" w:rsidR="00F47ECA" w:rsidRDefault="00F47ECA" w:rsidP="00F47ECA">
      <w:pPr>
        <w:pStyle w:val="ListParagraph"/>
        <w:numPr>
          <w:ilvl w:val="0"/>
          <w:numId w:val="1"/>
        </w:numPr>
        <w:tabs>
          <w:tab w:val="left" w:pos="226"/>
        </w:tabs>
        <w:rPr>
          <w:rtl/>
        </w:rPr>
      </w:pPr>
      <w:r>
        <w:rPr>
          <w:rFonts w:hint="cs"/>
          <w:rtl/>
        </w:rPr>
        <w:t xml:space="preserve">כנגד המערער, סמל </w:t>
      </w:r>
      <w:r w:rsidR="007A1BA6">
        <w:rPr>
          <w:rFonts w:hint="cs"/>
          <w:rtl/>
        </w:rPr>
        <w:t>א' נ'</w:t>
      </w:r>
      <w:r>
        <w:rPr>
          <w:rFonts w:hint="cs"/>
          <w:rtl/>
        </w:rPr>
        <w:t xml:space="preserve"> וכנגד מעורבים נוספים החלה בחודש יולי 2025 חקירה בגין חשד לעבירות שעניינן מרמה והונאה. המערער נעצר בגין החשד למספר ימים במהלך חודש יולי 2025 ושוחרר ביום 24 ביולי 2025 תוך שנקבעו בעניינו תנאים מגבילים שעניינם</w:t>
      </w:r>
      <w:r w:rsidR="006C3E83">
        <w:rPr>
          <w:rFonts w:hint="cs"/>
          <w:rtl/>
        </w:rPr>
        <w:t>,</w:t>
      </w:r>
      <w:r>
        <w:rPr>
          <w:rFonts w:hint="cs"/>
          <w:rtl/>
        </w:rPr>
        <w:t xml:space="preserve"> בין השאר</w:t>
      </w:r>
      <w:r w:rsidR="006C3E83">
        <w:rPr>
          <w:rFonts w:hint="cs"/>
          <w:rtl/>
        </w:rPr>
        <w:t>,</w:t>
      </w:r>
      <w:r>
        <w:rPr>
          <w:rFonts w:hint="cs"/>
          <w:rtl/>
        </w:rPr>
        <w:t xml:space="preserve"> חתימה על התחייבות שלא ליצור קשר עם מעורבים בתיק, התייצבות להליכי חקירה ולדיונים בעניינו וכן איסור יציאה מהארץ. </w:t>
      </w:r>
    </w:p>
    <w:p w14:paraId="2B05D330" w14:textId="77777777" w:rsidR="00F47ECA" w:rsidRDefault="00F47ECA" w:rsidP="00F47ECA">
      <w:pPr>
        <w:pStyle w:val="ListParagraph"/>
        <w:numPr>
          <w:ilvl w:val="0"/>
          <w:numId w:val="1"/>
        </w:numPr>
        <w:tabs>
          <w:tab w:val="left" w:pos="226"/>
        </w:tabs>
        <w:rPr>
          <w:rtl/>
        </w:rPr>
      </w:pPr>
      <w:r>
        <w:rPr>
          <w:rFonts w:hint="cs"/>
          <w:rtl/>
        </w:rPr>
        <w:t xml:space="preserve">בחודשים שחלפו מאז התקיימו מספר דיונים שבהם הוארך בהסכמה תוקפם של התנאים המגבילים. </w:t>
      </w:r>
    </w:p>
    <w:p w14:paraId="1983B307" w14:textId="77777777" w:rsidR="00F47ECA" w:rsidRDefault="00F47ECA" w:rsidP="00F47ECA">
      <w:pPr>
        <w:pStyle w:val="ListParagraph"/>
        <w:numPr>
          <w:ilvl w:val="0"/>
          <w:numId w:val="1"/>
        </w:numPr>
        <w:tabs>
          <w:tab w:val="left" w:pos="226"/>
        </w:tabs>
        <w:rPr>
          <w:rtl/>
        </w:rPr>
      </w:pPr>
      <w:r>
        <w:rPr>
          <w:rFonts w:hint="cs"/>
          <w:rtl/>
        </w:rPr>
        <w:t xml:space="preserve">בדיון שהתקיים ביום 16 בנובמבר 2025 בפני כבוד השופט סא"ל נעמאן </w:t>
      </w:r>
      <w:proofErr w:type="spellStart"/>
      <w:r>
        <w:rPr>
          <w:rFonts w:hint="cs"/>
          <w:rtl/>
        </w:rPr>
        <w:t>ח'טיב</w:t>
      </w:r>
      <w:proofErr w:type="spellEnd"/>
      <w:r>
        <w:rPr>
          <w:rFonts w:hint="cs"/>
          <w:rtl/>
        </w:rPr>
        <w:t xml:space="preserve"> ביקשה התביעה להאריך את התנאים המגבילים עד ליום 24 בדצמבר 2025, תוך שהצביעה על מספר </w:t>
      </w:r>
      <w:r>
        <w:rPr>
          <w:rFonts w:hint="cs"/>
          <w:rtl/>
        </w:rPr>
        <w:lastRenderedPageBreak/>
        <w:t xml:space="preserve">התפתחויות שעתידות לחול בחקירה בפרק הזמן האמור. ההגנה התנגדה להארכת התנאי שעניינו איסור יציאה מהארץ. בהחלטה שניתנה באותו יום מצא בית הדין קמא לקבל את בקשתה של התביעה, לאחר שזו תוקנה בעקבות הערותיו, כך שתוקפם של התנאים המגבילים יוארך עד ליום 9 בדצמבר 2025. בית הדין עמד עוד על כך שככל שהפעולות שעליהן הוצהר לא תבוצענה עד למועד הדיון הבא, הצהירה התביעה כי לא תעמוד על הארכת תוקף התנאים המגבילים וכי לא תתנגד ליציאה לחו"ל של המערער לזמן קצוב. </w:t>
      </w:r>
    </w:p>
    <w:p w14:paraId="6C77DE2B" w14:textId="77777777" w:rsidR="00F47ECA" w:rsidRDefault="00F47ECA" w:rsidP="00F47ECA">
      <w:pPr>
        <w:pStyle w:val="ListParagraph"/>
        <w:numPr>
          <w:ilvl w:val="0"/>
          <w:numId w:val="1"/>
        </w:numPr>
        <w:tabs>
          <w:tab w:val="left" w:pos="226"/>
        </w:tabs>
        <w:rPr>
          <w:rtl/>
        </w:rPr>
      </w:pPr>
      <w:r>
        <w:rPr>
          <w:rFonts w:hint="cs"/>
          <w:rtl/>
        </w:rPr>
        <w:t xml:space="preserve">ההגנה לא השלימה עם החלטה זו, וטוענת בערעורה כי החקירה בעניינו של המערער מתמשכת יתר על המידה מבלי שבוצעו לאחרונה פעולות משמעותיות, ואף מבלי שניתנה אינדיקציה לסיום החקירה. </w:t>
      </w:r>
      <w:proofErr w:type="spellStart"/>
      <w:r>
        <w:rPr>
          <w:rFonts w:hint="cs"/>
          <w:rtl/>
        </w:rPr>
        <w:t>צויין</w:t>
      </w:r>
      <w:proofErr w:type="spellEnd"/>
      <w:r>
        <w:rPr>
          <w:rFonts w:hint="cs"/>
          <w:rtl/>
        </w:rPr>
        <w:t xml:space="preserve"> כי המערער סיים את שירותו לאחרונה, בין השאר כלוחם במסגרת מלחמת "חרבות ברזל", כי הוא מבקש לנסוע לחו"ל עם חבריו, כי הוא התייצב עד כה לכל פעולת חקירה אליה נקרא וכי הוא נכון להתחייב, גם אם יצא לחו"ל כעת, לשוב בתוך שבוע ימים מיום קריאתו לחקירה; וכן ידוע לו כי עליו להתייצב לכל הדיונים בעניינו. צוין עוד כי המערער נכון לבצע הפקדה כספית ואף הוריו נכונים להתחייב לערבות מטעמם. </w:t>
      </w:r>
    </w:p>
    <w:p w14:paraId="4D931487" w14:textId="77777777" w:rsidR="00F47ECA" w:rsidRDefault="00F47ECA" w:rsidP="00F47ECA">
      <w:pPr>
        <w:pStyle w:val="ListParagraph"/>
        <w:numPr>
          <w:ilvl w:val="0"/>
          <w:numId w:val="1"/>
        </w:numPr>
        <w:tabs>
          <w:tab w:val="left" w:pos="226"/>
        </w:tabs>
        <w:rPr>
          <w:rtl/>
        </w:rPr>
      </w:pPr>
      <w:r>
        <w:rPr>
          <w:rFonts w:hint="cs"/>
          <w:rtl/>
        </w:rPr>
        <w:t>התביעה ביקשה לסמוך ידיה על החלטת בית הדין קמא, תוך שהפנתה לדו"ח הסודי שהוגש ולפעולות חקירה שעתידות להתבצע בפרק הזמן המבוקש, שביצוען התעכב עד כה בשל טעמים שאינם תלויים בגורמי החקירה. נטען כי נוכחותו של המערער תידרש ככל הנראה לאחר ביצוע פעולות החקירה האמורות וכי יקשה לסמוך עליו נוכח טיב העבירות שבהן הוא נחשד.</w:t>
      </w:r>
    </w:p>
    <w:p w14:paraId="1E875118" w14:textId="77777777" w:rsidR="00F47ECA" w:rsidRDefault="00F47ECA" w:rsidP="00F47ECA">
      <w:pPr>
        <w:pStyle w:val="ListParagraph"/>
        <w:numPr>
          <w:ilvl w:val="0"/>
          <w:numId w:val="1"/>
        </w:numPr>
        <w:tabs>
          <w:tab w:val="left" w:pos="226"/>
        </w:tabs>
        <w:rPr>
          <w:rtl/>
        </w:rPr>
      </w:pPr>
      <w:r>
        <w:rPr>
          <w:rFonts w:hint="cs"/>
          <w:rtl/>
        </w:rPr>
        <w:t>לאחר שעיינתי בחומרי החקירה ובדו"ח הסודי ושמעתי את טיעוני הצדדים, מצאתי כי דין הערעור להתקבל.</w:t>
      </w:r>
    </w:p>
    <w:p w14:paraId="483EB539" w14:textId="119B21C1" w:rsidR="00F47ECA" w:rsidRDefault="00F47ECA" w:rsidP="00F47ECA">
      <w:pPr>
        <w:pStyle w:val="ListParagraph"/>
        <w:numPr>
          <w:ilvl w:val="0"/>
          <w:numId w:val="1"/>
        </w:numPr>
        <w:tabs>
          <w:tab w:val="left" w:pos="226"/>
        </w:tabs>
        <w:rPr>
          <w:b/>
          <w:bCs/>
          <w:rtl/>
        </w:rPr>
      </w:pPr>
      <w:r>
        <w:rPr>
          <w:rFonts w:hint="cs"/>
          <w:rtl/>
        </w:rPr>
        <w:t>אכן החקירה התלויה ועומדת עוסקת בעבירות מרמה והונאה, שראוי כי ייחקרו עד תומן. נראה כי בוצעו פעולות חקירה רבות לצורך קידום החקירה וכי העיכוב שחל אינו רובץ לפתחם של גורמי החקירה. כמו כן הוסבר במסגרת הדו"ח הסודי מדוע לא היה ניתן להתקדם בחקירה לפני המועד שהתבקש. עם זאת, יש לתת את הדעת גם למשך החקירה עד כה, בראי השפעת הדברים על חופש התנועה של המערער, בשים לב לטיב החשד ולחלקו באירועים הנחקרים. הכרעה בסוגיית עיכוב יציאה מהארץ עניינה באיזון בין הזכות לצאת מהארץ לבין האינטרס הציבורי בניהולם התקין של הליכים פליליים וגם כאשר קיים חשש לסיכול ההליך הפלילי יש לבחון האם ניתן למנוע את השיבוש האמור בדרך פוגענית פחות של המצאת ערובה או קביעת שחרור (</w:t>
      </w:r>
      <w:proofErr w:type="spellStart"/>
      <w:r>
        <w:rPr>
          <w:rFonts w:hint="cs"/>
          <w:rtl/>
        </w:rPr>
        <w:t>בש"פ</w:t>
      </w:r>
      <w:proofErr w:type="spellEnd"/>
      <w:r>
        <w:rPr>
          <w:rFonts w:hint="cs"/>
          <w:rtl/>
        </w:rPr>
        <w:t xml:space="preserve"> 5907/23 </w:t>
      </w:r>
      <w:r>
        <w:rPr>
          <w:rFonts w:hint="cs"/>
          <w:b/>
          <w:bCs/>
          <w:rtl/>
        </w:rPr>
        <w:t xml:space="preserve">מדינת ישראל נגד מור </w:t>
      </w:r>
      <w:r w:rsidRPr="00854E78">
        <w:rPr>
          <w:rFonts w:hint="cs"/>
          <w:rtl/>
        </w:rPr>
        <w:t xml:space="preserve">(19.10.2021)). </w:t>
      </w:r>
    </w:p>
    <w:p w14:paraId="28BB2BB1" w14:textId="77777777" w:rsidR="00F47ECA" w:rsidRDefault="00F47ECA" w:rsidP="00F47ECA">
      <w:pPr>
        <w:pStyle w:val="ListParagraph"/>
        <w:numPr>
          <w:ilvl w:val="0"/>
          <w:numId w:val="1"/>
        </w:numPr>
        <w:tabs>
          <w:tab w:val="left" w:pos="226"/>
        </w:tabs>
        <w:rPr>
          <w:rtl/>
        </w:rPr>
      </w:pPr>
      <w:r>
        <w:rPr>
          <w:rFonts w:hint="cs"/>
          <w:rtl/>
        </w:rPr>
        <w:t xml:space="preserve">בנסיבות העניין סברתי כי האיזון הראוי, נוכח התמשכות החקירה והפגיעה בזכויות המערער מחד גיסא לבין הצורך בנוכחותו בחקירה עקב ההתפתחויות החקירתיות הצפויות, מאידך גיסא הוא בקביעת מספר תנאים שיבטיחו את אותה התייצבות מבלי לחדש את צו איסור היציאה מהארץ. </w:t>
      </w:r>
    </w:p>
    <w:p w14:paraId="2F87F2EE" w14:textId="77777777" w:rsidR="00F47ECA" w:rsidRDefault="00F47ECA" w:rsidP="00F47ECA">
      <w:pPr>
        <w:pStyle w:val="ListParagraph"/>
        <w:numPr>
          <w:ilvl w:val="0"/>
          <w:numId w:val="1"/>
        </w:numPr>
        <w:tabs>
          <w:tab w:val="left" w:pos="226"/>
        </w:tabs>
        <w:rPr>
          <w:rtl/>
        </w:rPr>
      </w:pPr>
      <w:r>
        <w:rPr>
          <w:rFonts w:hint="cs"/>
          <w:rtl/>
        </w:rPr>
        <w:lastRenderedPageBreak/>
        <w:t>לאור האמור אני מורה על ביטול התנאי שעניינו איסור יציאה מהארץ.</w:t>
      </w:r>
    </w:p>
    <w:p w14:paraId="0D7F4ED5" w14:textId="250758AB" w:rsidR="00F47ECA" w:rsidRDefault="00F47ECA" w:rsidP="00F47ECA">
      <w:pPr>
        <w:pStyle w:val="ListParagraph"/>
        <w:numPr>
          <w:ilvl w:val="0"/>
          <w:numId w:val="1"/>
        </w:numPr>
        <w:tabs>
          <w:tab w:val="left" w:pos="226"/>
        </w:tabs>
        <w:rPr>
          <w:rtl/>
        </w:rPr>
      </w:pPr>
      <w:r>
        <w:rPr>
          <w:rFonts w:hint="cs"/>
          <w:rtl/>
        </w:rPr>
        <w:t xml:space="preserve">חלף זאת יפקיד המערער סכום של 1,000 שקלים חדשים באמצעות כרטיס אשראי. האם </w:t>
      </w:r>
      <w:r w:rsidR="00602B7E">
        <w:rPr>
          <w:rFonts w:hint="cs"/>
          <w:rtl/>
        </w:rPr>
        <w:t>כרמית</w:t>
      </w:r>
      <w:r w:rsidR="007A1BA6">
        <w:rPr>
          <w:rFonts w:hint="cs"/>
          <w:rtl/>
        </w:rPr>
        <w:t xml:space="preserve"> נ'</w:t>
      </w:r>
      <w:r>
        <w:rPr>
          <w:rFonts w:hint="cs"/>
          <w:rtl/>
        </w:rPr>
        <w:t xml:space="preserve">  ת.ז </w:t>
      </w:r>
      <w:r w:rsidR="007A1BA6">
        <w:rPr>
          <w:rFonts w:hint="cs"/>
        </w:rPr>
        <w:t>XXXXXXXX</w:t>
      </w:r>
      <w:r>
        <w:rPr>
          <w:rFonts w:hint="cs"/>
          <w:rtl/>
        </w:rPr>
        <w:t xml:space="preserve"> תחתום על ערבות צד ג' בסך 8,000 שקלים חדשים. </w:t>
      </w:r>
    </w:p>
    <w:p w14:paraId="680007F6" w14:textId="77777777" w:rsidR="00F47ECA" w:rsidRDefault="00F47ECA" w:rsidP="00F47ECA">
      <w:pPr>
        <w:pStyle w:val="ListParagraph"/>
        <w:numPr>
          <w:ilvl w:val="0"/>
          <w:numId w:val="1"/>
        </w:numPr>
        <w:tabs>
          <w:tab w:val="left" w:pos="226"/>
        </w:tabs>
        <w:rPr>
          <w:rtl/>
        </w:rPr>
      </w:pPr>
      <w:r>
        <w:rPr>
          <w:rFonts w:hint="cs"/>
          <w:rtl/>
        </w:rPr>
        <w:t xml:space="preserve">המערער הצהיר לפרוטוקול כי הוא מתחייב להתייצב לכל חקירה אליה ייקרא בתוך שבוע ימים לכל היותר מהמועד שבו יזומן אליה. </w:t>
      </w:r>
    </w:p>
    <w:p w14:paraId="643E4640" w14:textId="77777777" w:rsidR="00F47ECA" w:rsidRDefault="00F47ECA" w:rsidP="00F47ECA">
      <w:pPr>
        <w:pStyle w:val="ListParagraph"/>
        <w:numPr>
          <w:ilvl w:val="0"/>
          <w:numId w:val="1"/>
        </w:numPr>
        <w:tabs>
          <w:tab w:val="left" w:pos="226"/>
        </w:tabs>
        <w:rPr>
          <w:rtl/>
        </w:rPr>
      </w:pPr>
      <w:r>
        <w:rPr>
          <w:rFonts w:hint="cs"/>
          <w:rtl/>
        </w:rPr>
        <w:t>יתרת התנאים המגבילים שנקבעו בבית הדין קמא ייוותרו בעינם.</w:t>
      </w:r>
    </w:p>
    <w:p w14:paraId="4419F5F1" w14:textId="77777777" w:rsidR="00F47ECA" w:rsidRPr="0092137D" w:rsidRDefault="00F47ECA" w:rsidP="00F47ECA">
      <w:pPr>
        <w:pStyle w:val="ListParagraph"/>
        <w:numPr>
          <w:ilvl w:val="0"/>
          <w:numId w:val="1"/>
        </w:numPr>
        <w:tabs>
          <w:tab w:val="left" w:pos="226"/>
        </w:tabs>
        <w:rPr>
          <w:rtl/>
        </w:rPr>
      </w:pPr>
      <w:r>
        <w:rPr>
          <w:rFonts w:hint="cs"/>
          <w:rtl/>
        </w:rPr>
        <w:t xml:space="preserve">לבקשת ההגנה וללא התנגדות התביעה ייקבעו תנאים אלה עד לדיון הבא בבית הדין המחוזי שיתקיים, חלף הדיון שנקבע ביום 17 בדצמבר 2025 בשעה 11:00. </w:t>
      </w:r>
    </w:p>
    <w:p w14:paraId="32FCFF96" w14:textId="77777777" w:rsidR="00F47ECA" w:rsidRDefault="00F47ECA" w:rsidP="00F47ECA">
      <w:pPr>
        <w:pStyle w:val="ListParagraph"/>
        <w:tabs>
          <w:tab w:val="left" w:pos="226"/>
        </w:tabs>
        <w:ind w:left="-58"/>
        <w:rPr>
          <w:rtl/>
        </w:rPr>
      </w:pPr>
    </w:p>
    <w:p w14:paraId="2EE5D996" w14:textId="77777777" w:rsidR="00F47ECA" w:rsidRDefault="00F47ECA" w:rsidP="00F47ECA">
      <w:pPr>
        <w:pStyle w:val="ListParagraph"/>
        <w:tabs>
          <w:tab w:val="left" w:pos="226"/>
        </w:tabs>
        <w:ind w:left="-58"/>
        <w:rPr>
          <w:rtl/>
        </w:rPr>
      </w:pPr>
    </w:p>
    <w:p w14:paraId="42D91CE5" w14:textId="77777777" w:rsidR="00F47ECA" w:rsidRDefault="00F47ECA" w:rsidP="00F47ECA">
      <w:pPr>
        <w:pStyle w:val="ListParagraph"/>
        <w:tabs>
          <w:tab w:val="left" w:pos="226"/>
        </w:tabs>
        <w:ind w:left="-58"/>
        <w:rPr>
          <w:rtl/>
        </w:rPr>
      </w:pPr>
    </w:p>
    <w:p w14:paraId="1E364905" w14:textId="77777777" w:rsidR="00F47ECA" w:rsidRPr="003C7A3E" w:rsidRDefault="00F47ECA" w:rsidP="00F47ECA">
      <w:pPr>
        <w:pStyle w:val="ListParagraph"/>
        <w:tabs>
          <w:tab w:val="left" w:pos="226"/>
        </w:tabs>
        <w:ind w:left="-58"/>
        <w:rPr>
          <w:rtl/>
        </w:rPr>
      </w:pPr>
      <w:r w:rsidRPr="003C7A3E">
        <w:rPr>
          <w:rFonts w:hint="cs"/>
          <w:rtl/>
        </w:rPr>
        <w:t>ניתנה היום,</w:t>
      </w:r>
      <w:r>
        <w:rPr>
          <w:rFonts w:hint="cs"/>
          <w:rtl/>
        </w:rPr>
        <w:t xml:space="preserve">  כ"ט בחשוון </w:t>
      </w:r>
      <w:proofErr w:type="spellStart"/>
      <w:r w:rsidRPr="003C7A3E">
        <w:rPr>
          <w:rFonts w:hint="cs"/>
          <w:rtl/>
        </w:rPr>
        <w:t>התשפ"</w:t>
      </w:r>
      <w:r>
        <w:rPr>
          <w:rFonts w:hint="cs"/>
          <w:rtl/>
        </w:rPr>
        <w:t>ו</w:t>
      </w:r>
      <w:proofErr w:type="spellEnd"/>
      <w:r w:rsidRPr="003C7A3E">
        <w:rPr>
          <w:rFonts w:hint="cs"/>
          <w:rtl/>
        </w:rPr>
        <w:t xml:space="preserve">, </w:t>
      </w:r>
      <w:r>
        <w:rPr>
          <w:rFonts w:hint="cs"/>
          <w:rtl/>
        </w:rPr>
        <w:t>20 בנובמבר 2025,</w:t>
      </w:r>
      <w:r w:rsidRPr="003C7A3E">
        <w:rPr>
          <w:rFonts w:hint="cs"/>
          <w:rtl/>
        </w:rPr>
        <w:t xml:space="preserve"> בפומבי ובמעמד הצדדים.</w:t>
      </w:r>
    </w:p>
    <w:p w14:paraId="239C17C4" w14:textId="77777777" w:rsidR="00F47ECA" w:rsidRPr="003C7A3E" w:rsidRDefault="00F47ECA" w:rsidP="00F47ECA">
      <w:pPr>
        <w:pStyle w:val="ListParagraph"/>
        <w:tabs>
          <w:tab w:val="left" w:pos="226"/>
        </w:tabs>
        <w:ind w:left="-58"/>
        <w:rPr>
          <w:rtl/>
        </w:rPr>
      </w:pPr>
    </w:p>
    <w:p w14:paraId="3648709A" w14:textId="77777777" w:rsidR="00F47ECA" w:rsidRPr="001033BC" w:rsidRDefault="00F47ECA" w:rsidP="00F47ECA">
      <w:pPr>
        <w:rPr>
          <w:rtl/>
        </w:rPr>
      </w:pPr>
      <w:r w:rsidRPr="003C7A3E">
        <w:rPr>
          <w:rFonts w:hint="cs"/>
          <w:b/>
          <w:bCs/>
          <w:rtl/>
        </w:rPr>
        <w:t xml:space="preserve">                                                                                 </w:t>
      </w:r>
    </w:p>
    <w:p w14:paraId="16BC3036" w14:textId="3BCEACCC" w:rsidR="00B90C83" w:rsidRPr="00B54F91" w:rsidRDefault="00B90C83" w:rsidP="00B90C83">
      <w:pPr>
        <w:spacing w:line="312" w:lineRule="auto"/>
        <w:rPr>
          <w:rFonts w:ascii="David" w:hAnsi="David"/>
          <w:b/>
          <w:bCs/>
          <w:rtl/>
        </w:rPr>
      </w:pPr>
      <w:r>
        <w:rPr>
          <w:rFonts w:ascii="David" w:hAnsi="David" w:hint="cs"/>
          <w:b/>
          <w:bCs/>
          <w:rtl/>
        </w:rPr>
        <w:t xml:space="preserve">                                                                                           </w:t>
      </w:r>
      <w:r w:rsidRPr="00247C7A">
        <w:rPr>
          <w:rFonts w:ascii="David" w:hAnsi="David" w:hint="cs"/>
          <w:b/>
          <w:bCs/>
          <w:rtl/>
        </w:rPr>
        <w:t>________________________</w:t>
      </w:r>
    </w:p>
    <w:p w14:paraId="4C924DF9" w14:textId="127920FC" w:rsidR="00B90C83" w:rsidRPr="00247C7A" w:rsidRDefault="00B90C83" w:rsidP="00B90C83">
      <w:pPr>
        <w:keepNext/>
        <w:spacing w:line="312" w:lineRule="auto"/>
        <w:outlineLvl w:val="0"/>
        <w:rPr>
          <w:rFonts w:ascii="David" w:hAnsi="David"/>
          <w:b/>
          <w:bCs/>
          <w:rtl/>
        </w:rPr>
      </w:pPr>
      <w:r w:rsidRPr="00247C7A">
        <w:rPr>
          <w:rFonts w:ascii="David" w:hAnsi="David" w:hint="cs"/>
          <w:b/>
          <w:bCs/>
          <w:rtl/>
        </w:rPr>
        <w:t xml:space="preserve">                                                                               </w:t>
      </w:r>
      <w:r>
        <w:rPr>
          <w:rFonts w:ascii="David" w:hAnsi="David" w:hint="cs"/>
          <w:b/>
          <w:bCs/>
          <w:rtl/>
        </w:rPr>
        <w:t xml:space="preserve">             אל"ם         מאיה        גולדשמידט </w:t>
      </w:r>
      <w:r w:rsidRPr="00247C7A">
        <w:rPr>
          <w:rFonts w:ascii="David" w:hAnsi="David" w:hint="cs"/>
          <w:b/>
          <w:bCs/>
          <w:rtl/>
        </w:rPr>
        <w:t xml:space="preserve"> </w:t>
      </w:r>
    </w:p>
    <w:p w14:paraId="23C638CD" w14:textId="6D32950A" w:rsidR="00B90C83" w:rsidRPr="00247C7A" w:rsidRDefault="00B90C83" w:rsidP="00B90C83">
      <w:pPr>
        <w:keepNext/>
        <w:spacing w:line="312" w:lineRule="auto"/>
        <w:outlineLvl w:val="0"/>
        <w:rPr>
          <w:rFonts w:ascii="David" w:hAnsi="David"/>
          <w:b/>
          <w:bCs/>
          <w:rtl/>
        </w:rPr>
      </w:pPr>
      <w:r w:rsidRPr="00247C7A">
        <w:rPr>
          <w:rFonts w:ascii="David" w:hAnsi="David" w:hint="cs"/>
          <w:b/>
          <w:bCs/>
          <w:rtl/>
        </w:rPr>
        <w:t xml:space="preserve">                                                                               </w:t>
      </w:r>
      <w:r>
        <w:rPr>
          <w:rFonts w:ascii="David" w:hAnsi="David" w:hint="cs"/>
          <w:b/>
          <w:bCs/>
          <w:rtl/>
        </w:rPr>
        <w:t xml:space="preserve">            שופטת </w:t>
      </w:r>
      <w:r w:rsidRPr="00247C7A">
        <w:rPr>
          <w:rFonts w:ascii="David" w:hAnsi="David" w:hint="cs"/>
          <w:b/>
          <w:bCs/>
          <w:rtl/>
        </w:rPr>
        <w:tab/>
      </w:r>
      <w:r>
        <w:rPr>
          <w:rFonts w:ascii="David" w:hAnsi="David" w:hint="cs"/>
          <w:b/>
          <w:bCs/>
          <w:rtl/>
        </w:rPr>
        <w:t xml:space="preserve">  </w:t>
      </w:r>
      <w:r w:rsidRPr="00247C7A">
        <w:rPr>
          <w:rFonts w:ascii="David" w:hAnsi="David" w:hint="cs"/>
          <w:b/>
          <w:bCs/>
          <w:rtl/>
        </w:rPr>
        <w:t xml:space="preserve">בית       הדין       הצבאי </w:t>
      </w:r>
    </w:p>
    <w:p w14:paraId="608DFBA3" w14:textId="35B50506" w:rsidR="00B90C83" w:rsidRPr="00B90C83" w:rsidRDefault="00B90C83" w:rsidP="00B90C83">
      <w:pPr>
        <w:spacing w:line="312" w:lineRule="auto"/>
        <w:rPr>
          <w:rFonts w:ascii="David" w:hAnsi="David"/>
          <w:b/>
          <w:bCs/>
          <w:rtl/>
        </w:rPr>
      </w:pPr>
      <w:r w:rsidRPr="00247C7A">
        <w:rPr>
          <w:rFonts w:ascii="David" w:hAnsi="David" w:hint="cs"/>
          <w:b/>
          <w:bCs/>
          <w:rtl/>
        </w:rPr>
        <w:t xml:space="preserve">                                                                               </w:t>
      </w:r>
      <w:r>
        <w:rPr>
          <w:rFonts w:ascii="David" w:hAnsi="David" w:hint="cs"/>
          <w:b/>
          <w:bCs/>
          <w:rtl/>
        </w:rPr>
        <w:t xml:space="preserve">             </w:t>
      </w:r>
      <w:r w:rsidRPr="00247C7A">
        <w:rPr>
          <w:rFonts w:ascii="David" w:hAnsi="David" w:hint="cs"/>
          <w:b/>
          <w:bCs/>
          <w:rtl/>
        </w:rPr>
        <w:t xml:space="preserve">ל     ע     ר     ע      ו      ר      י     ם  </w:t>
      </w:r>
    </w:p>
    <w:p w14:paraId="6AB85D0B" w14:textId="77777777" w:rsidR="00B90C83" w:rsidRDefault="00B90C83" w:rsidP="00F47ECA">
      <w:pPr>
        <w:rPr>
          <w:b/>
          <w:bCs/>
          <w:rtl/>
        </w:rPr>
      </w:pPr>
    </w:p>
    <w:p w14:paraId="65525559" w14:textId="77777777" w:rsidR="00B90C83" w:rsidRPr="00B90C83" w:rsidRDefault="00B90C83" w:rsidP="00B90C83">
      <w:pPr>
        <w:rPr>
          <w:b/>
          <w:bCs/>
          <w:rtl/>
        </w:rPr>
      </w:pPr>
      <w:bookmarkStart w:id="2" w:name="_Hlk122599666"/>
      <w:bookmarkStart w:id="3" w:name="_Hlk141797760"/>
      <w:r w:rsidRPr="00B90C83">
        <w:rPr>
          <w:b/>
          <w:bCs/>
          <w:rtl/>
        </w:rPr>
        <w:t xml:space="preserve">חתימת המגיה: _______________________________      העתק         </w:t>
      </w:r>
      <w:r w:rsidRPr="00B90C83">
        <w:rPr>
          <w:rFonts w:hint="cs"/>
          <w:b/>
          <w:bCs/>
          <w:rtl/>
        </w:rPr>
        <w:t xml:space="preserve"> </w:t>
      </w:r>
      <w:r w:rsidRPr="00B90C83">
        <w:rPr>
          <w:b/>
          <w:bCs/>
          <w:rtl/>
        </w:rPr>
        <w:t xml:space="preserve">נאמן         למקור             </w:t>
      </w:r>
    </w:p>
    <w:p w14:paraId="22A12481" w14:textId="77777777" w:rsidR="00B90C83" w:rsidRPr="00B90C83" w:rsidRDefault="00B90C83" w:rsidP="00B90C83">
      <w:pPr>
        <w:rPr>
          <w:b/>
          <w:bCs/>
          <w:rtl/>
        </w:rPr>
      </w:pPr>
      <w:r w:rsidRPr="00B90C83">
        <w:rPr>
          <w:b/>
          <w:bCs/>
          <w:rtl/>
        </w:rPr>
        <w:t xml:space="preserve">                                                                                                       </w:t>
      </w:r>
      <w:r w:rsidRPr="00B90C83">
        <w:rPr>
          <w:rFonts w:hint="cs"/>
          <w:b/>
          <w:bCs/>
          <w:rtl/>
        </w:rPr>
        <w:t xml:space="preserve">רס"ל          מיקה        </w:t>
      </w:r>
      <w:proofErr w:type="spellStart"/>
      <w:r w:rsidRPr="00B90C83">
        <w:rPr>
          <w:rFonts w:hint="cs"/>
          <w:b/>
          <w:bCs/>
          <w:rtl/>
        </w:rPr>
        <w:t>אשרוב</w:t>
      </w:r>
      <w:proofErr w:type="spellEnd"/>
    </w:p>
    <w:p w14:paraId="1B02354B" w14:textId="77777777" w:rsidR="00B90C83" w:rsidRPr="00B90C83" w:rsidRDefault="00B90C83" w:rsidP="00B90C83">
      <w:pPr>
        <w:rPr>
          <w:b/>
          <w:bCs/>
          <w:rtl/>
        </w:rPr>
      </w:pPr>
      <w:r w:rsidRPr="00B90C83">
        <w:rPr>
          <w:b/>
          <w:bCs/>
          <w:rtl/>
        </w:rPr>
        <w:t>תאריך: ____________________________________        קצי</w:t>
      </w:r>
      <w:r w:rsidRPr="00B90C83">
        <w:rPr>
          <w:rFonts w:hint="cs"/>
          <w:b/>
          <w:bCs/>
          <w:rtl/>
        </w:rPr>
        <w:t>נת</w:t>
      </w:r>
      <w:r w:rsidRPr="00B90C83">
        <w:rPr>
          <w:b/>
          <w:bCs/>
          <w:rtl/>
        </w:rPr>
        <w:t xml:space="preserve">           בית           הדין</w:t>
      </w:r>
      <w:bookmarkEnd w:id="2"/>
    </w:p>
    <w:bookmarkEnd w:id="3"/>
    <w:p w14:paraId="01D7D5FE" w14:textId="41FB8F61" w:rsidR="00950A5D" w:rsidRDefault="00F47ECA" w:rsidP="00F47ECA">
      <w:r>
        <w:rPr>
          <w:rFonts w:hint="cs"/>
          <w:b/>
          <w:bCs/>
          <w:rtl/>
        </w:rPr>
        <w:t xml:space="preserve">                                                                          </w:t>
      </w:r>
    </w:p>
    <w:sectPr w:rsidR="00950A5D" w:rsidSect="00F47ECA">
      <w:headerReference w:type="default" r:id="rId10"/>
      <w:footerReference w:type="default" r:id="rId11"/>
      <w:pgSz w:w="11906" w:h="16838"/>
      <w:pgMar w:top="1418" w:right="1418" w:bottom="1418" w:left="1418"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D2BC" w14:textId="77777777" w:rsidR="006C4CD5" w:rsidRDefault="006C4CD5" w:rsidP="00F47ECA">
      <w:pPr>
        <w:spacing w:line="240" w:lineRule="auto"/>
      </w:pPr>
      <w:r>
        <w:separator/>
      </w:r>
    </w:p>
  </w:endnote>
  <w:endnote w:type="continuationSeparator" w:id="0">
    <w:p w14:paraId="4B3B998C" w14:textId="77777777" w:rsidR="006C4CD5" w:rsidRDefault="006C4CD5" w:rsidP="00F47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81154228"/>
      <w:docPartObj>
        <w:docPartGallery w:val="Page Numbers (Bottom of Page)"/>
        <w:docPartUnique/>
      </w:docPartObj>
    </w:sdtPr>
    <w:sdtEndPr/>
    <w:sdtContent>
      <w:p w14:paraId="7A9959C0" w14:textId="0DB7A8CE" w:rsidR="00AB642B" w:rsidRDefault="00AB642B">
        <w:pPr>
          <w:pStyle w:val="Footer"/>
          <w:jc w:val="center"/>
        </w:pPr>
        <w:r w:rsidRPr="00AB642B">
          <w:rPr>
            <w:rFonts w:ascii="David" w:hAnsi="David"/>
          </w:rPr>
          <w:fldChar w:fldCharType="begin"/>
        </w:r>
        <w:r w:rsidRPr="00AB642B">
          <w:rPr>
            <w:rFonts w:ascii="David" w:hAnsi="David"/>
          </w:rPr>
          <w:instrText xml:space="preserve"> PAGE   \* MERGEFORMAT </w:instrText>
        </w:r>
        <w:r w:rsidRPr="00AB642B">
          <w:rPr>
            <w:rFonts w:ascii="David" w:hAnsi="David"/>
          </w:rPr>
          <w:fldChar w:fldCharType="separate"/>
        </w:r>
        <w:r w:rsidRPr="00AB642B">
          <w:rPr>
            <w:rFonts w:ascii="David" w:hAnsi="David"/>
            <w:noProof/>
          </w:rPr>
          <w:t>2</w:t>
        </w:r>
        <w:r w:rsidRPr="00AB642B">
          <w:rPr>
            <w:rFonts w:ascii="David" w:hAnsi="David"/>
            <w:noProof/>
          </w:rPr>
          <w:fldChar w:fldCharType="end"/>
        </w:r>
      </w:p>
    </w:sdtContent>
  </w:sdt>
  <w:p w14:paraId="7D4ACEB6" w14:textId="77777777" w:rsidR="00AB642B" w:rsidRDefault="00AB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F477" w14:textId="77777777" w:rsidR="006C4CD5" w:rsidRDefault="006C4CD5" w:rsidP="00F47ECA">
      <w:pPr>
        <w:spacing w:line="240" w:lineRule="auto"/>
      </w:pPr>
      <w:r>
        <w:separator/>
      </w:r>
    </w:p>
  </w:footnote>
  <w:footnote w:type="continuationSeparator" w:id="0">
    <w:p w14:paraId="3FD63D6E" w14:textId="77777777" w:rsidR="006C4CD5" w:rsidRDefault="006C4CD5" w:rsidP="00F47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6D4F" w14:textId="3B99720F" w:rsidR="00F47ECA" w:rsidRDefault="00F47ECA">
    <w:pPr>
      <w:pStyle w:val="Header"/>
    </w:pPr>
    <w:r>
      <w:rPr>
        <w:rFonts w:hint="cs"/>
        <w:rtl/>
      </w:rPr>
      <w:t xml:space="preserve">                                                               מ ו ג ב ל                                          ע"מ 45168-11-25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B42BA"/>
    <w:multiLevelType w:val="hybridMultilevel"/>
    <w:tmpl w:val="E3DAB19C"/>
    <w:lvl w:ilvl="0" w:tplc="61346184">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CA"/>
    <w:rsid w:val="005F1976"/>
    <w:rsid w:val="00602B7E"/>
    <w:rsid w:val="006C3E83"/>
    <w:rsid w:val="006C4CD5"/>
    <w:rsid w:val="007A1BA6"/>
    <w:rsid w:val="007B6BFA"/>
    <w:rsid w:val="00950A5D"/>
    <w:rsid w:val="00AB642B"/>
    <w:rsid w:val="00B90C83"/>
    <w:rsid w:val="00F47E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B7E6"/>
  <w15:chartTrackingRefBased/>
  <w15:docId w15:val="{0753E0F1-2753-43EF-8450-B504C848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ECA"/>
    <w:pPr>
      <w:bidi/>
      <w:spacing w:after="0" w:line="360" w:lineRule="auto"/>
      <w:jc w:val="both"/>
    </w:pPr>
    <w:rPr>
      <w:rFonts w:ascii="Times New Roman" w:eastAsia="Times New Roman" w:hAnsi="Times New Roman"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F47ECA"/>
    <w:rPr>
      <w:rFonts w:ascii="Times New Roman" w:eastAsia="Times New Roman" w:hAnsi="Times New Roman" w:cs="David"/>
      <w:sz w:val="28"/>
      <w:szCs w:val="28"/>
    </w:rPr>
  </w:style>
  <w:style w:type="paragraph" w:styleId="ListParagraph">
    <w:name w:val="List Paragraph"/>
    <w:basedOn w:val="Normal"/>
    <w:link w:val="ListParagraphChar"/>
    <w:uiPriority w:val="34"/>
    <w:qFormat/>
    <w:rsid w:val="00F47ECA"/>
    <w:pPr>
      <w:ind w:left="720"/>
      <w:contextualSpacing/>
    </w:pPr>
  </w:style>
  <w:style w:type="paragraph" w:styleId="Header">
    <w:name w:val="header"/>
    <w:basedOn w:val="Normal"/>
    <w:link w:val="HeaderChar"/>
    <w:uiPriority w:val="99"/>
    <w:unhideWhenUsed/>
    <w:rsid w:val="00F47ECA"/>
    <w:pPr>
      <w:tabs>
        <w:tab w:val="center" w:pos="4153"/>
        <w:tab w:val="right" w:pos="8306"/>
      </w:tabs>
      <w:spacing w:line="240" w:lineRule="auto"/>
    </w:pPr>
  </w:style>
  <w:style w:type="character" w:customStyle="1" w:styleId="HeaderChar">
    <w:name w:val="Header Char"/>
    <w:basedOn w:val="DefaultParagraphFont"/>
    <w:link w:val="Header"/>
    <w:uiPriority w:val="99"/>
    <w:rsid w:val="00F47ECA"/>
    <w:rPr>
      <w:rFonts w:ascii="Times New Roman" w:eastAsia="Times New Roman" w:hAnsi="Times New Roman" w:cs="David"/>
      <w:sz w:val="28"/>
      <w:szCs w:val="28"/>
    </w:rPr>
  </w:style>
  <w:style w:type="paragraph" w:styleId="Footer">
    <w:name w:val="footer"/>
    <w:basedOn w:val="Normal"/>
    <w:link w:val="FooterChar"/>
    <w:uiPriority w:val="99"/>
    <w:unhideWhenUsed/>
    <w:rsid w:val="00F47ECA"/>
    <w:pPr>
      <w:tabs>
        <w:tab w:val="center" w:pos="4153"/>
        <w:tab w:val="right" w:pos="8306"/>
      </w:tabs>
      <w:spacing w:line="240" w:lineRule="auto"/>
    </w:pPr>
  </w:style>
  <w:style w:type="character" w:customStyle="1" w:styleId="FooterChar">
    <w:name w:val="Footer Char"/>
    <w:basedOn w:val="DefaultParagraphFont"/>
    <w:link w:val="Footer"/>
    <w:uiPriority w:val="99"/>
    <w:rsid w:val="00F47ECA"/>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1B09-28B2-4EF3-AE6A-9B51123D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ארבל דו גלאון - בית הדין לערעורים/מש"ק משפט</dc:creator>
  <cp:keywords/>
  <dc:description/>
  <cp:lastModifiedBy>ארבל דו גלאון - בית הדין לערעורים/מש"ק משפט</cp:lastModifiedBy>
  <cp:revision>6</cp:revision>
  <dcterms:created xsi:type="dcterms:W3CDTF">2025-11-23T09:25:00Z</dcterms:created>
  <dcterms:modified xsi:type="dcterms:W3CDTF">2025-11-27T07:46:00Z</dcterms:modified>
</cp:coreProperties>
</file>