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1853" w14:textId="77777777" w:rsidR="004B3A06" w:rsidRPr="009D290E" w:rsidRDefault="004B3A06" w:rsidP="004B3A06">
      <w:pPr>
        <w:tabs>
          <w:tab w:val="right" w:pos="6718"/>
        </w:tabs>
        <w:spacing w:line="480" w:lineRule="auto"/>
        <w:ind w:left="2466" w:right="1985"/>
        <w:rPr>
          <w:rtl/>
        </w:rPr>
      </w:pPr>
      <w:bookmarkStart w:id="0" w:name="_Hlk149821736"/>
      <w:bookmarkStart w:id="1" w:name="_Hlk149824479"/>
      <w:r w:rsidRPr="00164FD0">
        <w:rPr>
          <w:noProof/>
        </w:rPr>
        <w:drawing>
          <wp:inline distT="0" distB="0" distL="0" distR="0" wp14:anchorId="71A0F48A" wp14:editId="46D23A22">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0A0D08B1" wp14:editId="311315B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2580FC8" w14:textId="77777777" w:rsidR="004B3A06" w:rsidRPr="00FD2DDA" w:rsidRDefault="004B3A06" w:rsidP="004B3A06">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57622739" w14:textId="77777777" w:rsidR="004B3A06" w:rsidRPr="00FD2DDA" w:rsidRDefault="004B3A06" w:rsidP="004B3A06">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6B879F0E" w14:textId="77777777" w:rsidR="004B3A06" w:rsidRPr="00BB5867" w:rsidRDefault="004B3A06" w:rsidP="004B3A06">
      <w:pPr>
        <w:spacing w:line="240" w:lineRule="auto"/>
        <w:jc w:val="center"/>
        <w:rPr>
          <w:rFonts w:cs="David"/>
          <w:sz w:val="28"/>
          <w:szCs w:val="28"/>
          <w:rtl/>
        </w:rPr>
      </w:pPr>
      <w:r>
        <w:rPr>
          <w:rFonts w:cs="David" w:hint="cs"/>
          <w:b/>
          <w:bCs/>
          <w:sz w:val="28"/>
          <w:szCs w:val="28"/>
          <w:rtl/>
        </w:rPr>
        <w:t>אלופה אורלי מרקמן</w:t>
      </w:r>
      <w:r>
        <w:rPr>
          <w:rFonts w:cs="David" w:hint="cs"/>
          <w:sz w:val="28"/>
          <w:szCs w:val="28"/>
          <w:rtl/>
        </w:rPr>
        <w:t xml:space="preserve">    </w:t>
      </w:r>
      <w:r w:rsidRPr="00FD2DDA">
        <w:rPr>
          <w:rFonts w:ascii="David" w:hAnsi="David" w:cs="David" w:hint="cs"/>
          <w:b/>
          <w:bCs/>
          <w:sz w:val="28"/>
          <w:szCs w:val="28"/>
          <w:rtl/>
        </w:rPr>
        <w:t>–</w:t>
      </w:r>
      <w:r>
        <w:rPr>
          <w:rFonts w:cs="David" w:hint="cs"/>
          <w:sz w:val="28"/>
          <w:szCs w:val="28"/>
          <w:rtl/>
        </w:rPr>
        <w:t xml:space="preserve">   נשיאה</w:t>
      </w:r>
    </w:p>
    <w:p w14:paraId="4CEDC4C3" w14:textId="77777777" w:rsidR="004B3A06" w:rsidRPr="00FD2DDA" w:rsidRDefault="004B3A06" w:rsidP="004B3A06">
      <w:pPr>
        <w:rPr>
          <w:rFonts w:ascii="David" w:hAnsi="David" w:cs="David"/>
          <w:sz w:val="28"/>
          <w:szCs w:val="28"/>
          <w:rtl/>
        </w:rPr>
      </w:pPr>
      <w:r w:rsidRPr="00FD2DDA">
        <w:rPr>
          <w:rFonts w:ascii="David" w:hAnsi="David" w:cs="David" w:hint="cs"/>
          <w:sz w:val="28"/>
          <w:szCs w:val="28"/>
          <w:rtl/>
        </w:rPr>
        <w:t>בעניין:</w:t>
      </w:r>
    </w:p>
    <w:p w14:paraId="58A23D3D" w14:textId="20118211" w:rsidR="004B3A06" w:rsidRPr="00FD2DDA" w:rsidRDefault="004B3A06" w:rsidP="004B3A06">
      <w:pPr>
        <w:bidi w:val="0"/>
        <w:jc w:val="center"/>
        <w:rPr>
          <w:rFonts w:ascii="David" w:hAnsi="David" w:cs="David"/>
          <w:sz w:val="28"/>
          <w:szCs w:val="28"/>
        </w:rPr>
      </w:pPr>
      <w:r>
        <w:rPr>
          <w:rFonts w:ascii="David" w:hAnsi="David" w:cs="David" w:hint="cs"/>
          <w:b/>
          <w:bCs/>
          <w:sz w:val="28"/>
          <w:szCs w:val="28"/>
          <w:rtl/>
        </w:rPr>
        <w:t xml:space="preserve">עמרי </w:t>
      </w:r>
      <w:proofErr w:type="spellStart"/>
      <w:r>
        <w:rPr>
          <w:rFonts w:ascii="David" w:hAnsi="David" w:cs="David" w:hint="cs"/>
          <w:b/>
          <w:bCs/>
          <w:sz w:val="28"/>
          <w:szCs w:val="28"/>
          <w:rtl/>
        </w:rPr>
        <w:t>קלישר</w:t>
      </w:r>
      <w:proofErr w:type="spellEnd"/>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w:t>
      </w:r>
      <w:r>
        <w:rPr>
          <w:rFonts w:ascii="David" w:hAnsi="David" w:cs="David" w:hint="cs"/>
          <w:sz w:val="28"/>
          <w:szCs w:val="28"/>
          <w:rtl/>
        </w:rPr>
        <w:t>בקש</w:t>
      </w:r>
    </w:p>
    <w:p w14:paraId="00D60443" w14:textId="77777777" w:rsidR="004B3A06" w:rsidRPr="00FD2DDA" w:rsidRDefault="004B3A06" w:rsidP="004B3A06">
      <w:pPr>
        <w:spacing w:after="360" w:line="360" w:lineRule="auto"/>
        <w:rPr>
          <w:rFonts w:ascii="David" w:hAnsi="David" w:cs="David"/>
          <w:b/>
          <w:bCs/>
          <w:sz w:val="28"/>
          <w:szCs w:val="28"/>
          <w:u w:val="single"/>
          <w:rtl/>
        </w:rPr>
      </w:pPr>
    </w:p>
    <w:bookmarkEnd w:id="0"/>
    <w:p w14:paraId="2D6E3DE1" w14:textId="62DC9CDF" w:rsidR="004B3A06" w:rsidRDefault="004B3A06" w:rsidP="004B3A06">
      <w:pPr>
        <w:spacing w:after="360" w:line="360" w:lineRule="auto"/>
        <w:jc w:val="both"/>
        <w:rPr>
          <w:rFonts w:ascii="David" w:hAnsi="David" w:cs="David"/>
          <w:sz w:val="28"/>
          <w:szCs w:val="28"/>
          <w:rtl/>
        </w:rPr>
      </w:pPr>
      <w:r>
        <w:rPr>
          <w:rFonts w:ascii="David" w:hAnsi="David" w:cs="David" w:hint="cs"/>
          <w:sz w:val="28"/>
          <w:szCs w:val="28"/>
          <w:rtl/>
        </w:rPr>
        <w:t>בקשה ל</w:t>
      </w:r>
      <w:r w:rsidR="00E25480">
        <w:rPr>
          <w:rFonts w:ascii="David" w:hAnsi="David" w:cs="David" w:hint="cs"/>
          <w:sz w:val="28"/>
          <w:szCs w:val="28"/>
          <w:rtl/>
        </w:rPr>
        <w:t>מתן היתר כללי לעיון בתיקים</w:t>
      </w:r>
      <w:r>
        <w:rPr>
          <w:rFonts w:ascii="David" w:hAnsi="David" w:cs="David" w:hint="cs"/>
          <w:sz w:val="28"/>
          <w:szCs w:val="28"/>
          <w:rtl/>
        </w:rPr>
        <w:t xml:space="preserve">. הבקשה </w:t>
      </w:r>
      <w:r w:rsidR="005A58C4">
        <w:rPr>
          <w:rFonts w:ascii="David" w:hAnsi="David" w:cs="David" w:hint="cs"/>
          <w:sz w:val="28"/>
          <w:szCs w:val="28"/>
          <w:rtl/>
        </w:rPr>
        <w:t>נדחתה</w:t>
      </w:r>
      <w:r>
        <w:rPr>
          <w:rFonts w:ascii="David" w:hAnsi="David" w:cs="David" w:hint="cs"/>
          <w:sz w:val="28"/>
          <w:szCs w:val="28"/>
          <w:rtl/>
        </w:rPr>
        <w:t>.</w:t>
      </w:r>
    </w:p>
    <w:bookmarkEnd w:id="1"/>
    <w:p w14:paraId="7948BBC6" w14:textId="77777777" w:rsidR="004B3A06" w:rsidRDefault="004B3A06" w:rsidP="004B3A06">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 </w:t>
      </w:r>
    </w:p>
    <w:p w14:paraId="76589ADE" w14:textId="77777777" w:rsidR="004B3A06" w:rsidRPr="002637AE" w:rsidRDefault="004B3A06" w:rsidP="004B3A06">
      <w:pPr>
        <w:spacing w:line="360" w:lineRule="auto"/>
        <w:jc w:val="center"/>
        <w:rPr>
          <w:rFonts w:ascii="David" w:hAnsi="David" w:cs="David"/>
          <w:b/>
          <w:bCs/>
          <w:sz w:val="28"/>
          <w:szCs w:val="28"/>
          <w:u w:val="single"/>
          <w:rtl/>
        </w:rPr>
      </w:pPr>
      <w:r w:rsidRPr="002637AE">
        <w:rPr>
          <w:rFonts w:ascii="David" w:hAnsi="David" w:cs="David"/>
          <w:b/>
          <w:bCs/>
          <w:sz w:val="28"/>
          <w:szCs w:val="28"/>
          <w:u w:val="single"/>
          <w:rtl/>
        </w:rPr>
        <w:t>ה</w:t>
      </w:r>
      <w:r>
        <w:rPr>
          <w:rFonts w:ascii="David" w:hAnsi="David" w:cs="David" w:hint="cs"/>
          <w:b/>
          <w:bCs/>
          <w:sz w:val="28"/>
          <w:szCs w:val="28"/>
          <w:u w:val="single"/>
          <w:rtl/>
        </w:rPr>
        <w:t xml:space="preserve"> </w:t>
      </w:r>
      <w:r w:rsidRPr="002637AE">
        <w:rPr>
          <w:rFonts w:ascii="David" w:hAnsi="David" w:cs="David"/>
          <w:b/>
          <w:bCs/>
          <w:sz w:val="28"/>
          <w:szCs w:val="28"/>
          <w:u w:val="single"/>
          <w:rtl/>
        </w:rPr>
        <w:t>ח</w:t>
      </w:r>
      <w:r>
        <w:rPr>
          <w:rFonts w:ascii="David" w:hAnsi="David" w:cs="David" w:hint="cs"/>
          <w:b/>
          <w:bCs/>
          <w:sz w:val="28"/>
          <w:szCs w:val="28"/>
          <w:u w:val="single"/>
          <w:rtl/>
        </w:rPr>
        <w:t xml:space="preserve"> </w:t>
      </w:r>
      <w:r w:rsidRPr="002637AE">
        <w:rPr>
          <w:rFonts w:ascii="David" w:hAnsi="David" w:cs="David"/>
          <w:b/>
          <w:bCs/>
          <w:sz w:val="28"/>
          <w:szCs w:val="28"/>
          <w:u w:val="single"/>
          <w:rtl/>
        </w:rPr>
        <w:t>ל</w:t>
      </w:r>
      <w:r>
        <w:rPr>
          <w:rFonts w:ascii="David" w:hAnsi="David" w:cs="David" w:hint="cs"/>
          <w:b/>
          <w:bCs/>
          <w:sz w:val="28"/>
          <w:szCs w:val="28"/>
          <w:u w:val="single"/>
          <w:rtl/>
        </w:rPr>
        <w:t xml:space="preserve"> </w:t>
      </w:r>
      <w:r w:rsidRPr="002637AE">
        <w:rPr>
          <w:rFonts w:ascii="David" w:hAnsi="David" w:cs="David"/>
          <w:b/>
          <w:bCs/>
          <w:sz w:val="28"/>
          <w:szCs w:val="28"/>
          <w:u w:val="single"/>
          <w:rtl/>
        </w:rPr>
        <w:t>ט</w:t>
      </w:r>
      <w:r>
        <w:rPr>
          <w:rFonts w:ascii="David" w:hAnsi="David" w:cs="David" w:hint="cs"/>
          <w:b/>
          <w:bCs/>
          <w:sz w:val="28"/>
          <w:szCs w:val="28"/>
          <w:u w:val="single"/>
          <w:rtl/>
        </w:rPr>
        <w:t xml:space="preserve"> </w:t>
      </w:r>
      <w:r w:rsidRPr="002637AE">
        <w:rPr>
          <w:rFonts w:ascii="David" w:hAnsi="David" w:cs="David"/>
          <w:b/>
          <w:bCs/>
          <w:sz w:val="28"/>
          <w:szCs w:val="28"/>
          <w:u w:val="single"/>
          <w:rtl/>
        </w:rPr>
        <w:t xml:space="preserve">ה </w:t>
      </w:r>
    </w:p>
    <w:p w14:paraId="25D3B3A3"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tl/>
        </w:rPr>
      </w:pPr>
      <w:r w:rsidRPr="004B3A06">
        <w:rPr>
          <w:rFonts w:ascii="Times New Roman" w:eastAsia="Times New Roman" w:hAnsi="Times New Roman" w:cs="David" w:hint="cs"/>
          <w:sz w:val="28"/>
          <w:szCs w:val="28"/>
          <w:rtl/>
        </w:rPr>
        <w:t xml:space="preserve">לפניי בקשתו של העיתונאי, מר עמרי </w:t>
      </w:r>
      <w:proofErr w:type="spellStart"/>
      <w:r w:rsidRPr="004B3A06">
        <w:rPr>
          <w:rFonts w:ascii="Times New Roman" w:eastAsia="Times New Roman" w:hAnsi="Times New Roman" w:cs="David" w:hint="cs"/>
          <w:sz w:val="28"/>
          <w:szCs w:val="28"/>
          <w:rtl/>
        </w:rPr>
        <w:t>קלישר</w:t>
      </w:r>
      <w:proofErr w:type="spellEnd"/>
      <w:r w:rsidRPr="004B3A06">
        <w:rPr>
          <w:rFonts w:ascii="Times New Roman" w:eastAsia="Times New Roman" w:hAnsi="Times New Roman" w:cs="David" w:hint="cs"/>
          <w:sz w:val="28"/>
          <w:szCs w:val="28"/>
          <w:rtl/>
        </w:rPr>
        <w:t xml:space="preserve">, להיתר עיון כללי בתיקים המתנהלים בבתי הדין הצבאיים. </w:t>
      </w:r>
    </w:p>
    <w:p w14:paraId="459F4104"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tl/>
        </w:rPr>
      </w:pPr>
      <w:r w:rsidRPr="004B3A06">
        <w:rPr>
          <w:rFonts w:ascii="Times New Roman" w:eastAsia="Times New Roman" w:hAnsi="Times New Roman" w:cs="David" w:hint="cs"/>
          <w:sz w:val="28"/>
          <w:szCs w:val="28"/>
          <w:rtl/>
        </w:rPr>
        <w:t xml:space="preserve">לפני מספר חודשים, </w:t>
      </w:r>
      <w:r w:rsidRPr="004B3A06">
        <w:rPr>
          <w:rFonts w:ascii="Times New Roman" w:eastAsia="Times New Roman" w:hAnsi="Times New Roman" w:cs="David"/>
          <w:sz w:val="28"/>
          <w:szCs w:val="28"/>
          <w:rtl/>
        </w:rPr>
        <w:t>בתום הליך אפיון והטמעה, עבר</w:t>
      </w:r>
      <w:r w:rsidRPr="004B3A06">
        <w:rPr>
          <w:rFonts w:ascii="Times New Roman" w:eastAsia="Times New Roman" w:hAnsi="Times New Roman" w:cs="David" w:hint="cs"/>
          <w:sz w:val="28"/>
          <w:szCs w:val="28"/>
          <w:rtl/>
        </w:rPr>
        <w:t xml:space="preserve">ו </w:t>
      </w:r>
      <w:r w:rsidRPr="004B3A06">
        <w:rPr>
          <w:rFonts w:ascii="Times New Roman" w:eastAsia="Times New Roman" w:hAnsi="Times New Roman" w:cs="David"/>
          <w:sz w:val="28"/>
          <w:szCs w:val="28"/>
          <w:rtl/>
        </w:rPr>
        <w:t xml:space="preserve">בתי הדין הצבאיים להשתמש במערכת מתוקשבת ייעודית לניהול המידע, בתווך </w:t>
      </w:r>
      <w:r w:rsidRPr="004B3A06">
        <w:rPr>
          <w:rFonts w:ascii="Times New Roman" w:eastAsia="Times New Roman" w:hAnsi="Times New Roman" w:cs="David" w:hint="cs"/>
          <w:sz w:val="28"/>
          <w:szCs w:val="28"/>
          <w:rtl/>
        </w:rPr>
        <w:t>"</w:t>
      </w:r>
      <w:r w:rsidRPr="004B3A06">
        <w:rPr>
          <w:rFonts w:ascii="Times New Roman" w:eastAsia="Times New Roman" w:hAnsi="Times New Roman" w:cs="David"/>
          <w:sz w:val="28"/>
          <w:szCs w:val="28"/>
          <w:rtl/>
        </w:rPr>
        <w:t>האזרחי</w:t>
      </w:r>
      <w:r w:rsidRPr="004B3A06">
        <w:rPr>
          <w:rFonts w:ascii="Times New Roman" w:eastAsia="Times New Roman" w:hAnsi="Times New Roman" w:cs="David" w:hint="cs"/>
          <w:sz w:val="28"/>
          <w:szCs w:val="28"/>
          <w:rtl/>
        </w:rPr>
        <w:t>"</w:t>
      </w:r>
      <w:r w:rsidRPr="004B3A06">
        <w:rPr>
          <w:rFonts w:ascii="Times New Roman" w:eastAsia="Times New Roman" w:hAnsi="Times New Roman" w:cs="David"/>
          <w:sz w:val="28"/>
          <w:szCs w:val="28"/>
          <w:rtl/>
        </w:rPr>
        <w:t xml:space="preserve">. שמה של המערכת הוא "אבני צדק", והיא מבוססת על מערכת "נט המשפט". </w:t>
      </w:r>
    </w:p>
    <w:p w14:paraId="098E1744"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sz w:val="28"/>
          <w:szCs w:val="28"/>
          <w:rtl/>
        </w:rPr>
        <w:t xml:space="preserve">מערכת "אבני צדק", המבוססת </w:t>
      </w:r>
      <w:r w:rsidRPr="004B3A06">
        <w:rPr>
          <w:rFonts w:ascii="Times New Roman" w:eastAsia="Times New Roman" w:hAnsi="Times New Roman" w:cs="David" w:hint="cs"/>
          <w:sz w:val="28"/>
          <w:szCs w:val="28"/>
          <w:rtl/>
        </w:rPr>
        <w:t xml:space="preserve">כאמור על </w:t>
      </w:r>
      <w:r w:rsidRPr="004B3A06">
        <w:rPr>
          <w:rFonts w:ascii="Times New Roman" w:eastAsia="Times New Roman" w:hAnsi="Times New Roman" w:cs="David"/>
          <w:sz w:val="28"/>
          <w:szCs w:val="28"/>
          <w:rtl/>
        </w:rPr>
        <w:t xml:space="preserve">"נט המשפט", </w:t>
      </w:r>
      <w:r w:rsidRPr="004B3A06">
        <w:rPr>
          <w:rFonts w:ascii="Times New Roman" w:eastAsia="Times New Roman" w:hAnsi="Times New Roman" w:cs="David" w:hint="cs"/>
          <w:sz w:val="28"/>
          <w:szCs w:val="28"/>
          <w:rtl/>
        </w:rPr>
        <w:t>נועדה, בין היתר, ל</w:t>
      </w:r>
      <w:r w:rsidRPr="004B3A06">
        <w:rPr>
          <w:rFonts w:ascii="Times New Roman" w:eastAsia="Times New Roman" w:hAnsi="Times New Roman" w:cs="David"/>
          <w:sz w:val="28"/>
          <w:szCs w:val="28"/>
          <w:rtl/>
        </w:rPr>
        <w:t xml:space="preserve">סייע בייעול ממשקי העבודה עם בעלי הדין המייצגים, ככל שהם בעלי גישה למערכת "נט המשפט". </w:t>
      </w:r>
    </w:p>
    <w:p w14:paraId="2B1F32E4"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t xml:space="preserve">אשר לעיון בתיקים של מי שאינם בעלי דין - סעיף 326 לחוק השיפוט הצבאי, תשט"ו </w:t>
      </w:r>
      <w:r w:rsidRPr="004B3A06">
        <w:rPr>
          <w:rFonts w:ascii="Times New Roman" w:eastAsia="Times New Roman" w:hAnsi="Times New Roman" w:cs="David"/>
          <w:sz w:val="28"/>
          <w:szCs w:val="28"/>
          <w:rtl/>
        </w:rPr>
        <w:t>–</w:t>
      </w:r>
      <w:r w:rsidRPr="004B3A06">
        <w:rPr>
          <w:rFonts w:ascii="Times New Roman" w:eastAsia="Times New Roman" w:hAnsi="Times New Roman" w:cs="David" w:hint="cs"/>
          <w:sz w:val="28"/>
          <w:szCs w:val="28"/>
          <w:rtl/>
        </w:rPr>
        <w:t xml:space="preserve"> 1955, קובע כי "</w:t>
      </w:r>
      <w:r w:rsidRPr="004B3A06">
        <w:rPr>
          <w:rFonts w:ascii="Times New Roman" w:eastAsia="Times New Roman" w:hAnsi="Times New Roman" w:cs="David"/>
          <w:sz w:val="28"/>
          <w:szCs w:val="28"/>
          <w:rtl/>
        </w:rPr>
        <w:t>לשם שמירה על סודיותן של ידיעות הקשורות בב</w:t>
      </w:r>
      <w:r w:rsidRPr="004B3A06">
        <w:rPr>
          <w:rFonts w:ascii="Times New Roman" w:eastAsia="Times New Roman" w:hAnsi="Times New Roman" w:cs="David" w:hint="cs"/>
          <w:sz w:val="28"/>
          <w:szCs w:val="28"/>
          <w:rtl/>
        </w:rPr>
        <w:t>י</w:t>
      </w:r>
      <w:r w:rsidRPr="004B3A06">
        <w:rPr>
          <w:rFonts w:ascii="Times New Roman" w:eastAsia="Times New Roman" w:hAnsi="Times New Roman" w:cs="David"/>
          <w:sz w:val="28"/>
          <w:szCs w:val="28"/>
          <w:rtl/>
        </w:rPr>
        <w:t>טחון המדינה, רשאי נשיא בית הדין הצבאי לערעורים להורות, דרך כלל או למקרה מסוים, כי לא יפורסם ולא יוצא מבית דין צבאי פרוטוקול של דיון, הכרעת דין או גזר דין, לרבות עותקים מהם, אף אם הדיון נערך כולו או מקצתו בפומבי. הוראה לפי סעיף זה לא תחול על בעלי הדין ועל סנגורו של נאשם בכל הליך משפטי הנוגע לאותו דיון; העובר על הוראות סעיף זה, דינו - מאסר ששה חודשים</w:t>
      </w:r>
      <w:r w:rsidRPr="004B3A06">
        <w:rPr>
          <w:rFonts w:ascii="Times New Roman" w:eastAsia="Times New Roman" w:hAnsi="Times New Roman" w:cs="David" w:hint="cs"/>
          <w:sz w:val="28"/>
          <w:szCs w:val="28"/>
          <w:rtl/>
        </w:rPr>
        <w:t>"</w:t>
      </w:r>
      <w:r w:rsidRPr="004B3A06">
        <w:rPr>
          <w:rFonts w:ascii="Times New Roman" w:eastAsia="Times New Roman" w:hAnsi="Times New Roman" w:cs="David"/>
          <w:sz w:val="28"/>
          <w:szCs w:val="28"/>
          <w:rtl/>
        </w:rPr>
        <w:t>.</w:t>
      </w:r>
      <w:r w:rsidRPr="004B3A06">
        <w:rPr>
          <w:rFonts w:ascii="Times New Roman" w:eastAsia="Times New Roman" w:hAnsi="Times New Roman" w:cs="David" w:hint="cs"/>
          <w:sz w:val="28"/>
          <w:szCs w:val="28"/>
          <w:rtl/>
        </w:rPr>
        <w:t xml:space="preserve"> בהמשך לכך, עוברים הפרוטוקולים ופסקי הדין, מימים ימימה, הליך של </w:t>
      </w:r>
      <w:proofErr w:type="spellStart"/>
      <w:r w:rsidRPr="004B3A06">
        <w:rPr>
          <w:rFonts w:ascii="Times New Roman" w:eastAsia="Times New Roman" w:hAnsi="Times New Roman" w:cs="David" w:hint="cs"/>
          <w:sz w:val="28"/>
          <w:szCs w:val="28"/>
          <w:rtl/>
        </w:rPr>
        <w:t>התממה</w:t>
      </w:r>
      <w:proofErr w:type="spellEnd"/>
      <w:r w:rsidRPr="004B3A06">
        <w:rPr>
          <w:rFonts w:ascii="Times New Roman" w:eastAsia="Times New Roman" w:hAnsi="Times New Roman" w:cs="David" w:hint="cs"/>
          <w:sz w:val="28"/>
          <w:szCs w:val="28"/>
          <w:rtl/>
        </w:rPr>
        <w:t xml:space="preserve"> (</w:t>
      </w:r>
      <w:proofErr w:type="spellStart"/>
      <w:r w:rsidRPr="004B3A06">
        <w:rPr>
          <w:rFonts w:ascii="Times New Roman" w:eastAsia="Times New Roman" w:hAnsi="Times New Roman" w:cs="David" w:hint="cs"/>
          <w:sz w:val="28"/>
          <w:szCs w:val="28"/>
          <w:rtl/>
        </w:rPr>
        <w:t>בלמו"ס</w:t>
      </w:r>
      <w:proofErr w:type="spellEnd"/>
      <w:r w:rsidRPr="004B3A06">
        <w:rPr>
          <w:rFonts w:ascii="Times New Roman" w:eastAsia="Times New Roman" w:hAnsi="Times New Roman" w:cs="David" w:hint="cs"/>
          <w:sz w:val="28"/>
          <w:szCs w:val="28"/>
          <w:rtl/>
        </w:rPr>
        <w:t>), ככל שנדרש, בטרם יותרו לפרסום.</w:t>
      </w:r>
    </w:p>
    <w:p w14:paraId="66F02E97"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lastRenderedPageBreak/>
        <w:t xml:space="preserve">מבדיקה מול גורמי התקשוב ביחס לבקשה לקבל היתר עיון כללי בתיקים, עלה, כי בשלב זה, היתר כאמור יאפשר צפייה בתיק כולו, באופן שאינו מתיישב עם סעיף 326 לחוק השיפוט הצבאי הנ"ל וההנחיות של ביטחון המידע. אין בנמצא, </w:t>
      </w:r>
      <w:r w:rsidRPr="004B3A06">
        <w:rPr>
          <w:rFonts w:ascii="Times New Roman" w:eastAsia="Times New Roman" w:hAnsi="Times New Roman" w:cs="David" w:hint="cs"/>
          <w:b/>
          <w:bCs/>
          <w:sz w:val="28"/>
          <w:szCs w:val="28"/>
          <w:rtl/>
        </w:rPr>
        <w:t>עדיין</w:t>
      </w:r>
      <w:r w:rsidRPr="004B3A06">
        <w:rPr>
          <w:rFonts w:ascii="Times New Roman" w:eastAsia="Times New Roman" w:hAnsi="Times New Roman" w:cs="David" w:hint="cs"/>
          <w:sz w:val="28"/>
          <w:szCs w:val="28"/>
          <w:rtl/>
        </w:rPr>
        <w:t xml:space="preserve">, פתרון טכנולוגי, שיאפשר לבעלי היתר כללי עיון במסמכים שעברו </w:t>
      </w:r>
      <w:proofErr w:type="spellStart"/>
      <w:r w:rsidRPr="004B3A06">
        <w:rPr>
          <w:rFonts w:ascii="Times New Roman" w:eastAsia="Times New Roman" w:hAnsi="Times New Roman" w:cs="David" w:hint="cs"/>
          <w:sz w:val="28"/>
          <w:szCs w:val="28"/>
          <w:rtl/>
        </w:rPr>
        <w:t>בלמו"ס</w:t>
      </w:r>
      <w:proofErr w:type="spellEnd"/>
      <w:r w:rsidRPr="004B3A06">
        <w:rPr>
          <w:rFonts w:ascii="Times New Roman" w:eastAsia="Times New Roman" w:hAnsi="Times New Roman" w:cs="David" w:hint="cs"/>
          <w:sz w:val="28"/>
          <w:szCs w:val="28"/>
          <w:rtl/>
        </w:rPr>
        <w:t xml:space="preserve">, בלבד. </w:t>
      </w:r>
    </w:p>
    <w:p w14:paraId="273847ED" w14:textId="5AB78185"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t xml:space="preserve">אשר על כן, ככלל, עיתונאי המבקש לעיין בפרוטוקול דיון בתיק מסוים, פונה בנפרד, באמצעות דובר צה"ל, והפרוטוקול </w:t>
      </w:r>
      <w:proofErr w:type="spellStart"/>
      <w:r w:rsidRPr="004B3A06">
        <w:rPr>
          <w:rFonts w:ascii="Times New Roman" w:eastAsia="Times New Roman" w:hAnsi="Times New Roman" w:cs="David" w:hint="cs"/>
          <w:sz w:val="28"/>
          <w:szCs w:val="28"/>
          <w:rtl/>
        </w:rPr>
        <w:t>המבולמ"ס</w:t>
      </w:r>
      <w:proofErr w:type="spellEnd"/>
      <w:r w:rsidRPr="004B3A06">
        <w:rPr>
          <w:rFonts w:ascii="Times New Roman" w:eastAsia="Times New Roman" w:hAnsi="Times New Roman" w:cs="David" w:hint="cs"/>
          <w:sz w:val="28"/>
          <w:szCs w:val="28"/>
          <w:rtl/>
        </w:rPr>
        <w:t xml:space="preserve"> מועבר אליו מלשכת הח"מ, באמצעות דובר צה"ל. </w:t>
      </w:r>
    </w:p>
    <w:p w14:paraId="352C063F"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t xml:space="preserve">כאשר מדובר בבקשה רחבת היקף ביחס לתיקים שונים, שנדונו במועדים שונים, מטבע הדברים, אורכת הבדיקה פרק זמן ממושך יותר ומכאן גם הצורך בהפניית הבקשה אל בית הדין המחוזי הספציפי שבו נוהל התיק. במקרים אלה, המסלול המתאים הוא, אפוא, בקשה לעיון בתיקי בתי הדין המוגשת אל נשיא בית הדין המחוזי הרלוונטי. </w:t>
      </w:r>
    </w:p>
    <w:p w14:paraId="74F86CBC"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t xml:space="preserve">מכיוון שבפנייתך הנוכחית כללת מספר רב של תיקים שנדונו במועדים שונים בעבר, בבתי דין שונים, ומשביקשת לעיין בכלל הפרוטוקולים הקיימים בכל תיק, כדי לקיים בדיקה מסודרת ומקיפה, ולוודא כי אין בתיקים אלה דיונים בדלתיים סגורות או איסור פרסום, מעבר למגבלות </w:t>
      </w:r>
      <w:proofErr w:type="spellStart"/>
      <w:r w:rsidRPr="004B3A06">
        <w:rPr>
          <w:rFonts w:ascii="Times New Roman" w:eastAsia="Times New Roman" w:hAnsi="Times New Roman" w:cs="David" w:hint="cs"/>
          <w:sz w:val="28"/>
          <w:szCs w:val="28"/>
          <w:rtl/>
        </w:rPr>
        <w:t>הבלמו"ס</w:t>
      </w:r>
      <w:proofErr w:type="spellEnd"/>
      <w:r w:rsidRPr="004B3A06">
        <w:rPr>
          <w:rFonts w:ascii="Times New Roman" w:eastAsia="Times New Roman" w:hAnsi="Times New Roman" w:cs="David" w:hint="cs"/>
          <w:sz w:val="28"/>
          <w:szCs w:val="28"/>
          <w:rtl/>
        </w:rPr>
        <w:t xml:space="preserve"> - הופנו בקשותיך ביחס לכל תיק לנשיא בית הדין המחוזי הרלוונטי.</w:t>
      </w:r>
    </w:p>
    <w:p w14:paraId="79705DEE" w14:textId="77777777" w:rsidR="004B3A06" w:rsidRPr="004B3A06" w:rsidRDefault="004B3A06" w:rsidP="004B3A06">
      <w:pPr>
        <w:numPr>
          <w:ilvl w:val="0"/>
          <w:numId w:val="2"/>
        </w:numPr>
        <w:tabs>
          <w:tab w:val="left" w:pos="340"/>
        </w:tabs>
        <w:spacing w:after="0" w:line="360" w:lineRule="auto"/>
        <w:ind w:left="-86" w:firstLine="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t xml:space="preserve">בראי האמור, יועבר המענה לבקשות לעיון בתיקים באמצעות המזכירויות הרלוונטיות, בימים הקרובים.  </w:t>
      </w:r>
    </w:p>
    <w:p w14:paraId="66D07A8E" w14:textId="77777777" w:rsidR="004B3A06" w:rsidRPr="004B3A06" w:rsidRDefault="004B3A06" w:rsidP="004B3A06">
      <w:pPr>
        <w:spacing w:after="0" w:line="360" w:lineRule="auto"/>
        <w:ind w:left="360"/>
        <w:jc w:val="both"/>
        <w:rPr>
          <w:rFonts w:ascii="Times New Roman" w:eastAsia="Times New Roman" w:hAnsi="Times New Roman" w:cs="David"/>
          <w:sz w:val="28"/>
          <w:szCs w:val="28"/>
        </w:rPr>
      </w:pPr>
      <w:r w:rsidRPr="004B3A06">
        <w:rPr>
          <w:rFonts w:ascii="Times New Roman" w:eastAsia="Times New Roman" w:hAnsi="Times New Roman" w:cs="David" w:hint="cs"/>
          <w:sz w:val="28"/>
          <w:szCs w:val="28"/>
          <w:rtl/>
        </w:rPr>
        <w:t xml:space="preserve">  </w:t>
      </w:r>
    </w:p>
    <w:p w14:paraId="00BA624A" w14:textId="00D07419" w:rsidR="004B3A06" w:rsidRPr="004B3A06" w:rsidRDefault="004B3A06" w:rsidP="004B3A06">
      <w:pPr>
        <w:spacing w:after="0" w:line="360" w:lineRule="auto"/>
        <w:jc w:val="both"/>
        <w:rPr>
          <w:rFonts w:ascii="Times New Roman" w:eastAsia="Times New Roman" w:hAnsi="Times New Roman" w:cs="David"/>
          <w:sz w:val="28"/>
          <w:szCs w:val="28"/>
          <w:rtl/>
        </w:rPr>
      </w:pPr>
      <w:r w:rsidRPr="004B3A06">
        <w:rPr>
          <w:rFonts w:ascii="Times New Roman" w:eastAsia="Times New Roman" w:hAnsi="Times New Roman" w:cs="David" w:hint="cs"/>
          <w:sz w:val="28"/>
          <w:szCs w:val="28"/>
          <w:rtl/>
        </w:rPr>
        <w:t xml:space="preserve">ניתנה בלשכה, היום, ו' באב </w:t>
      </w:r>
      <w:proofErr w:type="spellStart"/>
      <w:r w:rsidRPr="004B3A06">
        <w:rPr>
          <w:rFonts w:ascii="Times New Roman" w:eastAsia="Times New Roman" w:hAnsi="Times New Roman" w:cs="David" w:hint="cs"/>
          <w:sz w:val="28"/>
          <w:szCs w:val="28"/>
          <w:rtl/>
        </w:rPr>
        <w:t>התשפ"ה</w:t>
      </w:r>
      <w:proofErr w:type="spellEnd"/>
      <w:r w:rsidRPr="004B3A06">
        <w:rPr>
          <w:rFonts w:ascii="Times New Roman" w:eastAsia="Times New Roman" w:hAnsi="Times New Roman" w:cs="David" w:hint="cs"/>
          <w:sz w:val="28"/>
          <w:szCs w:val="28"/>
          <w:rtl/>
        </w:rPr>
        <w:t xml:space="preserve">, 31 ביולי 2025, ותועבר למבקש על-ידי  המזכירות. </w:t>
      </w:r>
    </w:p>
    <w:p w14:paraId="057629C8" w14:textId="77777777" w:rsidR="00317A02" w:rsidRDefault="00317A02" w:rsidP="004B3A06">
      <w:pPr>
        <w:spacing w:line="360" w:lineRule="auto"/>
        <w:jc w:val="right"/>
        <w:rPr>
          <w:rFonts w:ascii="David" w:hAnsi="David" w:cs="David"/>
          <w:sz w:val="28"/>
          <w:szCs w:val="28"/>
          <w:rtl/>
        </w:rPr>
      </w:pPr>
    </w:p>
    <w:p w14:paraId="6EA97A0D" w14:textId="77777777" w:rsidR="00317A02" w:rsidRDefault="00317A02" w:rsidP="004B3A06">
      <w:pPr>
        <w:spacing w:line="360" w:lineRule="auto"/>
        <w:jc w:val="right"/>
        <w:rPr>
          <w:rFonts w:ascii="David" w:hAnsi="David" w:cs="David"/>
          <w:sz w:val="28"/>
          <w:szCs w:val="28"/>
          <w:rtl/>
        </w:rPr>
      </w:pPr>
    </w:p>
    <w:p w14:paraId="1AE0662A" w14:textId="212DA1EB" w:rsidR="004B3A06" w:rsidRPr="002637AE" w:rsidRDefault="004B3A06" w:rsidP="004B3A06">
      <w:pPr>
        <w:spacing w:line="360" w:lineRule="auto"/>
        <w:jc w:val="right"/>
        <w:rPr>
          <w:rFonts w:ascii="David" w:hAnsi="David" w:cs="David"/>
          <w:sz w:val="28"/>
          <w:szCs w:val="28"/>
          <w:rtl/>
        </w:rPr>
      </w:pPr>
      <w:r w:rsidRPr="002637AE">
        <w:rPr>
          <w:rFonts w:ascii="David" w:hAnsi="David" w:cs="David"/>
          <w:sz w:val="28"/>
          <w:szCs w:val="28"/>
          <w:rtl/>
        </w:rPr>
        <w:t>_________________</w:t>
      </w:r>
    </w:p>
    <w:p w14:paraId="2DBC0697" w14:textId="162C9BD9" w:rsidR="004B3A06" w:rsidRPr="002637AE" w:rsidRDefault="004B3A06" w:rsidP="004B3A06">
      <w:pPr>
        <w:spacing w:line="240" w:lineRule="auto"/>
        <w:ind w:left="6480"/>
        <w:jc w:val="center"/>
        <w:rPr>
          <w:rFonts w:ascii="David" w:hAnsi="David" w:cs="David"/>
          <w:b/>
          <w:bCs/>
          <w:sz w:val="28"/>
          <w:szCs w:val="28"/>
          <w:rtl/>
        </w:rPr>
      </w:pPr>
      <w:r w:rsidRPr="002637AE">
        <w:rPr>
          <w:rFonts w:ascii="David" w:hAnsi="David" w:cs="David"/>
          <w:b/>
          <w:bCs/>
          <w:sz w:val="28"/>
          <w:szCs w:val="28"/>
          <w:rtl/>
        </w:rPr>
        <w:t>אלופה</w:t>
      </w:r>
      <w:r>
        <w:rPr>
          <w:rFonts w:ascii="David" w:hAnsi="David" w:cs="David" w:hint="cs"/>
          <w:b/>
          <w:bCs/>
          <w:sz w:val="28"/>
          <w:szCs w:val="28"/>
          <w:rtl/>
        </w:rPr>
        <w:t xml:space="preserve">  </w:t>
      </w:r>
      <w:r w:rsidRPr="002637AE">
        <w:rPr>
          <w:rFonts w:ascii="David" w:hAnsi="David" w:cs="David"/>
          <w:b/>
          <w:bCs/>
          <w:sz w:val="28"/>
          <w:szCs w:val="28"/>
          <w:rtl/>
        </w:rPr>
        <w:t xml:space="preserve"> </w:t>
      </w:r>
      <w:r>
        <w:rPr>
          <w:rFonts w:ascii="David" w:hAnsi="David" w:cs="David" w:hint="cs"/>
          <w:b/>
          <w:bCs/>
          <w:sz w:val="28"/>
          <w:szCs w:val="28"/>
          <w:rtl/>
        </w:rPr>
        <w:t xml:space="preserve"> </w:t>
      </w:r>
      <w:r w:rsidRPr="002637AE">
        <w:rPr>
          <w:rFonts w:ascii="David" w:hAnsi="David" w:cs="David"/>
          <w:b/>
          <w:bCs/>
          <w:sz w:val="28"/>
          <w:szCs w:val="28"/>
          <w:rtl/>
        </w:rPr>
        <w:t>אורלי</w:t>
      </w:r>
      <w:r>
        <w:rPr>
          <w:rFonts w:ascii="David" w:hAnsi="David" w:cs="David" w:hint="cs"/>
          <w:b/>
          <w:bCs/>
          <w:sz w:val="28"/>
          <w:szCs w:val="28"/>
          <w:rtl/>
        </w:rPr>
        <w:t xml:space="preserve">  </w:t>
      </w:r>
      <w:r w:rsidRPr="002637AE">
        <w:rPr>
          <w:rFonts w:ascii="David" w:hAnsi="David" w:cs="David"/>
          <w:b/>
          <w:bCs/>
          <w:sz w:val="28"/>
          <w:szCs w:val="28"/>
          <w:rtl/>
        </w:rPr>
        <w:t xml:space="preserve"> </w:t>
      </w:r>
      <w:r>
        <w:rPr>
          <w:rFonts w:ascii="David" w:hAnsi="David" w:cs="David" w:hint="cs"/>
          <w:b/>
          <w:bCs/>
          <w:sz w:val="28"/>
          <w:szCs w:val="28"/>
          <w:rtl/>
        </w:rPr>
        <w:t xml:space="preserve"> </w:t>
      </w:r>
      <w:r w:rsidRPr="002637AE">
        <w:rPr>
          <w:rFonts w:ascii="David" w:hAnsi="David" w:cs="David"/>
          <w:b/>
          <w:bCs/>
          <w:sz w:val="28"/>
          <w:szCs w:val="28"/>
          <w:rtl/>
        </w:rPr>
        <w:t>מרקמן</w:t>
      </w:r>
    </w:p>
    <w:p w14:paraId="2155A493" w14:textId="45EE01D5" w:rsidR="004B3A06" w:rsidRPr="002637AE" w:rsidRDefault="004B3A06" w:rsidP="004B3A06">
      <w:pPr>
        <w:spacing w:line="240" w:lineRule="auto"/>
        <w:jc w:val="center"/>
        <w:rPr>
          <w:rFonts w:ascii="David" w:hAnsi="David" w:cs="David"/>
          <w:b/>
          <w:bCs/>
          <w:sz w:val="28"/>
          <w:szCs w:val="28"/>
          <w:rtl/>
        </w:rPr>
      </w:pPr>
      <w:r>
        <w:rPr>
          <w:rFonts w:ascii="David" w:hAnsi="David" w:cs="David" w:hint="cs"/>
          <w:b/>
          <w:bCs/>
          <w:sz w:val="28"/>
          <w:szCs w:val="28"/>
          <w:rtl/>
        </w:rPr>
        <w:t xml:space="preserve">                                                                                                          </w:t>
      </w:r>
      <w:r w:rsidRPr="002637AE">
        <w:rPr>
          <w:rFonts w:ascii="David" w:hAnsi="David" w:cs="David"/>
          <w:b/>
          <w:bCs/>
          <w:sz w:val="28"/>
          <w:szCs w:val="28"/>
          <w:rtl/>
        </w:rPr>
        <w:t>נשיאת בית הדין הצבאי</w:t>
      </w:r>
    </w:p>
    <w:p w14:paraId="6D976D72" w14:textId="7EAECC3A" w:rsidR="004B3A06" w:rsidRDefault="004B3A06" w:rsidP="004B3A06">
      <w:pPr>
        <w:spacing w:line="240" w:lineRule="auto"/>
        <w:ind w:left="720"/>
        <w:jc w:val="center"/>
        <w:rPr>
          <w:rFonts w:ascii="David" w:hAnsi="David" w:cs="David"/>
          <w:b/>
          <w:bCs/>
          <w:sz w:val="28"/>
          <w:szCs w:val="28"/>
          <w:rtl/>
        </w:rPr>
      </w:pPr>
      <w:r>
        <w:rPr>
          <w:rFonts w:ascii="David" w:hAnsi="David" w:cs="David" w:hint="cs"/>
          <w:b/>
          <w:bCs/>
          <w:sz w:val="28"/>
          <w:szCs w:val="28"/>
          <w:rtl/>
        </w:rPr>
        <w:t xml:space="preserve">                                                                                              </w:t>
      </w:r>
      <w:r w:rsidRPr="002637AE">
        <w:rPr>
          <w:rFonts w:ascii="David" w:hAnsi="David" w:cs="David"/>
          <w:b/>
          <w:bCs/>
          <w:sz w:val="28"/>
          <w:szCs w:val="28"/>
          <w:rtl/>
        </w:rPr>
        <w:t>ל</w:t>
      </w:r>
      <w:r>
        <w:rPr>
          <w:rFonts w:ascii="David" w:hAnsi="David" w:cs="David" w:hint="cs"/>
          <w:b/>
          <w:bCs/>
          <w:sz w:val="28"/>
          <w:szCs w:val="28"/>
          <w:rtl/>
        </w:rPr>
        <w:t xml:space="preserve">   </w:t>
      </w:r>
      <w:r w:rsidRPr="002637AE">
        <w:rPr>
          <w:rFonts w:ascii="David" w:hAnsi="David" w:cs="David"/>
          <w:b/>
          <w:bCs/>
          <w:sz w:val="28"/>
          <w:szCs w:val="28"/>
          <w:rtl/>
        </w:rPr>
        <w:t>ע</w:t>
      </w:r>
      <w:r>
        <w:rPr>
          <w:rFonts w:ascii="David" w:hAnsi="David" w:cs="David" w:hint="cs"/>
          <w:b/>
          <w:bCs/>
          <w:sz w:val="28"/>
          <w:szCs w:val="28"/>
          <w:rtl/>
        </w:rPr>
        <w:t xml:space="preserve">   </w:t>
      </w:r>
      <w:r w:rsidRPr="002637AE">
        <w:rPr>
          <w:rFonts w:ascii="David" w:hAnsi="David" w:cs="David"/>
          <w:b/>
          <w:bCs/>
          <w:sz w:val="28"/>
          <w:szCs w:val="28"/>
          <w:rtl/>
        </w:rPr>
        <w:t>ר</w:t>
      </w:r>
      <w:r>
        <w:rPr>
          <w:rFonts w:ascii="David" w:hAnsi="David" w:cs="David" w:hint="cs"/>
          <w:b/>
          <w:bCs/>
          <w:sz w:val="28"/>
          <w:szCs w:val="28"/>
          <w:rtl/>
        </w:rPr>
        <w:t xml:space="preserve">   </w:t>
      </w:r>
      <w:r w:rsidRPr="002637AE">
        <w:rPr>
          <w:rFonts w:ascii="David" w:hAnsi="David" w:cs="David"/>
          <w:b/>
          <w:bCs/>
          <w:sz w:val="28"/>
          <w:szCs w:val="28"/>
          <w:rtl/>
        </w:rPr>
        <w:t>ע</w:t>
      </w:r>
      <w:r>
        <w:rPr>
          <w:rFonts w:ascii="David" w:hAnsi="David" w:cs="David" w:hint="cs"/>
          <w:b/>
          <w:bCs/>
          <w:sz w:val="28"/>
          <w:szCs w:val="28"/>
          <w:rtl/>
        </w:rPr>
        <w:t xml:space="preserve">   </w:t>
      </w:r>
      <w:r w:rsidRPr="002637AE">
        <w:rPr>
          <w:rFonts w:ascii="David" w:hAnsi="David" w:cs="David"/>
          <w:b/>
          <w:bCs/>
          <w:sz w:val="28"/>
          <w:szCs w:val="28"/>
          <w:rtl/>
        </w:rPr>
        <w:t>ו</w:t>
      </w:r>
      <w:r>
        <w:rPr>
          <w:rFonts w:ascii="David" w:hAnsi="David" w:cs="David" w:hint="cs"/>
          <w:b/>
          <w:bCs/>
          <w:sz w:val="28"/>
          <w:szCs w:val="28"/>
          <w:rtl/>
        </w:rPr>
        <w:t xml:space="preserve">   </w:t>
      </w:r>
      <w:r w:rsidRPr="002637AE">
        <w:rPr>
          <w:rFonts w:ascii="David" w:hAnsi="David" w:cs="David"/>
          <w:b/>
          <w:bCs/>
          <w:sz w:val="28"/>
          <w:szCs w:val="28"/>
          <w:rtl/>
        </w:rPr>
        <w:t>ר</w:t>
      </w:r>
      <w:r>
        <w:rPr>
          <w:rFonts w:ascii="David" w:hAnsi="David" w:cs="David" w:hint="cs"/>
          <w:b/>
          <w:bCs/>
          <w:sz w:val="28"/>
          <w:szCs w:val="28"/>
          <w:rtl/>
        </w:rPr>
        <w:t xml:space="preserve">   </w:t>
      </w:r>
      <w:r w:rsidRPr="002637AE">
        <w:rPr>
          <w:rFonts w:ascii="David" w:hAnsi="David" w:cs="David"/>
          <w:b/>
          <w:bCs/>
          <w:sz w:val="28"/>
          <w:szCs w:val="28"/>
          <w:rtl/>
        </w:rPr>
        <w:t>י</w:t>
      </w:r>
      <w:r>
        <w:rPr>
          <w:rFonts w:ascii="David" w:hAnsi="David" w:cs="David" w:hint="cs"/>
          <w:b/>
          <w:bCs/>
          <w:sz w:val="28"/>
          <w:szCs w:val="28"/>
          <w:rtl/>
        </w:rPr>
        <w:t xml:space="preserve">   </w:t>
      </w:r>
      <w:r w:rsidRPr="002637AE">
        <w:rPr>
          <w:rFonts w:ascii="David" w:hAnsi="David" w:cs="David"/>
          <w:b/>
          <w:bCs/>
          <w:sz w:val="28"/>
          <w:szCs w:val="28"/>
          <w:rtl/>
        </w:rPr>
        <w:t>ם</w:t>
      </w:r>
    </w:p>
    <w:p w14:paraId="654EAAA5" w14:textId="77777777" w:rsidR="004B3A06" w:rsidRDefault="004B3A06" w:rsidP="004B3A06">
      <w:pPr>
        <w:spacing w:line="240" w:lineRule="auto"/>
        <w:jc w:val="center"/>
        <w:rPr>
          <w:rFonts w:ascii="David" w:hAnsi="David" w:cs="David"/>
          <w:b/>
          <w:bCs/>
          <w:sz w:val="28"/>
          <w:szCs w:val="28"/>
          <w:rtl/>
        </w:rPr>
      </w:pPr>
    </w:p>
    <w:p w14:paraId="15F55C14" w14:textId="77777777" w:rsidR="004B3A06" w:rsidRPr="00405BC8" w:rsidRDefault="004B3A06" w:rsidP="004B3A06">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00DA2078" w14:textId="77777777" w:rsidR="004B3A06" w:rsidRPr="00405BC8" w:rsidRDefault="004B3A06" w:rsidP="004B3A06">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סמ"ר         מיקה        אשרוב</w:t>
      </w:r>
    </w:p>
    <w:p w14:paraId="4B1C4DB8" w14:textId="77777777" w:rsidR="004B3A06" w:rsidRPr="00405BC8" w:rsidRDefault="004B3A06" w:rsidP="004B3A06">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p>
    <w:bookmarkEnd w:id="3"/>
    <w:p w14:paraId="23FA1E2D" w14:textId="77777777" w:rsidR="0000703E" w:rsidRDefault="0000703E"/>
    <w:sectPr w:rsidR="0000703E" w:rsidSect="004B3A06">
      <w:headerReference w:type="even" r:id="rId9"/>
      <w:headerReference w:type="default" r:id="rId10"/>
      <w:footerReference w:type="default" r:id="rId11"/>
      <w:headerReference w:type="first" r:id="rId12"/>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9C40B" w14:textId="77777777" w:rsidR="004B3A06" w:rsidRDefault="004B3A06" w:rsidP="004B3A06">
      <w:pPr>
        <w:spacing w:after="0" w:line="240" w:lineRule="auto"/>
      </w:pPr>
      <w:r>
        <w:separator/>
      </w:r>
    </w:p>
  </w:endnote>
  <w:endnote w:type="continuationSeparator" w:id="0">
    <w:p w14:paraId="7B693D3F" w14:textId="77777777" w:rsidR="004B3A06" w:rsidRDefault="004B3A06" w:rsidP="004B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avid" w:hAnsi="David" w:cs="David"/>
        <w:sz w:val="28"/>
        <w:szCs w:val="28"/>
        <w:rtl/>
      </w:rPr>
      <w:id w:val="973177005"/>
      <w:docPartObj>
        <w:docPartGallery w:val="Page Numbers (Bottom of Page)"/>
        <w:docPartUnique/>
      </w:docPartObj>
    </w:sdtPr>
    <w:sdtEndPr/>
    <w:sdtContent>
      <w:p w14:paraId="55F6EBD7" w14:textId="77777777" w:rsidR="00317A02" w:rsidRPr="000727A2" w:rsidRDefault="00DB303E">
        <w:pPr>
          <w:pStyle w:val="a6"/>
          <w:jc w:val="center"/>
          <w:rPr>
            <w:rFonts w:ascii="David" w:hAnsi="David" w:cs="David"/>
            <w:sz w:val="28"/>
            <w:szCs w:val="28"/>
          </w:rPr>
        </w:pPr>
        <w:r w:rsidRPr="000727A2">
          <w:rPr>
            <w:rFonts w:ascii="David" w:hAnsi="David" w:cs="David"/>
            <w:sz w:val="28"/>
            <w:szCs w:val="28"/>
          </w:rPr>
          <w:fldChar w:fldCharType="begin"/>
        </w:r>
        <w:r w:rsidRPr="000727A2">
          <w:rPr>
            <w:rFonts w:ascii="David" w:hAnsi="David" w:cs="David"/>
            <w:sz w:val="28"/>
            <w:szCs w:val="28"/>
          </w:rPr>
          <w:instrText xml:space="preserve"> PAGE   \* MERGEFORMAT </w:instrText>
        </w:r>
        <w:r w:rsidRPr="000727A2">
          <w:rPr>
            <w:rFonts w:ascii="David" w:hAnsi="David" w:cs="David"/>
            <w:sz w:val="28"/>
            <w:szCs w:val="28"/>
          </w:rPr>
          <w:fldChar w:fldCharType="separate"/>
        </w:r>
        <w:r w:rsidRPr="000727A2">
          <w:rPr>
            <w:rFonts w:ascii="David" w:hAnsi="David" w:cs="David"/>
            <w:noProof/>
            <w:sz w:val="28"/>
            <w:szCs w:val="28"/>
          </w:rPr>
          <w:t>2</w:t>
        </w:r>
        <w:r w:rsidRPr="000727A2">
          <w:rPr>
            <w:rFonts w:ascii="David" w:hAnsi="David" w:cs="David"/>
            <w:noProof/>
            <w:sz w:val="28"/>
            <w:szCs w:val="28"/>
          </w:rPr>
          <w:fldChar w:fldCharType="end"/>
        </w:r>
      </w:p>
    </w:sdtContent>
  </w:sdt>
  <w:p w14:paraId="7CC280C0" w14:textId="77777777" w:rsidR="00317A02" w:rsidRDefault="00317A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199E" w14:textId="77777777" w:rsidR="004B3A06" w:rsidRDefault="004B3A06" w:rsidP="004B3A06">
      <w:pPr>
        <w:spacing w:after="0" w:line="240" w:lineRule="auto"/>
      </w:pPr>
      <w:r>
        <w:separator/>
      </w:r>
    </w:p>
  </w:footnote>
  <w:footnote w:type="continuationSeparator" w:id="0">
    <w:p w14:paraId="588E62E7" w14:textId="77777777" w:rsidR="004B3A06" w:rsidRDefault="004B3A06" w:rsidP="004B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8E6D" w14:textId="539914BD" w:rsidR="00317A02" w:rsidRDefault="00317A02">
    <w:pPr>
      <w:pStyle w:val="a3"/>
    </w:pPr>
    <w:r>
      <w:rPr>
        <w:noProof/>
      </w:rPr>
      <mc:AlternateContent>
        <mc:Choice Requires="wps">
          <w:drawing>
            <wp:anchor distT="0" distB="0" distL="0" distR="0" simplePos="0" relativeHeight="251659264" behindDoc="0" locked="0" layoutInCell="1" allowOverlap="1" wp14:anchorId="32BD796B" wp14:editId="02FE4F12">
              <wp:simplePos x="635" y="635"/>
              <wp:positionH relativeFrom="page">
                <wp:align>center</wp:align>
              </wp:positionH>
              <wp:positionV relativeFrom="page">
                <wp:align>top</wp:align>
              </wp:positionV>
              <wp:extent cx="450215" cy="357505"/>
              <wp:effectExtent l="0" t="0" r="6985" b="4445"/>
              <wp:wrapNone/>
              <wp:docPr id="1608029898"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57505"/>
                      </a:xfrm>
                      <a:prstGeom prst="rect">
                        <a:avLst/>
                      </a:prstGeom>
                      <a:noFill/>
                      <a:ln>
                        <a:noFill/>
                      </a:ln>
                    </wps:spPr>
                    <wps:txbx>
                      <w:txbxContent>
                        <w:p w14:paraId="15BDB63B" w14:textId="2A04C41C" w:rsidR="00317A02" w:rsidRPr="00317A02" w:rsidRDefault="00317A02" w:rsidP="00317A02">
                          <w:pPr>
                            <w:spacing w:after="0"/>
                            <w:rPr>
                              <w:rFonts w:ascii="Calibri" w:eastAsia="Calibri" w:hAnsi="Calibri" w:cs="Calibri"/>
                              <w:noProof/>
                              <w:color w:val="000000"/>
                              <w:sz w:val="20"/>
                              <w:szCs w:val="20"/>
                            </w:rPr>
                          </w:pPr>
                          <w:r w:rsidRPr="00317A0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32BD796B"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" filled="f" stroked="f">
              <v:fill o:detectmouseclick="t"/>
              <v:textbox style="mso-fit-shape-to-text:t" inset="0,15pt,0,0">
                <w:txbxContent>
                  <w:p w14:paraId="15BDB63B" w14:textId="2A04C41C" w:rsidR="00317A02" w:rsidRPr="00317A02" w:rsidRDefault="00317A02" w:rsidP="00317A02">
                    <w:pPr>
                      <w:spacing w:after="0"/>
                      <w:rPr>
                        <w:rFonts w:ascii="Calibri" w:eastAsia="Calibri" w:hAnsi="Calibri" w:cs="Calibri"/>
                        <w:noProof/>
                        <w:color w:val="000000"/>
                        <w:sz w:val="20"/>
                        <w:szCs w:val="20"/>
                      </w:rPr>
                    </w:pPr>
                    <w:r w:rsidRPr="00317A02">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A52F" w14:textId="45386F93" w:rsidR="004B3A06" w:rsidRPr="004B3A06" w:rsidRDefault="00317A02" w:rsidP="004B3A06">
    <w:pPr>
      <w:pStyle w:val="a3"/>
      <w:jc w:val="right"/>
      <w:rPr>
        <w:rFonts w:ascii="David" w:hAnsi="David" w:cs="David"/>
        <w:sz w:val="28"/>
        <w:szCs w:val="28"/>
        <w:rtl/>
      </w:rPr>
    </w:pPr>
    <w:r>
      <w:rPr>
        <w:rFonts w:ascii="David" w:hAnsi="David" w:cs="David" w:hint="cs"/>
        <w:noProof/>
        <w:sz w:val="28"/>
        <w:szCs w:val="28"/>
        <w:rtl/>
        <w:lang w:val="he-IL"/>
      </w:rPr>
      <mc:AlternateContent>
        <mc:Choice Requires="wps">
          <w:drawing>
            <wp:anchor distT="0" distB="0" distL="0" distR="0" simplePos="0" relativeHeight="251660288" behindDoc="0" locked="0" layoutInCell="1" allowOverlap="1" wp14:anchorId="211D2E19" wp14:editId="3DA1BCB0">
              <wp:simplePos x="904875" y="447675"/>
              <wp:positionH relativeFrom="page">
                <wp:align>center</wp:align>
              </wp:positionH>
              <wp:positionV relativeFrom="page">
                <wp:align>top</wp:align>
              </wp:positionV>
              <wp:extent cx="450215" cy="357505"/>
              <wp:effectExtent l="0" t="0" r="6985" b="4445"/>
              <wp:wrapNone/>
              <wp:docPr id="1441881061"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57505"/>
                      </a:xfrm>
                      <a:prstGeom prst="rect">
                        <a:avLst/>
                      </a:prstGeom>
                      <a:noFill/>
                      <a:ln>
                        <a:noFill/>
                      </a:ln>
                    </wps:spPr>
                    <wps:txbx>
                      <w:txbxContent>
                        <w:p w14:paraId="35380043" w14:textId="406ECAEE" w:rsidR="00317A02" w:rsidRPr="00317A02" w:rsidRDefault="00317A02" w:rsidP="00317A02">
                          <w:pPr>
                            <w:spacing w:after="0"/>
                            <w:rPr>
                              <w:rFonts w:ascii="Calibri" w:eastAsia="Calibri" w:hAnsi="Calibri" w:cs="Calibri"/>
                              <w:noProof/>
                              <w:color w:val="000000"/>
                              <w:sz w:val="20"/>
                              <w:szCs w:val="20"/>
                            </w:rPr>
                          </w:pPr>
                          <w:r w:rsidRPr="00317A0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11D2E19" id="_x0000_t202" coordsize="21600,21600" o:spt="202" path="m,l,21600r21600,l21600,xe">
              <v:stroke joinstyle="miter"/>
              <v:path gradientshapeok="t" o:connecttype="rect"/>
            </v:shapetype>
            <v:shape id="תיבת טקסט 3" o:spid="_x0000_s1027" type="#_x0000_t202" alt="- בלמ&quot;ס -" style="position:absolute;margin-left:0;margin-top:0;width:35.4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uO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" filled="f" stroked="f">
              <v:fill o:detectmouseclick="t"/>
              <v:textbox style="mso-fit-shape-to-text:t" inset="0,15pt,0,0">
                <w:txbxContent>
                  <w:p w14:paraId="35380043" w14:textId="406ECAEE" w:rsidR="00317A02" w:rsidRPr="00317A02" w:rsidRDefault="00317A02" w:rsidP="00317A02">
                    <w:pPr>
                      <w:spacing w:after="0"/>
                      <w:rPr>
                        <w:rFonts w:ascii="Calibri" w:eastAsia="Calibri" w:hAnsi="Calibri" w:cs="Calibri"/>
                        <w:noProof/>
                        <w:color w:val="000000"/>
                        <w:sz w:val="20"/>
                        <w:szCs w:val="20"/>
                      </w:rPr>
                    </w:pPr>
                    <w:r w:rsidRPr="00317A02">
                      <w:rPr>
                        <w:rFonts w:ascii="Calibri" w:eastAsia="Calibri" w:hAnsi="Calibri" w:cs="Calibri"/>
                        <w:noProof/>
                        <w:color w:val="000000"/>
                        <w:sz w:val="20"/>
                        <w:szCs w:val="20"/>
                        <w:rtl/>
                      </w:rPr>
                      <w:t>- בלמ"ס -</w:t>
                    </w:r>
                  </w:p>
                </w:txbxContent>
              </v:textbox>
              <w10:wrap anchorx="page" anchory="page"/>
            </v:shape>
          </w:pict>
        </mc:Fallback>
      </mc:AlternateContent>
    </w:r>
    <w:r w:rsidR="00DB303E">
      <w:rPr>
        <w:rFonts w:ascii="David" w:hAnsi="David" w:cs="David" w:hint="cs"/>
        <w:sz w:val="28"/>
        <w:szCs w:val="28"/>
        <w:rtl/>
      </w:rPr>
      <w:t xml:space="preserve"> </w:t>
    </w:r>
    <w:r w:rsidR="004B3A06">
      <w:rPr>
        <w:rFonts w:ascii="David" w:hAnsi="David" w:cs="David" w:hint="cs"/>
        <w:sz w:val="28"/>
        <w:szCs w:val="28"/>
        <w:rtl/>
      </w:rPr>
      <w:t xml:space="preserve"> </w:t>
    </w:r>
    <w:r w:rsidR="00FF47F0">
      <w:rPr>
        <w:rFonts w:ascii="David" w:hAnsi="David" w:cs="David" w:hint="cs"/>
        <w:sz w:val="28"/>
        <w:szCs w:val="28"/>
        <w:rtl/>
      </w:rPr>
      <w:t>ב ל מ " ס</w:t>
    </w:r>
    <w:r w:rsidR="00DB303E">
      <w:rPr>
        <w:rFonts w:ascii="David" w:hAnsi="David" w:cs="David" w:hint="cs"/>
        <w:sz w:val="28"/>
        <w:szCs w:val="28"/>
        <w:rtl/>
      </w:rPr>
      <w:t xml:space="preserve">                                     ב"ש </w:t>
    </w:r>
    <w:r w:rsidR="004B3A06" w:rsidRPr="004B3A06">
      <w:rPr>
        <w:rFonts w:ascii="David" w:hAnsi="David" w:cs="David" w:hint="cs"/>
        <w:sz w:val="28"/>
        <w:szCs w:val="28"/>
        <w:rtl/>
      </w:rPr>
      <w:t>83234-07-25</w:t>
    </w:r>
  </w:p>
  <w:p w14:paraId="4434D5C9" w14:textId="1F30C222" w:rsidR="00317A02" w:rsidRPr="00B2238F" w:rsidRDefault="00317A02" w:rsidP="00EE5213">
    <w:pPr>
      <w:pStyle w:val="a3"/>
      <w:jc w:val="right"/>
      <w:rPr>
        <w:rFonts w:ascii="David" w:hAnsi="David" w:cs="David"/>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CEDE" w14:textId="78AAAAA3" w:rsidR="00317A02" w:rsidRDefault="00317A02">
    <w:pPr>
      <w:pStyle w:val="a3"/>
    </w:pPr>
    <w:r>
      <w:rPr>
        <w:noProof/>
      </w:rPr>
      <mc:AlternateContent>
        <mc:Choice Requires="wps">
          <w:drawing>
            <wp:anchor distT="0" distB="0" distL="0" distR="0" simplePos="0" relativeHeight="251658240" behindDoc="0" locked="0" layoutInCell="1" allowOverlap="1" wp14:anchorId="466123A7" wp14:editId="51235C01">
              <wp:simplePos x="635" y="635"/>
              <wp:positionH relativeFrom="page">
                <wp:align>center</wp:align>
              </wp:positionH>
              <wp:positionV relativeFrom="page">
                <wp:align>top</wp:align>
              </wp:positionV>
              <wp:extent cx="450215" cy="357505"/>
              <wp:effectExtent l="0" t="0" r="6985" b="4445"/>
              <wp:wrapNone/>
              <wp:docPr id="396957642"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57505"/>
                      </a:xfrm>
                      <a:prstGeom prst="rect">
                        <a:avLst/>
                      </a:prstGeom>
                      <a:noFill/>
                      <a:ln>
                        <a:noFill/>
                      </a:ln>
                    </wps:spPr>
                    <wps:txbx>
                      <w:txbxContent>
                        <w:p w14:paraId="130F64A4" w14:textId="50949D87" w:rsidR="00317A02" w:rsidRPr="00317A02" w:rsidRDefault="00317A02" w:rsidP="00317A02">
                          <w:pPr>
                            <w:spacing w:after="0"/>
                            <w:rPr>
                              <w:rFonts w:ascii="Calibri" w:eastAsia="Calibri" w:hAnsi="Calibri" w:cs="Calibri"/>
                              <w:noProof/>
                              <w:color w:val="000000"/>
                              <w:sz w:val="20"/>
                              <w:szCs w:val="20"/>
                            </w:rPr>
                          </w:pPr>
                          <w:r w:rsidRPr="00317A0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66123A7"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" filled="f" stroked="f">
              <v:fill o:detectmouseclick="t"/>
              <v:textbox style="mso-fit-shape-to-text:t" inset="0,15pt,0,0">
                <w:txbxContent>
                  <w:p w14:paraId="130F64A4" w14:textId="50949D87" w:rsidR="00317A02" w:rsidRPr="00317A02" w:rsidRDefault="00317A02" w:rsidP="00317A02">
                    <w:pPr>
                      <w:spacing w:after="0"/>
                      <w:rPr>
                        <w:rFonts w:ascii="Calibri" w:eastAsia="Calibri" w:hAnsi="Calibri" w:cs="Calibri"/>
                        <w:noProof/>
                        <w:color w:val="000000"/>
                        <w:sz w:val="20"/>
                        <w:szCs w:val="20"/>
                      </w:rPr>
                    </w:pPr>
                    <w:r w:rsidRPr="00317A02">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D8F"/>
    <w:multiLevelType w:val="hybridMultilevel"/>
    <w:tmpl w:val="58181040"/>
    <w:lvl w:ilvl="0" w:tplc="0950ACF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31403"/>
    <w:multiLevelType w:val="hybridMultilevel"/>
    <w:tmpl w:val="EC0ABAFE"/>
    <w:lvl w:ilvl="0" w:tplc="3C6660C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593991">
    <w:abstractNumId w:val="0"/>
  </w:num>
  <w:num w:numId="2" w16cid:durableId="143124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06"/>
    <w:rsid w:val="0000703E"/>
    <w:rsid w:val="00317A02"/>
    <w:rsid w:val="004B3A06"/>
    <w:rsid w:val="005A58C4"/>
    <w:rsid w:val="00950887"/>
    <w:rsid w:val="00C1047F"/>
    <w:rsid w:val="00C9751C"/>
    <w:rsid w:val="00DB303E"/>
    <w:rsid w:val="00E25480"/>
    <w:rsid w:val="00FF4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F232E"/>
  <w15:chartTrackingRefBased/>
  <w15:docId w15:val="{186EE516-E29B-4BB7-961A-2151345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06"/>
    <w:pPr>
      <w:tabs>
        <w:tab w:val="center" w:pos="4153"/>
        <w:tab w:val="right" w:pos="8306"/>
      </w:tabs>
      <w:spacing w:after="0" w:line="240" w:lineRule="auto"/>
    </w:pPr>
  </w:style>
  <w:style w:type="character" w:customStyle="1" w:styleId="a4">
    <w:name w:val="כותרת עליונה תו"/>
    <w:basedOn w:val="a0"/>
    <w:link w:val="a3"/>
    <w:uiPriority w:val="99"/>
    <w:rsid w:val="004B3A06"/>
  </w:style>
  <w:style w:type="paragraph" w:styleId="a5">
    <w:name w:val="List Paragraph"/>
    <w:basedOn w:val="a"/>
    <w:uiPriority w:val="34"/>
    <w:qFormat/>
    <w:rsid w:val="004B3A06"/>
    <w:pPr>
      <w:ind w:left="720"/>
      <w:contextualSpacing/>
    </w:pPr>
  </w:style>
  <w:style w:type="paragraph" w:styleId="a6">
    <w:name w:val="footer"/>
    <w:basedOn w:val="a"/>
    <w:link w:val="a7"/>
    <w:uiPriority w:val="99"/>
    <w:unhideWhenUsed/>
    <w:rsid w:val="004B3A06"/>
    <w:pPr>
      <w:tabs>
        <w:tab w:val="center" w:pos="4153"/>
        <w:tab w:val="right" w:pos="8306"/>
      </w:tabs>
      <w:spacing w:after="0" w:line="240" w:lineRule="auto"/>
    </w:pPr>
  </w:style>
  <w:style w:type="character" w:customStyle="1" w:styleId="a7">
    <w:name w:val="כותרת תחתונה תו"/>
    <w:basedOn w:val="a0"/>
    <w:link w:val="a6"/>
    <w:uiPriority w:val="99"/>
    <w:rsid w:val="004B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2513</Characters>
  <Application>Microsoft Office Word</Application>
  <DocSecurity>0</DocSecurity>
  <Lines>20</Lines>
  <Paragraphs>6</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משפטית/נאיה שלום</dc:creator>
  <cp:keywords/>
  <dc:description/>
  <cp:lastModifiedBy>נאיה שלום</cp:lastModifiedBy>
  <cp:revision>2</cp:revision>
  <cp:lastPrinted>2025-07-31T08:11:00Z</cp:lastPrinted>
  <dcterms:created xsi:type="dcterms:W3CDTF">2025-08-11T12:58:00Z</dcterms:created>
  <dcterms:modified xsi:type="dcterms:W3CDTF">2025-08-11T12:58:00Z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17a917ca,5fd896ca,55f15be5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2025-08-11T12:58:06Z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ad328a3d-9342-4d0f-822f-5deab2f24052</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