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57BB" w14:textId="1C223FCC" w:rsidR="00C64174" w:rsidRPr="00C64174" w:rsidRDefault="00C64174" w:rsidP="00C64174">
      <w:pPr>
        <w:tabs>
          <w:tab w:val="right" w:pos="6718"/>
        </w:tabs>
        <w:spacing w:line="480" w:lineRule="auto"/>
        <w:ind w:left="2324" w:right="1985"/>
        <w:rPr>
          <w:rtl/>
        </w:rPr>
      </w:pPr>
      <w:bookmarkStart w:id="0" w:name="_Hlk149821736"/>
      <w:bookmarkStart w:id="1" w:name="_Hlk149824479"/>
      <w:r w:rsidRPr="00164FD0">
        <w:rPr>
          <w:noProof/>
        </w:rPr>
        <w:drawing>
          <wp:inline distT="0" distB="0" distL="0" distR="0" wp14:anchorId="66433835" wp14:editId="3BD03EAB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3F00F1CD" wp14:editId="22490A7C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CA3F" w14:textId="0F8C5FD6" w:rsidR="00892836" w:rsidRPr="00FD2DDA" w:rsidRDefault="00892836" w:rsidP="00C64174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32127C2C" w14:textId="155CBAF8" w:rsidR="00892836" w:rsidRDefault="00892836" w:rsidP="00892836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217D671B" w14:textId="77777777" w:rsidR="009D2914" w:rsidRPr="009D2914" w:rsidRDefault="009D2914" w:rsidP="00892836">
      <w:pPr>
        <w:spacing w:before="120" w:after="0" w:line="480" w:lineRule="auto"/>
        <w:rPr>
          <w:rFonts w:ascii="David" w:hAnsi="David" w:cs="David"/>
          <w:sz w:val="14"/>
          <w:szCs w:val="14"/>
          <w:rtl/>
        </w:rPr>
      </w:pPr>
    </w:p>
    <w:p w14:paraId="0A32810D" w14:textId="62E93453" w:rsidR="00892836" w:rsidRDefault="00892836" w:rsidP="00892836">
      <w:pPr>
        <w:spacing w:line="240" w:lineRule="auto"/>
        <w:jc w:val="center"/>
        <w:rPr>
          <w:rFonts w:cs="David"/>
          <w:sz w:val="28"/>
          <w:szCs w:val="28"/>
          <w:rtl/>
        </w:rPr>
      </w:pPr>
      <w:r w:rsidRPr="00ED4EF3">
        <w:rPr>
          <w:rFonts w:cs="David" w:hint="cs"/>
          <w:b/>
          <w:bCs/>
          <w:sz w:val="28"/>
          <w:szCs w:val="28"/>
          <w:rtl/>
        </w:rPr>
        <w:t>אל"ם מאיה גולדשמידט</w:t>
      </w:r>
      <w:r>
        <w:rPr>
          <w:rFonts w:cs="David" w:hint="cs"/>
          <w:sz w:val="28"/>
          <w:szCs w:val="28"/>
          <w:rtl/>
        </w:rPr>
        <w:t xml:space="preserve">    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  שופטת</w:t>
      </w:r>
    </w:p>
    <w:p w14:paraId="278932DD" w14:textId="77777777" w:rsidR="009D2914" w:rsidRPr="00BB5867" w:rsidRDefault="009D2914" w:rsidP="00892836">
      <w:pPr>
        <w:spacing w:line="240" w:lineRule="auto"/>
        <w:jc w:val="center"/>
        <w:rPr>
          <w:rFonts w:cs="David"/>
          <w:sz w:val="28"/>
          <w:szCs w:val="28"/>
          <w:rtl/>
        </w:rPr>
      </w:pPr>
    </w:p>
    <w:p w14:paraId="4E8D8AC4" w14:textId="5571128A" w:rsidR="00892836" w:rsidRDefault="00892836" w:rsidP="00892836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6DE11232" w14:textId="77777777" w:rsidR="009D2914" w:rsidRPr="009D2914" w:rsidRDefault="009D2914" w:rsidP="00892836">
      <w:pPr>
        <w:rPr>
          <w:rFonts w:ascii="David" w:hAnsi="David" w:cs="David"/>
          <w:sz w:val="12"/>
          <w:szCs w:val="12"/>
          <w:rtl/>
        </w:rPr>
      </w:pPr>
    </w:p>
    <w:p w14:paraId="27116024" w14:textId="5B2600EF" w:rsidR="00892836" w:rsidRPr="00FD2DDA" w:rsidRDefault="00892836" w:rsidP="00892836">
      <w:pPr>
        <w:bidi w:val="0"/>
        <w:jc w:val="center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>התובע הצבאי הראשי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</w:t>
      </w:r>
      <w:r w:rsidR="009D2914">
        <w:rPr>
          <w:rFonts w:ascii="David" w:hAnsi="David" w:cs="David" w:hint="cs"/>
          <w:sz w:val="28"/>
          <w:szCs w:val="28"/>
          <w:rtl/>
        </w:rPr>
        <w:t>בקש</w:t>
      </w:r>
      <w:r w:rsidRPr="00FD2DDA">
        <w:rPr>
          <w:rFonts w:ascii="David" w:hAnsi="David" w:cs="David" w:hint="cs"/>
          <w:sz w:val="28"/>
          <w:szCs w:val="28"/>
          <w:rtl/>
        </w:rPr>
        <w:t xml:space="preserve"> (ע"י ב"כ,</w:t>
      </w:r>
      <w:r>
        <w:rPr>
          <w:rFonts w:ascii="David" w:hAnsi="David" w:cs="David" w:hint="cs"/>
          <w:sz w:val="28"/>
          <w:szCs w:val="28"/>
          <w:rtl/>
        </w:rPr>
        <w:t xml:space="preserve"> סגן גל דבש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60A1FDDF" w14:textId="77777777" w:rsidR="00892836" w:rsidRPr="00FD2DDA" w:rsidRDefault="00892836" w:rsidP="00892836">
      <w:pPr>
        <w:jc w:val="center"/>
        <w:rPr>
          <w:rFonts w:ascii="David" w:hAnsi="David" w:cs="David"/>
          <w:sz w:val="28"/>
          <w:szCs w:val="28"/>
          <w:rtl/>
        </w:rPr>
      </w:pPr>
    </w:p>
    <w:p w14:paraId="41954813" w14:textId="5E272CF7" w:rsidR="00892836" w:rsidRDefault="00892836" w:rsidP="00892836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1FF4F25F" w14:textId="77777777" w:rsidR="009D2914" w:rsidRPr="00FD2DDA" w:rsidRDefault="009D2914" w:rsidP="00892836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16FAE89B" w14:textId="1A478A37" w:rsidR="00892836" w:rsidRPr="00FD2DDA" w:rsidRDefault="00892836" w:rsidP="00892836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ח/</w:t>
      </w:r>
      <w:r w:rsidR="00361B8C">
        <w:rPr>
          <w:rFonts w:ascii="Times New Roman" w:eastAsia="Times New Roman" w:hAnsi="Times New Roman" w:cs="David" w:hint="cs"/>
          <w:b/>
          <w:bCs/>
          <w:sz w:val="32"/>
          <w:szCs w:val="28"/>
        </w:rPr>
        <w:t>XXXXXXX</w:t>
      </w: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 xml:space="preserve"> רב"ט </w:t>
      </w:r>
      <w:r w:rsidR="00361B8C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א' ע'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עו"ד רותם </w:t>
      </w:r>
      <w:proofErr w:type="spellStart"/>
      <w:r>
        <w:rPr>
          <w:rFonts w:ascii="David" w:hAnsi="David" w:cs="David" w:hint="cs"/>
          <w:sz w:val="28"/>
          <w:szCs w:val="28"/>
          <w:rtl/>
        </w:rPr>
        <w:t>טובול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775AC9B" w14:textId="77777777" w:rsidR="00892836" w:rsidRPr="00FD2DDA" w:rsidRDefault="00892836" w:rsidP="00892836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bookmarkEnd w:id="0"/>
    <w:p w14:paraId="1AEFF757" w14:textId="1302FCE8" w:rsidR="009D2914" w:rsidRDefault="00892836" w:rsidP="009D2914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בקשה להארכת מעצרו של המשיב. הבקשה התקבלה.</w:t>
      </w:r>
    </w:p>
    <w:bookmarkEnd w:id="1"/>
    <w:p w14:paraId="7097945E" w14:textId="77777777" w:rsidR="00892836" w:rsidRDefault="00892836" w:rsidP="00556A59">
      <w:pPr>
        <w:tabs>
          <w:tab w:val="left" w:pos="232"/>
        </w:tabs>
        <w:spacing w:after="0" w:line="33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7D5AAA0" w14:textId="1AF62935" w:rsidR="006A386E" w:rsidRDefault="006A386E" w:rsidP="00556A59">
      <w:pPr>
        <w:tabs>
          <w:tab w:val="left" w:pos="232"/>
        </w:tabs>
        <w:spacing w:after="0" w:line="33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 ח ל ט ה</w:t>
      </w:r>
    </w:p>
    <w:p w14:paraId="43B957BE" w14:textId="77777777" w:rsidR="002C2C5A" w:rsidRDefault="002C2C5A" w:rsidP="00556A59">
      <w:pPr>
        <w:tabs>
          <w:tab w:val="left" w:pos="232"/>
        </w:tabs>
        <w:spacing w:after="0" w:line="33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AFF6EEC" w14:textId="0826D9B9" w:rsidR="006A386E" w:rsidRDefault="006A386E" w:rsidP="00556A59">
      <w:pPr>
        <w:numPr>
          <w:ilvl w:val="0"/>
          <w:numId w:val="1"/>
        </w:numPr>
        <w:tabs>
          <w:tab w:val="left" w:pos="282"/>
        </w:tabs>
        <w:spacing w:after="0" w:line="336" w:lineRule="auto"/>
        <w:ind w:left="-1" w:firstLine="0"/>
        <w:jc w:val="both"/>
        <w:rPr>
          <w:rFonts w:cs="David"/>
          <w:sz w:val="28"/>
          <w:szCs w:val="28"/>
        </w:rPr>
      </w:pP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מונחת בפניי בקשת התביעה הצבאית להארכת מעצרו של המשיב, רב"ט </w:t>
      </w:r>
      <w:r w:rsidR="00361B8C">
        <w:rPr>
          <w:rFonts w:ascii="Times New Roman" w:eastAsia="Times New Roman" w:hAnsi="Times New Roman" w:cs="David" w:hint="cs"/>
          <w:sz w:val="20"/>
          <w:szCs w:val="28"/>
          <w:rtl/>
        </w:rPr>
        <w:t>א' ע'</w:t>
      </w: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 </w:t>
      </w:r>
      <w:r w:rsidR="00556A59">
        <w:rPr>
          <w:rFonts w:ascii="Times New Roman" w:eastAsia="Times New Roman" w:hAnsi="Times New Roman" w:cs="David" w:hint="cs"/>
          <w:sz w:val="20"/>
          <w:szCs w:val="28"/>
          <w:rtl/>
        </w:rPr>
        <w:t>ב-90 ימים החל מיום 19 במאי 2025 ו</w:t>
      </w: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עד ליום 17 באוגוסט 2025 או עד למתן </w:t>
      </w:r>
      <w:r>
        <w:rPr>
          <w:rFonts w:cs="David" w:hint="cs"/>
          <w:sz w:val="28"/>
          <w:szCs w:val="28"/>
          <w:rtl/>
        </w:rPr>
        <w:t xml:space="preserve">הכרעת הדין בעניינו, לפי המוקדם </w:t>
      </w:r>
      <w:proofErr w:type="spellStart"/>
      <w:r>
        <w:rPr>
          <w:rFonts w:cs="David" w:hint="cs"/>
          <w:sz w:val="28"/>
          <w:szCs w:val="28"/>
          <w:rtl/>
        </w:rPr>
        <w:t>מביניהם</w:t>
      </w:r>
      <w:proofErr w:type="spellEnd"/>
      <w:r>
        <w:rPr>
          <w:rFonts w:cs="David" w:hint="cs"/>
          <w:sz w:val="28"/>
          <w:szCs w:val="28"/>
          <w:rtl/>
        </w:rPr>
        <w:t xml:space="preserve">. הבקשה הוגשה בהתאם לסעיף 243ב לחוק השיפוט הצבאי, </w:t>
      </w:r>
      <w:proofErr w:type="spellStart"/>
      <w:r>
        <w:rPr>
          <w:rFonts w:cs="David" w:hint="cs"/>
          <w:sz w:val="28"/>
          <w:szCs w:val="28"/>
          <w:rtl/>
        </w:rPr>
        <w:t>התשט"ו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D015CD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1955 וסעיף 62 לחוק סדר הדין הפלילי (סמכויות אכיפה </w:t>
      </w:r>
      <w:r w:rsidR="002C2C5A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מעצרים), </w:t>
      </w:r>
      <w:proofErr w:type="spellStart"/>
      <w:r>
        <w:rPr>
          <w:rFonts w:cs="David" w:hint="cs"/>
          <w:sz w:val="28"/>
          <w:szCs w:val="28"/>
          <w:rtl/>
        </w:rPr>
        <w:t>התשנ"ו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2C2C5A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1996. ההגנה הודיעה כי לא תתנגד לבקשה</w:t>
      </w:r>
      <w:r w:rsidR="00556A59">
        <w:rPr>
          <w:rFonts w:cs="David" w:hint="cs"/>
          <w:sz w:val="28"/>
          <w:szCs w:val="28"/>
          <w:rtl/>
        </w:rPr>
        <w:t>, והצדדים ביקשו כי הדיון ייערך שלא בנוכחותם</w:t>
      </w:r>
      <w:r>
        <w:rPr>
          <w:rFonts w:cs="David" w:hint="cs"/>
          <w:sz w:val="28"/>
          <w:szCs w:val="28"/>
          <w:rtl/>
        </w:rPr>
        <w:t xml:space="preserve">. </w:t>
      </w:r>
    </w:p>
    <w:p w14:paraId="344F59C8" w14:textId="4838D644" w:rsidR="006A386E" w:rsidRDefault="006A386E" w:rsidP="00556A59">
      <w:pPr>
        <w:numPr>
          <w:ilvl w:val="0"/>
          <w:numId w:val="1"/>
        </w:numPr>
        <w:tabs>
          <w:tab w:val="left" w:pos="282"/>
        </w:tabs>
        <w:spacing w:after="0" w:line="336" w:lineRule="auto"/>
        <w:ind w:left="-1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המשיב נעצר ביום 14 ביולי 2024. כתב האישום שהוגש ביום 19 באוגוסט 2024 ייחס למשיב עבירות של סחר בצוותא בסמים מסוכנים, לפי סעיפים 13 ו-19א לפקודת הסמים המסוכנים [נוסח חדש], </w:t>
      </w:r>
      <w:proofErr w:type="spellStart"/>
      <w:r>
        <w:rPr>
          <w:rFonts w:cs="David" w:hint="cs"/>
          <w:sz w:val="28"/>
          <w:szCs w:val="28"/>
          <w:rtl/>
        </w:rPr>
        <w:t>התשל"ג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2C2C5A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1973, </w:t>
      </w:r>
      <w:r w:rsidR="00D56313">
        <w:rPr>
          <w:rFonts w:cs="David" w:hint="cs"/>
          <w:sz w:val="28"/>
          <w:szCs w:val="28"/>
          <w:rtl/>
        </w:rPr>
        <w:t>בצירוף סעיף 29</w:t>
      </w:r>
      <w:r>
        <w:rPr>
          <w:rFonts w:cs="David" w:hint="cs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לחוק העונשין, </w:t>
      </w:r>
      <w:proofErr w:type="spellStart"/>
      <w:r>
        <w:rPr>
          <w:rFonts w:cs="David" w:hint="cs"/>
          <w:sz w:val="28"/>
          <w:szCs w:val="28"/>
          <w:rtl/>
        </w:rPr>
        <w:t>התשל"ז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2C2C5A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1977, </w:t>
      </w:r>
      <w:r w:rsidR="00D56313">
        <w:rPr>
          <w:rFonts w:cs="David" w:hint="cs"/>
          <w:sz w:val="28"/>
          <w:szCs w:val="28"/>
          <w:rtl/>
        </w:rPr>
        <w:t xml:space="preserve">שימוש והחזקה </w:t>
      </w:r>
      <w:r w:rsidR="00D56313">
        <w:rPr>
          <w:rFonts w:cs="David" w:hint="cs"/>
          <w:sz w:val="28"/>
          <w:szCs w:val="28"/>
          <w:rtl/>
        </w:rPr>
        <w:lastRenderedPageBreak/>
        <w:t>בסם מסוכן</w:t>
      </w:r>
      <w:r>
        <w:rPr>
          <w:rFonts w:cs="David" w:hint="cs"/>
          <w:sz w:val="28"/>
          <w:szCs w:val="28"/>
          <w:rtl/>
        </w:rPr>
        <w:t xml:space="preserve"> לפי סעי</w:t>
      </w:r>
      <w:r w:rsidR="00D56313">
        <w:rPr>
          <w:rFonts w:cs="David" w:hint="cs"/>
          <w:sz w:val="28"/>
          <w:szCs w:val="28"/>
          <w:rtl/>
        </w:rPr>
        <w:t>פים</w:t>
      </w:r>
      <w:r>
        <w:rPr>
          <w:rFonts w:cs="David" w:hint="cs"/>
          <w:sz w:val="28"/>
          <w:szCs w:val="28"/>
          <w:rtl/>
        </w:rPr>
        <w:t xml:space="preserve"> </w:t>
      </w:r>
      <w:r w:rsidR="00D56313">
        <w:rPr>
          <w:rFonts w:cs="David" w:hint="cs"/>
          <w:sz w:val="28"/>
          <w:szCs w:val="28"/>
          <w:rtl/>
        </w:rPr>
        <w:t>7(א) ו-7(ג) סיפא</w:t>
      </w:r>
      <w:r>
        <w:rPr>
          <w:rFonts w:cs="David" w:hint="cs"/>
          <w:sz w:val="28"/>
          <w:szCs w:val="28"/>
          <w:rtl/>
        </w:rPr>
        <w:t xml:space="preserve"> לפקודת הסמים המסוכנים</w:t>
      </w:r>
      <w:r w:rsidR="00D56313">
        <w:rPr>
          <w:rFonts w:cs="David" w:hint="cs"/>
          <w:sz w:val="28"/>
          <w:szCs w:val="28"/>
          <w:rtl/>
        </w:rPr>
        <w:t>, הוצאת נשק מרשות הצבא, לפי סעיף 78 לחוק השיפוט הצבאי (שנמחק בשלב מאוחר יותר</w:t>
      </w:r>
      <w:r w:rsidR="00E273DD">
        <w:rPr>
          <w:rFonts w:cs="David" w:hint="cs"/>
          <w:sz w:val="28"/>
          <w:szCs w:val="28"/>
          <w:rtl/>
        </w:rPr>
        <w:t>,</w:t>
      </w:r>
      <w:r w:rsidR="00D56313">
        <w:rPr>
          <w:rFonts w:cs="David" w:hint="cs"/>
          <w:sz w:val="28"/>
          <w:szCs w:val="28"/>
          <w:rtl/>
        </w:rPr>
        <w:t xml:space="preserve"> בכתב </w:t>
      </w:r>
      <w:r w:rsidR="00E273DD">
        <w:rPr>
          <w:rFonts w:cs="David" w:hint="cs"/>
          <w:sz w:val="28"/>
          <w:szCs w:val="28"/>
          <w:rtl/>
        </w:rPr>
        <w:t>ה</w:t>
      </w:r>
      <w:r w:rsidR="00D56313">
        <w:rPr>
          <w:rFonts w:cs="David" w:hint="cs"/>
          <w:sz w:val="28"/>
          <w:szCs w:val="28"/>
          <w:rtl/>
        </w:rPr>
        <w:t xml:space="preserve">אישום </w:t>
      </w:r>
      <w:r w:rsidR="00E273DD">
        <w:rPr>
          <w:rFonts w:cs="David" w:hint="cs"/>
          <w:sz w:val="28"/>
          <w:szCs w:val="28"/>
          <w:rtl/>
        </w:rPr>
        <w:t>ה</w:t>
      </w:r>
      <w:r w:rsidR="00D56313">
        <w:rPr>
          <w:rFonts w:cs="David" w:hint="cs"/>
          <w:sz w:val="28"/>
          <w:szCs w:val="28"/>
          <w:rtl/>
        </w:rPr>
        <w:t xml:space="preserve">מתוקן) ועבירות בנשק (סחר), לפי סעיף 144(ב2) לחוק העונשין. </w:t>
      </w:r>
      <w:r w:rsidR="002C2C5A">
        <w:rPr>
          <w:rFonts w:cs="David" w:hint="cs"/>
          <w:sz w:val="28"/>
          <w:szCs w:val="28"/>
          <w:rtl/>
        </w:rPr>
        <w:t xml:space="preserve">נטען בכתב האישום, כי המשיב מכר לסוכן חשאי סמים מסוג </w:t>
      </w:r>
      <w:r w:rsidR="002C2C5A" w:rsidRPr="00556A59">
        <w:rPr>
          <w:rFonts w:ascii="David" w:hAnsi="David" w:cs="David"/>
          <w:sz w:val="28"/>
          <w:szCs w:val="28"/>
        </w:rPr>
        <w:t>MDMA</w:t>
      </w:r>
      <w:r w:rsidR="002C2C5A">
        <w:rPr>
          <w:rFonts w:cs="David" w:hint="cs"/>
          <w:sz w:val="28"/>
          <w:szCs w:val="28"/>
          <w:rtl/>
        </w:rPr>
        <w:t xml:space="preserve"> וקטמין במשקל 37.4 גרם נטו בתמורה ל-8,000 ש"ח, החזיק</w:t>
      </w:r>
      <w:r w:rsidR="00D015CD">
        <w:rPr>
          <w:rFonts w:cs="David" w:hint="cs"/>
          <w:sz w:val="28"/>
          <w:szCs w:val="28"/>
          <w:rtl/>
        </w:rPr>
        <w:t xml:space="preserve"> בארבעה</w:t>
      </w:r>
      <w:r w:rsidR="002C2C5A">
        <w:rPr>
          <w:rFonts w:cs="David" w:hint="cs"/>
          <w:sz w:val="28"/>
          <w:szCs w:val="28"/>
          <w:rtl/>
        </w:rPr>
        <w:t xml:space="preserve"> גרם של הסמים האמורים ואף השתמש בהם; וכן כי מכר לסוכן חשאי שני רימוני הלם תמורת 1,300 ש"ח. </w:t>
      </w:r>
      <w:r>
        <w:rPr>
          <w:rFonts w:cs="David" w:hint="cs"/>
          <w:sz w:val="28"/>
          <w:szCs w:val="28"/>
          <w:rtl/>
        </w:rPr>
        <w:t>מעצרו של המשיב הוארך</w:t>
      </w:r>
      <w:r w:rsidR="002C2C5A">
        <w:rPr>
          <w:rFonts w:cs="David" w:hint="cs"/>
          <w:sz w:val="28"/>
          <w:szCs w:val="28"/>
          <w:rtl/>
        </w:rPr>
        <w:t>, על דעת הצדדים,</w:t>
      </w:r>
      <w:r>
        <w:rPr>
          <w:rFonts w:cs="David" w:hint="cs"/>
          <w:sz w:val="28"/>
          <w:szCs w:val="28"/>
          <w:rtl/>
        </w:rPr>
        <w:t xml:space="preserve"> עד תום ההליכים בעניינו. </w:t>
      </w:r>
    </w:p>
    <w:p w14:paraId="633425D8" w14:textId="36ABDA74" w:rsidR="006A386E" w:rsidRDefault="002C2C5A" w:rsidP="00556A59">
      <w:pPr>
        <w:numPr>
          <w:ilvl w:val="0"/>
          <w:numId w:val="1"/>
        </w:numPr>
        <w:tabs>
          <w:tab w:val="left" w:pos="282"/>
        </w:tabs>
        <w:spacing w:after="0" w:line="336" w:lineRule="auto"/>
        <w:ind w:left="-1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נמסר כי </w:t>
      </w:r>
      <w:r w:rsidR="006A386E">
        <w:rPr>
          <w:rFonts w:cs="David" w:hint="cs"/>
          <w:sz w:val="28"/>
          <w:szCs w:val="28"/>
          <w:rtl/>
        </w:rPr>
        <w:t xml:space="preserve">בתיק התקיימו מספר דיונים מקדמיים ובהם הליך גישור ועתירה לגילוי ראיה חסויה. הצדדים הגיעו להסכמות </w:t>
      </w:r>
      <w:r w:rsidR="00D56313">
        <w:rPr>
          <w:rFonts w:cs="David" w:hint="cs"/>
          <w:sz w:val="28"/>
          <w:szCs w:val="28"/>
          <w:rtl/>
        </w:rPr>
        <w:t>חלקיות</w:t>
      </w:r>
      <w:r>
        <w:rPr>
          <w:rFonts w:cs="David" w:hint="cs"/>
          <w:sz w:val="28"/>
          <w:szCs w:val="28"/>
          <w:rtl/>
        </w:rPr>
        <w:t xml:space="preserve"> (שהובילו, כאמור, גם למחיקת אחד מפרטי האישום)</w:t>
      </w:r>
      <w:r w:rsidR="00D56313">
        <w:rPr>
          <w:rFonts w:cs="David" w:hint="cs"/>
          <w:sz w:val="28"/>
          <w:szCs w:val="28"/>
          <w:rtl/>
        </w:rPr>
        <w:t xml:space="preserve">, אולם </w:t>
      </w:r>
      <w:r>
        <w:rPr>
          <w:rFonts w:cs="David" w:hint="cs"/>
          <w:sz w:val="28"/>
          <w:szCs w:val="28"/>
          <w:rtl/>
        </w:rPr>
        <w:t xml:space="preserve">בחודש מארס 2025, </w:t>
      </w:r>
      <w:r w:rsidR="00D015CD">
        <w:rPr>
          <w:rFonts w:cs="David" w:hint="cs"/>
          <w:sz w:val="28"/>
          <w:szCs w:val="28"/>
          <w:rtl/>
        </w:rPr>
        <w:t xml:space="preserve">בטרם הוצגו ההסכמות האמורות, </w:t>
      </w:r>
      <w:r>
        <w:rPr>
          <w:rFonts w:cs="David" w:hint="cs"/>
          <w:sz w:val="28"/>
          <w:szCs w:val="28"/>
          <w:rtl/>
        </w:rPr>
        <w:t xml:space="preserve">ביקש </w:t>
      </w:r>
      <w:r w:rsidR="00556A59">
        <w:rPr>
          <w:rFonts w:cs="David" w:hint="cs"/>
          <w:sz w:val="28"/>
          <w:szCs w:val="28"/>
          <w:rtl/>
        </w:rPr>
        <w:t>המשיב</w:t>
      </w:r>
      <w:r w:rsidR="00E273DD">
        <w:rPr>
          <w:rFonts w:cs="David" w:hint="cs"/>
          <w:sz w:val="28"/>
          <w:szCs w:val="28"/>
          <w:rtl/>
        </w:rPr>
        <w:t xml:space="preserve"> להתיר את החלפת ייצוגו בתיק</w:t>
      </w:r>
      <w:r>
        <w:rPr>
          <w:rFonts w:cs="David" w:hint="cs"/>
          <w:sz w:val="28"/>
          <w:szCs w:val="28"/>
          <w:rtl/>
        </w:rPr>
        <w:t>. בית הדין קמא נעתר לבקשה, ונקבעו בתיק ישיבות לשמיעת ראיות במהלך ה</w:t>
      </w:r>
      <w:r w:rsidR="006A386E" w:rsidRPr="0060023D">
        <w:rPr>
          <w:rFonts w:cs="David" w:hint="cs"/>
          <w:sz w:val="28"/>
          <w:szCs w:val="28"/>
          <w:rtl/>
        </w:rPr>
        <w:t>חודש</w:t>
      </w:r>
      <w:r w:rsidR="00E273DD">
        <w:rPr>
          <w:rFonts w:cs="David" w:hint="cs"/>
          <w:sz w:val="28"/>
          <w:szCs w:val="28"/>
          <w:rtl/>
        </w:rPr>
        <w:t>ים מאי ויוני</w:t>
      </w:r>
      <w:r w:rsidR="006A386E" w:rsidRPr="0060023D">
        <w:rPr>
          <w:rFonts w:cs="David" w:hint="cs"/>
          <w:sz w:val="28"/>
          <w:szCs w:val="28"/>
          <w:rtl/>
        </w:rPr>
        <w:t xml:space="preserve"> 202</w:t>
      </w:r>
      <w:r w:rsidR="00E273DD">
        <w:rPr>
          <w:rFonts w:cs="David" w:hint="cs"/>
          <w:sz w:val="28"/>
          <w:szCs w:val="28"/>
          <w:rtl/>
        </w:rPr>
        <w:t>5</w:t>
      </w:r>
      <w:r w:rsidR="006A386E">
        <w:rPr>
          <w:rFonts w:cs="David" w:hint="cs"/>
          <w:sz w:val="28"/>
          <w:szCs w:val="28"/>
          <w:rtl/>
        </w:rPr>
        <w:t xml:space="preserve">. </w:t>
      </w:r>
    </w:p>
    <w:p w14:paraId="629CC7A7" w14:textId="79E86330" w:rsidR="006A386E" w:rsidRPr="000A7348" w:rsidRDefault="006A386E" w:rsidP="00556A59">
      <w:pPr>
        <w:numPr>
          <w:ilvl w:val="0"/>
          <w:numId w:val="1"/>
        </w:numPr>
        <w:tabs>
          <w:tab w:val="left" w:pos="282"/>
        </w:tabs>
        <w:spacing w:after="0" w:line="336" w:lineRule="auto"/>
        <w:ind w:left="-1" w:firstLine="0"/>
        <w:jc w:val="both"/>
        <w:rPr>
          <w:rFonts w:cs="David"/>
          <w:sz w:val="28"/>
          <w:szCs w:val="28"/>
          <w:rtl/>
        </w:rPr>
      </w:pPr>
      <w:r w:rsidRPr="000A7348">
        <w:rPr>
          <w:rFonts w:cs="David" w:hint="cs"/>
          <w:sz w:val="28"/>
          <w:szCs w:val="28"/>
          <w:rtl/>
        </w:rPr>
        <w:t xml:space="preserve">בנסיבות אלה, בשים לב לטיב העבירות המיוחסות למשיב בכתב האישום, </w:t>
      </w:r>
      <w:r w:rsidRPr="000A7348">
        <w:rPr>
          <w:rFonts w:cs="David" w:hint="eastAsia"/>
          <w:sz w:val="28"/>
          <w:szCs w:val="28"/>
          <w:rtl/>
        </w:rPr>
        <w:t>לקיומן</w:t>
      </w:r>
      <w:r w:rsidRPr="000A7348">
        <w:rPr>
          <w:rFonts w:cs="David"/>
          <w:sz w:val="28"/>
          <w:szCs w:val="28"/>
          <w:rtl/>
        </w:rPr>
        <w:t xml:space="preserve"> של עילות מעצר</w:t>
      </w:r>
      <w:r w:rsidR="002C2C5A">
        <w:rPr>
          <w:rFonts w:cs="David" w:hint="cs"/>
          <w:sz w:val="28"/>
          <w:szCs w:val="28"/>
          <w:rtl/>
        </w:rPr>
        <w:t xml:space="preserve"> מובהקות בנסיבות העניין</w:t>
      </w:r>
      <w:r w:rsidRPr="000A7348">
        <w:rPr>
          <w:rFonts w:cs="David"/>
          <w:sz w:val="28"/>
          <w:szCs w:val="28"/>
          <w:rtl/>
        </w:rPr>
        <w:t xml:space="preserve">, </w:t>
      </w:r>
      <w:r w:rsidRPr="000A7348">
        <w:rPr>
          <w:rFonts w:cs="David" w:hint="eastAsia"/>
          <w:sz w:val="28"/>
          <w:szCs w:val="28"/>
          <w:rtl/>
        </w:rPr>
        <w:t>לכך</w:t>
      </w:r>
      <w:r w:rsidRPr="000A7348">
        <w:rPr>
          <w:rFonts w:cs="David"/>
          <w:sz w:val="28"/>
          <w:szCs w:val="28"/>
          <w:rtl/>
        </w:rPr>
        <w:t xml:space="preserve"> </w:t>
      </w:r>
      <w:r w:rsidRPr="000A7348">
        <w:rPr>
          <w:rFonts w:cs="David" w:hint="eastAsia"/>
          <w:sz w:val="28"/>
          <w:szCs w:val="28"/>
          <w:rtl/>
        </w:rPr>
        <w:t>שבתיק</w:t>
      </w:r>
      <w:r w:rsidRPr="000A7348">
        <w:rPr>
          <w:rFonts w:cs="David"/>
          <w:sz w:val="28"/>
          <w:szCs w:val="28"/>
          <w:rtl/>
        </w:rPr>
        <w:t xml:space="preserve"> </w:t>
      </w:r>
      <w:r w:rsidRPr="000A7348">
        <w:rPr>
          <w:rFonts w:cs="David" w:hint="eastAsia"/>
          <w:sz w:val="28"/>
          <w:szCs w:val="28"/>
          <w:rtl/>
        </w:rPr>
        <w:t>נקבעו</w:t>
      </w:r>
      <w:r w:rsidRPr="000A7348">
        <w:rPr>
          <w:rFonts w:cs="David"/>
          <w:sz w:val="28"/>
          <w:szCs w:val="28"/>
          <w:rtl/>
        </w:rPr>
        <w:t xml:space="preserve"> </w:t>
      </w:r>
      <w:r w:rsidRPr="000A7348">
        <w:rPr>
          <w:rFonts w:cs="David" w:hint="eastAsia"/>
          <w:sz w:val="28"/>
          <w:szCs w:val="28"/>
          <w:rtl/>
        </w:rPr>
        <w:t>ישיבות</w:t>
      </w:r>
      <w:r w:rsidRPr="000A7348">
        <w:rPr>
          <w:rFonts w:cs="David"/>
          <w:sz w:val="28"/>
          <w:szCs w:val="28"/>
          <w:rtl/>
        </w:rPr>
        <w:t xml:space="preserve"> </w:t>
      </w:r>
      <w:r w:rsidRPr="000A7348">
        <w:rPr>
          <w:rFonts w:cs="David" w:hint="eastAsia"/>
          <w:sz w:val="28"/>
          <w:szCs w:val="28"/>
          <w:rtl/>
        </w:rPr>
        <w:t>לשמיעת</w:t>
      </w:r>
      <w:r w:rsidRPr="000A7348">
        <w:rPr>
          <w:rFonts w:cs="David"/>
          <w:sz w:val="28"/>
          <w:szCs w:val="28"/>
          <w:rtl/>
        </w:rPr>
        <w:t xml:space="preserve"> </w:t>
      </w:r>
      <w:r w:rsidRPr="000A7348">
        <w:rPr>
          <w:rFonts w:cs="David" w:hint="eastAsia"/>
          <w:sz w:val="28"/>
          <w:szCs w:val="28"/>
          <w:rtl/>
        </w:rPr>
        <w:t>ראיות</w:t>
      </w:r>
      <w:r w:rsidRPr="000A7348">
        <w:rPr>
          <w:rFonts w:cs="David"/>
          <w:sz w:val="28"/>
          <w:szCs w:val="28"/>
          <w:rtl/>
        </w:rPr>
        <w:t xml:space="preserve"> </w:t>
      </w:r>
      <w:r w:rsidRPr="000A7348">
        <w:rPr>
          <w:rFonts w:cs="David" w:hint="eastAsia"/>
          <w:sz w:val="28"/>
          <w:szCs w:val="28"/>
          <w:rtl/>
        </w:rPr>
        <w:t>במועד</w:t>
      </w:r>
      <w:r w:rsidRPr="000A7348">
        <w:rPr>
          <w:rFonts w:cs="David"/>
          <w:sz w:val="28"/>
          <w:szCs w:val="28"/>
          <w:rtl/>
        </w:rPr>
        <w:t xml:space="preserve"> </w:t>
      </w:r>
      <w:r w:rsidRPr="000A7348">
        <w:rPr>
          <w:rFonts w:cs="David" w:hint="eastAsia"/>
          <w:sz w:val="28"/>
          <w:szCs w:val="28"/>
          <w:rtl/>
        </w:rPr>
        <w:t>קרוב</w:t>
      </w:r>
      <w:r w:rsidRPr="000A7348">
        <w:rPr>
          <w:rFonts w:cs="David"/>
          <w:sz w:val="28"/>
          <w:szCs w:val="28"/>
          <w:rtl/>
        </w:rPr>
        <w:t xml:space="preserve"> ולאור </w:t>
      </w:r>
      <w:r w:rsidRPr="000A7348">
        <w:rPr>
          <w:rFonts w:cs="David" w:hint="cs"/>
          <w:sz w:val="28"/>
          <w:szCs w:val="28"/>
          <w:rtl/>
        </w:rPr>
        <w:t>עמדת הצדדים כאמור,</w:t>
      </w:r>
      <w:r w:rsidRPr="000A7348">
        <w:rPr>
          <w:rFonts w:cs="David"/>
          <w:sz w:val="28"/>
          <w:szCs w:val="28"/>
          <w:rtl/>
        </w:rPr>
        <w:t xml:space="preserve"> אני נעתרת לבקשת התביעה. </w:t>
      </w:r>
      <w:r w:rsidRPr="000A7348">
        <w:rPr>
          <w:rFonts w:cs="David" w:hint="eastAsia"/>
          <w:sz w:val="28"/>
          <w:szCs w:val="28"/>
          <w:rtl/>
        </w:rPr>
        <w:t>מעצרו</w:t>
      </w:r>
      <w:r w:rsidRPr="000A7348">
        <w:rPr>
          <w:rFonts w:cs="David"/>
          <w:sz w:val="28"/>
          <w:szCs w:val="28"/>
          <w:rtl/>
        </w:rPr>
        <w:t xml:space="preserve"> של המשיב יוארך </w:t>
      </w:r>
      <w:r w:rsidR="00E273DD">
        <w:rPr>
          <w:rFonts w:cs="David" w:hint="cs"/>
          <w:sz w:val="28"/>
          <w:szCs w:val="28"/>
          <w:rtl/>
        </w:rPr>
        <w:t>עד ליום 17 באוגוסט 2025</w:t>
      </w:r>
      <w:r w:rsidRPr="000A7348">
        <w:rPr>
          <w:rFonts w:cs="David"/>
          <w:sz w:val="28"/>
          <w:szCs w:val="28"/>
          <w:rtl/>
        </w:rPr>
        <w:t xml:space="preserve">, </w:t>
      </w:r>
      <w:r w:rsidRPr="000A7348">
        <w:rPr>
          <w:rFonts w:cs="David" w:hint="eastAsia"/>
          <w:sz w:val="28"/>
          <w:szCs w:val="28"/>
          <w:rtl/>
        </w:rPr>
        <w:t>או</w:t>
      </w:r>
      <w:r w:rsidRPr="000A7348">
        <w:rPr>
          <w:rFonts w:cs="David"/>
          <w:sz w:val="28"/>
          <w:szCs w:val="28"/>
          <w:rtl/>
        </w:rPr>
        <w:t xml:space="preserve"> עד למתן הכרעת הדין </w:t>
      </w:r>
      <w:r w:rsidRPr="000A7348">
        <w:rPr>
          <w:rFonts w:cs="David" w:hint="cs"/>
          <w:sz w:val="28"/>
          <w:szCs w:val="28"/>
          <w:rtl/>
        </w:rPr>
        <w:t xml:space="preserve">בעניינו, לפי המועד המוקדם </w:t>
      </w:r>
      <w:proofErr w:type="spellStart"/>
      <w:r w:rsidRPr="000A7348">
        <w:rPr>
          <w:rFonts w:cs="David" w:hint="cs"/>
          <w:sz w:val="28"/>
          <w:szCs w:val="28"/>
          <w:rtl/>
        </w:rPr>
        <w:t>מביניהם</w:t>
      </w:r>
      <w:proofErr w:type="spellEnd"/>
      <w:r w:rsidRPr="000A7348">
        <w:rPr>
          <w:rFonts w:cs="David" w:hint="cs"/>
          <w:sz w:val="28"/>
          <w:szCs w:val="28"/>
          <w:rtl/>
        </w:rPr>
        <w:t>.</w:t>
      </w:r>
    </w:p>
    <w:p w14:paraId="33A438FF" w14:textId="77777777" w:rsidR="006A386E" w:rsidRDefault="006A386E" w:rsidP="00556A59">
      <w:pPr>
        <w:tabs>
          <w:tab w:val="left" w:pos="282"/>
        </w:tabs>
        <w:spacing w:after="0" w:line="336" w:lineRule="auto"/>
        <w:ind w:left="-1"/>
        <w:jc w:val="both"/>
        <w:rPr>
          <w:rFonts w:cs="David"/>
          <w:sz w:val="28"/>
          <w:szCs w:val="28"/>
          <w:rtl/>
        </w:rPr>
      </w:pPr>
    </w:p>
    <w:p w14:paraId="3E2B549F" w14:textId="2692BFA9" w:rsidR="006A386E" w:rsidRDefault="006A386E" w:rsidP="00556A59">
      <w:pPr>
        <w:tabs>
          <w:tab w:val="left" w:pos="282"/>
        </w:tabs>
        <w:spacing w:after="0" w:line="336" w:lineRule="auto"/>
        <w:ind w:left="-1"/>
        <w:jc w:val="both"/>
        <w:rPr>
          <w:rFonts w:ascii="David" w:hAnsi="David" w:cs="David"/>
          <w:sz w:val="28"/>
          <w:szCs w:val="28"/>
          <w:rtl/>
        </w:rPr>
      </w:pPr>
      <w:r w:rsidRPr="00247C7A">
        <w:rPr>
          <w:rFonts w:ascii="David" w:hAnsi="David" w:cs="David" w:hint="cs"/>
          <w:sz w:val="28"/>
          <w:szCs w:val="28"/>
          <w:rtl/>
        </w:rPr>
        <w:t>ניתנה היום</w:t>
      </w:r>
      <w:r>
        <w:rPr>
          <w:rFonts w:ascii="David" w:hAnsi="David" w:cs="David" w:hint="cs"/>
          <w:sz w:val="28"/>
          <w:szCs w:val="28"/>
          <w:rtl/>
        </w:rPr>
        <w:t xml:space="preserve">, </w:t>
      </w:r>
      <w:r w:rsidR="00E273DD">
        <w:rPr>
          <w:rFonts w:ascii="David" w:hAnsi="David" w:cs="David" w:hint="cs"/>
          <w:sz w:val="28"/>
          <w:szCs w:val="28"/>
          <w:rtl/>
        </w:rPr>
        <w:t>ז</w:t>
      </w:r>
      <w:r>
        <w:rPr>
          <w:rFonts w:ascii="David" w:hAnsi="David" w:cs="David" w:hint="cs"/>
          <w:sz w:val="28"/>
          <w:szCs w:val="28"/>
          <w:rtl/>
        </w:rPr>
        <w:t>' ב</w:t>
      </w:r>
      <w:r w:rsidR="00E273DD">
        <w:rPr>
          <w:rFonts w:ascii="David" w:hAnsi="David" w:cs="David" w:hint="cs"/>
          <w:sz w:val="28"/>
          <w:szCs w:val="28"/>
          <w:rtl/>
        </w:rPr>
        <w:t>אייר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התשפ"ה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r w:rsidR="00E273DD">
        <w:rPr>
          <w:rFonts w:ascii="David" w:hAnsi="David" w:cs="David" w:hint="cs"/>
          <w:sz w:val="28"/>
          <w:szCs w:val="28"/>
          <w:rtl/>
        </w:rPr>
        <w:t>5</w:t>
      </w:r>
      <w:r>
        <w:rPr>
          <w:rFonts w:ascii="David" w:hAnsi="David" w:cs="David" w:hint="cs"/>
          <w:sz w:val="28"/>
          <w:szCs w:val="28"/>
          <w:rtl/>
        </w:rPr>
        <w:t xml:space="preserve"> ב</w:t>
      </w:r>
      <w:r w:rsidR="00E273DD">
        <w:rPr>
          <w:rFonts w:ascii="David" w:hAnsi="David" w:cs="David" w:hint="cs"/>
          <w:sz w:val="28"/>
          <w:szCs w:val="28"/>
          <w:rtl/>
        </w:rPr>
        <w:t>מאי</w:t>
      </w:r>
      <w:r>
        <w:rPr>
          <w:rFonts w:ascii="David" w:hAnsi="David" w:cs="David" w:hint="cs"/>
          <w:sz w:val="28"/>
          <w:szCs w:val="28"/>
          <w:rtl/>
        </w:rPr>
        <w:t xml:space="preserve"> 202</w:t>
      </w:r>
      <w:r w:rsidR="00E273DD">
        <w:rPr>
          <w:rFonts w:ascii="David" w:hAnsi="David" w:cs="David" w:hint="cs"/>
          <w:sz w:val="28"/>
          <w:szCs w:val="28"/>
          <w:rtl/>
        </w:rPr>
        <w:t>5</w:t>
      </w:r>
      <w:r>
        <w:rPr>
          <w:rFonts w:ascii="David" w:hAnsi="David" w:cs="David" w:hint="cs"/>
          <w:sz w:val="28"/>
          <w:szCs w:val="28"/>
          <w:rtl/>
        </w:rPr>
        <w:t xml:space="preserve">, בפומבי ובנוכחות המשיב. </w:t>
      </w:r>
    </w:p>
    <w:p w14:paraId="1F5A2444" w14:textId="77777777" w:rsidR="006A386E" w:rsidRDefault="006A386E" w:rsidP="00556A59">
      <w:pPr>
        <w:tabs>
          <w:tab w:val="left" w:pos="282"/>
        </w:tabs>
        <w:spacing w:after="0" w:line="336" w:lineRule="auto"/>
        <w:ind w:left="-1"/>
        <w:jc w:val="both"/>
        <w:rPr>
          <w:rFonts w:ascii="David" w:hAnsi="David" w:cs="David"/>
          <w:sz w:val="28"/>
          <w:szCs w:val="28"/>
          <w:rtl/>
        </w:rPr>
      </w:pPr>
    </w:p>
    <w:p w14:paraId="61349040" w14:textId="319C480D" w:rsidR="006A386E" w:rsidRPr="00B54F91" w:rsidRDefault="006A386E" w:rsidP="00556A59">
      <w:pPr>
        <w:spacing w:after="0" w:line="336" w:lineRule="auto"/>
        <w:ind w:left="848" w:right="-142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="00892836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________________________</w:t>
      </w:r>
    </w:p>
    <w:p w14:paraId="388EBF84" w14:textId="05827AD5" w:rsidR="006A386E" w:rsidRPr="00247C7A" w:rsidRDefault="006A386E" w:rsidP="00556A59">
      <w:pPr>
        <w:keepNext/>
        <w:spacing w:after="0" w:line="336" w:lineRule="auto"/>
        <w:ind w:left="848" w:right="-142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892836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אל"ם           מאיה      גולדשמידט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</w:p>
    <w:p w14:paraId="575603BE" w14:textId="69872B1B" w:rsidR="006A386E" w:rsidRPr="00247C7A" w:rsidRDefault="006A386E" w:rsidP="00556A59">
      <w:pPr>
        <w:keepNext/>
        <w:spacing w:after="0" w:line="336" w:lineRule="auto"/>
        <w:ind w:left="848" w:right="-142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892836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שופטת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>בית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הדין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הצבאי</w:t>
      </w:r>
    </w:p>
    <w:p w14:paraId="19DA733B" w14:textId="2A0623F8" w:rsidR="006A386E" w:rsidRDefault="006A386E" w:rsidP="00556A59">
      <w:pPr>
        <w:spacing w:after="0" w:line="336" w:lineRule="auto"/>
        <w:ind w:left="848" w:right="-142"/>
        <w:jc w:val="both"/>
        <w:rPr>
          <w:rFonts w:ascii="Times New Roman" w:eastAsia="Times New Roman" w:hAnsi="Times New Roman" w:cs="David"/>
          <w:sz w:val="20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892836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ל     ע     ר     ע      ו      ר      י     ם</w:t>
      </w:r>
    </w:p>
    <w:p w14:paraId="1274ADB3" w14:textId="77777777" w:rsidR="00892836" w:rsidRDefault="00892836" w:rsidP="00556A59">
      <w:pPr>
        <w:spacing w:after="0" w:line="336" w:lineRule="auto"/>
        <w:ind w:left="848" w:right="-142"/>
        <w:jc w:val="both"/>
        <w:rPr>
          <w:rFonts w:ascii="Times New Roman" w:eastAsia="Times New Roman" w:hAnsi="Times New Roman" w:cs="David"/>
          <w:sz w:val="20"/>
          <w:szCs w:val="28"/>
          <w:rtl/>
        </w:rPr>
      </w:pPr>
    </w:p>
    <w:p w14:paraId="11095538" w14:textId="7FE763AE" w:rsidR="006247B5" w:rsidRPr="00405BC8" w:rsidRDefault="006247B5" w:rsidP="006247B5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bookmarkStart w:id="2" w:name="_Hlk122599666"/>
      <w:bookmarkStart w:id="3" w:name="_Hlk141797760"/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נאמן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למקור             </w:t>
      </w:r>
    </w:p>
    <w:p w14:paraId="2E17124C" w14:textId="62B3862A" w:rsidR="006247B5" w:rsidRPr="00405BC8" w:rsidRDefault="006247B5" w:rsidP="006247B5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סמ"ר         מיקה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אשרוב</w:t>
      </w:r>
      <w:proofErr w:type="spellEnd"/>
    </w:p>
    <w:p w14:paraId="4625B5FD" w14:textId="4CC3E7FA" w:rsidR="006247B5" w:rsidRPr="00405BC8" w:rsidRDefault="006247B5" w:rsidP="006247B5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>תאריך: ____________________________________        קצי</w:t>
      </w:r>
      <w:r>
        <w:rPr>
          <w:rFonts w:ascii="David" w:hAnsi="David" w:cs="David" w:hint="cs"/>
          <w:b/>
          <w:bCs/>
          <w:sz w:val="28"/>
          <w:szCs w:val="28"/>
          <w:rtl/>
        </w:rPr>
        <w:t>נת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    בית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הדין</w:t>
      </w:r>
      <w:bookmarkEnd w:id="2"/>
    </w:p>
    <w:bookmarkEnd w:id="3"/>
    <w:p w14:paraId="6462C9C4" w14:textId="77777777" w:rsidR="00892836" w:rsidRDefault="00892836" w:rsidP="00556A59">
      <w:pPr>
        <w:spacing w:after="0" w:line="336" w:lineRule="auto"/>
        <w:ind w:left="848" w:right="-142"/>
        <w:jc w:val="both"/>
        <w:rPr>
          <w:rFonts w:ascii="Times New Roman" w:eastAsia="Times New Roman" w:hAnsi="Times New Roman" w:cs="David"/>
          <w:sz w:val="20"/>
          <w:szCs w:val="28"/>
          <w:rtl/>
        </w:rPr>
      </w:pPr>
    </w:p>
    <w:p w14:paraId="1408E320" w14:textId="77777777" w:rsidR="00F87282" w:rsidRDefault="00F87282" w:rsidP="00556A59">
      <w:pPr>
        <w:spacing w:after="0" w:line="336" w:lineRule="auto"/>
      </w:pPr>
    </w:p>
    <w:sectPr w:rsidR="00F87282" w:rsidSect="00892836">
      <w:headerReference w:type="default" r:id="rId9"/>
      <w:footerReference w:type="default" r:id="rId10"/>
      <w:pgSz w:w="11906" w:h="16838"/>
      <w:pgMar w:top="1247" w:right="1247" w:bottom="1247" w:left="124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A1FD" w14:textId="77777777" w:rsidR="00CA6FE3" w:rsidRDefault="00CA6FE3" w:rsidP="006A386E">
      <w:pPr>
        <w:spacing w:after="0" w:line="240" w:lineRule="auto"/>
      </w:pPr>
      <w:r>
        <w:separator/>
      </w:r>
    </w:p>
  </w:endnote>
  <w:endnote w:type="continuationSeparator" w:id="0">
    <w:p w14:paraId="59BEA9C9" w14:textId="77777777" w:rsidR="00CA6FE3" w:rsidRDefault="00CA6FE3" w:rsidP="006A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avid" w:hAnsi="David" w:cs="David"/>
        <w:sz w:val="28"/>
        <w:szCs w:val="28"/>
        <w:rtl/>
      </w:rPr>
      <w:id w:val="1607849663"/>
      <w:docPartObj>
        <w:docPartGallery w:val="Page Numbers (Bottom of Page)"/>
        <w:docPartUnique/>
      </w:docPartObj>
    </w:sdtPr>
    <w:sdtEndPr/>
    <w:sdtContent>
      <w:p w14:paraId="6E9EA217" w14:textId="33ED4134" w:rsidR="009D2914" w:rsidRPr="009D2914" w:rsidRDefault="009D2914">
        <w:pPr>
          <w:pStyle w:val="Footer"/>
          <w:jc w:val="center"/>
          <w:rPr>
            <w:rFonts w:ascii="David" w:hAnsi="David" w:cs="David"/>
            <w:sz w:val="28"/>
            <w:szCs w:val="28"/>
          </w:rPr>
        </w:pPr>
        <w:r w:rsidRPr="009D2914">
          <w:rPr>
            <w:rFonts w:ascii="David" w:hAnsi="David" w:cs="David"/>
            <w:sz w:val="28"/>
            <w:szCs w:val="28"/>
          </w:rPr>
          <w:fldChar w:fldCharType="begin"/>
        </w:r>
        <w:r w:rsidRPr="009D2914">
          <w:rPr>
            <w:rFonts w:ascii="David" w:hAnsi="David" w:cs="David"/>
            <w:sz w:val="28"/>
            <w:szCs w:val="28"/>
          </w:rPr>
          <w:instrText xml:space="preserve"> PAGE   \* MERGEFORMAT </w:instrText>
        </w:r>
        <w:r w:rsidRPr="009D2914">
          <w:rPr>
            <w:rFonts w:ascii="David" w:hAnsi="David" w:cs="David"/>
            <w:sz w:val="28"/>
            <w:szCs w:val="28"/>
          </w:rPr>
          <w:fldChar w:fldCharType="separate"/>
        </w:r>
        <w:r w:rsidRPr="009D2914">
          <w:rPr>
            <w:rFonts w:ascii="David" w:hAnsi="David" w:cs="David"/>
            <w:noProof/>
            <w:sz w:val="28"/>
            <w:szCs w:val="28"/>
          </w:rPr>
          <w:t>2</w:t>
        </w:r>
        <w:r w:rsidRPr="009D2914">
          <w:rPr>
            <w:rFonts w:ascii="David" w:hAnsi="David" w:cs="David"/>
            <w:noProof/>
            <w:sz w:val="28"/>
            <w:szCs w:val="28"/>
          </w:rPr>
          <w:fldChar w:fldCharType="end"/>
        </w:r>
      </w:p>
    </w:sdtContent>
  </w:sdt>
  <w:p w14:paraId="2BE3094F" w14:textId="0BDE6A3F" w:rsidR="009D2914" w:rsidRDefault="009D2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227C" w14:textId="77777777" w:rsidR="00CA6FE3" w:rsidRDefault="00CA6FE3" w:rsidP="006A386E">
      <w:pPr>
        <w:spacing w:after="0" w:line="240" w:lineRule="auto"/>
      </w:pPr>
      <w:r>
        <w:separator/>
      </w:r>
    </w:p>
  </w:footnote>
  <w:footnote w:type="continuationSeparator" w:id="0">
    <w:p w14:paraId="428BE5B6" w14:textId="77777777" w:rsidR="00CA6FE3" w:rsidRDefault="00CA6FE3" w:rsidP="006A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461E" w14:textId="100E3D00" w:rsidR="0021319B" w:rsidRPr="00892836" w:rsidRDefault="00892836" w:rsidP="00892836">
    <w:pPr>
      <w:pStyle w:val="Header"/>
      <w:jc w:val="center"/>
    </w:pPr>
    <w:r>
      <w:rPr>
        <w:rFonts w:cs="David" w:hint="cs"/>
        <w:sz w:val="28"/>
        <w:szCs w:val="28"/>
        <w:rtl/>
      </w:rPr>
      <w:t xml:space="preserve">                                                                  </w:t>
    </w:r>
    <w:r w:rsidR="00361B8C">
      <w:rPr>
        <w:rFonts w:cs="David" w:hint="cs"/>
        <w:sz w:val="28"/>
        <w:szCs w:val="28"/>
        <w:rtl/>
      </w:rPr>
      <w:t>ב ל מ " ס</w:t>
    </w:r>
    <w:r>
      <w:rPr>
        <w:rFonts w:hint="cs"/>
        <w:rtl/>
      </w:rPr>
      <w:t xml:space="preserve">                                          </w:t>
    </w:r>
    <w:r w:rsidR="006A386E" w:rsidRPr="00452031">
      <w:rPr>
        <w:rFonts w:cs="David" w:hint="cs"/>
        <w:sz w:val="28"/>
        <w:szCs w:val="28"/>
        <w:rtl/>
      </w:rPr>
      <w:t>ב"ש</w:t>
    </w:r>
    <w:r w:rsidR="002C2C5A">
      <w:rPr>
        <w:rFonts w:cs="David" w:hint="cs"/>
        <w:sz w:val="28"/>
        <w:szCs w:val="28"/>
        <w:rtl/>
      </w:rPr>
      <w:t xml:space="preserve"> </w:t>
    </w:r>
    <w:r w:rsidR="006A386E">
      <w:rPr>
        <w:rFonts w:cs="David" w:hint="cs"/>
        <w:sz w:val="28"/>
        <w:szCs w:val="28"/>
        <w:rtl/>
      </w:rPr>
      <w:t>27608-04-25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D08C0"/>
    <w:multiLevelType w:val="hybridMultilevel"/>
    <w:tmpl w:val="0E80B720"/>
    <w:lvl w:ilvl="0" w:tplc="E13C7D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6E"/>
    <w:rsid w:val="002C2C5A"/>
    <w:rsid w:val="002D152C"/>
    <w:rsid w:val="00361B8C"/>
    <w:rsid w:val="00556A59"/>
    <w:rsid w:val="006247B5"/>
    <w:rsid w:val="006A386E"/>
    <w:rsid w:val="00892836"/>
    <w:rsid w:val="00950887"/>
    <w:rsid w:val="009D2914"/>
    <w:rsid w:val="00B4135B"/>
    <w:rsid w:val="00BF6F9A"/>
    <w:rsid w:val="00C1047F"/>
    <w:rsid w:val="00C64174"/>
    <w:rsid w:val="00CA6FE3"/>
    <w:rsid w:val="00D015CD"/>
    <w:rsid w:val="00D56313"/>
    <w:rsid w:val="00E273DD"/>
    <w:rsid w:val="00F8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FC4A"/>
  <w15:chartTrackingRefBased/>
  <w15:docId w15:val="{F512C7F4-DF85-4A04-857A-220608F3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"/>
    <w:qFormat/>
    <w:rsid w:val="006A386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8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6E"/>
  </w:style>
  <w:style w:type="paragraph" w:styleId="Footer">
    <w:name w:val="footer"/>
    <w:basedOn w:val="Normal"/>
    <w:link w:val="FooterChar"/>
    <w:uiPriority w:val="99"/>
    <w:unhideWhenUsed/>
    <w:rsid w:val="006A38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הדין לערעורים/עוזרת משפטית/נאיה שלום</dc:creator>
  <cp:keywords/>
  <dc:description/>
  <cp:lastModifiedBy>ארבל דו גלאון - בית הדין לערעורים/מש"ק משפט</cp:lastModifiedBy>
  <cp:revision>6</cp:revision>
  <cp:lastPrinted>2025-05-05T07:48:00Z</cp:lastPrinted>
  <dcterms:created xsi:type="dcterms:W3CDTF">2025-05-05T07:50:00Z</dcterms:created>
  <dcterms:modified xsi:type="dcterms:W3CDTF">2025-05-06T07:00:00Z</dcterms:modified>
</cp:coreProperties>
</file>