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80C7" w14:textId="77777777" w:rsidR="00E41F2B" w:rsidRDefault="00E41F2B" w:rsidP="00E41F2B">
      <w:pPr>
        <w:tabs>
          <w:tab w:val="right" w:pos="6328"/>
        </w:tabs>
        <w:spacing w:line="480" w:lineRule="auto"/>
        <w:ind w:left="1985" w:right="1985"/>
        <w:rPr>
          <w:rtl/>
        </w:rPr>
      </w:pPr>
      <w:r>
        <w:rPr>
          <w:noProof/>
        </w:rPr>
        <w:drawing>
          <wp:inline distT="0" distB="0" distL="0" distR="0" wp14:anchorId="597552DE" wp14:editId="04F9032A">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5FFB270A" wp14:editId="4115A118">
            <wp:extent cx="581025" cy="790575"/>
            <wp:effectExtent l="0" t="0" r="9525" b="9525"/>
            <wp:docPr id="4" name="Picture 4"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AC3198F" w14:textId="218B0713" w:rsidR="009F19C5" w:rsidRDefault="009F19C5" w:rsidP="009F19C5">
      <w:pPr>
        <w:bidi w:val="0"/>
        <w:spacing w:before="240" w:after="0" w:line="480" w:lineRule="auto"/>
        <w:jc w:val="center"/>
        <w:rPr>
          <w:rFonts w:ascii="Times New Roman" w:eastAsia="Times New Roman" w:hAnsi="Times New Roman"/>
          <w:b/>
          <w:bCs/>
          <w:u w:val="single"/>
        </w:rPr>
      </w:pPr>
      <w:r>
        <w:rPr>
          <w:rFonts w:ascii="Times New Roman" w:eastAsia="Times New Roman" w:hAnsi="Times New Roman" w:hint="cs"/>
          <w:b/>
          <w:bCs/>
          <w:u w:val="single"/>
          <w:rtl/>
        </w:rPr>
        <w:t>בית הדין הצבאי לערעורים</w:t>
      </w:r>
    </w:p>
    <w:p w14:paraId="6D9B1D25" w14:textId="77777777" w:rsidR="0002633B" w:rsidRPr="0002633B" w:rsidRDefault="0002633B" w:rsidP="0002633B">
      <w:pPr>
        <w:bidi w:val="0"/>
        <w:spacing w:before="240" w:after="0" w:line="480" w:lineRule="auto"/>
        <w:jc w:val="center"/>
        <w:rPr>
          <w:rFonts w:ascii="Times New Roman" w:eastAsia="Times New Roman" w:hAnsi="Times New Roman"/>
          <w:b/>
          <w:bCs/>
          <w:sz w:val="16"/>
          <w:szCs w:val="16"/>
          <w:u w:val="single"/>
        </w:rPr>
      </w:pPr>
    </w:p>
    <w:p w14:paraId="49B83B38" w14:textId="77777777" w:rsidR="009F19C5" w:rsidRPr="00393943" w:rsidRDefault="009F19C5" w:rsidP="009F19C5">
      <w:pPr>
        <w:bidi w:val="0"/>
        <w:spacing w:after="0" w:line="480" w:lineRule="auto"/>
        <w:jc w:val="right"/>
        <w:rPr>
          <w:rFonts w:ascii="Times New Roman" w:eastAsia="Times New Roman" w:hAnsi="Times New Roman"/>
          <w:rtl/>
        </w:rPr>
      </w:pPr>
      <w:r w:rsidRPr="00393943">
        <w:rPr>
          <w:rFonts w:ascii="Times New Roman" w:eastAsia="Times New Roman" w:hAnsi="Times New Roman"/>
          <w:rtl/>
        </w:rPr>
        <w:t>בפני:</w:t>
      </w:r>
    </w:p>
    <w:p w14:paraId="3BC4BCFE" w14:textId="72BA0BF3" w:rsidR="009F19C5" w:rsidRDefault="009F19C5" w:rsidP="009F19C5">
      <w:pPr>
        <w:bidi w:val="0"/>
        <w:spacing w:after="0" w:line="360" w:lineRule="auto"/>
        <w:jc w:val="center"/>
        <w:rPr>
          <w:rFonts w:ascii="Times New Roman" w:eastAsia="Times New Roman" w:hAnsi="Times New Roman"/>
          <w:rtl/>
        </w:rPr>
      </w:pPr>
      <w:r>
        <w:rPr>
          <w:rFonts w:ascii="Times New Roman" w:eastAsia="Times New Roman" w:hAnsi="Times New Roman" w:hint="cs"/>
          <w:b/>
          <w:bCs/>
          <w:rtl/>
        </w:rPr>
        <w:t>אל"ם מאיה גולדשמידט</w:t>
      </w:r>
      <w:r>
        <w:rPr>
          <w:rFonts w:ascii="Times New Roman" w:eastAsia="Times New Roman" w:hAnsi="Times New Roman"/>
          <w:b/>
          <w:bCs/>
          <w:rtl/>
        </w:rPr>
        <w:t>–</w:t>
      </w:r>
      <w:r w:rsidRPr="00393943">
        <w:rPr>
          <w:rFonts w:ascii="Times New Roman" w:eastAsia="Times New Roman" w:hAnsi="Times New Roman" w:hint="cs"/>
          <w:rtl/>
        </w:rPr>
        <w:t xml:space="preserve"> </w:t>
      </w:r>
      <w:r>
        <w:rPr>
          <w:rFonts w:ascii="Times New Roman" w:eastAsia="Times New Roman" w:hAnsi="Times New Roman" w:hint="cs"/>
          <w:rtl/>
        </w:rPr>
        <w:t>שופטת</w:t>
      </w:r>
    </w:p>
    <w:p w14:paraId="66695EB0" w14:textId="77777777" w:rsidR="0002633B" w:rsidRPr="00393943" w:rsidRDefault="0002633B" w:rsidP="0002633B">
      <w:pPr>
        <w:bidi w:val="0"/>
        <w:spacing w:after="0" w:line="360" w:lineRule="auto"/>
        <w:jc w:val="center"/>
        <w:rPr>
          <w:rFonts w:ascii="Times New Roman" w:eastAsia="Times New Roman" w:hAnsi="Times New Roman"/>
        </w:rPr>
      </w:pPr>
    </w:p>
    <w:p w14:paraId="05933A76" w14:textId="7362780D" w:rsidR="009F19C5" w:rsidRDefault="009F19C5" w:rsidP="009F19C5">
      <w:pPr>
        <w:bidi w:val="0"/>
        <w:spacing w:before="360" w:after="0" w:line="480" w:lineRule="auto"/>
        <w:ind w:left="4320"/>
        <w:jc w:val="right"/>
        <w:rPr>
          <w:rFonts w:ascii="Times New Roman" w:eastAsia="Times New Roman" w:hAnsi="Times New Roman"/>
          <w:rtl/>
        </w:rPr>
      </w:pPr>
      <w:r w:rsidRPr="00393943">
        <w:rPr>
          <w:rFonts w:ascii="Times New Roman" w:eastAsia="Times New Roman" w:hAnsi="Times New Roman"/>
          <w:rtl/>
        </w:rPr>
        <w:t>בעניין:</w:t>
      </w:r>
    </w:p>
    <w:p w14:paraId="23A47D11" w14:textId="77777777" w:rsidR="0002633B" w:rsidRPr="0002633B" w:rsidRDefault="0002633B" w:rsidP="0002633B">
      <w:pPr>
        <w:bidi w:val="0"/>
        <w:spacing w:before="360" w:after="0" w:line="480" w:lineRule="auto"/>
        <w:ind w:left="4320"/>
        <w:jc w:val="right"/>
        <w:rPr>
          <w:rFonts w:ascii="Times New Roman" w:eastAsia="Times New Roman" w:hAnsi="Times New Roman"/>
          <w:sz w:val="6"/>
          <w:szCs w:val="6"/>
          <w:rtl/>
        </w:rPr>
      </w:pPr>
    </w:p>
    <w:p w14:paraId="7C3680B4" w14:textId="0A5EB2B4" w:rsidR="009F19C5" w:rsidRPr="009F19C5" w:rsidRDefault="00CA501C" w:rsidP="009F19C5">
      <w:pPr>
        <w:spacing w:after="0"/>
        <w:jc w:val="center"/>
        <w:rPr>
          <w:rFonts w:ascii="Times New Roman" w:eastAsia="Times New Roman" w:hAnsi="Times New Roman"/>
          <w:b/>
          <w:bCs/>
        </w:rPr>
      </w:pPr>
      <w:r>
        <w:rPr>
          <w:rFonts w:ascii="Times New Roman" w:eastAsia="Times New Roman" w:hAnsi="Times New Roman" w:hint="cs"/>
          <w:b/>
          <w:bCs/>
          <w:rtl/>
        </w:rPr>
        <w:t>***</w:t>
      </w:r>
      <w:r w:rsidR="009F19C5" w:rsidRPr="009F19C5">
        <w:rPr>
          <w:rFonts w:ascii="Times New Roman" w:eastAsia="Times New Roman" w:hAnsi="Times New Roman"/>
          <w:b/>
          <w:bCs/>
          <w:rtl/>
        </w:rPr>
        <w:t xml:space="preserve"> רב"ט ש</w:t>
      </w:r>
      <w:r>
        <w:rPr>
          <w:rFonts w:ascii="Times New Roman" w:eastAsia="Times New Roman" w:hAnsi="Times New Roman" w:hint="cs"/>
          <w:b/>
          <w:bCs/>
          <w:rtl/>
        </w:rPr>
        <w:t>'</w:t>
      </w:r>
      <w:r w:rsidR="009F19C5" w:rsidRPr="009F19C5">
        <w:rPr>
          <w:rFonts w:ascii="Times New Roman" w:eastAsia="Times New Roman" w:hAnsi="Times New Roman" w:hint="cs"/>
          <w:b/>
          <w:bCs/>
          <w:rtl/>
        </w:rPr>
        <w:t xml:space="preserve"> ב</w:t>
      </w:r>
      <w:r>
        <w:rPr>
          <w:rFonts w:ascii="Times New Roman" w:eastAsia="Times New Roman" w:hAnsi="Times New Roman" w:hint="cs"/>
          <w:b/>
          <w:bCs/>
          <w:rtl/>
        </w:rPr>
        <w:t>'</w:t>
      </w:r>
      <w:r w:rsidR="009F19C5" w:rsidRPr="009F19C5">
        <w:rPr>
          <w:rFonts w:ascii="Times New Roman" w:eastAsia="Times New Roman" w:hAnsi="Times New Roman" w:hint="cs"/>
          <w:b/>
          <w:bCs/>
          <w:rtl/>
        </w:rPr>
        <w:t xml:space="preserve"> </w:t>
      </w:r>
      <w:r w:rsidR="009F19C5">
        <w:rPr>
          <w:rFonts w:ascii="Times New Roman" w:eastAsia="Times New Roman" w:hAnsi="Times New Roman" w:hint="cs"/>
          <w:b/>
          <w:bCs/>
          <w:rtl/>
        </w:rPr>
        <w:t xml:space="preserve"> </w:t>
      </w:r>
      <w:r w:rsidR="009F19C5" w:rsidRPr="00393943">
        <w:rPr>
          <w:rFonts w:ascii="Times New Roman" w:eastAsia="Times New Roman" w:hAnsi="Times New Roman"/>
          <w:b/>
          <w:bCs/>
          <w:rtl/>
        </w:rPr>
        <w:t>–</w:t>
      </w:r>
      <w:r w:rsidR="009F19C5" w:rsidRPr="00393943">
        <w:rPr>
          <w:rFonts w:ascii="Times New Roman" w:eastAsia="Times New Roman" w:hAnsi="Times New Roman"/>
          <w:rtl/>
        </w:rPr>
        <w:t xml:space="preserve"> ה</w:t>
      </w:r>
      <w:r w:rsidR="009F19C5">
        <w:rPr>
          <w:rFonts w:ascii="Times New Roman" w:eastAsia="Times New Roman" w:hAnsi="Times New Roman" w:hint="cs"/>
          <w:rtl/>
        </w:rPr>
        <w:t>מערער</w:t>
      </w:r>
      <w:r w:rsidR="00D2109D">
        <w:rPr>
          <w:rFonts w:ascii="Times New Roman" w:eastAsia="Times New Roman" w:hAnsi="Times New Roman" w:hint="cs"/>
          <w:rtl/>
        </w:rPr>
        <w:t>ת</w:t>
      </w:r>
      <w:r w:rsidR="009F19C5" w:rsidRPr="00393943">
        <w:rPr>
          <w:rFonts w:ascii="Times New Roman" w:eastAsia="Times New Roman" w:hAnsi="Times New Roman"/>
          <w:rtl/>
        </w:rPr>
        <w:t xml:space="preserve"> (ע"י ב"כ,</w:t>
      </w:r>
      <w:r w:rsidR="009F19C5" w:rsidRPr="00393943">
        <w:rPr>
          <w:rFonts w:ascii="Times New Roman" w:eastAsia="Times New Roman" w:hAnsi="Times New Roman" w:hint="cs"/>
          <w:rtl/>
        </w:rPr>
        <w:t xml:space="preserve"> </w:t>
      </w:r>
      <w:r w:rsidR="009F19C5">
        <w:rPr>
          <w:rFonts w:ascii="Times New Roman" w:eastAsia="Times New Roman" w:hAnsi="Times New Roman" w:hint="cs"/>
          <w:rtl/>
        </w:rPr>
        <w:t>סרן אמיר גונמן; סרן ליאורה ליקאונט</w:t>
      </w:r>
      <w:r w:rsidR="009F19C5" w:rsidRPr="00393943">
        <w:rPr>
          <w:rFonts w:ascii="Times New Roman" w:eastAsia="Times New Roman" w:hAnsi="Times New Roman" w:hint="cs"/>
          <w:rtl/>
        </w:rPr>
        <w:t>)</w:t>
      </w:r>
    </w:p>
    <w:p w14:paraId="51F4704D" w14:textId="77777777" w:rsidR="009F19C5" w:rsidRPr="00393943" w:rsidRDefault="009F19C5" w:rsidP="009F19C5">
      <w:pPr>
        <w:bidi w:val="0"/>
        <w:spacing w:after="0" w:line="360" w:lineRule="auto"/>
        <w:jc w:val="center"/>
        <w:rPr>
          <w:rFonts w:ascii="Times New Roman" w:eastAsia="Times New Roman" w:hAnsi="Times New Roman"/>
        </w:rPr>
      </w:pPr>
    </w:p>
    <w:p w14:paraId="29851E01" w14:textId="785EAFD7" w:rsidR="009F19C5" w:rsidRDefault="009F19C5" w:rsidP="006D1B8A">
      <w:pPr>
        <w:bidi w:val="0"/>
        <w:spacing w:before="240" w:after="0" w:line="360" w:lineRule="auto"/>
        <w:jc w:val="center"/>
        <w:rPr>
          <w:rFonts w:ascii="Times New Roman" w:eastAsia="Times New Roman" w:hAnsi="Times New Roman"/>
          <w:b/>
          <w:bCs/>
          <w:rtl/>
        </w:rPr>
      </w:pPr>
      <w:r w:rsidRPr="00393943">
        <w:rPr>
          <w:rFonts w:ascii="Times New Roman" w:eastAsia="Times New Roman" w:hAnsi="Times New Roman"/>
          <w:b/>
          <w:bCs/>
          <w:rtl/>
        </w:rPr>
        <w:t>נ ג ד</w:t>
      </w:r>
    </w:p>
    <w:p w14:paraId="638CD3EC" w14:textId="77777777" w:rsidR="0002633B" w:rsidRPr="0002633B" w:rsidRDefault="0002633B" w:rsidP="0002633B">
      <w:pPr>
        <w:bidi w:val="0"/>
        <w:spacing w:before="240" w:after="240" w:line="360" w:lineRule="auto"/>
        <w:jc w:val="center"/>
        <w:rPr>
          <w:rFonts w:ascii="Times New Roman" w:eastAsia="Times New Roman" w:hAnsi="Times New Roman"/>
          <w:b/>
          <w:bCs/>
          <w:sz w:val="16"/>
          <w:szCs w:val="16"/>
          <w:rtl/>
        </w:rPr>
      </w:pPr>
    </w:p>
    <w:p w14:paraId="72DCD2A5" w14:textId="5FA717D7" w:rsidR="009F19C5" w:rsidRPr="007D60E7" w:rsidRDefault="009F19C5" w:rsidP="009F19C5">
      <w:pPr>
        <w:bidi w:val="0"/>
        <w:spacing w:before="240" w:after="240" w:line="360" w:lineRule="auto"/>
        <w:jc w:val="center"/>
        <w:rPr>
          <w:rFonts w:ascii="Times New Roman" w:eastAsia="Times New Roman" w:hAnsi="Times New Roman"/>
          <w:b/>
          <w:bCs/>
        </w:rPr>
      </w:pPr>
      <w:r w:rsidRPr="007D60E7">
        <w:rPr>
          <w:rFonts w:ascii="Times New Roman" w:eastAsia="Times New Roman" w:hAnsi="Times New Roman" w:hint="cs"/>
          <w:b/>
          <w:bCs/>
          <w:rtl/>
        </w:rPr>
        <w:t xml:space="preserve"> </w:t>
      </w:r>
      <w:r w:rsidRPr="00393943">
        <w:rPr>
          <w:rFonts w:ascii="Times New Roman" w:eastAsia="Times New Roman" w:hAnsi="Times New Roman" w:hint="cs"/>
          <w:b/>
          <w:bCs/>
          <w:rtl/>
        </w:rPr>
        <w:t xml:space="preserve">התובע הצבאי הראשי </w:t>
      </w:r>
      <w:r w:rsidRPr="00393943">
        <w:rPr>
          <w:rFonts w:ascii="Times New Roman" w:eastAsia="Times New Roman" w:hAnsi="Times New Roman"/>
          <w:b/>
          <w:bCs/>
          <w:rtl/>
        </w:rPr>
        <w:t>–</w:t>
      </w:r>
      <w:r w:rsidRPr="00393943">
        <w:rPr>
          <w:rFonts w:ascii="Times New Roman" w:eastAsia="Times New Roman" w:hAnsi="Times New Roman"/>
          <w:rtl/>
        </w:rPr>
        <w:t xml:space="preserve"> ה</w:t>
      </w:r>
      <w:r w:rsidRPr="00393943">
        <w:rPr>
          <w:rFonts w:ascii="Times New Roman" w:eastAsia="Times New Roman" w:hAnsi="Times New Roman" w:hint="cs"/>
          <w:rtl/>
        </w:rPr>
        <w:t>מ</w:t>
      </w:r>
      <w:r>
        <w:rPr>
          <w:rFonts w:ascii="Times New Roman" w:eastAsia="Times New Roman" w:hAnsi="Times New Roman" w:hint="cs"/>
          <w:rtl/>
        </w:rPr>
        <w:t>שיב</w:t>
      </w:r>
      <w:r w:rsidRPr="00393943">
        <w:rPr>
          <w:rFonts w:ascii="Times New Roman" w:eastAsia="Times New Roman" w:hAnsi="Times New Roman"/>
          <w:rtl/>
        </w:rPr>
        <w:t xml:space="preserve"> (ע"י ב</w:t>
      </w:r>
      <w:r>
        <w:rPr>
          <w:rFonts w:ascii="Times New Roman" w:eastAsia="Times New Roman" w:hAnsi="Times New Roman" w:hint="cs"/>
          <w:rtl/>
        </w:rPr>
        <w:t>"כ, סגן תכלת מרדכי פייגנסון</w:t>
      </w:r>
      <w:r w:rsidRPr="00393943">
        <w:rPr>
          <w:rFonts w:ascii="Times New Roman" w:eastAsia="Times New Roman" w:hAnsi="Times New Roman"/>
          <w:rtl/>
        </w:rPr>
        <w:t>)</w:t>
      </w:r>
    </w:p>
    <w:p w14:paraId="1C89EC52" w14:textId="409B9896" w:rsidR="009F19C5" w:rsidRDefault="009F19C5" w:rsidP="009F19C5">
      <w:pPr>
        <w:spacing w:before="600" w:after="120" w:line="360" w:lineRule="auto"/>
        <w:jc w:val="both"/>
        <w:rPr>
          <w:rtl/>
        </w:rPr>
      </w:pPr>
      <w:r w:rsidRPr="007D60E7">
        <w:rPr>
          <w:rtl/>
        </w:rPr>
        <w:t xml:space="preserve">ערעור על החלטה של בית הדין הצבאי המחוזי במחוז שיפוטי </w:t>
      </w:r>
      <w:r w:rsidRPr="007D60E7">
        <w:rPr>
          <w:rFonts w:hint="cs"/>
          <w:rtl/>
        </w:rPr>
        <w:t>ה</w:t>
      </w:r>
      <w:r>
        <w:rPr>
          <w:rFonts w:hint="cs"/>
          <w:rtl/>
        </w:rPr>
        <w:t>מרכז</w:t>
      </w:r>
      <w:r w:rsidRPr="007D60E7">
        <w:rPr>
          <w:rtl/>
        </w:rPr>
        <w:t xml:space="preserve"> שניתנה בתיק </w:t>
      </w:r>
      <w:r>
        <w:rPr>
          <w:rFonts w:hint="cs"/>
          <w:rtl/>
        </w:rPr>
        <w:t xml:space="preserve">מרכז </w:t>
      </w:r>
      <w:r w:rsidRPr="007D60E7">
        <w:rPr>
          <w:rtl/>
        </w:rPr>
        <w:t>(</w:t>
      </w:r>
      <w:r w:rsidRPr="007D60E7">
        <w:rPr>
          <w:rFonts w:hint="cs"/>
          <w:rtl/>
        </w:rPr>
        <w:t>ב"ש</w:t>
      </w:r>
      <w:r w:rsidRPr="007D60E7">
        <w:rPr>
          <w:rtl/>
        </w:rPr>
        <w:t xml:space="preserve">) </w:t>
      </w:r>
      <w:r>
        <w:rPr>
          <w:rFonts w:hint="cs"/>
          <w:rtl/>
        </w:rPr>
        <w:t>8/22</w:t>
      </w:r>
      <w:r w:rsidRPr="007D60E7">
        <w:rPr>
          <w:rtl/>
        </w:rPr>
        <w:t xml:space="preserve"> (</w:t>
      </w:r>
      <w:r>
        <w:rPr>
          <w:rFonts w:hint="cs"/>
          <w:rtl/>
        </w:rPr>
        <w:t>רס"ן לידור דרכמן</w:t>
      </w:r>
      <w:r w:rsidRPr="007D60E7">
        <w:rPr>
          <w:rtl/>
        </w:rPr>
        <w:t xml:space="preserve"> – </w:t>
      </w:r>
      <w:r>
        <w:rPr>
          <w:rFonts w:hint="cs"/>
          <w:rtl/>
        </w:rPr>
        <w:t>שופטת</w:t>
      </w:r>
      <w:r w:rsidRPr="007D60E7">
        <w:rPr>
          <w:rtl/>
        </w:rPr>
        <w:t xml:space="preserve">) ביום </w:t>
      </w:r>
      <w:r w:rsidR="00D2109D">
        <w:rPr>
          <w:rFonts w:hint="cs"/>
          <w:rtl/>
        </w:rPr>
        <w:t>15 במארס 2022</w:t>
      </w:r>
      <w:r w:rsidRPr="007D60E7">
        <w:rPr>
          <w:rtl/>
        </w:rPr>
        <w:t xml:space="preserve">. הערעור </w:t>
      </w:r>
      <w:r w:rsidRPr="007D60E7">
        <w:rPr>
          <w:rFonts w:hint="cs"/>
          <w:rtl/>
        </w:rPr>
        <w:t>נדחה.</w:t>
      </w:r>
    </w:p>
    <w:p w14:paraId="52DA7A02" w14:textId="77777777" w:rsidR="00711EA3" w:rsidRPr="00711EA3" w:rsidRDefault="00711EA3" w:rsidP="009F19C5">
      <w:pPr>
        <w:spacing w:before="600" w:after="120" w:line="360" w:lineRule="auto"/>
        <w:jc w:val="both"/>
        <w:rPr>
          <w:sz w:val="16"/>
          <w:szCs w:val="16"/>
          <w:rtl/>
        </w:rPr>
      </w:pPr>
    </w:p>
    <w:p w14:paraId="5064CA44" w14:textId="1AC9B596" w:rsidR="00BE0BE7" w:rsidRDefault="000958FA" w:rsidP="004863A9">
      <w:pPr>
        <w:spacing w:after="0" w:line="360" w:lineRule="auto"/>
        <w:contextualSpacing/>
        <w:jc w:val="center"/>
        <w:outlineLvl w:val="0"/>
        <w:rPr>
          <w:b/>
          <w:bCs/>
          <w:u w:val="single"/>
          <w:rtl/>
        </w:rPr>
      </w:pPr>
      <w:r>
        <w:rPr>
          <w:rFonts w:hint="cs"/>
          <w:b/>
          <w:bCs/>
          <w:u w:val="single"/>
          <w:rtl/>
        </w:rPr>
        <w:t>ה</w:t>
      </w:r>
      <w:r w:rsidR="009F19C5">
        <w:rPr>
          <w:rFonts w:hint="cs"/>
          <w:b/>
          <w:bCs/>
          <w:u w:val="single"/>
          <w:rtl/>
        </w:rPr>
        <w:t xml:space="preserve"> </w:t>
      </w:r>
      <w:r>
        <w:rPr>
          <w:rFonts w:hint="cs"/>
          <w:b/>
          <w:bCs/>
          <w:u w:val="single"/>
          <w:rtl/>
        </w:rPr>
        <w:t>ח</w:t>
      </w:r>
      <w:r w:rsidR="009F19C5">
        <w:rPr>
          <w:rFonts w:hint="cs"/>
          <w:b/>
          <w:bCs/>
          <w:u w:val="single"/>
          <w:rtl/>
        </w:rPr>
        <w:t xml:space="preserve"> </w:t>
      </w:r>
      <w:r>
        <w:rPr>
          <w:rFonts w:hint="cs"/>
          <w:b/>
          <w:bCs/>
          <w:u w:val="single"/>
          <w:rtl/>
        </w:rPr>
        <w:t>ל</w:t>
      </w:r>
      <w:r w:rsidR="009F19C5">
        <w:rPr>
          <w:rFonts w:hint="cs"/>
          <w:b/>
          <w:bCs/>
          <w:u w:val="single"/>
          <w:rtl/>
        </w:rPr>
        <w:t xml:space="preserve"> </w:t>
      </w:r>
      <w:r>
        <w:rPr>
          <w:rFonts w:hint="cs"/>
          <w:b/>
          <w:bCs/>
          <w:u w:val="single"/>
          <w:rtl/>
        </w:rPr>
        <w:t>ט</w:t>
      </w:r>
      <w:r w:rsidR="009F19C5">
        <w:rPr>
          <w:rFonts w:hint="cs"/>
          <w:b/>
          <w:bCs/>
          <w:u w:val="single"/>
          <w:rtl/>
        </w:rPr>
        <w:t xml:space="preserve"> </w:t>
      </w:r>
      <w:r>
        <w:rPr>
          <w:rFonts w:hint="cs"/>
          <w:b/>
          <w:bCs/>
          <w:u w:val="single"/>
          <w:rtl/>
        </w:rPr>
        <w:t>ה</w:t>
      </w:r>
    </w:p>
    <w:p w14:paraId="4747FD6E" w14:textId="77777777" w:rsidR="0002633B" w:rsidRPr="0002633B" w:rsidRDefault="0002633B" w:rsidP="004863A9">
      <w:pPr>
        <w:spacing w:after="0" w:line="360" w:lineRule="auto"/>
        <w:contextualSpacing/>
        <w:jc w:val="center"/>
        <w:outlineLvl w:val="0"/>
        <w:rPr>
          <w:b/>
          <w:bCs/>
          <w:sz w:val="16"/>
          <w:szCs w:val="16"/>
          <w:u w:val="single"/>
          <w:rtl/>
        </w:rPr>
      </w:pPr>
    </w:p>
    <w:p w14:paraId="1D7FF3D1" w14:textId="77777777" w:rsidR="00BE0BE7" w:rsidRDefault="003334A6" w:rsidP="00BE0BE7">
      <w:pPr>
        <w:pStyle w:val="1"/>
        <w:tabs>
          <w:tab w:val="left" w:pos="283"/>
        </w:tabs>
        <w:spacing w:line="360" w:lineRule="auto"/>
        <w:ind w:left="0"/>
        <w:jc w:val="both"/>
        <w:outlineLvl w:val="0"/>
        <w:rPr>
          <w:rFonts w:cs="David"/>
          <w:b/>
          <w:bCs/>
          <w:sz w:val="28"/>
          <w:szCs w:val="28"/>
          <w:u w:val="single"/>
          <w:rtl/>
        </w:rPr>
      </w:pPr>
      <w:r w:rsidRPr="00F80CBF">
        <w:rPr>
          <w:rFonts w:cs="David" w:hint="cs"/>
          <w:b/>
          <w:bCs/>
          <w:sz w:val="28"/>
          <w:szCs w:val="28"/>
          <w:u w:val="single"/>
          <w:rtl/>
        </w:rPr>
        <w:t>רקע</w:t>
      </w:r>
    </w:p>
    <w:p w14:paraId="50B94EE0" w14:textId="77777777" w:rsidR="00C37857" w:rsidRPr="009F19C5" w:rsidRDefault="00C37857" w:rsidP="00BE0BE7">
      <w:pPr>
        <w:pStyle w:val="1"/>
        <w:tabs>
          <w:tab w:val="left" w:pos="283"/>
        </w:tabs>
        <w:spacing w:line="360" w:lineRule="auto"/>
        <w:ind w:left="0"/>
        <w:jc w:val="both"/>
        <w:outlineLvl w:val="0"/>
        <w:rPr>
          <w:rFonts w:cs="David"/>
          <w:b/>
          <w:bCs/>
          <w:sz w:val="6"/>
          <w:szCs w:val="6"/>
          <w:u w:val="single"/>
          <w:rtl/>
        </w:rPr>
      </w:pPr>
    </w:p>
    <w:p w14:paraId="7013B8D2" w14:textId="57D9AB3C" w:rsidR="00B64BDC" w:rsidRDefault="006D7BCA" w:rsidP="009F19C5">
      <w:pPr>
        <w:numPr>
          <w:ilvl w:val="0"/>
          <w:numId w:val="32"/>
        </w:numPr>
        <w:tabs>
          <w:tab w:val="left" w:pos="226"/>
        </w:tabs>
        <w:spacing w:after="0" w:line="360" w:lineRule="auto"/>
        <w:ind w:left="-58" w:firstLine="0"/>
        <w:jc w:val="both"/>
        <w:rPr>
          <w:rtl/>
        </w:rPr>
      </w:pPr>
      <w:r>
        <w:rPr>
          <w:rFonts w:hint="cs"/>
          <w:rtl/>
        </w:rPr>
        <w:t>כנגד המערער</w:t>
      </w:r>
      <w:r w:rsidR="00B64BDC">
        <w:rPr>
          <w:rFonts w:hint="cs"/>
          <w:rtl/>
        </w:rPr>
        <w:t>ת, רב"ט ש</w:t>
      </w:r>
      <w:r w:rsidR="00CA501C">
        <w:rPr>
          <w:rFonts w:hint="cs"/>
          <w:rtl/>
        </w:rPr>
        <w:t>'</w:t>
      </w:r>
      <w:r w:rsidR="00B64BDC">
        <w:rPr>
          <w:rFonts w:hint="cs"/>
          <w:rtl/>
        </w:rPr>
        <w:t xml:space="preserve"> </w:t>
      </w:r>
      <w:r w:rsidR="00CA501C">
        <w:rPr>
          <w:rFonts w:hint="cs"/>
          <w:rtl/>
        </w:rPr>
        <w:t>ב'</w:t>
      </w:r>
      <w:r w:rsidR="00B64BDC">
        <w:rPr>
          <w:rFonts w:hint="cs"/>
          <w:rtl/>
        </w:rPr>
        <w:t>, הוגש כתב אישום המייחס לה עבירה של הצבעה שלא כחוק, לפי סעיף 124(א)(2) לחוק הבחירות לכנסת (נוסח משולב), התשכ"ט</w:t>
      </w:r>
      <w:r w:rsidR="00D64751">
        <w:rPr>
          <w:rFonts w:hint="cs"/>
          <w:rtl/>
        </w:rPr>
        <w:t>-</w:t>
      </w:r>
      <w:r w:rsidR="00B64BDC">
        <w:rPr>
          <w:rFonts w:hint="cs"/>
          <w:rtl/>
        </w:rPr>
        <w:t xml:space="preserve">1969. נטען, </w:t>
      </w:r>
      <w:r w:rsidR="00B64BDC">
        <w:rPr>
          <w:rFonts w:hint="cs"/>
          <w:rtl/>
        </w:rPr>
        <w:lastRenderedPageBreak/>
        <w:t>כי בהיותה חיילת בצה"ל הצביעה פעמיים בבחירות לכנסת ה-24.</w:t>
      </w:r>
      <w:r w:rsidR="002524A4">
        <w:rPr>
          <w:rFonts w:hint="cs"/>
          <w:rtl/>
        </w:rPr>
        <w:t xml:space="preserve"> בתחילה הצביעה בקלפי צבאית ולאחר מכן בקלפי אזרחית. </w:t>
      </w:r>
    </w:p>
    <w:p w14:paraId="3FA63B23" w14:textId="007FEE4B" w:rsidR="00B64BDC" w:rsidRDefault="00B64BDC" w:rsidP="009F19C5">
      <w:pPr>
        <w:numPr>
          <w:ilvl w:val="0"/>
          <w:numId w:val="32"/>
        </w:numPr>
        <w:tabs>
          <w:tab w:val="left" w:pos="226"/>
        </w:tabs>
        <w:spacing w:after="0" w:line="360" w:lineRule="auto"/>
        <w:ind w:left="-58" w:firstLine="0"/>
        <w:jc w:val="both"/>
      </w:pPr>
      <w:r>
        <w:rPr>
          <w:rFonts w:hint="cs"/>
          <w:rtl/>
        </w:rPr>
        <w:t xml:space="preserve">תשובתה של המערערת לאשמה טרם נמסרה בבית הדין קמא. עם זאת, הובהר כי בפי המערערת שתי טענות עיקריות: טענה לאכיפה בררנית </w:t>
      </w:r>
      <w:r w:rsidR="003A7378">
        <w:rPr>
          <w:rFonts w:hint="cs"/>
          <w:rtl/>
        </w:rPr>
        <w:t xml:space="preserve">בעצם </w:t>
      </w:r>
      <w:r>
        <w:rPr>
          <w:rFonts w:hint="cs"/>
          <w:rtl/>
        </w:rPr>
        <w:t>פתיחת החקירה נגדה</w:t>
      </w:r>
      <w:r w:rsidR="003A7378">
        <w:rPr>
          <w:rFonts w:hint="cs"/>
          <w:rtl/>
        </w:rPr>
        <w:t>,</w:t>
      </w:r>
      <w:r>
        <w:rPr>
          <w:rFonts w:hint="cs"/>
          <w:rtl/>
        </w:rPr>
        <w:t xml:space="preserve"> ו</w:t>
      </w:r>
      <w:r w:rsidR="003A7378">
        <w:rPr>
          <w:rFonts w:hint="cs"/>
          <w:rtl/>
        </w:rPr>
        <w:t xml:space="preserve">בהמשך </w:t>
      </w:r>
      <w:r>
        <w:rPr>
          <w:rFonts w:hint="cs"/>
          <w:rtl/>
        </w:rPr>
        <w:t>בהעמדתה לדין בעבירה של הצבעה שלא כחוק</w:t>
      </w:r>
      <w:r w:rsidR="003A7378">
        <w:rPr>
          <w:rFonts w:hint="cs"/>
          <w:rtl/>
        </w:rPr>
        <w:t>,</w:t>
      </w:r>
      <w:r>
        <w:rPr>
          <w:rFonts w:hint="cs"/>
          <w:rtl/>
        </w:rPr>
        <w:t xml:space="preserve"> וטענה של טעות במצב דברים. </w:t>
      </w:r>
      <w:r w:rsidR="00EF1951">
        <w:rPr>
          <w:rFonts w:hint="cs"/>
          <w:rtl/>
        </w:rPr>
        <w:t xml:space="preserve">נפרט אפוא בקצרה את </w:t>
      </w:r>
      <w:r w:rsidR="002524A4">
        <w:rPr>
          <w:rFonts w:hint="cs"/>
          <w:rtl/>
        </w:rPr>
        <w:t>הנתונים</w:t>
      </w:r>
      <w:r w:rsidR="00EF1951">
        <w:rPr>
          <w:rFonts w:hint="cs"/>
          <w:rtl/>
        </w:rPr>
        <w:t xml:space="preserve"> העולים מחומר החקירה. </w:t>
      </w:r>
    </w:p>
    <w:p w14:paraId="23CEE75A" w14:textId="77777777" w:rsidR="009F19C5" w:rsidRDefault="009F19C5" w:rsidP="00EF1951">
      <w:pPr>
        <w:pStyle w:val="1"/>
        <w:tabs>
          <w:tab w:val="left" w:pos="283"/>
        </w:tabs>
        <w:spacing w:line="360" w:lineRule="auto"/>
        <w:ind w:left="353"/>
        <w:jc w:val="both"/>
        <w:outlineLvl w:val="0"/>
        <w:rPr>
          <w:rFonts w:cs="David"/>
          <w:sz w:val="28"/>
          <w:szCs w:val="28"/>
          <w:rtl/>
        </w:rPr>
      </w:pPr>
    </w:p>
    <w:p w14:paraId="587AA2B4" w14:textId="77777777" w:rsidR="00EF1951" w:rsidRDefault="00EF1951" w:rsidP="00EF1951">
      <w:pPr>
        <w:pStyle w:val="1"/>
        <w:tabs>
          <w:tab w:val="left" w:pos="283"/>
        </w:tabs>
        <w:spacing w:line="360" w:lineRule="auto"/>
        <w:ind w:left="0"/>
        <w:jc w:val="both"/>
        <w:outlineLvl w:val="0"/>
        <w:rPr>
          <w:rFonts w:cs="David"/>
          <w:b/>
          <w:bCs/>
          <w:sz w:val="28"/>
          <w:szCs w:val="28"/>
          <w:u w:val="single"/>
          <w:rtl/>
        </w:rPr>
      </w:pPr>
      <w:r>
        <w:rPr>
          <w:rFonts w:cs="David" w:hint="cs"/>
          <w:b/>
          <w:bCs/>
          <w:sz w:val="28"/>
          <w:szCs w:val="28"/>
          <w:u w:val="single"/>
          <w:rtl/>
        </w:rPr>
        <w:t xml:space="preserve">התשתית הראייתית </w:t>
      </w:r>
    </w:p>
    <w:p w14:paraId="73C0C80D" w14:textId="77777777" w:rsidR="00EF1951" w:rsidRPr="009F19C5" w:rsidRDefault="00EF1951" w:rsidP="00EF1951">
      <w:pPr>
        <w:pStyle w:val="1"/>
        <w:tabs>
          <w:tab w:val="left" w:pos="283"/>
        </w:tabs>
        <w:spacing w:line="360" w:lineRule="auto"/>
        <w:ind w:left="353"/>
        <w:jc w:val="both"/>
        <w:outlineLvl w:val="0"/>
        <w:rPr>
          <w:rFonts w:cs="David"/>
          <w:sz w:val="6"/>
          <w:szCs w:val="6"/>
        </w:rPr>
      </w:pPr>
    </w:p>
    <w:p w14:paraId="45C793CF" w14:textId="6655BBA9" w:rsidR="00EF1951" w:rsidRDefault="00EF1951" w:rsidP="009F19C5">
      <w:pPr>
        <w:numPr>
          <w:ilvl w:val="0"/>
          <w:numId w:val="32"/>
        </w:numPr>
        <w:tabs>
          <w:tab w:val="left" w:pos="226"/>
        </w:tabs>
        <w:spacing w:after="0" w:line="360" w:lineRule="auto"/>
        <w:ind w:left="-58" w:firstLine="0"/>
        <w:jc w:val="both"/>
      </w:pPr>
      <w:r>
        <w:rPr>
          <w:rFonts w:hint="cs"/>
          <w:rtl/>
        </w:rPr>
        <w:t>מתיק החקירה עולה, כי במסגרת מספר חקירות שהתנהלו בגין חשד להצבעה שלא כחוק נגבו אמרותיהם של סגן קצינת הבחירות הצה"לית, סא"ל (מיל</w:t>
      </w:r>
      <w:r w:rsidR="003A7378">
        <w:rPr>
          <w:rFonts w:hint="cs"/>
          <w:rtl/>
        </w:rPr>
        <w:t xml:space="preserve">') </w:t>
      </w:r>
      <w:r>
        <w:rPr>
          <w:rFonts w:hint="cs"/>
          <w:rtl/>
        </w:rPr>
        <w:t>אלון ועו"ד שחר, יועץ משפטי בלשכה המשפטית של ועדת הבחירות המרכזית.</w:t>
      </w:r>
      <w:r w:rsidR="00DF679E">
        <w:rPr>
          <w:rFonts w:hint="cs"/>
          <w:rtl/>
        </w:rPr>
        <w:t xml:space="preserve"> </w:t>
      </w:r>
    </w:p>
    <w:p w14:paraId="147E340F" w14:textId="0B775987" w:rsidR="00C86E56" w:rsidRPr="00C86E56" w:rsidRDefault="00DF679E" w:rsidP="009F19C5">
      <w:pPr>
        <w:numPr>
          <w:ilvl w:val="0"/>
          <w:numId w:val="32"/>
        </w:numPr>
        <w:tabs>
          <w:tab w:val="left" w:pos="226"/>
        </w:tabs>
        <w:spacing w:after="0" w:line="360" w:lineRule="auto"/>
        <w:ind w:left="-58" w:firstLine="0"/>
        <w:jc w:val="both"/>
      </w:pPr>
      <w:r w:rsidRPr="00C86E56">
        <w:rPr>
          <w:rFonts w:hint="cs"/>
          <w:rtl/>
        </w:rPr>
        <w:t xml:space="preserve">במסגרת עדותו של עו"ד </w:t>
      </w:r>
      <w:r w:rsidR="00D64751">
        <w:rPr>
          <w:rFonts w:hint="cs"/>
          <w:rtl/>
        </w:rPr>
        <w:t>שחר,</w:t>
      </w:r>
      <w:r w:rsidRPr="00C86E56">
        <w:rPr>
          <w:rFonts w:hint="cs"/>
          <w:rtl/>
        </w:rPr>
        <w:t xml:space="preserve"> הוסברה השיטה לאיתור הצבעות </w:t>
      </w:r>
      <w:r w:rsidR="00435E11">
        <w:rPr>
          <w:rFonts w:hint="cs"/>
          <w:rtl/>
        </w:rPr>
        <w:t>שלא כחוק ("</w:t>
      </w:r>
      <w:r w:rsidRPr="00C86E56">
        <w:rPr>
          <w:rFonts w:hint="cs"/>
          <w:rtl/>
        </w:rPr>
        <w:t>כפולות</w:t>
      </w:r>
      <w:r w:rsidR="00435E11">
        <w:rPr>
          <w:rFonts w:hint="cs"/>
          <w:rtl/>
        </w:rPr>
        <w:t>")</w:t>
      </w:r>
      <w:r w:rsidR="002524A4">
        <w:rPr>
          <w:rFonts w:hint="cs"/>
          <w:rtl/>
        </w:rPr>
        <w:t xml:space="preserve">, </w:t>
      </w:r>
      <w:r w:rsidRPr="00C86E56">
        <w:rPr>
          <w:rFonts w:hint="cs"/>
          <w:rtl/>
        </w:rPr>
        <w:t>המבוססת על השוואה בין מעטפות חיצוניות (</w:t>
      </w:r>
      <w:r w:rsidR="003A7378">
        <w:rPr>
          <w:rFonts w:hint="cs"/>
          <w:rtl/>
        </w:rPr>
        <w:t>ה</w:t>
      </w:r>
      <w:r w:rsidR="003A7378" w:rsidRPr="00C86E56">
        <w:rPr>
          <w:rFonts w:hint="cs"/>
          <w:rtl/>
        </w:rPr>
        <w:t xml:space="preserve">מגיעות </w:t>
      </w:r>
      <w:r w:rsidRPr="00C86E56">
        <w:rPr>
          <w:rFonts w:hint="cs"/>
          <w:rtl/>
        </w:rPr>
        <w:t xml:space="preserve">ממקום </w:t>
      </w:r>
      <w:r w:rsidR="003A7378">
        <w:rPr>
          <w:rFonts w:hint="cs"/>
          <w:rtl/>
        </w:rPr>
        <w:t>ש</w:t>
      </w:r>
      <w:r w:rsidRPr="00C86E56">
        <w:rPr>
          <w:rFonts w:hint="cs"/>
          <w:rtl/>
        </w:rPr>
        <w:t>בו נערכת הצבעה באופן עצמאי כגון בתי סוהר, בתי חולים, צה"ל וכיו"ב)</w:t>
      </w:r>
      <w:r w:rsidRPr="00C86E56">
        <w:rPr>
          <w:rFonts w:hint="cs"/>
        </w:rPr>
        <w:t xml:space="preserve"> </w:t>
      </w:r>
      <w:r w:rsidRPr="00C86E56">
        <w:rPr>
          <w:rFonts w:hint="cs"/>
          <w:rtl/>
        </w:rPr>
        <w:t xml:space="preserve">ובין מחיקת שמות בקלפיות </w:t>
      </w:r>
      <w:r w:rsidR="003A7378">
        <w:rPr>
          <w:rFonts w:hint="cs"/>
          <w:rtl/>
        </w:rPr>
        <w:t xml:space="preserve">ה"אזרחיות" שאליהן </w:t>
      </w:r>
      <w:r w:rsidRPr="00C86E56">
        <w:rPr>
          <w:rFonts w:hint="cs"/>
          <w:rtl/>
        </w:rPr>
        <w:t>משויכים אותם מצביעים.</w:t>
      </w:r>
      <w:r w:rsidR="00D64751">
        <w:rPr>
          <w:rFonts w:hint="cs"/>
          <w:rtl/>
        </w:rPr>
        <w:t xml:space="preserve"> </w:t>
      </w:r>
      <w:r w:rsidR="00C86E56" w:rsidRPr="00C86E56">
        <w:rPr>
          <w:rFonts w:hint="cs"/>
          <w:rtl/>
        </w:rPr>
        <w:t xml:space="preserve">לאחר עריכת ההשוואה </w:t>
      </w:r>
      <w:r w:rsidR="003A7378">
        <w:rPr>
          <w:rFonts w:hint="cs"/>
          <w:rtl/>
        </w:rPr>
        <w:t xml:space="preserve">בבחירות הנדונות, העבירה </w:t>
      </w:r>
      <w:r w:rsidR="00C86E56" w:rsidRPr="00C86E56">
        <w:rPr>
          <w:rFonts w:hint="cs"/>
          <w:rtl/>
        </w:rPr>
        <w:t xml:space="preserve">ועדת הבחירות המרכזית למפקד מצ"ח </w:t>
      </w:r>
      <w:r w:rsidR="002524A4">
        <w:rPr>
          <w:rFonts w:hint="cs"/>
          <w:rtl/>
        </w:rPr>
        <w:t xml:space="preserve">בקשה </w:t>
      </w:r>
      <w:r w:rsidR="00C86E56" w:rsidRPr="00C86E56">
        <w:rPr>
          <w:rFonts w:hint="cs"/>
          <w:rtl/>
        </w:rPr>
        <w:t xml:space="preserve">לפתיחת חקירות פליליות בשל חשד להצבעות </w:t>
      </w:r>
      <w:r w:rsidR="00435E11">
        <w:rPr>
          <w:rFonts w:hint="cs"/>
          <w:rtl/>
        </w:rPr>
        <w:t>שלא כחוק</w:t>
      </w:r>
      <w:r w:rsidR="002524A4">
        <w:rPr>
          <w:rFonts w:hint="cs"/>
          <w:rtl/>
        </w:rPr>
        <w:t xml:space="preserve">. לבקשה צורף </w:t>
      </w:r>
      <w:r w:rsidR="00C86E56" w:rsidRPr="00C86E56">
        <w:rPr>
          <w:rFonts w:hint="cs"/>
          <w:rtl/>
        </w:rPr>
        <w:t xml:space="preserve">נספח שכולל את הבוחרים שלכאורה הצביעו </w:t>
      </w:r>
      <w:r w:rsidR="00435E11">
        <w:rPr>
          <w:rFonts w:hint="cs"/>
          <w:rtl/>
        </w:rPr>
        <w:t>פעמיים</w:t>
      </w:r>
      <w:r w:rsidR="00C86E56">
        <w:rPr>
          <w:rFonts w:hint="cs"/>
          <w:rtl/>
        </w:rPr>
        <w:t xml:space="preserve">, </w:t>
      </w:r>
      <w:r w:rsidR="00435E11">
        <w:rPr>
          <w:rFonts w:hint="cs"/>
          <w:rtl/>
        </w:rPr>
        <w:t>הן בקלפי הצה"לית והן בזו ה</w:t>
      </w:r>
      <w:r w:rsidR="00C86E56">
        <w:rPr>
          <w:rFonts w:hint="cs"/>
          <w:rtl/>
        </w:rPr>
        <w:t>אזרחית</w:t>
      </w:r>
      <w:r w:rsidR="00C86E56" w:rsidRPr="00C86E56">
        <w:rPr>
          <w:rFonts w:hint="cs"/>
          <w:rtl/>
        </w:rPr>
        <w:t xml:space="preserve">. </w:t>
      </w:r>
    </w:p>
    <w:p w14:paraId="489FDE58" w14:textId="5061EA7D" w:rsidR="00E21D9F" w:rsidRDefault="00E21D9F" w:rsidP="009F19C5">
      <w:pPr>
        <w:numPr>
          <w:ilvl w:val="0"/>
          <w:numId w:val="32"/>
        </w:numPr>
        <w:tabs>
          <w:tab w:val="left" w:pos="226"/>
        </w:tabs>
        <w:spacing w:after="0" w:line="360" w:lineRule="auto"/>
        <w:ind w:left="-58" w:firstLine="0"/>
        <w:jc w:val="both"/>
      </w:pPr>
      <w:r>
        <w:rPr>
          <w:rFonts w:hint="cs"/>
          <w:rtl/>
        </w:rPr>
        <w:t>מעדו</w:t>
      </w:r>
      <w:r w:rsidR="00C86E56">
        <w:rPr>
          <w:rFonts w:hint="cs"/>
          <w:rtl/>
        </w:rPr>
        <w:t>תו של סא"ל (מיל</w:t>
      </w:r>
      <w:r w:rsidR="00435E11">
        <w:rPr>
          <w:rFonts w:hint="cs"/>
          <w:rtl/>
        </w:rPr>
        <w:t xml:space="preserve">') אלון </w:t>
      </w:r>
      <w:r w:rsidR="00C86E56">
        <w:rPr>
          <w:rFonts w:hint="cs"/>
          <w:rtl/>
        </w:rPr>
        <w:t>ע</w:t>
      </w:r>
      <w:r>
        <w:rPr>
          <w:rFonts w:hint="cs"/>
          <w:rtl/>
        </w:rPr>
        <w:t>לה</w:t>
      </w:r>
      <w:r w:rsidR="00435E11">
        <w:rPr>
          <w:rFonts w:hint="cs"/>
          <w:rtl/>
        </w:rPr>
        <w:t>,</w:t>
      </w:r>
      <w:r>
        <w:rPr>
          <w:rFonts w:hint="cs"/>
          <w:rtl/>
        </w:rPr>
        <w:t xml:space="preserve"> כי לקראת ההצבעה לכנסת ה-24 </w:t>
      </w:r>
      <w:r w:rsidR="00580A7D">
        <w:rPr>
          <w:rFonts w:hint="cs"/>
          <w:rtl/>
        </w:rPr>
        <w:t xml:space="preserve">התקיימה ישיבת תיאום בין מטה הבחירות </w:t>
      </w:r>
      <w:r w:rsidR="00435E11">
        <w:rPr>
          <w:rFonts w:hint="cs"/>
          <w:rtl/>
        </w:rPr>
        <w:t xml:space="preserve">בצה"ל </w:t>
      </w:r>
      <w:r w:rsidR="00580A7D">
        <w:rPr>
          <w:rFonts w:hint="cs"/>
          <w:rtl/>
        </w:rPr>
        <w:t>לבין ועדת הבחירות המרכזית</w:t>
      </w:r>
      <w:r w:rsidR="00435E11">
        <w:rPr>
          <w:rFonts w:hint="cs"/>
          <w:rtl/>
        </w:rPr>
        <w:t>,</w:t>
      </w:r>
      <w:r w:rsidR="00580A7D">
        <w:rPr>
          <w:rFonts w:hint="cs"/>
          <w:rtl/>
        </w:rPr>
        <w:t xml:space="preserve"> ובה סוכמו העקרונות לביצוע הבדיקות </w:t>
      </w:r>
      <w:r w:rsidR="002524A4">
        <w:rPr>
          <w:rFonts w:hint="cs"/>
          <w:rtl/>
        </w:rPr>
        <w:t xml:space="preserve">המקדימות (בטרם פתיחת חקירה), מקום </w:t>
      </w:r>
      <w:r w:rsidR="00435E11">
        <w:rPr>
          <w:rFonts w:hint="cs"/>
          <w:rtl/>
        </w:rPr>
        <w:t>ש</w:t>
      </w:r>
      <w:r w:rsidR="002524A4">
        <w:rPr>
          <w:rFonts w:hint="cs"/>
          <w:rtl/>
        </w:rPr>
        <w:t>בו מתעורר החשד ל</w:t>
      </w:r>
      <w:r w:rsidR="00580A7D">
        <w:rPr>
          <w:rFonts w:hint="cs"/>
          <w:rtl/>
        </w:rPr>
        <w:t>הצבעה כפולה</w:t>
      </w:r>
      <w:r w:rsidR="002524A4">
        <w:rPr>
          <w:rFonts w:hint="cs"/>
          <w:rtl/>
        </w:rPr>
        <w:t>,</w:t>
      </w:r>
      <w:r w:rsidR="00580A7D">
        <w:rPr>
          <w:rFonts w:hint="cs"/>
          <w:rtl/>
        </w:rPr>
        <w:t xml:space="preserve"> </w:t>
      </w:r>
      <w:r w:rsidR="00435E11">
        <w:rPr>
          <w:rFonts w:hint="cs"/>
          <w:rtl/>
        </w:rPr>
        <w:t>בשתי הקלפיות</w:t>
      </w:r>
      <w:r w:rsidR="00580A7D">
        <w:rPr>
          <w:rFonts w:hint="cs"/>
          <w:rtl/>
        </w:rPr>
        <w:t>. בהתאם לכך</w:t>
      </w:r>
      <w:r w:rsidR="00435E11">
        <w:rPr>
          <w:rFonts w:hint="cs"/>
          <w:rtl/>
        </w:rPr>
        <w:t>,</w:t>
      </w:r>
      <w:r w:rsidR="00580A7D">
        <w:rPr>
          <w:rFonts w:hint="cs"/>
          <w:rtl/>
        </w:rPr>
        <w:t xml:space="preserve"> הופץ לקציני הבחירות הפיקודיים בצה"ל מסמך המכיל את הנוהל לביצוע הבדיקות. סא"ל </w:t>
      </w:r>
      <w:r w:rsidR="00435E11">
        <w:rPr>
          <w:rFonts w:hint="cs"/>
          <w:rtl/>
        </w:rPr>
        <w:t>(מיל') אלון ציין</w:t>
      </w:r>
      <w:r w:rsidR="00580A7D">
        <w:rPr>
          <w:rFonts w:hint="cs"/>
          <w:rtl/>
        </w:rPr>
        <w:t>, כי בשים לב לכך שלראשונה</w:t>
      </w:r>
      <w:r w:rsidR="00435E11">
        <w:rPr>
          <w:rFonts w:hint="cs"/>
          <w:rtl/>
        </w:rPr>
        <w:t>, התקיימה</w:t>
      </w:r>
      <w:r w:rsidR="00580A7D">
        <w:rPr>
          <w:rFonts w:hint="cs"/>
          <w:rtl/>
        </w:rPr>
        <w:t xml:space="preserve"> </w:t>
      </w:r>
      <w:r w:rsidR="00435E11">
        <w:rPr>
          <w:rFonts w:hint="cs"/>
          <w:rtl/>
        </w:rPr>
        <w:t>ה</w:t>
      </w:r>
      <w:r w:rsidR="00580A7D">
        <w:rPr>
          <w:rFonts w:hint="cs"/>
          <w:rtl/>
        </w:rPr>
        <w:t xml:space="preserve">הצבעה </w:t>
      </w:r>
      <w:r w:rsidR="00435E11">
        <w:rPr>
          <w:rFonts w:hint="cs"/>
          <w:rtl/>
        </w:rPr>
        <w:t xml:space="preserve">בצה"ל במועד </w:t>
      </w:r>
      <w:r w:rsidR="00580A7D">
        <w:rPr>
          <w:rFonts w:hint="cs"/>
          <w:rtl/>
        </w:rPr>
        <w:t>מוקדם יותר</w:t>
      </w:r>
      <w:r w:rsidR="00881DC5">
        <w:rPr>
          <w:rFonts w:hint="cs"/>
          <w:rtl/>
        </w:rPr>
        <w:t xml:space="preserve"> </w:t>
      </w:r>
      <w:r w:rsidR="00435E11">
        <w:rPr>
          <w:rFonts w:hint="cs"/>
          <w:rtl/>
        </w:rPr>
        <w:t xml:space="preserve">ממועד </w:t>
      </w:r>
      <w:r w:rsidR="00881DC5">
        <w:rPr>
          <w:rFonts w:hint="cs"/>
          <w:rtl/>
        </w:rPr>
        <w:t xml:space="preserve">ההצבעה </w:t>
      </w:r>
      <w:r w:rsidR="00EC758A">
        <w:rPr>
          <w:rFonts w:hint="cs"/>
          <w:rtl/>
        </w:rPr>
        <w:t>הכללי</w:t>
      </w:r>
      <w:r w:rsidR="00881DC5">
        <w:rPr>
          <w:rFonts w:hint="cs"/>
          <w:rtl/>
        </w:rPr>
        <w:t xml:space="preserve">, </w:t>
      </w:r>
      <w:r w:rsidR="00EC758A">
        <w:rPr>
          <w:rFonts w:hint="cs"/>
          <w:rtl/>
        </w:rPr>
        <w:t>התעורר</w:t>
      </w:r>
      <w:r w:rsidR="00580A7D">
        <w:rPr>
          <w:rFonts w:hint="cs"/>
          <w:rtl/>
        </w:rPr>
        <w:t xml:space="preserve"> חשש כי המשרתים יטעו או ינצלו זאת ויצביעו פעמיים. לאור האמור</w:t>
      </w:r>
      <w:r w:rsidR="00435E11">
        <w:rPr>
          <w:rFonts w:hint="cs"/>
          <w:rtl/>
        </w:rPr>
        <w:t>,</w:t>
      </w:r>
      <w:r w:rsidR="00580A7D">
        <w:rPr>
          <w:rFonts w:hint="cs"/>
          <w:rtl/>
        </w:rPr>
        <w:t xml:space="preserve"> </w:t>
      </w:r>
      <w:r w:rsidR="00435E11">
        <w:rPr>
          <w:rFonts w:hint="cs"/>
          <w:rtl/>
        </w:rPr>
        <w:t xml:space="preserve">תודרכו </w:t>
      </w:r>
      <w:r w:rsidR="00580A7D">
        <w:rPr>
          <w:rFonts w:hint="cs"/>
          <w:rtl/>
        </w:rPr>
        <w:t xml:space="preserve">חיילי ומשרתי צה"ל כי הצבעה בשתי קלפיות מהווה עבירה על החוק </w:t>
      </w:r>
      <w:r w:rsidR="00EC758A">
        <w:rPr>
          <w:rFonts w:hint="cs"/>
          <w:rtl/>
        </w:rPr>
        <w:t>-</w:t>
      </w:r>
      <w:r w:rsidR="00580A7D">
        <w:rPr>
          <w:rFonts w:hint="cs"/>
          <w:rtl/>
        </w:rPr>
        <w:t xml:space="preserve"> </w:t>
      </w:r>
      <w:r w:rsidR="00435E11">
        <w:rPr>
          <w:rFonts w:hint="cs"/>
          <w:rtl/>
        </w:rPr>
        <w:t xml:space="preserve">וזאת </w:t>
      </w:r>
      <w:r w:rsidR="00580A7D">
        <w:rPr>
          <w:rFonts w:hint="cs"/>
          <w:rtl/>
        </w:rPr>
        <w:t>הן באתר צה"ל</w:t>
      </w:r>
      <w:r w:rsidR="00435E11">
        <w:rPr>
          <w:rFonts w:hint="cs"/>
          <w:rtl/>
        </w:rPr>
        <w:t>,</w:t>
      </w:r>
      <w:r w:rsidR="00580A7D">
        <w:rPr>
          <w:rFonts w:hint="cs"/>
          <w:rtl/>
        </w:rPr>
        <w:t xml:space="preserve"> והן </w:t>
      </w:r>
      <w:r w:rsidR="00435E11">
        <w:rPr>
          <w:rFonts w:hint="cs"/>
          <w:rtl/>
        </w:rPr>
        <w:t xml:space="preserve">באמצעות </w:t>
      </w:r>
      <w:r w:rsidR="00EC758A">
        <w:rPr>
          <w:rFonts w:hint="cs"/>
          <w:rtl/>
        </w:rPr>
        <w:t>מסרונים שנשלחו לפני יום ההצבעה בצה"ל, הכוללים גם קישור לסרטון הסבר בנושא.</w:t>
      </w:r>
      <w:r w:rsidR="00881DC5">
        <w:rPr>
          <w:rFonts w:hint="cs"/>
          <w:rtl/>
        </w:rPr>
        <w:t xml:space="preserve"> בבוקר יום הבחירות </w:t>
      </w:r>
      <w:r w:rsidR="00435E11">
        <w:rPr>
          <w:rFonts w:hint="cs"/>
          <w:rtl/>
        </w:rPr>
        <w:t>בצה"ל</w:t>
      </w:r>
      <w:r w:rsidR="00881DC5">
        <w:rPr>
          <w:rFonts w:hint="cs"/>
          <w:rtl/>
        </w:rPr>
        <w:t xml:space="preserve">, הופיעה הודעה ביישומון </w:t>
      </w:r>
      <w:r w:rsidR="00EC758A">
        <w:rPr>
          <w:rFonts w:hint="cs"/>
          <w:rtl/>
        </w:rPr>
        <w:t>"</w:t>
      </w:r>
      <w:r w:rsidR="00881DC5">
        <w:rPr>
          <w:rFonts w:hint="cs"/>
          <w:rtl/>
        </w:rPr>
        <w:t>דו"ח 1</w:t>
      </w:r>
      <w:r w:rsidR="00EC758A">
        <w:rPr>
          <w:rFonts w:hint="cs"/>
          <w:rtl/>
        </w:rPr>
        <w:t>"</w:t>
      </w:r>
      <w:r w:rsidR="00881DC5">
        <w:rPr>
          <w:rFonts w:hint="cs"/>
          <w:rtl/>
        </w:rPr>
        <w:t xml:space="preserve"> בכל מכשירי הטלפון של המשרתים, </w:t>
      </w:r>
      <w:r w:rsidR="00435E11">
        <w:rPr>
          <w:rFonts w:hint="cs"/>
          <w:rtl/>
        </w:rPr>
        <w:t xml:space="preserve">ובה </w:t>
      </w:r>
      <w:r w:rsidR="00881DC5">
        <w:rPr>
          <w:rFonts w:hint="cs"/>
          <w:rtl/>
        </w:rPr>
        <w:t xml:space="preserve">המסר האמור, כך שהחיילים לא יכלו לדווח על מיקומם באותו יום מבלי להבחין </w:t>
      </w:r>
      <w:r w:rsidR="00EC758A">
        <w:rPr>
          <w:rFonts w:hint="cs"/>
          <w:rtl/>
        </w:rPr>
        <w:t>במסר זה.</w:t>
      </w:r>
      <w:r w:rsidR="00881DC5">
        <w:rPr>
          <w:rFonts w:hint="cs"/>
          <w:rtl/>
        </w:rPr>
        <w:t xml:space="preserve">  </w:t>
      </w:r>
    </w:p>
    <w:p w14:paraId="3821A6F8" w14:textId="0064EBE9" w:rsidR="003270AA" w:rsidRDefault="003915E6" w:rsidP="009F19C5">
      <w:pPr>
        <w:numPr>
          <w:ilvl w:val="0"/>
          <w:numId w:val="32"/>
        </w:numPr>
        <w:tabs>
          <w:tab w:val="left" w:pos="226"/>
        </w:tabs>
        <w:spacing w:after="0" w:line="360" w:lineRule="auto"/>
        <w:ind w:left="-58" w:firstLine="0"/>
        <w:jc w:val="both"/>
      </w:pPr>
      <w:r>
        <w:rPr>
          <w:rFonts w:hint="cs"/>
          <w:rtl/>
        </w:rPr>
        <w:lastRenderedPageBreak/>
        <w:t xml:space="preserve">לאחר השלמת ההצבעה </w:t>
      </w:r>
      <w:r w:rsidR="00EC758A">
        <w:rPr>
          <w:rFonts w:hint="cs"/>
          <w:rtl/>
        </w:rPr>
        <w:t xml:space="preserve">הכללית </w:t>
      </w:r>
      <w:r>
        <w:rPr>
          <w:rFonts w:hint="cs"/>
          <w:rtl/>
        </w:rPr>
        <w:t>בבחירות, התקבל מוועדת הבחירות המרכזית קובץ ובו כ-170 שמות של משרתי</w:t>
      </w:r>
      <w:r w:rsidR="00EC758A">
        <w:rPr>
          <w:rFonts w:hint="cs"/>
          <w:rtl/>
        </w:rPr>
        <w:t xml:space="preserve"> צה"ל שנחשדו בהצבעה כפולה</w:t>
      </w:r>
      <w:r w:rsidR="0042059A">
        <w:rPr>
          <w:rFonts w:hint="cs"/>
          <w:rtl/>
        </w:rPr>
        <w:t>,</w:t>
      </w:r>
      <w:r w:rsidR="00EC758A">
        <w:rPr>
          <w:rFonts w:hint="cs"/>
          <w:rtl/>
        </w:rPr>
        <w:t xml:space="preserve"> בקלפי צבאית ואזרחית. </w:t>
      </w:r>
      <w:r>
        <w:rPr>
          <w:rFonts w:hint="cs"/>
          <w:rtl/>
        </w:rPr>
        <w:t xml:space="preserve">בהתאם לכך </w:t>
      </w:r>
      <w:r w:rsidR="0042059A">
        <w:rPr>
          <w:rFonts w:hint="cs"/>
          <w:rtl/>
        </w:rPr>
        <w:t xml:space="preserve">ערכו </w:t>
      </w:r>
      <w:r>
        <w:rPr>
          <w:rFonts w:hint="cs"/>
          <w:rtl/>
        </w:rPr>
        <w:t xml:space="preserve">קציני הבחירות הפיקודיים </w:t>
      </w:r>
      <w:r w:rsidR="0042059A">
        <w:rPr>
          <w:rFonts w:hint="cs"/>
          <w:rtl/>
        </w:rPr>
        <w:t xml:space="preserve">בדיקה </w:t>
      </w:r>
      <w:r>
        <w:rPr>
          <w:rFonts w:hint="cs"/>
          <w:rtl/>
        </w:rPr>
        <w:t xml:space="preserve">מול היחידות, </w:t>
      </w:r>
      <w:r w:rsidR="00D64751">
        <w:rPr>
          <w:rFonts w:hint="cs"/>
          <w:rtl/>
        </w:rPr>
        <w:t xml:space="preserve">תוך </w:t>
      </w:r>
      <w:r w:rsidR="0042059A">
        <w:rPr>
          <w:rFonts w:hint="cs"/>
          <w:rtl/>
        </w:rPr>
        <w:t xml:space="preserve">שהובהר לגורמי היחידות כי אין </w:t>
      </w:r>
      <w:r>
        <w:rPr>
          <w:rFonts w:hint="cs"/>
          <w:rtl/>
        </w:rPr>
        <w:t>לשוחח עם החיילים עצמם, אלא להסתמך על הצהרות מפקדים או קציני השלישות</w:t>
      </w:r>
      <w:r w:rsidR="00EC758A">
        <w:rPr>
          <w:rFonts w:hint="cs"/>
          <w:rtl/>
        </w:rPr>
        <w:t xml:space="preserve"> של היחידה. מהבדיקה עלה כי 80 משרתי</w:t>
      </w:r>
      <w:r w:rsidR="0042059A">
        <w:rPr>
          <w:rFonts w:hint="cs"/>
          <w:rtl/>
        </w:rPr>
        <w:t xml:space="preserve">ם שהופיעו ברשימה </w:t>
      </w:r>
      <w:r w:rsidR="00EC758A">
        <w:rPr>
          <w:rFonts w:hint="cs"/>
          <w:rtl/>
        </w:rPr>
        <w:t xml:space="preserve">לא </w:t>
      </w:r>
      <w:r>
        <w:rPr>
          <w:rFonts w:hint="cs"/>
          <w:rtl/>
        </w:rPr>
        <w:t>הצביעו הצבעה כפולה</w:t>
      </w:r>
      <w:r w:rsidR="001B2B99">
        <w:t xml:space="preserve"> </w:t>
      </w:r>
      <w:r w:rsidR="001B2B99">
        <w:rPr>
          <w:rFonts w:hint="cs"/>
          <w:rtl/>
        </w:rPr>
        <w:t xml:space="preserve"> (ככל הנראה נמחקו שמותיהם בטעות)</w:t>
      </w:r>
      <w:r w:rsidR="00D64751">
        <w:rPr>
          <w:rFonts w:hint="cs"/>
          <w:rtl/>
        </w:rPr>
        <w:t>.</w:t>
      </w:r>
      <w:r>
        <w:rPr>
          <w:rFonts w:hint="cs"/>
          <w:rtl/>
        </w:rPr>
        <w:t xml:space="preserve"> ארבעה </w:t>
      </w:r>
      <w:r w:rsidR="008609E6">
        <w:rPr>
          <w:rFonts w:hint="cs"/>
          <w:rtl/>
        </w:rPr>
        <w:t>מן המשרתים תוחקרו על ידי מפקדיהם, בניגוד להנחיות</w:t>
      </w:r>
      <w:r w:rsidR="00EC758A">
        <w:rPr>
          <w:rFonts w:hint="cs"/>
          <w:rtl/>
        </w:rPr>
        <w:t xml:space="preserve">; אחד </w:t>
      </w:r>
      <w:r w:rsidR="008609E6">
        <w:rPr>
          <w:rFonts w:hint="cs"/>
          <w:rtl/>
        </w:rPr>
        <w:t xml:space="preserve">מן </w:t>
      </w:r>
      <w:r w:rsidR="00EC758A">
        <w:rPr>
          <w:rFonts w:hint="cs"/>
          <w:rtl/>
        </w:rPr>
        <w:t>החיילים שתוחקר מסר</w:t>
      </w:r>
      <w:r w:rsidR="00EA3D41">
        <w:rPr>
          <w:rFonts w:hint="cs"/>
          <w:rtl/>
        </w:rPr>
        <w:t xml:space="preserve"> כי </w:t>
      </w:r>
      <w:r w:rsidR="008609E6">
        <w:rPr>
          <w:rFonts w:hint="cs"/>
          <w:rtl/>
        </w:rPr>
        <w:t xml:space="preserve">סבר </w:t>
      </w:r>
      <w:r w:rsidR="00EA3D41">
        <w:rPr>
          <w:rFonts w:hint="cs"/>
          <w:rtl/>
        </w:rPr>
        <w:t xml:space="preserve">שההצבעה הצה"לית היא מדגם. לבקשת הפרקליטות הצבאית ערך סא"ל </w:t>
      </w:r>
      <w:r w:rsidR="008609E6">
        <w:rPr>
          <w:rFonts w:hint="cs"/>
          <w:rtl/>
        </w:rPr>
        <w:t xml:space="preserve">(מיל') אלון </w:t>
      </w:r>
      <w:r w:rsidR="00EA3D41">
        <w:rPr>
          <w:rFonts w:hint="cs"/>
          <w:rtl/>
        </w:rPr>
        <w:t xml:space="preserve">תחקיר, </w:t>
      </w:r>
      <w:r w:rsidR="008609E6">
        <w:rPr>
          <w:rFonts w:hint="cs"/>
          <w:rtl/>
        </w:rPr>
        <w:t>כדי לברר את פשר התחקור, בניגוד להנחיות.</w:t>
      </w:r>
    </w:p>
    <w:p w14:paraId="7E0F3921" w14:textId="538E2044" w:rsidR="00C86E56" w:rsidRDefault="00132261" w:rsidP="009F19C5">
      <w:pPr>
        <w:numPr>
          <w:ilvl w:val="0"/>
          <w:numId w:val="32"/>
        </w:numPr>
        <w:tabs>
          <w:tab w:val="left" w:pos="226"/>
        </w:tabs>
        <w:spacing w:after="0" w:line="360" w:lineRule="auto"/>
        <w:ind w:left="-58" w:firstLine="0"/>
        <w:jc w:val="both"/>
      </w:pPr>
      <w:r>
        <w:rPr>
          <w:rFonts w:hint="cs"/>
          <w:rtl/>
        </w:rPr>
        <w:t xml:space="preserve">המערערת היא אחת מאותם חיילים </w:t>
      </w:r>
      <w:r w:rsidR="00296723">
        <w:rPr>
          <w:rFonts w:hint="cs"/>
          <w:rtl/>
        </w:rPr>
        <w:t xml:space="preserve">שנגדם </w:t>
      </w:r>
      <w:r>
        <w:rPr>
          <w:rFonts w:hint="cs"/>
          <w:rtl/>
        </w:rPr>
        <w:t>עלה החשד להצבעה כפולה. באמרתה</w:t>
      </w:r>
      <w:r w:rsidR="00296723">
        <w:rPr>
          <w:rFonts w:hint="cs"/>
          <w:rtl/>
        </w:rPr>
        <w:t>,</w:t>
      </w:r>
      <w:r>
        <w:rPr>
          <w:rFonts w:hint="cs"/>
          <w:rtl/>
        </w:rPr>
        <w:t xml:space="preserve"> אישרה כי הצביעה יותר מפעם אחת, והסבירה כי </w:t>
      </w:r>
      <w:r w:rsidR="00296723">
        <w:rPr>
          <w:rFonts w:hint="cs"/>
          <w:rtl/>
        </w:rPr>
        <w:t xml:space="preserve">הייתה </w:t>
      </w:r>
      <w:r>
        <w:rPr>
          <w:rFonts w:hint="cs"/>
          <w:rtl/>
        </w:rPr>
        <w:t>זו הפעם הראשונה שהיא מצביעה בבחירות לכנסת</w:t>
      </w:r>
      <w:r w:rsidR="00296723">
        <w:rPr>
          <w:rFonts w:hint="cs"/>
          <w:rtl/>
        </w:rPr>
        <w:t>,</w:t>
      </w:r>
      <w:r>
        <w:rPr>
          <w:rFonts w:hint="cs"/>
          <w:rtl/>
        </w:rPr>
        <w:t xml:space="preserve"> וכי לא הכירה את </w:t>
      </w:r>
      <w:r w:rsidR="00296723">
        <w:rPr>
          <w:rFonts w:hint="cs"/>
          <w:rtl/>
        </w:rPr>
        <w:t>הכללים</w:t>
      </w:r>
      <w:r>
        <w:rPr>
          <w:rFonts w:hint="cs"/>
          <w:rtl/>
        </w:rPr>
        <w:t xml:space="preserve">. היא הצביעה בתחילה בבסיסה, לדבריה מבלי שניתן לה כל תדריך </w:t>
      </w:r>
      <w:r w:rsidR="00AA4914">
        <w:rPr>
          <w:rFonts w:hint="cs"/>
          <w:rtl/>
        </w:rPr>
        <w:t xml:space="preserve">בנוגע לכך. לאחר מכן, </w:t>
      </w:r>
      <w:r>
        <w:rPr>
          <w:rFonts w:hint="cs"/>
          <w:rtl/>
        </w:rPr>
        <w:t xml:space="preserve">ביום </w:t>
      </w:r>
      <w:r w:rsidR="00296723">
        <w:rPr>
          <w:rFonts w:hint="cs"/>
          <w:rtl/>
        </w:rPr>
        <w:t>ש</w:t>
      </w:r>
      <w:r>
        <w:rPr>
          <w:rFonts w:hint="cs"/>
          <w:rtl/>
        </w:rPr>
        <w:t>בו נערכו הבחירות הכלליות, עבדה בקלפי בעיר מגוריה</w:t>
      </w:r>
      <w:r w:rsidR="00B47130">
        <w:rPr>
          <w:rFonts w:hint="cs"/>
          <w:rtl/>
        </w:rPr>
        <w:t xml:space="preserve">, </w:t>
      </w:r>
      <w:r w:rsidR="00296723">
        <w:rPr>
          <w:rFonts w:hint="cs"/>
          <w:rtl/>
        </w:rPr>
        <w:t>ו</w:t>
      </w:r>
      <w:r w:rsidR="00B47130">
        <w:rPr>
          <w:rFonts w:hint="cs"/>
          <w:rtl/>
        </w:rPr>
        <w:t xml:space="preserve">שם קיבלה פתק </w:t>
      </w:r>
      <w:r w:rsidR="00296723">
        <w:rPr>
          <w:rFonts w:hint="cs"/>
          <w:rtl/>
        </w:rPr>
        <w:t xml:space="preserve">שלפיו </w:t>
      </w:r>
      <w:r w:rsidR="00B47130">
        <w:rPr>
          <w:rFonts w:hint="cs"/>
          <w:rtl/>
        </w:rPr>
        <w:t xml:space="preserve">היא יכולה </w:t>
      </w:r>
      <w:r w:rsidR="006D1EDC">
        <w:rPr>
          <w:rFonts w:hint="cs"/>
          <w:rtl/>
        </w:rPr>
        <w:t>ל</w:t>
      </w:r>
      <w:r w:rsidR="00B47130">
        <w:rPr>
          <w:rFonts w:hint="cs"/>
          <w:rtl/>
        </w:rPr>
        <w:t xml:space="preserve">הצביע </w:t>
      </w:r>
      <w:r w:rsidR="00296723">
        <w:rPr>
          <w:rFonts w:hint="cs"/>
          <w:rtl/>
        </w:rPr>
        <w:t xml:space="preserve">באותה </w:t>
      </w:r>
      <w:r w:rsidR="00B47130">
        <w:rPr>
          <w:rFonts w:hint="cs"/>
          <w:rtl/>
        </w:rPr>
        <w:t>קלפי</w:t>
      </w:r>
      <w:r w:rsidR="006D1EDC">
        <w:rPr>
          <w:rFonts w:hint="cs"/>
          <w:rtl/>
        </w:rPr>
        <w:t xml:space="preserve">: </w:t>
      </w:r>
      <w:r w:rsidR="00B47130">
        <w:rPr>
          <w:rFonts w:hint="cs"/>
          <w:rtl/>
        </w:rPr>
        <w:t>"ניגשה אלי מישהי סתם מישהי משם שעבדה שם, גם חיילת בגי</w:t>
      </w:r>
      <w:r w:rsidR="006D1EDC">
        <w:rPr>
          <w:rFonts w:hint="cs"/>
          <w:rtl/>
        </w:rPr>
        <w:t>ל</w:t>
      </w:r>
      <w:r w:rsidR="00B47130">
        <w:rPr>
          <w:rFonts w:hint="cs"/>
          <w:rtl/>
        </w:rPr>
        <w:t xml:space="preserve"> שלי... אז פשוט הצבעתי.</w:t>
      </w:r>
      <w:r w:rsidR="00AA4914">
        <w:rPr>
          <w:rFonts w:hint="cs"/>
          <w:rtl/>
        </w:rPr>
        <w:t xml:space="preserve"> </w:t>
      </w:r>
      <w:r w:rsidR="00B47130">
        <w:rPr>
          <w:rFonts w:hint="cs"/>
          <w:rtl/>
        </w:rPr>
        <w:t xml:space="preserve">הבנתי </w:t>
      </w:r>
      <w:r w:rsidR="00296723">
        <w:rPr>
          <w:rFonts w:hint="cs"/>
          <w:rtl/>
        </w:rPr>
        <w:t>ש</w:t>
      </w:r>
      <w:r w:rsidR="00B47130">
        <w:rPr>
          <w:rFonts w:hint="cs"/>
          <w:rtl/>
        </w:rPr>
        <w:t>משהו לא בסדר לשאלתך, כי אמרתי לעצמי שכבר הצבעתי ביום של הבסיס אז בטח היו מבטלים את הפתק</w:t>
      </w:r>
      <w:r w:rsidR="00AA4914">
        <w:rPr>
          <w:rFonts w:hint="cs"/>
          <w:rtl/>
        </w:rPr>
        <w:t>.</w:t>
      </w:r>
      <w:r w:rsidR="00B47130">
        <w:rPr>
          <w:rFonts w:hint="cs"/>
          <w:rtl/>
        </w:rPr>
        <w:t xml:space="preserve"> אבל מצד שני כן קיבלתי פתק, אז באתי ושאלתי את זאתי שאחראית על טוהר הבחירות האם יכול להיות שנתנו לי להצביע גם בבסיס וגם בבית, ואז היא אמרה</w:t>
      </w:r>
      <w:r w:rsidR="006D1EDC">
        <w:rPr>
          <w:rFonts w:hint="cs"/>
          <w:rtl/>
        </w:rPr>
        <w:t xml:space="preserve"> </w:t>
      </w:r>
      <w:r w:rsidR="00B47130">
        <w:rPr>
          <w:rFonts w:hint="cs"/>
          <w:rtl/>
        </w:rPr>
        <w:t xml:space="preserve">לי הכל טוב הכל בסדר, אני לא סתומה אני יודעת שזה מוצלב הנתונים, והיא הרגיעה אותי שהכל בסדר ולא יהיה כלום, כי אני הייתי בלחץ זה כנראה טעות". בהמשך כשהוצגו בפניה מסמכי ההצבעה הכפולה, מסרה כי: "לא יודעת, אני קצת בהלם, כי לא חשבתי שזה יהיה כזה סיפור, זה באמת אי הבנה וגם כשהבנתי באתי ופניתי לזאת שאחראית על טוהר הבחירות, וסיפרתי לה מה קרה והיא אמרה לי שאין יותר מדי מה לעשות ויהיה בסדר". </w:t>
      </w:r>
    </w:p>
    <w:p w14:paraId="0E78AFDE" w14:textId="77777777" w:rsidR="009F19C5" w:rsidRPr="0002633B" w:rsidRDefault="009F19C5" w:rsidP="009F19C5">
      <w:pPr>
        <w:tabs>
          <w:tab w:val="left" w:pos="226"/>
        </w:tabs>
        <w:spacing w:after="0" w:line="360" w:lineRule="auto"/>
        <w:ind w:left="-58"/>
        <w:jc w:val="both"/>
      </w:pPr>
    </w:p>
    <w:p w14:paraId="569F6ACA" w14:textId="5189D505" w:rsidR="003270AA" w:rsidRPr="003270AA" w:rsidRDefault="00AC79C4" w:rsidP="006D7BCA">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ההליכים בפני</w:t>
      </w:r>
      <w:r w:rsidR="000A59A4">
        <w:rPr>
          <w:rFonts w:cs="David" w:hint="cs"/>
          <w:b/>
          <w:bCs/>
          <w:sz w:val="28"/>
          <w:szCs w:val="28"/>
          <w:u w:val="single"/>
          <w:rtl/>
        </w:rPr>
        <w:t xml:space="preserve"> בית הדין קמא</w:t>
      </w:r>
      <w:r w:rsidR="006D7BCA">
        <w:rPr>
          <w:rFonts w:cs="David" w:hint="cs"/>
          <w:b/>
          <w:bCs/>
          <w:sz w:val="28"/>
          <w:szCs w:val="28"/>
          <w:u w:val="single"/>
          <w:rtl/>
        </w:rPr>
        <w:t xml:space="preserve"> </w:t>
      </w:r>
      <w:r w:rsidR="003270AA">
        <w:rPr>
          <w:rFonts w:cs="David" w:hint="cs"/>
          <w:b/>
          <w:bCs/>
          <w:sz w:val="28"/>
          <w:szCs w:val="28"/>
          <w:u w:val="single"/>
          <w:rtl/>
        </w:rPr>
        <w:t xml:space="preserve"> </w:t>
      </w:r>
    </w:p>
    <w:p w14:paraId="3CD0BA06" w14:textId="2124EADD" w:rsidR="003270AA" w:rsidRPr="009F19C5" w:rsidRDefault="003270AA" w:rsidP="003270AA">
      <w:pPr>
        <w:pStyle w:val="1"/>
        <w:tabs>
          <w:tab w:val="left" w:pos="283"/>
        </w:tabs>
        <w:spacing w:line="360" w:lineRule="auto"/>
        <w:ind w:left="353"/>
        <w:jc w:val="both"/>
        <w:outlineLvl w:val="0"/>
        <w:rPr>
          <w:rFonts w:cs="David"/>
          <w:sz w:val="6"/>
          <w:szCs w:val="6"/>
        </w:rPr>
      </w:pPr>
    </w:p>
    <w:p w14:paraId="2E7D4E93" w14:textId="6E482201" w:rsidR="00077619" w:rsidRDefault="003270AA" w:rsidP="009F19C5">
      <w:pPr>
        <w:numPr>
          <w:ilvl w:val="0"/>
          <w:numId w:val="32"/>
        </w:numPr>
        <w:tabs>
          <w:tab w:val="left" w:pos="226"/>
        </w:tabs>
        <w:spacing w:after="0" w:line="360" w:lineRule="auto"/>
        <w:ind w:left="-58" w:firstLine="0"/>
        <w:jc w:val="both"/>
      </w:pPr>
      <w:r w:rsidRPr="00BA68B2">
        <w:rPr>
          <w:rFonts w:hint="cs"/>
          <w:rtl/>
        </w:rPr>
        <w:t xml:space="preserve"> </w:t>
      </w:r>
      <w:r w:rsidR="006D7BCA" w:rsidRPr="00BA68B2">
        <w:rPr>
          <w:rFonts w:hint="cs"/>
          <w:rtl/>
        </w:rPr>
        <w:t xml:space="preserve">ביום </w:t>
      </w:r>
      <w:r w:rsidR="00AC4322" w:rsidRPr="00BA68B2">
        <w:rPr>
          <w:rFonts w:hint="cs"/>
          <w:rtl/>
        </w:rPr>
        <w:t>13</w:t>
      </w:r>
      <w:r w:rsidR="006D7BCA" w:rsidRPr="00BA68B2">
        <w:rPr>
          <w:rFonts w:hint="cs"/>
          <w:rtl/>
        </w:rPr>
        <w:t xml:space="preserve"> בפברואר 2022 הגישה ההגנה בקשה לקבלת חומר חקירה בהתאם לסעיף 74 לחוק </w:t>
      </w:r>
      <w:r w:rsidR="000A59A4" w:rsidRPr="00BA68B2">
        <w:rPr>
          <w:rFonts w:hint="cs"/>
          <w:rtl/>
        </w:rPr>
        <w:t>סדר הדין הפלילי [נוסח משולב], התשמ"ב -1982. במהלך הדיון שהתקיים בפני בית הדין קמא הנכבד</w:t>
      </w:r>
      <w:r w:rsidR="00AC4322" w:rsidRPr="00BA68B2">
        <w:rPr>
          <w:rFonts w:hint="cs"/>
          <w:rtl/>
        </w:rPr>
        <w:t xml:space="preserve"> (כב' השופטת </w:t>
      </w:r>
      <w:r w:rsidR="000E5558">
        <w:rPr>
          <w:rFonts w:hint="cs"/>
          <w:rtl/>
        </w:rPr>
        <w:t xml:space="preserve">רס"ן (כדרגתה אז) </w:t>
      </w:r>
      <w:r w:rsidR="00AC4322" w:rsidRPr="00BA68B2">
        <w:rPr>
          <w:rFonts w:hint="cs"/>
          <w:rtl/>
        </w:rPr>
        <w:t>לידור דרכמן)</w:t>
      </w:r>
      <w:r w:rsidR="000A59A4" w:rsidRPr="00BA68B2">
        <w:rPr>
          <w:rFonts w:hint="cs"/>
          <w:rtl/>
        </w:rPr>
        <w:t xml:space="preserve"> הושגו הסכמות</w:t>
      </w:r>
      <w:r w:rsidR="00AC79C4" w:rsidRPr="00BA68B2">
        <w:rPr>
          <w:rFonts w:hint="cs"/>
          <w:rtl/>
        </w:rPr>
        <w:t xml:space="preserve"> בנוגע לחלק מחומרי החקירה שהתבקשו</w:t>
      </w:r>
      <w:r w:rsidR="00C60367">
        <w:rPr>
          <w:rFonts w:hint="cs"/>
          <w:rtl/>
        </w:rPr>
        <w:t>.</w:t>
      </w:r>
      <w:r w:rsidR="000A59A4" w:rsidRPr="00BA68B2">
        <w:rPr>
          <w:rFonts w:hint="cs"/>
          <w:rtl/>
        </w:rPr>
        <w:t xml:space="preserve"> בית הדין נתן ביום 20 בפברואר 2022 את החלטתו </w:t>
      </w:r>
      <w:r w:rsidR="000A59A4" w:rsidRPr="00BA68B2">
        <w:rPr>
          <w:rFonts w:hint="cs"/>
          <w:rtl/>
        </w:rPr>
        <w:lastRenderedPageBreak/>
        <w:t>בנוגע למספר בקשות שנותרו במחלוקת.</w:t>
      </w:r>
      <w:r w:rsidR="00BA68B2">
        <w:rPr>
          <w:rFonts w:hint="cs"/>
          <w:rtl/>
        </w:rPr>
        <w:t xml:space="preserve"> </w:t>
      </w:r>
      <w:r w:rsidR="00296723">
        <w:rPr>
          <w:rFonts w:hint="cs"/>
          <w:rtl/>
        </w:rPr>
        <w:t xml:space="preserve">רוב </w:t>
      </w:r>
      <w:r w:rsidR="00C60367">
        <w:rPr>
          <w:rFonts w:hint="cs"/>
          <w:rtl/>
        </w:rPr>
        <w:t>בקשות ההגנה</w:t>
      </w:r>
      <w:r w:rsidR="00296723">
        <w:rPr>
          <w:rFonts w:hint="cs"/>
          <w:rtl/>
        </w:rPr>
        <w:t xml:space="preserve"> נדחו</w:t>
      </w:r>
      <w:r w:rsidR="00C60367">
        <w:rPr>
          <w:rFonts w:hint="cs"/>
          <w:rtl/>
        </w:rPr>
        <w:t xml:space="preserve">, </w:t>
      </w:r>
      <w:r w:rsidR="00296723">
        <w:rPr>
          <w:rFonts w:hint="cs"/>
          <w:rtl/>
        </w:rPr>
        <w:t>למעט ה</w:t>
      </w:r>
      <w:r w:rsidR="00C60367">
        <w:rPr>
          <w:rFonts w:hint="cs"/>
          <w:rtl/>
        </w:rPr>
        <w:t xml:space="preserve">בקשה להעביר לעיון ההגנה את </w:t>
      </w:r>
      <w:r w:rsidR="00077619">
        <w:rPr>
          <w:rFonts w:hint="cs"/>
          <w:rtl/>
        </w:rPr>
        <w:t>המכתב שהועבר מטעם ועדת הבחירות המרכזית למפקד מצ"ח בבקשה לפתיחת חקירות פליליות בחשד להצבעות כפולות</w:t>
      </w:r>
      <w:r w:rsidR="00C60367">
        <w:rPr>
          <w:rFonts w:hint="cs"/>
          <w:rtl/>
        </w:rPr>
        <w:t xml:space="preserve">, ללא הנספחים </w:t>
      </w:r>
      <w:r w:rsidR="00BE489B">
        <w:rPr>
          <w:rFonts w:hint="cs"/>
          <w:rtl/>
        </w:rPr>
        <w:t xml:space="preserve">הכוללים שמות של חשודים אחרים. </w:t>
      </w:r>
      <w:r w:rsidR="009E2290">
        <w:rPr>
          <w:rFonts w:hint="cs"/>
          <w:rtl/>
        </w:rPr>
        <w:t>צוין</w:t>
      </w:r>
      <w:r w:rsidR="00C60367">
        <w:rPr>
          <w:rFonts w:hint="cs"/>
          <w:rtl/>
        </w:rPr>
        <w:t>,</w:t>
      </w:r>
      <w:r w:rsidR="009E2290">
        <w:rPr>
          <w:rFonts w:hint="cs"/>
          <w:rtl/>
        </w:rPr>
        <w:t xml:space="preserve"> כי בעוד שהמסמך האמור הוביל לפתיחת החקירה והוא בעל זיקה ישירה לאישום, הרי </w:t>
      </w:r>
      <w:r w:rsidR="00C60367">
        <w:rPr>
          <w:rFonts w:hint="cs"/>
          <w:rtl/>
        </w:rPr>
        <w:t xml:space="preserve">שהעברת הנספח המכיל את </w:t>
      </w:r>
      <w:r w:rsidR="00016768">
        <w:rPr>
          <w:rFonts w:hint="cs"/>
          <w:rtl/>
        </w:rPr>
        <w:t xml:space="preserve">שמותיהם ופרטיהם האישיים </w:t>
      </w:r>
      <w:r w:rsidR="00B307D0">
        <w:rPr>
          <w:rFonts w:hint="cs"/>
          <w:rtl/>
        </w:rPr>
        <w:t>של כלל החשודים בעבירה</w:t>
      </w:r>
      <w:r w:rsidR="00016768">
        <w:rPr>
          <w:rFonts w:hint="cs"/>
          <w:rtl/>
        </w:rPr>
        <w:t xml:space="preserve"> </w:t>
      </w:r>
      <w:r w:rsidR="00C60367">
        <w:rPr>
          <w:rFonts w:hint="cs"/>
          <w:rtl/>
        </w:rPr>
        <w:t xml:space="preserve">עשויה לפגוע בפרטיותם. </w:t>
      </w:r>
    </w:p>
    <w:p w14:paraId="183C2171" w14:textId="77777777" w:rsidR="00BE489B" w:rsidRDefault="00E82D4F" w:rsidP="009F19C5">
      <w:pPr>
        <w:numPr>
          <w:ilvl w:val="0"/>
          <w:numId w:val="32"/>
        </w:numPr>
        <w:tabs>
          <w:tab w:val="left" w:pos="226"/>
        </w:tabs>
        <w:spacing w:after="0" w:line="360" w:lineRule="auto"/>
        <w:ind w:left="-58" w:firstLine="0"/>
        <w:jc w:val="both"/>
      </w:pPr>
      <w:r>
        <w:rPr>
          <w:rFonts w:hint="cs"/>
          <w:rtl/>
        </w:rPr>
        <w:t xml:space="preserve"> בקשות ההגנה </w:t>
      </w:r>
      <w:r w:rsidR="00A95AB8">
        <w:rPr>
          <w:rFonts w:hint="cs"/>
          <w:rtl/>
        </w:rPr>
        <w:t xml:space="preserve">הנוספות נדחו, כאמור, כמפורט להלן: </w:t>
      </w:r>
      <w:r>
        <w:rPr>
          <w:rFonts w:hint="cs"/>
          <w:rtl/>
        </w:rPr>
        <w:t xml:space="preserve"> </w:t>
      </w:r>
    </w:p>
    <w:p w14:paraId="55DB9CD4" w14:textId="150E31AC" w:rsidR="00E82D4F" w:rsidRDefault="00E82D4F" w:rsidP="009F19C5">
      <w:pPr>
        <w:numPr>
          <w:ilvl w:val="0"/>
          <w:numId w:val="34"/>
        </w:numPr>
        <w:tabs>
          <w:tab w:val="left" w:pos="226"/>
        </w:tabs>
        <w:spacing w:after="0" w:line="360" w:lineRule="auto"/>
        <w:ind w:left="-58" w:firstLine="0"/>
        <w:jc w:val="both"/>
      </w:pPr>
      <w:r>
        <w:rPr>
          <w:rFonts w:hint="cs"/>
          <w:rtl/>
        </w:rPr>
        <w:t xml:space="preserve">בקשות לקבלת פרוטוקולים של ועדת הבחירות </w:t>
      </w:r>
      <w:r w:rsidR="00B307D0">
        <w:rPr>
          <w:rFonts w:hint="cs"/>
          <w:rtl/>
        </w:rPr>
        <w:t xml:space="preserve">המרכזית </w:t>
      </w:r>
      <w:r>
        <w:rPr>
          <w:rFonts w:hint="cs"/>
          <w:rtl/>
        </w:rPr>
        <w:t xml:space="preserve">במקרים </w:t>
      </w:r>
      <w:r w:rsidR="00B307D0">
        <w:rPr>
          <w:rFonts w:hint="cs"/>
          <w:rtl/>
        </w:rPr>
        <w:t>ש</w:t>
      </w:r>
      <w:r>
        <w:rPr>
          <w:rFonts w:hint="cs"/>
          <w:rtl/>
        </w:rPr>
        <w:t>בהם יש חשד להצבעות כפולות</w:t>
      </w:r>
      <w:r w:rsidR="00B307D0">
        <w:rPr>
          <w:rFonts w:hint="cs"/>
          <w:rtl/>
        </w:rPr>
        <w:t>,</w:t>
      </w:r>
      <w:r>
        <w:rPr>
          <w:rFonts w:hint="cs"/>
          <w:rtl/>
        </w:rPr>
        <w:t xml:space="preserve"> ופרוטוקולים מדיונים שנערכו והחלטות שהתקבלו על ידי גורמי צה"ל בנוגע להיערכות לבלבול אפשרי ב</w:t>
      </w:r>
      <w:r w:rsidR="005B278E">
        <w:rPr>
          <w:rFonts w:hint="cs"/>
          <w:rtl/>
        </w:rPr>
        <w:t>הצבעות - נקבע</w:t>
      </w:r>
      <w:r w:rsidR="00B307D0">
        <w:rPr>
          <w:rFonts w:hint="cs"/>
          <w:rtl/>
        </w:rPr>
        <w:t>,</w:t>
      </w:r>
      <w:r w:rsidR="005B278E">
        <w:rPr>
          <w:rFonts w:hint="cs"/>
          <w:rtl/>
        </w:rPr>
        <w:t xml:space="preserve"> כי אין כל אינדיקציה לקיומם של מסמכים אלה, אשר מטבע הדברים גם לא נאספו בחקירה; וכי מדובר בבקשה ספקולטיבית שאינה מבוססת על חומר הראיות הקיים, ומבלי שההגנה יודעת גם להצביע כיצד יהיה בהם דבר מה שעשוי להועיל להגנת המערערת. צוין עוד, כי עדותו של סא"ל </w:t>
      </w:r>
      <w:r w:rsidR="00B307D0">
        <w:rPr>
          <w:rFonts w:hint="cs"/>
          <w:rtl/>
        </w:rPr>
        <w:t xml:space="preserve">(מיל') אלון </w:t>
      </w:r>
      <w:r w:rsidR="005B278E">
        <w:rPr>
          <w:rFonts w:hint="cs"/>
          <w:rtl/>
        </w:rPr>
        <w:t xml:space="preserve">בעניין זה מפורטת כדבעי, וכי ככל שיעלו </w:t>
      </w:r>
      <w:r w:rsidR="00C60367">
        <w:rPr>
          <w:rFonts w:hint="cs"/>
          <w:rtl/>
        </w:rPr>
        <w:t xml:space="preserve">נתונים </w:t>
      </w:r>
      <w:r w:rsidR="005B278E">
        <w:rPr>
          <w:rFonts w:hint="cs"/>
          <w:rtl/>
        </w:rPr>
        <w:t xml:space="preserve">נוספים </w:t>
      </w:r>
      <w:r w:rsidR="00C60367">
        <w:rPr>
          <w:rFonts w:hint="cs"/>
          <w:rtl/>
        </w:rPr>
        <w:t xml:space="preserve">הנדרשים לבחינה, </w:t>
      </w:r>
      <w:r w:rsidR="00B307D0">
        <w:rPr>
          <w:rFonts w:hint="cs"/>
          <w:rtl/>
        </w:rPr>
        <w:t xml:space="preserve">בחקירתו </w:t>
      </w:r>
      <w:r w:rsidR="005B278E">
        <w:rPr>
          <w:rFonts w:hint="cs"/>
          <w:rtl/>
        </w:rPr>
        <w:t xml:space="preserve">הנגדית, ניתן יהיה לשוב ולפנות בבקשה לפי סעיף 108 לחוק סדר הדין הפלילי. </w:t>
      </w:r>
    </w:p>
    <w:p w14:paraId="0ADD94CF" w14:textId="5EBC6D62" w:rsidR="00A95AB8" w:rsidRPr="009A61E3" w:rsidRDefault="005B278E" w:rsidP="009F19C5">
      <w:pPr>
        <w:numPr>
          <w:ilvl w:val="0"/>
          <w:numId w:val="34"/>
        </w:numPr>
        <w:tabs>
          <w:tab w:val="left" w:pos="226"/>
        </w:tabs>
        <w:spacing w:after="0" w:line="360" w:lineRule="auto"/>
        <w:ind w:left="-58" w:firstLine="0"/>
        <w:jc w:val="both"/>
        <w:rPr>
          <w:rtl/>
        </w:rPr>
      </w:pPr>
      <w:r w:rsidRPr="009A61E3">
        <w:rPr>
          <w:rFonts w:hint="cs"/>
          <w:rtl/>
        </w:rPr>
        <w:t xml:space="preserve">בקשות </w:t>
      </w:r>
      <w:r w:rsidR="00A95AB8" w:rsidRPr="009A61E3">
        <w:rPr>
          <w:rFonts w:hint="cs"/>
          <w:rtl/>
        </w:rPr>
        <w:t xml:space="preserve">לקבל את פרטי כלל החיילים </w:t>
      </w:r>
      <w:r w:rsidR="00C60367" w:rsidRPr="009A61E3">
        <w:rPr>
          <w:rFonts w:hint="cs"/>
          <w:rtl/>
        </w:rPr>
        <w:t>החשודים ב</w:t>
      </w:r>
      <w:r w:rsidR="00A95AB8" w:rsidRPr="009A61E3">
        <w:rPr>
          <w:rFonts w:hint="cs"/>
          <w:rtl/>
        </w:rPr>
        <w:t>הצבעה כפולה</w:t>
      </w:r>
      <w:r w:rsidR="00B307D0" w:rsidRPr="009A61E3">
        <w:rPr>
          <w:rFonts w:hint="cs"/>
          <w:rtl/>
        </w:rPr>
        <w:t>,</w:t>
      </w:r>
      <w:r w:rsidR="00A95AB8" w:rsidRPr="009A61E3">
        <w:rPr>
          <w:rFonts w:hint="cs"/>
          <w:rtl/>
        </w:rPr>
        <w:t xml:space="preserve"> ובפרט שמותיהם של ארבעה חיילים </w:t>
      </w:r>
      <w:r w:rsidR="00C60367" w:rsidRPr="009A61E3">
        <w:rPr>
          <w:rFonts w:hint="cs"/>
          <w:rtl/>
        </w:rPr>
        <w:t xml:space="preserve">מתוכם שתושאלו </w:t>
      </w:r>
      <w:r w:rsidR="00A95AB8" w:rsidRPr="009A61E3">
        <w:rPr>
          <w:rFonts w:hint="cs"/>
          <w:rtl/>
        </w:rPr>
        <w:t xml:space="preserve">על ידי מפקדיהם בניגוד </w:t>
      </w:r>
      <w:r w:rsidR="00B307D0" w:rsidRPr="009A61E3">
        <w:rPr>
          <w:rFonts w:hint="cs"/>
          <w:rtl/>
        </w:rPr>
        <w:t xml:space="preserve">להנחיות, כדי </w:t>
      </w:r>
      <w:r w:rsidR="00A95AB8" w:rsidRPr="009A61E3">
        <w:rPr>
          <w:rFonts w:hint="cs"/>
          <w:rtl/>
        </w:rPr>
        <w:t xml:space="preserve">לבסס </w:t>
      </w:r>
      <w:r w:rsidR="00B307D0" w:rsidRPr="009A61E3">
        <w:rPr>
          <w:rFonts w:hint="cs"/>
          <w:rtl/>
        </w:rPr>
        <w:t xml:space="preserve">את </w:t>
      </w:r>
      <w:r w:rsidR="00A95AB8" w:rsidRPr="009A61E3">
        <w:rPr>
          <w:rFonts w:hint="cs"/>
          <w:rtl/>
        </w:rPr>
        <w:t>טענ</w:t>
      </w:r>
      <w:r w:rsidR="00B307D0" w:rsidRPr="009A61E3">
        <w:rPr>
          <w:rFonts w:hint="cs"/>
          <w:rtl/>
        </w:rPr>
        <w:t>ו</w:t>
      </w:r>
      <w:r w:rsidR="00FD4F9F" w:rsidRPr="009A61E3">
        <w:rPr>
          <w:rFonts w:hint="cs"/>
          <w:rtl/>
        </w:rPr>
        <w:t>ת</w:t>
      </w:r>
      <w:r w:rsidR="00A95AB8" w:rsidRPr="009A61E3">
        <w:rPr>
          <w:rFonts w:hint="cs"/>
          <w:rtl/>
        </w:rPr>
        <w:t xml:space="preserve"> </w:t>
      </w:r>
      <w:r w:rsidR="00B307D0" w:rsidRPr="009A61E3">
        <w:rPr>
          <w:rFonts w:hint="cs"/>
          <w:rtl/>
        </w:rPr>
        <w:t>ה</w:t>
      </w:r>
      <w:r w:rsidR="00A95AB8" w:rsidRPr="009A61E3">
        <w:rPr>
          <w:rFonts w:hint="cs"/>
          <w:rtl/>
        </w:rPr>
        <w:t xml:space="preserve">הגנה </w:t>
      </w:r>
      <w:r w:rsidR="00B307D0" w:rsidRPr="009A61E3">
        <w:rPr>
          <w:rFonts w:hint="cs"/>
          <w:rtl/>
        </w:rPr>
        <w:t>ל</w:t>
      </w:r>
      <w:r w:rsidR="00A95AB8" w:rsidRPr="009A61E3">
        <w:rPr>
          <w:rFonts w:hint="cs"/>
          <w:rtl/>
        </w:rPr>
        <w:t xml:space="preserve">אכיפה בררנית </w:t>
      </w:r>
      <w:r w:rsidR="00B307D0" w:rsidRPr="009A61E3">
        <w:rPr>
          <w:rFonts w:hint="cs"/>
          <w:rtl/>
        </w:rPr>
        <w:t>ו</w:t>
      </w:r>
      <w:r w:rsidR="00A95AB8" w:rsidRPr="009A61E3">
        <w:rPr>
          <w:rFonts w:hint="cs"/>
          <w:rtl/>
        </w:rPr>
        <w:t>טעות כנה במצב דברים</w:t>
      </w:r>
      <w:r w:rsidR="00FD4F9F" w:rsidRPr="009A61E3">
        <w:rPr>
          <w:rFonts w:hint="cs"/>
          <w:rtl/>
        </w:rPr>
        <w:t xml:space="preserve"> </w:t>
      </w:r>
      <w:r w:rsidR="00B307D0" w:rsidRPr="009A61E3">
        <w:rPr>
          <w:rFonts w:hint="cs"/>
          <w:rtl/>
        </w:rPr>
        <w:t>- נקבע, כי</w:t>
      </w:r>
      <w:r w:rsidR="009A61E3">
        <w:rPr>
          <w:rFonts w:hint="cs"/>
          <w:rtl/>
        </w:rPr>
        <w:t xml:space="preserve"> </w:t>
      </w:r>
      <w:r w:rsidR="000F0EF0" w:rsidRPr="009A61E3">
        <w:rPr>
          <w:rFonts w:hint="cs"/>
          <w:rtl/>
        </w:rPr>
        <w:t xml:space="preserve">יש לדחות בקשות אלה בשל שלושה טעמים שונים: טעם ראשון עניינו בכך </w:t>
      </w:r>
      <w:r w:rsidR="00B307D0" w:rsidRPr="009A61E3">
        <w:rPr>
          <w:rFonts w:hint="cs"/>
          <w:rtl/>
        </w:rPr>
        <w:t>ש</w:t>
      </w:r>
      <w:r w:rsidR="000F0EF0" w:rsidRPr="009A61E3">
        <w:rPr>
          <w:rFonts w:hint="cs"/>
          <w:rtl/>
        </w:rPr>
        <w:t xml:space="preserve">לצורך ביסוס הטענה לאכיפה בררנית </w:t>
      </w:r>
      <w:r w:rsidR="00B307D0" w:rsidRPr="009A61E3">
        <w:rPr>
          <w:rFonts w:hint="cs"/>
          <w:rtl/>
        </w:rPr>
        <w:t xml:space="preserve">המסלול הננקט הוא </w:t>
      </w:r>
      <w:r w:rsidR="000F0EF0" w:rsidRPr="009A61E3">
        <w:rPr>
          <w:rFonts w:hint="cs"/>
          <w:rtl/>
        </w:rPr>
        <w:t>באמצעות סעיף 108 לחוק סדר הדין הפלילי</w:t>
      </w:r>
      <w:r w:rsidR="00B307D0" w:rsidRPr="009A61E3">
        <w:rPr>
          <w:rFonts w:hint="cs"/>
          <w:rtl/>
        </w:rPr>
        <w:t>,</w:t>
      </w:r>
      <w:r w:rsidR="000F0EF0" w:rsidRPr="009A61E3">
        <w:rPr>
          <w:rFonts w:hint="cs"/>
          <w:rtl/>
        </w:rPr>
        <w:t xml:space="preserve"> ולא באמצעות בקשה לקבלת חומר חקירה לפי סעיף 74 לחוק סדר הדין הפלילי; טעם שני כי הוא כי ההגנה לא הצליחה לבסס את תקוותה</w:t>
      </w:r>
      <w:r w:rsidR="00B307D0" w:rsidRPr="009A61E3">
        <w:rPr>
          <w:rFonts w:hint="cs"/>
          <w:rtl/>
        </w:rPr>
        <w:t>,</w:t>
      </w:r>
      <w:r w:rsidR="000F0EF0" w:rsidRPr="009A61E3">
        <w:rPr>
          <w:rFonts w:hint="cs"/>
          <w:rtl/>
        </w:rPr>
        <w:t xml:space="preserve"> שהוגדרה כ"ספקולטיבית"</w:t>
      </w:r>
      <w:r w:rsidR="00B307D0" w:rsidRPr="009A61E3">
        <w:rPr>
          <w:rFonts w:hint="cs"/>
          <w:rtl/>
        </w:rPr>
        <w:t>,</w:t>
      </w:r>
      <w:r w:rsidR="000F0EF0" w:rsidRPr="009A61E3">
        <w:rPr>
          <w:rFonts w:hint="cs"/>
          <w:rtl/>
        </w:rPr>
        <w:t xml:space="preserve"> כי </w:t>
      </w:r>
      <w:r w:rsidR="00A81D60" w:rsidRPr="009A61E3">
        <w:rPr>
          <w:rFonts w:hint="cs"/>
          <w:rtl/>
        </w:rPr>
        <w:t xml:space="preserve">החומר </w:t>
      </w:r>
      <w:r w:rsidR="000F0EF0" w:rsidRPr="009A61E3">
        <w:rPr>
          <w:rFonts w:hint="cs"/>
          <w:rtl/>
        </w:rPr>
        <w:t xml:space="preserve">המבוקש </w:t>
      </w:r>
      <w:r w:rsidR="00A81D60" w:rsidRPr="009A61E3">
        <w:rPr>
          <w:rFonts w:hint="cs"/>
          <w:rtl/>
        </w:rPr>
        <w:t xml:space="preserve">ילמד על </w:t>
      </w:r>
      <w:r w:rsidR="000F0EF0" w:rsidRPr="009A61E3">
        <w:rPr>
          <w:rFonts w:hint="cs"/>
          <w:rtl/>
        </w:rPr>
        <w:t xml:space="preserve">מסה קריטית של חיילים שטעו לחשוב כי הבחירות בצה"ל </w:t>
      </w:r>
      <w:r w:rsidR="00A81D60" w:rsidRPr="009A61E3">
        <w:rPr>
          <w:rFonts w:hint="cs"/>
          <w:rtl/>
        </w:rPr>
        <w:t xml:space="preserve">היו בגדר </w:t>
      </w:r>
      <w:r w:rsidR="000F0EF0" w:rsidRPr="009A61E3">
        <w:rPr>
          <w:rFonts w:hint="cs"/>
          <w:rtl/>
        </w:rPr>
        <w:t>מדגם</w:t>
      </w:r>
      <w:r w:rsidR="00A81D60" w:rsidRPr="009A61E3">
        <w:rPr>
          <w:rFonts w:hint="cs"/>
          <w:rtl/>
        </w:rPr>
        <w:t>,</w:t>
      </w:r>
      <w:r w:rsidR="000F0EF0" w:rsidRPr="009A61E3">
        <w:rPr>
          <w:rFonts w:hint="cs"/>
          <w:rtl/>
        </w:rPr>
        <w:t xml:space="preserve"> באופן שעשוי לבסס טענה של טעות במצב דברים. צוין, כי </w:t>
      </w:r>
      <w:r w:rsidR="00FD4F9F" w:rsidRPr="009A61E3">
        <w:rPr>
          <w:rFonts w:hint="cs"/>
          <w:rtl/>
        </w:rPr>
        <w:t xml:space="preserve">דבר קיומו הלכאורי של חייל אחד שטעה לחשוב כך, אינו מבסס את המסקנה </w:t>
      </w:r>
      <w:r w:rsidR="00A81D60" w:rsidRPr="009A61E3">
        <w:rPr>
          <w:rFonts w:hint="cs"/>
          <w:rtl/>
        </w:rPr>
        <w:t>ש</w:t>
      </w:r>
      <w:r w:rsidR="00FD4F9F" w:rsidRPr="009A61E3">
        <w:rPr>
          <w:rFonts w:hint="cs"/>
          <w:rtl/>
        </w:rPr>
        <w:t xml:space="preserve">לפיה </w:t>
      </w:r>
      <w:r w:rsidR="000F0EF0" w:rsidRPr="009A61E3">
        <w:rPr>
          <w:rFonts w:hint="cs"/>
          <w:rtl/>
        </w:rPr>
        <w:t xml:space="preserve">חיילים נוספים סברו כן. </w:t>
      </w:r>
      <w:r w:rsidR="00FD4F9F" w:rsidRPr="009A61E3">
        <w:rPr>
          <w:rFonts w:hint="cs"/>
          <w:rtl/>
        </w:rPr>
        <w:t>עוד עמד בית הדין קמא על כך ש</w:t>
      </w:r>
      <w:r w:rsidR="000F0EF0" w:rsidRPr="009A61E3">
        <w:rPr>
          <w:rFonts w:hint="cs"/>
          <w:rtl/>
        </w:rPr>
        <w:t xml:space="preserve">אף מאמרת המבקשת לא עולה שהיא טעתה לחשוב שההצבעה הצבאית היא מדגם בלבד, אלא </w:t>
      </w:r>
      <w:r w:rsidR="009A61E3">
        <w:rPr>
          <w:rFonts w:hint="cs"/>
          <w:rtl/>
        </w:rPr>
        <w:t xml:space="preserve"> נראה כי </w:t>
      </w:r>
      <w:r w:rsidR="000F0EF0" w:rsidRPr="009A61E3">
        <w:rPr>
          <w:rFonts w:hint="cs"/>
          <w:rtl/>
        </w:rPr>
        <w:t xml:space="preserve">הסיקה זאת בדיעבד. הטעם השלישי </w:t>
      </w:r>
      <w:r w:rsidR="00A81D60" w:rsidRPr="009A61E3">
        <w:rPr>
          <w:rFonts w:hint="cs"/>
          <w:rtl/>
        </w:rPr>
        <w:t xml:space="preserve">עניינו </w:t>
      </w:r>
      <w:r w:rsidR="000F0EF0" w:rsidRPr="009A61E3">
        <w:rPr>
          <w:rFonts w:hint="cs"/>
          <w:rtl/>
        </w:rPr>
        <w:t xml:space="preserve">בכך שיש בהעברת נתונים אלה משום פגיעה בפרטיותם של מאות חיילים. </w:t>
      </w:r>
    </w:p>
    <w:p w14:paraId="71A289EF" w14:textId="4D002D30" w:rsidR="000F0EF0" w:rsidRDefault="009E2290" w:rsidP="009F19C5">
      <w:pPr>
        <w:numPr>
          <w:ilvl w:val="0"/>
          <w:numId w:val="34"/>
        </w:numPr>
        <w:tabs>
          <w:tab w:val="left" w:pos="226"/>
        </w:tabs>
        <w:spacing w:after="0" w:line="360" w:lineRule="auto"/>
        <w:ind w:left="-58" w:firstLine="0"/>
        <w:jc w:val="both"/>
      </w:pPr>
      <w:r>
        <w:rPr>
          <w:rFonts w:hint="cs"/>
          <w:rtl/>
        </w:rPr>
        <w:t xml:space="preserve">בקשת ההגנה לקבל את התחקיר שערך סא"ל </w:t>
      </w:r>
      <w:r w:rsidR="00A81D60">
        <w:rPr>
          <w:rFonts w:hint="cs"/>
          <w:rtl/>
        </w:rPr>
        <w:t xml:space="preserve">(מיל') אלון </w:t>
      </w:r>
      <w:r>
        <w:rPr>
          <w:rFonts w:hint="cs"/>
          <w:rtl/>
        </w:rPr>
        <w:t xml:space="preserve">בעניינם של מפקדים שתחקרו את ארבעת החיילים </w:t>
      </w:r>
      <w:r w:rsidR="00FD4F9F">
        <w:rPr>
          <w:rFonts w:hint="cs"/>
          <w:rtl/>
        </w:rPr>
        <w:t>שנחשדו בהצבעה כפולה</w:t>
      </w:r>
      <w:r>
        <w:rPr>
          <w:rFonts w:hint="cs"/>
          <w:rtl/>
        </w:rPr>
        <w:t xml:space="preserve"> </w:t>
      </w:r>
      <w:r w:rsidR="00FD4F9F">
        <w:rPr>
          <w:rFonts w:hint="cs"/>
          <w:rtl/>
        </w:rPr>
        <w:t>-</w:t>
      </w:r>
      <w:r>
        <w:rPr>
          <w:rFonts w:hint="cs"/>
          <w:rtl/>
        </w:rPr>
        <w:t xml:space="preserve"> צוין כי מטרת התחקיר היתה </w:t>
      </w:r>
      <w:r>
        <w:rPr>
          <w:rFonts w:hint="cs"/>
          <w:rtl/>
        </w:rPr>
        <w:lastRenderedPageBreak/>
        <w:t>להבין מדוע שוחחו המפקדים עם החיילים בניגוד להנחיות, הוא אינו נוגע למערערת</w:t>
      </w:r>
      <w:r w:rsidR="00A81D60">
        <w:rPr>
          <w:rFonts w:hint="cs"/>
          <w:rtl/>
        </w:rPr>
        <w:t>,</w:t>
      </w:r>
      <w:r>
        <w:rPr>
          <w:rFonts w:hint="cs"/>
          <w:rtl/>
        </w:rPr>
        <w:t xml:space="preserve"> ולא בואר מדוע מדובר בחומר חקירה רלוונטי. </w:t>
      </w:r>
    </w:p>
    <w:p w14:paraId="2936606E" w14:textId="2052E539" w:rsidR="00AC79C4" w:rsidRDefault="00AC79C4" w:rsidP="00AC79C4">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 xml:space="preserve">ערעור ההגנה וטענות הצדדים   </w:t>
      </w:r>
    </w:p>
    <w:p w14:paraId="27307361" w14:textId="77777777" w:rsidR="009F19C5" w:rsidRPr="009F19C5" w:rsidRDefault="009F19C5" w:rsidP="00AC79C4">
      <w:pPr>
        <w:pStyle w:val="1"/>
        <w:tabs>
          <w:tab w:val="left" w:pos="283"/>
        </w:tabs>
        <w:spacing w:line="360" w:lineRule="auto"/>
        <w:ind w:left="-7"/>
        <w:jc w:val="both"/>
        <w:outlineLvl w:val="0"/>
        <w:rPr>
          <w:rFonts w:cs="David"/>
          <w:b/>
          <w:bCs/>
          <w:sz w:val="6"/>
          <w:szCs w:val="6"/>
          <w:u w:val="single"/>
          <w:rtl/>
        </w:rPr>
      </w:pPr>
    </w:p>
    <w:p w14:paraId="6DC10523" w14:textId="77777777" w:rsidR="00C36B77" w:rsidRDefault="00C36B77" w:rsidP="009F19C5">
      <w:pPr>
        <w:numPr>
          <w:ilvl w:val="0"/>
          <w:numId w:val="32"/>
        </w:numPr>
        <w:tabs>
          <w:tab w:val="left" w:pos="226"/>
        </w:tabs>
        <w:spacing w:after="0" w:line="360" w:lineRule="auto"/>
        <w:ind w:left="-58" w:firstLine="0"/>
        <w:jc w:val="both"/>
      </w:pPr>
      <w:r>
        <w:rPr>
          <w:rFonts w:hint="cs"/>
          <w:rtl/>
        </w:rPr>
        <w:t>בהודעת הערעור המפורטת שהוגשה על ידי ההגנה,</w:t>
      </w:r>
      <w:r w:rsidR="00DA27BB">
        <w:rPr>
          <w:rFonts w:hint="cs"/>
          <w:rtl/>
        </w:rPr>
        <w:t xml:space="preserve"> </w:t>
      </w:r>
      <w:r w:rsidR="00067AE1">
        <w:rPr>
          <w:rFonts w:hint="cs"/>
          <w:rtl/>
        </w:rPr>
        <w:t>היא הלינה על כך שבית הדין קמא דחה את בקשתה</w:t>
      </w:r>
      <w:r w:rsidR="00DA27BB">
        <w:rPr>
          <w:rFonts w:hint="cs"/>
          <w:rtl/>
        </w:rPr>
        <w:t>,</w:t>
      </w:r>
      <w:r w:rsidR="00067AE1">
        <w:rPr>
          <w:rFonts w:hint="cs"/>
          <w:rtl/>
        </w:rPr>
        <w:t xml:space="preserve"> מבלי לעיין בחומרים המבוקשים, בניגוד לאמור בסעיף 74(ד) לחוק סדר הדין הפלילי</w:t>
      </w:r>
      <w:r w:rsidR="00A4338D">
        <w:rPr>
          <w:rFonts w:hint="cs"/>
          <w:rtl/>
        </w:rPr>
        <w:t xml:space="preserve">. </w:t>
      </w:r>
    </w:p>
    <w:p w14:paraId="20EEFFCF" w14:textId="038F6421" w:rsidR="002B53F6" w:rsidRDefault="00A4338D" w:rsidP="009F19C5">
      <w:pPr>
        <w:numPr>
          <w:ilvl w:val="0"/>
          <w:numId w:val="32"/>
        </w:numPr>
        <w:tabs>
          <w:tab w:val="left" w:pos="226"/>
        </w:tabs>
        <w:spacing w:after="0" w:line="360" w:lineRule="auto"/>
        <w:ind w:left="-58" w:firstLine="0"/>
        <w:jc w:val="both"/>
      </w:pPr>
      <w:r>
        <w:rPr>
          <w:rFonts w:hint="cs"/>
          <w:rtl/>
        </w:rPr>
        <w:t>לגופו של עניין נטען, כי שגה בית הדין קמא כאשר לא העביר את פרטיהם של החיילים החשודים בהצבעה כפולה</w:t>
      </w:r>
      <w:r w:rsidR="00DA7BD8">
        <w:rPr>
          <w:rFonts w:hint="cs"/>
          <w:rtl/>
        </w:rPr>
        <w:t>, תוך שהודגש כי ההגנה מבקשת לקבל רק את פרטיהם של החיילים שבעניינם נפתחה לבסוף חקירה</w:t>
      </w:r>
      <w:r w:rsidR="002B53F6">
        <w:rPr>
          <w:rFonts w:hint="cs"/>
          <w:rtl/>
        </w:rPr>
        <w:t xml:space="preserve">, על מנת ליצור עמם קשר ולברר </w:t>
      </w:r>
      <w:r w:rsidR="00A81D60">
        <w:rPr>
          <w:rFonts w:hint="cs"/>
          <w:rtl/>
        </w:rPr>
        <w:t xml:space="preserve">עמם את </w:t>
      </w:r>
      <w:r w:rsidR="002B53F6">
        <w:rPr>
          <w:rFonts w:hint="cs"/>
          <w:rtl/>
        </w:rPr>
        <w:t>נסיבות הצבעתם הכפולה</w:t>
      </w:r>
      <w:r>
        <w:rPr>
          <w:rFonts w:hint="cs"/>
          <w:rtl/>
        </w:rPr>
        <w:t xml:space="preserve">. נטען כי יש בפרטים אלה כדי לסייע להגנה לבסס את טענתה </w:t>
      </w:r>
      <w:r w:rsidR="009A61E3">
        <w:rPr>
          <w:rFonts w:hint="cs"/>
          <w:rtl/>
        </w:rPr>
        <w:t>ל</w:t>
      </w:r>
      <w:r>
        <w:rPr>
          <w:rFonts w:hint="cs"/>
          <w:rtl/>
        </w:rPr>
        <w:t xml:space="preserve">אכיפה בררנית. </w:t>
      </w:r>
      <w:r w:rsidR="00A81D60">
        <w:rPr>
          <w:rFonts w:hint="cs"/>
          <w:rtl/>
        </w:rPr>
        <w:t xml:space="preserve">לדעת ההגנה, </w:t>
      </w:r>
      <w:r>
        <w:rPr>
          <w:rFonts w:hint="cs"/>
          <w:rtl/>
        </w:rPr>
        <w:t xml:space="preserve">העובדה כי ישנו חייל אחד לפחות הטוען כי סבר שההצבעה בקלפי הצבאית היא בבחינת מדגם, מלמדת על כך שככל הנראה יש חיילים נוספים שסברו כך, והמידע המבוקש </w:t>
      </w:r>
      <w:r w:rsidR="009A61E3">
        <w:rPr>
          <w:rFonts w:hint="cs"/>
          <w:rtl/>
        </w:rPr>
        <w:t>י</w:t>
      </w:r>
      <w:r>
        <w:rPr>
          <w:rFonts w:hint="cs"/>
          <w:rtl/>
        </w:rPr>
        <w:t>סייע להגנה לבסס את טענתה בדבר טעות כנה</w:t>
      </w:r>
      <w:r w:rsidR="002B53F6">
        <w:rPr>
          <w:rFonts w:hint="cs"/>
          <w:rtl/>
        </w:rPr>
        <w:t xml:space="preserve">. </w:t>
      </w:r>
    </w:p>
    <w:p w14:paraId="0BD877DA" w14:textId="6294CE9F" w:rsidR="00A4338D" w:rsidRDefault="002B53F6" w:rsidP="009F19C5">
      <w:pPr>
        <w:numPr>
          <w:ilvl w:val="0"/>
          <w:numId w:val="32"/>
        </w:numPr>
        <w:tabs>
          <w:tab w:val="left" w:pos="226"/>
        </w:tabs>
        <w:spacing w:after="0" w:line="360" w:lineRule="auto"/>
        <w:ind w:left="-58" w:firstLine="0"/>
        <w:jc w:val="both"/>
      </w:pPr>
      <w:r>
        <w:rPr>
          <w:rFonts w:hint="cs"/>
          <w:rtl/>
        </w:rPr>
        <w:t xml:space="preserve">ההגנה עמדה על כך שהמידע המבוקש אינו </w:t>
      </w:r>
      <w:r w:rsidR="00A4338D">
        <w:rPr>
          <w:rFonts w:hint="cs"/>
          <w:rtl/>
        </w:rPr>
        <w:t xml:space="preserve">חוסה תחת חיסיון או אסור בפרסום; </w:t>
      </w:r>
      <w:r w:rsidR="00A81D60">
        <w:rPr>
          <w:rFonts w:hint="cs"/>
          <w:rtl/>
        </w:rPr>
        <w:t xml:space="preserve">והדגישה </w:t>
      </w:r>
      <w:r w:rsidR="00A4338D">
        <w:rPr>
          <w:rFonts w:hint="cs"/>
          <w:rtl/>
        </w:rPr>
        <w:t xml:space="preserve">כי </w:t>
      </w:r>
      <w:r w:rsidR="00A81D60">
        <w:rPr>
          <w:rFonts w:hint="cs"/>
          <w:rtl/>
        </w:rPr>
        <w:t xml:space="preserve">היא </w:t>
      </w:r>
      <w:r w:rsidR="00A4338D">
        <w:rPr>
          <w:rFonts w:hint="cs"/>
          <w:rtl/>
        </w:rPr>
        <w:t xml:space="preserve">מתחייבת שלא להעביר את פרטיהם </w:t>
      </w:r>
      <w:r w:rsidR="00A81D60">
        <w:rPr>
          <w:rFonts w:hint="cs"/>
          <w:rtl/>
        </w:rPr>
        <w:t xml:space="preserve">של החיילים </w:t>
      </w:r>
      <w:r w:rsidR="00A4338D">
        <w:rPr>
          <w:rFonts w:hint="cs"/>
          <w:rtl/>
        </w:rPr>
        <w:t>לגורמים שלישיים</w:t>
      </w:r>
      <w:r w:rsidR="00A81D60">
        <w:rPr>
          <w:rFonts w:hint="cs"/>
          <w:rtl/>
        </w:rPr>
        <w:t>,</w:t>
      </w:r>
      <w:r w:rsidR="00A4338D">
        <w:rPr>
          <w:rFonts w:hint="cs"/>
          <w:rtl/>
        </w:rPr>
        <w:t xml:space="preserve"> ולעשות בו שימוש רק לצורך קידום הגנת המערערת</w:t>
      </w:r>
      <w:r w:rsidR="00A81D60">
        <w:rPr>
          <w:rFonts w:hint="cs"/>
          <w:rtl/>
        </w:rPr>
        <w:t>,</w:t>
      </w:r>
      <w:r w:rsidR="00A4338D">
        <w:rPr>
          <w:rFonts w:hint="cs"/>
          <w:rtl/>
        </w:rPr>
        <w:t xml:space="preserve"> על דרך של בירור נקודתי ורלוונטי. על כן נטען כי באיזון בין אינטרס השמירה על פרטיותם של אותם חיילים לבין זכותה של המערערת לנהל משפט הוגן </w:t>
      </w:r>
      <w:r w:rsidR="00DA27BB">
        <w:rPr>
          <w:rFonts w:hint="cs"/>
          <w:rtl/>
        </w:rPr>
        <w:t>-</w:t>
      </w:r>
      <w:r w:rsidR="00A4338D">
        <w:rPr>
          <w:rFonts w:hint="cs"/>
          <w:rtl/>
        </w:rPr>
        <w:t xml:space="preserve"> </w:t>
      </w:r>
      <w:r w:rsidR="00474BD1">
        <w:rPr>
          <w:rFonts w:hint="cs"/>
          <w:rtl/>
        </w:rPr>
        <w:t>זכותה של המערערת גוברת</w:t>
      </w:r>
      <w:r w:rsidR="00A4338D">
        <w:rPr>
          <w:rFonts w:hint="cs"/>
          <w:rtl/>
        </w:rPr>
        <w:t xml:space="preserve">. </w:t>
      </w:r>
      <w:r w:rsidR="00DA7BD8">
        <w:rPr>
          <w:rFonts w:hint="cs"/>
          <w:rtl/>
        </w:rPr>
        <w:t>ההגנה סבורה כי יש להעביר לה את החומר האמור במסגרת הליך לפי סעיף 74 לחוק סדר הדין הפלילי</w:t>
      </w:r>
      <w:r w:rsidR="00474BD1">
        <w:rPr>
          <w:rFonts w:hint="cs"/>
          <w:rtl/>
        </w:rPr>
        <w:t>,</w:t>
      </w:r>
      <w:r w:rsidR="00DA7BD8">
        <w:rPr>
          <w:rFonts w:hint="cs"/>
          <w:rtl/>
        </w:rPr>
        <w:t xml:space="preserve"> ולא בהליך לפי סעיף 108 לחוק, שכן מדובר לשיטתה בחומר חקירה מובהק שהוחרם על ידי מצ"ח וה</w:t>
      </w:r>
      <w:r>
        <w:rPr>
          <w:rFonts w:hint="cs"/>
          <w:rtl/>
        </w:rPr>
        <w:t>ובי</w:t>
      </w:r>
      <w:r w:rsidR="00DA7BD8">
        <w:rPr>
          <w:rFonts w:hint="cs"/>
          <w:rtl/>
        </w:rPr>
        <w:t xml:space="preserve">ל לפתיחה בפרשה זו. </w:t>
      </w:r>
      <w:r w:rsidR="00A4338D">
        <w:rPr>
          <w:rFonts w:hint="cs"/>
          <w:rtl/>
        </w:rPr>
        <w:t xml:space="preserve"> </w:t>
      </w:r>
    </w:p>
    <w:p w14:paraId="0A7A9CE6" w14:textId="2F00EC94" w:rsidR="002F7C23" w:rsidRDefault="00946CA3" w:rsidP="009F19C5">
      <w:pPr>
        <w:numPr>
          <w:ilvl w:val="0"/>
          <w:numId w:val="32"/>
        </w:numPr>
        <w:tabs>
          <w:tab w:val="left" w:pos="226"/>
        </w:tabs>
        <w:spacing w:after="0" w:line="360" w:lineRule="auto"/>
        <w:ind w:left="-58" w:firstLine="0"/>
        <w:jc w:val="both"/>
      </w:pPr>
      <w:r>
        <w:rPr>
          <w:rFonts w:hint="cs"/>
          <w:rtl/>
        </w:rPr>
        <w:t xml:space="preserve">אשר לבקשתה לקבל את הפרוטוקולים של </w:t>
      </w:r>
      <w:r w:rsidR="00474BD1">
        <w:rPr>
          <w:rFonts w:hint="cs"/>
          <w:rtl/>
        </w:rPr>
        <w:t>ה</w:t>
      </w:r>
      <w:r>
        <w:rPr>
          <w:rFonts w:hint="cs"/>
          <w:rtl/>
        </w:rPr>
        <w:t xml:space="preserve">היערכות ליום הבחירות, </w:t>
      </w:r>
      <w:r w:rsidR="00DA27BB">
        <w:rPr>
          <w:rFonts w:hint="cs"/>
          <w:rtl/>
        </w:rPr>
        <w:t xml:space="preserve">טענה ההגנה כי </w:t>
      </w:r>
      <w:r>
        <w:rPr>
          <w:rFonts w:hint="cs"/>
          <w:rtl/>
        </w:rPr>
        <w:t>התביעה כלל לא בדקה האם חומרים כאלה קיי</w:t>
      </w:r>
      <w:r w:rsidR="00DA27BB">
        <w:rPr>
          <w:rFonts w:hint="cs"/>
          <w:rtl/>
        </w:rPr>
        <w:t>מים</w:t>
      </w:r>
      <w:r>
        <w:rPr>
          <w:rFonts w:hint="cs"/>
          <w:rtl/>
        </w:rPr>
        <w:t>; וכי מש</w:t>
      </w:r>
      <w:r w:rsidR="00474BD1">
        <w:rPr>
          <w:rFonts w:hint="cs"/>
          <w:rtl/>
        </w:rPr>
        <w:t xml:space="preserve">אין מחלוקת כי אכן </w:t>
      </w:r>
      <w:r>
        <w:rPr>
          <w:rFonts w:hint="cs"/>
          <w:rtl/>
        </w:rPr>
        <w:t xml:space="preserve">נערכו </w:t>
      </w:r>
      <w:r w:rsidR="00474BD1">
        <w:rPr>
          <w:rFonts w:hint="cs"/>
          <w:rtl/>
        </w:rPr>
        <w:t xml:space="preserve">בצה"ל </w:t>
      </w:r>
      <w:r>
        <w:rPr>
          <w:rFonts w:hint="cs"/>
          <w:rtl/>
        </w:rPr>
        <w:t xml:space="preserve">דיונים </w:t>
      </w:r>
      <w:r w:rsidR="00DA27BB">
        <w:rPr>
          <w:rFonts w:hint="cs"/>
          <w:rtl/>
        </w:rPr>
        <w:t xml:space="preserve">בנושא </w:t>
      </w:r>
      <w:r w:rsidR="00474BD1">
        <w:rPr>
          <w:rFonts w:hint="cs"/>
          <w:rtl/>
        </w:rPr>
        <w:t xml:space="preserve">- הרי </w:t>
      </w:r>
      <w:r w:rsidR="009A61E3">
        <w:rPr>
          <w:rFonts w:hint="cs"/>
          <w:rtl/>
        </w:rPr>
        <w:t>ש</w:t>
      </w:r>
      <w:r w:rsidR="00DA27BB">
        <w:rPr>
          <w:rFonts w:hint="cs"/>
          <w:rtl/>
        </w:rPr>
        <w:t xml:space="preserve">יש בכך לבסס </w:t>
      </w:r>
      <w:r>
        <w:rPr>
          <w:rFonts w:hint="cs"/>
          <w:rtl/>
        </w:rPr>
        <w:t xml:space="preserve">תשתית מספקת </w:t>
      </w:r>
      <w:r w:rsidR="00DA27BB">
        <w:rPr>
          <w:rFonts w:hint="cs"/>
          <w:rtl/>
        </w:rPr>
        <w:t xml:space="preserve">לכך שקיימים </w:t>
      </w:r>
      <w:r>
        <w:rPr>
          <w:rFonts w:hint="cs"/>
          <w:rtl/>
        </w:rPr>
        <w:t xml:space="preserve">פרוטוקולים או מזכרים המתעדים </w:t>
      </w:r>
      <w:r w:rsidR="00474BD1">
        <w:rPr>
          <w:rFonts w:hint="cs"/>
          <w:rtl/>
        </w:rPr>
        <w:t>את הדיונים</w:t>
      </w:r>
      <w:r>
        <w:rPr>
          <w:rFonts w:hint="cs"/>
          <w:rtl/>
        </w:rPr>
        <w:t>. נטען כי מדובר בחומר חקירה רלוונטי שעשוי אף הוא ל</w:t>
      </w:r>
      <w:r w:rsidR="00DA27BB">
        <w:rPr>
          <w:rFonts w:hint="cs"/>
          <w:rtl/>
        </w:rPr>
        <w:t xml:space="preserve">סייע </w:t>
      </w:r>
      <w:r w:rsidR="00474BD1">
        <w:rPr>
          <w:rFonts w:hint="cs"/>
          <w:rtl/>
        </w:rPr>
        <w:t xml:space="preserve">בהוכחת </w:t>
      </w:r>
      <w:r>
        <w:rPr>
          <w:rFonts w:hint="cs"/>
          <w:rtl/>
        </w:rPr>
        <w:t>טענתה של המערערת לטעות</w:t>
      </w:r>
      <w:r w:rsidR="00474BD1">
        <w:rPr>
          <w:rFonts w:hint="cs"/>
          <w:rtl/>
        </w:rPr>
        <w:t xml:space="preserve"> במצב דברים</w:t>
      </w:r>
      <w:r>
        <w:rPr>
          <w:rFonts w:hint="cs"/>
          <w:rtl/>
        </w:rPr>
        <w:t xml:space="preserve">, שכן </w:t>
      </w:r>
      <w:r w:rsidR="00474BD1">
        <w:rPr>
          <w:rFonts w:hint="cs"/>
          <w:rtl/>
        </w:rPr>
        <w:t>הוא מעיד על כך ש</w:t>
      </w:r>
      <w:r>
        <w:rPr>
          <w:rFonts w:hint="cs"/>
          <w:rtl/>
        </w:rPr>
        <w:t xml:space="preserve">גם גורמי המקצוע סברו שטעות כזו </w:t>
      </w:r>
      <w:r w:rsidR="00474BD1">
        <w:rPr>
          <w:rFonts w:hint="cs"/>
          <w:rtl/>
        </w:rPr>
        <w:t xml:space="preserve">היא </w:t>
      </w:r>
      <w:r>
        <w:rPr>
          <w:rFonts w:hint="cs"/>
          <w:rtl/>
        </w:rPr>
        <w:t>אפשרית</w:t>
      </w:r>
      <w:r w:rsidR="00DA27BB">
        <w:rPr>
          <w:rFonts w:hint="cs"/>
          <w:rtl/>
        </w:rPr>
        <w:t>.</w:t>
      </w:r>
      <w:r>
        <w:rPr>
          <w:rFonts w:hint="cs"/>
          <w:rtl/>
        </w:rPr>
        <w:t xml:space="preserve"> </w:t>
      </w:r>
      <w:r w:rsidR="00474BD1">
        <w:rPr>
          <w:rFonts w:hint="cs"/>
          <w:rtl/>
        </w:rPr>
        <w:t xml:space="preserve">משכך, נטען כי המסלול הדיוני הנכון, גם כאן, הוא לפי סעיף 74 לחוק, לפני שמיעת הראיות, ולא לפי סעיף 108 לחוק, </w:t>
      </w:r>
      <w:r>
        <w:rPr>
          <w:rFonts w:hint="cs"/>
          <w:rtl/>
        </w:rPr>
        <w:t>בשלב שמיעת הראיות.</w:t>
      </w:r>
      <w:r w:rsidR="005444E8">
        <w:rPr>
          <w:rFonts w:hint="cs"/>
          <w:rtl/>
        </w:rPr>
        <w:t xml:space="preserve"> ב</w:t>
      </w:r>
      <w:r w:rsidR="00DA27BB">
        <w:rPr>
          <w:rFonts w:hint="cs"/>
          <w:rtl/>
        </w:rPr>
        <w:t xml:space="preserve">טיעוניה בעל פה </w:t>
      </w:r>
      <w:r w:rsidR="005444E8">
        <w:rPr>
          <w:rFonts w:hint="cs"/>
          <w:rtl/>
        </w:rPr>
        <w:t>חידדה ההגנה, כי היא מבקשת לקבל בעיקר את עמדתם של היועצים המשפטיים שהשתתפו בדיונים</w:t>
      </w:r>
      <w:r w:rsidR="00474BD1">
        <w:rPr>
          <w:rFonts w:hint="cs"/>
          <w:rtl/>
        </w:rPr>
        <w:t xml:space="preserve">, </w:t>
      </w:r>
      <w:r w:rsidR="005444E8">
        <w:rPr>
          <w:rFonts w:hint="cs"/>
          <w:rtl/>
        </w:rPr>
        <w:t xml:space="preserve">שכן </w:t>
      </w:r>
      <w:r w:rsidR="003121E9">
        <w:rPr>
          <w:rFonts w:hint="cs"/>
          <w:rtl/>
        </w:rPr>
        <w:t xml:space="preserve">ככל </w:t>
      </w:r>
      <w:r w:rsidR="00474BD1">
        <w:rPr>
          <w:rFonts w:hint="cs"/>
          <w:rtl/>
        </w:rPr>
        <w:t xml:space="preserve">שהללו </w:t>
      </w:r>
      <w:r w:rsidR="005444E8">
        <w:rPr>
          <w:rFonts w:hint="cs"/>
          <w:rtl/>
        </w:rPr>
        <w:t>סברו שעשויה</w:t>
      </w:r>
      <w:r w:rsidR="003121E9">
        <w:rPr>
          <w:rFonts w:hint="cs"/>
          <w:rtl/>
        </w:rPr>
        <w:t xml:space="preserve"> להיגרם טעות </w:t>
      </w:r>
      <w:r w:rsidR="003121E9">
        <w:rPr>
          <w:rFonts w:hint="cs"/>
          <w:rtl/>
        </w:rPr>
        <w:lastRenderedPageBreak/>
        <w:t xml:space="preserve">לגיטימית עקב </w:t>
      </w:r>
      <w:r w:rsidR="00474BD1">
        <w:rPr>
          <w:rFonts w:hint="cs"/>
          <w:rtl/>
        </w:rPr>
        <w:t>קביעת המועדים הנפרדים ל</w:t>
      </w:r>
      <w:r w:rsidR="003121E9">
        <w:rPr>
          <w:rFonts w:hint="cs"/>
          <w:rtl/>
        </w:rPr>
        <w:t xml:space="preserve">הצבעה הצה"לית והאזרחית </w:t>
      </w:r>
      <w:r w:rsidR="00DA27BB">
        <w:rPr>
          <w:rFonts w:hint="cs"/>
          <w:rtl/>
        </w:rPr>
        <w:t>-</w:t>
      </w:r>
      <w:r w:rsidR="003121E9">
        <w:rPr>
          <w:rFonts w:hint="cs"/>
          <w:rtl/>
        </w:rPr>
        <w:t xml:space="preserve"> די בכך כדי לבסס הגנה מן הצדק.</w:t>
      </w:r>
      <w:r w:rsidR="006969EC">
        <w:rPr>
          <w:rFonts w:hint="cs"/>
          <w:rtl/>
        </w:rPr>
        <w:t xml:space="preserve"> כן טענה כי יש מקום לבחון מדוע הופרדו ימי ההצבעה באופן שהיה בו כדי להוביל לטעויות מעין אלה. </w:t>
      </w:r>
      <w:r w:rsidR="005444E8">
        <w:rPr>
          <w:rFonts w:hint="cs"/>
          <w:rtl/>
        </w:rPr>
        <w:t xml:space="preserve">על כן עתרה ההגנה לכך שבית הדין </w:t>
      </w:r>
      <w:r w:rsidR="00DA27BB">
        <w:rPr>
          <w:rFonts w:hint="cs"/>
          <w:rtl/>
        </w:rPr>
        <w:t xml:space="preserve">יחייב </w:t>
      </w:r>
      <w:r w:rsidR="005444E8">
        <w:rPr>
          <w:rFonts w:hint="cs"/>
          <w:rtl/>
        </w:rPr>
        <w:t xml:space="preserve">את התביעה לבחון האם קיימים פרוטוקולים כאלה ויעיין בהם על מנת לבחון האם יש בהם מידע רלוונטי לבקשת ההגנה. </w:t>
      </w:r>
    </w:p>
    <w:p w14:paraId="1CE1C799" w14:textId="7FE46ECA" w:rsidR="006969EC" w:rsidRDefault="006969EC" w:rsidP="009F19C5">
      <w:pPr>
        <w:numPr>
          <w:ilvl w:val="0"/>
          <w:numId w:val="32"/>
        </w:numPr>
        <w:tabs>
          <w:tab w:val="left" w:pos="226"/>
        </w:tabs>
        <w:spacing w:after="0" w:line="360" w:lineRule="auto"/>
        <w:ind w:left="-58" w:firstLine="0"/>
        <w:jc w:val="both"/>
      </w:pPr>
      <w:r>
        <w:rPr>
          <w:rFonts w:hint="cs"/>
          <w:rtl/>
        </w:rPr>
        <w:t xml:space="preserve">אשר לתחקיר שנערך על ידי סא"ל </w:t>
      </w:r>
      <w:r w:rsidR="00474BD1">
        <w:rPr>
          <w:rFonts w:hint="cs"/>
          <w:rtl/>
        </w:rPr>
        <w:t>(מיל') אלון</w:t>
      </w:r>
      <w:r>
        <w:rPr>
          <w:rFonts w:hint="cs"/>
          <w:rtl/>
        </w:rPr>
        <w:t>, נטען כי יתכן שיהיה בו את הפירוט שמסרו החיילים ש</w:t>
      </w:r>
      <w:r w:rsidR="00DA27BB">
        <w:rPr>
          <w:rFonts w:hint="cs"/>
          <w:rtl/>
        </w:rPr>
        <w:t>תוחקרו על ידי מפקדיהם</w:t>
      </w:r>
      <w:r>
        <w:rPr>
          <w:rFonts w:hint="cs"/>
          <w:rtl/>
        </w:rPr>
        <w:t>, באופן שיהיה בו לסייע לטענת המערערת בדבר טעות.</w:t>
      </w:r>
    </w:p>
    <w:p w14:paraId="193614AE" w14:textId="4B5972CC" w:rsidR="00394B7E" w:rsidRDefault="006969EC" w:rsidP="009F19C5">
      <w:pPr>
        <w:numPr>
          <w:ilvl w:val="0"/>
          <w:numId w:val="32"/>
        </w:numPr>
        <w:tabs>
          <w:tab w:val="left" w:pos="226"/>
        </w:tabs>
        <w:spacing w:after="0" w:line="360" w:lineRule="auto"/>
        <w:ind w:left="-58" w:firstLine="0"/>
        <w:jc w:val="both"/>
      </w:pPr>
      <w:r w:rsidRPr="001B2B99">
        <w:rPr>
          <w:rFonts w:hint="cs"/>
          <w:rtl/>
        </w:rPr>
        <w:t xml:space="preserve">התביעה התנגדה לקבלת הערעור. בטיעוניה עמדה על כך שהטענה בדבר טעות </w:t>
      </w:r>
      <w:r w:rsidR="00474BD1" w:rsidRPr="001B2B99">
        <w:rPr>
          <w:rFonts w:hint="cs"/>
          <w:rtl/>
        </w:rPr>
        <w:t xml:space="preserve">במצב דברים </w:t>
      </w:r>
      <w:r w:rsidRPr="001B2B99">
        <w:rPr>
          <w:rFonts w:hint="cs"/>
          <w:rtl/>
        </w:rPr>
        <w:t>צריכה להיבחן בהתאם לתפיסתו האישית של הנאשם העומד לדין</w:t>
      </w:r>
      <w:r w:rsidR="00EC120F" w:rsidRPr="001B2B99">
        <w:rPr>
          <w:rFonts w:hint="cs"/>
          <w:rtl/>
        </w:rPr>
        <w:t>;</w:t>
      </w:r>
      <w:r w:rsidRPr="001B2B99">
        <w:rPr>
          <w:rFonts w:hint="cs"/>
          <w:rtl/>
        </w:rPr>
        <w:t xml:space="preserve"> ומכאן שעמדתם של חיילים אחרים בנושא אינה מעלה או מורידה דבר, ודאי כאשר מדובר בחיילים שלא הצביעו באותה קלפי צבאית שבה הצביעה גם המערערת. אשר לפרוטוקולים המבוקשים נטען, כי</w:t>
      </w:r>
      <w:r w:rsidR="00394B7E" w:rsidRPr="001B2B99">
        <w:rPr>
          <w:rFonts w:hint="cs"/>
          <w:rtl/>
        </w:rPr>
        <w:t xml:space="preserve"> אין כל מידע על עצם קיומם</w:t>
      </w:r>
      <w:r w:rsidR="00474BD1" w:rsidRPr="001B2B99">
        <w:rPr>
          <w:rFonts w:hint="cs"/>
          <w:rtl/>
        </w:rPr>
        <w:t>,</w:t>
      </w:r>
      <w:r w:rsidR="00394B7E" w:rsidRPr="001B2B99">
        <w:rPr>
          <w:rFonts w:hint="cs"/>
          <w:rtl/>
        </w:rPr>
        <w:t xml:space="preserve"> וכי </w:t>
      </w:r>
      <w:r w:rsidRPr="001B2B99">
        <w:rPr>
          <w:rFonts w:hint="cs"/>
          <w:rtl/>
        </w:rPr>
        <w:t xml:space="preserve"> מדובר בהכנה רוחבית למערכת הבחירות</w:t>
      </w:r>
      <w:r w:rsidR="00474BD1" w:rsidRPr="001B2B99">
        <w:rPr>
          <w:rFonts w:hint="cs"/>
          <w:rtl/>
        </w:rPr>
        <w:t>,</w:t>
      </w:r>
      <w:r w:rsidRPr="001B2B99">
        <w:rPr>
          <w:rFonts w:hint="cs"/>
          <w:rtl/>
        </w:rPr>
        <w:t xml:space="preserve"> </w:t>
      </w:r>
      <w:r w:rsidR="00EC120F" w:rsidRPr="001B2B99">
        <w:rPr>
          <w:rFonts w:hint="cs"/>
          <w:rtl/>
        </w:rPr>
        <w:t>ש</w:t>
      </w:r>
      <w:r w:rsidR="00474BD1" w:rsidRPr="001B2B99">
        <w:rPr>
          <w:rFonts w:hint="cs"/>
          <w:rtl/>
        </w:rPr>
        <w:t xml:space="preserve">אף היא </w:t>
      </w:r>
      <w:r w:rsidRPr="001B2B99">
        <w:rPr>
          <w:rFonts w:hint="cs"/>
          <w:rtl/>
        </w:rPr>
        <w:t>אינ</w:t>
      </w:r>
      <w:r w:rsidR="00EC120F" w:rsidRPr="001B2B99">
        <w:rPr>
          <w:rFonts w:hint="cs"/>
          <w:rtl/>
        </w:rPr>
        <w:t>ה</w:t>
      </w:r>
      <w:r w:rsidRPr="001B2B99">
        <w:rPr>
          <w:rFonts w:hint="cs"/>
          <w:rtl/>
        </w:rPr>
        <w:t xml:space="preserve"> רלוונטיות לתפיס</w:t>
      </w:r>
      <w:r w:rsidR="00474BD1" w:rsidRPr="001B2B99">
        <w:rPr>
          <w:rFonts w:hint="cs"/>
          <w:rtl/>
        </w:rPr>
        <w:t>ת</w:t>
      </w:r>
      <w:r w:rsidRPr="001B2B99">
        <w:rPr>
          <w:rFonts w:hint="cs"/>
          <w:rtl/>
        </w:rPr>
        <w:t>ה האישית של המערערת</w:t>
      </w:r>
      <w:r w:rsidR="00474BD1" w:rsidRPr="001B2B99">
        <w:rPr>
          <w:rFonts w:hint="cs"/>
          <w:rtl/>
        </w:rPr>
        <w:t xml:space="preserve">. </w:t>
      </w:r>
      <w:r w:rsidR="00EC120F" w:rsidRPr="001B2B99">
        <w:rPr>
          <w:rFonts w:hint="cs"/>
          <w:rtl/>
        </w:rPr>
        <w:t>עוד נטען, כי</w:t>
      </w:r>
      <w:r w:rsidRPr="001B2B99">
        <w:rPr>
          <w:rFonts w:hint="cs"/>
          <w:rtl/>
        </w:rPr>
        <w:t xml:space="preserve"> </w:t>
      </w:r>
      <w:r w:rsidR="00474BD1" w:rsidRPr="001B2B99">
        <w:rPr>
          <w:rFonts w:hint="cs"/>
          <w:rtl/>
        </w:rPr>
        <w:t xml:space="preserve">אף </w:t>
      </w:r>
      <w:r w:rsidRPr="001B2B99">
        <w:rPr>
          <w:rFonts w:hint="cs"/>
          <w:rtl/>
        </w:rPr>
        <w:t xml:space="preserve">אם ניתן יהיה לקבל טענה </w:t>
      </w:r>
      <w:r w:rsidR="00474BD1" w:rsidRPr="001B2B99">
        <w:rPr>
          <w:rFonts w:hint="cs"/>
          <w:rtl/>
        </w:rPr>
        <w:t>ש</w:t>
      </w:r>
      <w:r w:rsidRPr="001B2B99">
        <w:rPr>
          <w:rFonts w:hint="cs"/>
          <w:rtl/>
        </w:rPr>
        <w:t>לפיה הרשות התרשלה בהפרדת ימי ההצבעה, הרי שזו תקיפה עקיפה</w:t>
      </w:r>
      <w:r w:rsidR="008A0FC6" w:rsidRPr="001B2B99">
        <w:rPr>
          <w:rFonts w:hint="cs"/>
          <w:rtl/>
        </w:rPr>
        <w:t>,</w:t>
      </w:r>
      <w:r w:rsidRPr="001B2B99">
        <w:rPr>
          <w:rFonts w:hint="cs"/>
          <w:rtl/>
        </w:rPr>
        <w:t xml:space="preserve"> </w:t>
      </w:r>
      <w:r w:rsidR="00EC120F" w:rsidRPr="001B2B99">
        <w:rPr>
          <w:rFonts w:hint="cs"/>
          <w:rtl/>
        </w:rPr>
        <w:t>שאינה רלוונטית לעניינו</w:t>
      </w:r>
      <w:r w:rsidRPr="001B2B99">
        <w:rPr>
          <w:rFonts w:hint="cs"/>
          <w:rtl/>
        </w:rPr>
        <w:t>. הודגש עוד כי בבחירות הצבאיות השתתפו אלפי חיילים, ועל כן</w:t>
      </w:r>
      <w:r w:rsidR="008A0FC6" w:rsidRPr="001B2B99">
        <w:rPr>
          <w:rFonts w:hint="cs"/>
          <w:rtl/>
        </w:rPr>
        <w:t>,</w:t>
      </w:r>
      <w:r w:rsidRPr="001B2B99">
        <w:rPr>
          <w:rFonts w:hint="cs"/>
          <w:rtl/>
        </w:rPr>
        <w:t xml:space="preserve"> בכל מקרה</w:t>
      </w:r>
      <w:r w:rsidR="008A0FC6" w:rsidRPr="001B2B99">
        <w:rPr>
          <w:rFonts w:hint="cs"/>
          <w:rtl/>
        </w:rPr>
        <w:t>,</w:t>
      </w:r>
      <w:r w:rsidRPr="001B2B99">
        <w:rPr>
          <w:rFonts w:hint="cs"/>
          <w:rtl/>
        </w:rPr>
        <w:t xml:space="preserve"> </w:t>
      </w:r>
      <w:r w:rsidR="00394B7E" w:rsidRPr="001B2B99">
        <w:rPr>
          <w:rFonts w:hint="cs"/>
          <w:rtl/>
        </w:rPr>
        <w:t xml:space="preserve">גם אם טעו עשרות </w:t>
      </w:r>
      <w:r w:rsidR="008A0FC6" w:rsidRPr="001B2B99">
        <w:rPr>
          <w:rFonts w:hint="cs"/>
          <w:rtl/>
        </w:rPr>
        <w:t xml:space="preserve">בודדות של חיילים </w:t>
      </w:r>
      <w:r w:rsidR="00394B7E" w:rsidRPr="001B2B99">
        <w:rPr>
          <w:rFonts w:hint="cs"/>
          <w:rtl/>
        </w:rPr>
        <w:t xml:space="preserve">לחשוב כי מדובר במדגם, הרי </w:t>
      </w:r>
      <w:r w:rsidR="009A61E3">
        <w:rPr>
          <w:rFonts w:hint="cs"/>
          <w:rtl/>
        </w:rPr>
        <w:t>שלא ניתן ללמוד מכך דבר.</w:t>
      </w:r>
    </w:p>
    <w:p w14:paraId="513F211D" w14:textId="77777777" w:rsidR="009A61E3" w:rsidRPr="0002633B" w:rsidRDefault="009A61E3" w:rsidP="009A61E3">
      <w:pPr>
        <w:pStyle w:val="1"/>
        <w:tabs>
          <w:tab w:val="left" w:pos="283"/>
        </w:tabs>
        <w:spacing w:line="360" w:lineRule="auto"/>
        <w:ind w:left="353"/>
        <w:jc w:val="both"/>
        <w:outlineLvl w:val="0"/>
        <w:rPr>
          <w:rFonts w:cs="David"/>
          <w:sz w:val="28"/>
          <w:szCs w:val="28"/>
          <w:rtl/>
        </w:rPr>
      </w:pPr>
    </w:p>
    <w:p w14:paraId="4AC424FC" w14:textId="77777777" w:rsidR="00394B7E" w:rsidRDefault="00394B7E" w:rsidP="00394B7E">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דיון והכרעה</w:t>
      </w:r>
    </w:p>
    <w:p w14:paraId="61CBC637" w14:textId="77777777" w:rsidR="00394B7E" w:rsidRPr="009F19C5" w:rsidRDefault="00394B7E" w:rsidP="00394B7E">
      <w:pPr>
        <w:pStyle w:val="1"/>
        <w:tabs>
          <w:tab w:val="left" w:pos="283"/>
        </w:tabs>
        <w:spacing w:line="360" w:lineRule="auto"/>
        <w:ind w:left="353"/>
        <w:jc w:val="both"/>
        <w:outlineLvl w:val="0"/>
        <w:rPr>
          <w:rFonts w:cs="David"/>
          <w:sz w:val="6"/>
          <w:szCs w:val="6"/>
        </w:rPr>
      </w:pPr>
    </w:p>
    <w:p w14:paraId="618010AF" w14:textId="19EDF540" w:rsidR="00394B7E" w:rsidRDefault="00B53278" w:rsidP="009F19C5">
      <w:pPr>
        <w:numPr>
          <w:ilvl w:val="0"/>
          <w:numId w:val="32"/>
        </w:numPr>
        <w:tabs>
          <w:tab w:val="left" w:pos="226"/>
        </w:tabs>
        <w:spacing w:after="0" w:line="360" w:lineRule="auto"/>
        <w:ind w:left="-58" w:firstLine="0"/>
        <w:jc w:val="both"/>
        <w:rPr>
          <w:rtl/>
        </w:rPr>
      </w:pPr>
      <w:r>
        <w:rPr>
          <w:rFonts w:hint="cs"/>
          <w:rtl/>
        </w:rPr>
        <w:t>ההלכות שנקבעו מקדמת דנא באשר לפרשנותו של המונח "חומר חקירה"</w:t>
      </w:r>
      <w:r w:rsidR="002F7112">
        <w:rPr>
          <w:rFonts w:hint="cs"/>
          <w:rtl/>
        </w:rPr>
        <w:t xml:space="preserve"> מוכרות וידועות. הפרשנות שניתנה למונח זה היא רחבה, ונקבע כי יש לכלול בגדרי מונח זה כל חומר הנוגע במישרין או בעקיפין לאישום </w:t>
      </w:r>
      <w:r w:rsidR="000B723C">
        <w:rPr>
          <w:rFonts w:hint="cs"/>
          <w:rtl/>
        </w:rPr>
        <w:t xml:space="preserve">(בש"פ 6520/21 </w:t>
      </w:r>
      <w:r w:rsidR="000B723C">
        <w:rPr>
          <w:rFonts w:hint="cs"/>
          <w:b/>
          <w:bCs/>
          <w:rtl/>
        </w:rPr>
        <w:t>פלוני נ' מדינת ישראל</w:t>
      </w:r>
      <w:r w:rsidR="000B723C">
        <w:rPr>
          <w:rFonts w:hint="cs"/>
          <w:rtl/>
        </w:rPr>
        <w:t>, בפסקה 6 (</w:t>
      </w:r>
      <w:r w:rsidR="006F2A9F">
        <w:rPr>
          <w:rFonts w:hint="cs"/>
          <w:rtl/>
        </w:rPr>
        <w:t xml:space="preserve">11.11.2021)). בפסיקה אומץ מבחן גמיש יחסית, </w:t>
      </w:r>
      <w:r w:rsidR="008A0FC6">
        <w:rPr>
          <w:rFonts w:hint="cs"/>
          <w:rtl/>
        </w:rPr>
        <w:t>ש</w:t>
      </w:r>
      <w:r w:rsidR="006F2A9F">
        <w:rPr>
          <w:rFonts w:hint="cs"/>
          <w:rtl/>
        </w:rPr>
        <w:t>במסגרתו יש לבחון בכל מקרה לגופו את טיב החומר שלגביו מתעוררת השאלה אם הוא מהווה חומר חקירה, את הרלוונטיות שלו ואת הזיקה בינו לבין האישומים נגד הנאשם</w:t>
      </w:r>
      <w:r w:rsidR="00EC120F">
        <w:rPr>
          <w:rFonts w:hint="cs"/>
          <w:rtl/>
        </w:rPr>
        <w:t xml:space="preserve">; זאת תוך </w:t>
      </w:r>
      <w:r w:rsidR="00F671AD">
        <w:rPr>
          <w:rFonts w:hint="cs"/>
          <w:rtl/>
        </w:rPr>
        <w:t>שנקבע כי למבחן הרלוונטיות נודעת חשיבות יתרה, לנוכח החשש מפני פגיעה באינטרסים חשובים אחרים, כדוגמת הגנה על זכויות צדדים שלישיים</w:t>
      </w:r>
      <w:r w:rsidR="00EC120F">
        <w:rPr>
          <w:rFonts w:hint="cs"/>
          <w:rtl/>
        </w:rPr>
        <w:t>. מכאן ש</w:t>
      </w:r>
      <w:r w:rsidR="006F2A9F">
        <w:rPr>
          <w:rFonts w:hint="cs"/>
          <w:rtl/>
        </w:rPr>
        <w:t>על אף הפרשנות הרחבה ש</w:t>
      </w:r>
      <w:r w:rsidR="00F671AD">
        <w:rPr>
          <w:rFonts w:hint="cs"/>
          <w:rtl/>
        </w:rPr>
        <w:t xml:space="preserve">ניתנה למונח, תכליתה של הבקשה אינה בעריכת </w:t>
      </w:r>
      <w:r w:rsidR="008A0FC6">
        <w:rPr>
          <w:rFonts w:hint="cs"/>
          <w:rtl/>
        </w:rPr>
        <w:t xml:space="preserve">"מסע דיג" </w:t>
      </w:r>
      <w:r w:rsidR="00F671AD">
        <w:rPr>
          <w:rFonts w:hint="cs"/>
          <w:rtl/>
        </w:rPr>
        <w:t>בלתי ממוקד, תוך הפרחה לאו</w:t>
      </w:r>
      <w:r w:rsidR="008A0FC6">
        <w:rPr>
          <w:rFonts w:hint="cs"/>
          <w:rtl/>
        </w:rPr>
        <w:t>ו</w:t>
      </w:r>
      <w:r w:rsidR="00F671AD">
        <w:rPr>
          <w:rFonts w:hint="cs"/>
          <w:rtl/>
        </w:rPr>
        <w:t>יר של טענות ספקולטיביות</w:t>
      </w:r>
      <w:r w:rsidR="008A0FC6">
        <w:rPr>
          <w:rFonts w:hint="cs"/>
          <w:rtl/>
        </w:rPr>
        <w:t>,</w:t>
      </w:r>
      <w:r w:rsidR="00F671AD">
        <w:rPr>
          <w:rFonts w:hint="cs"/>
          <w:rtl/>
        </w:rPr>
        <w:t xml:space="preserve"> שבינן לבין חומר הראיות שהוצג בעניינו של הנאשם אין ולו קצה </w:t>
      </w:r>
      <w:r w:rsidR="00F671AD">
        <w:rPr>
          <w:rFonts w:hint="cs"/>
          <w:rtl/>
        </w:rPr>
        <w:lastRenderedPageBreak/>
        <w:t xml:space="preserve">חוט (בש"פ 8100/21 </w:t>
      </w:r>
      <w:r w:rsidR="00F671AD">
        <w:rPr>
          <w:rFonts w:hint="cs"/>
          <w:b/>
          <w:bCs/>
          <w:rtl/>
        </w:rPr>
        <w:t>טראבין נ' מדינת ישראל</w:t>
      </w:r>
      <w:r w:rsidR="00F671AD">
        <w:rPr>
          <w:rFonts w:hint="cs"/>
          <w:rtl/>
        </w:rPr>
        <w:t xml:space="preserve">, פסקאות </w:t>
      </w:r>
      <w:r w:rsidR="008A0FC6">
        <w:rPr>
          <w:rFonts w:hint="cs"/>
          <w:rtl/>
        </w:rPr>
        <w:t xml:space="preserve">18-16, </w:t>
      </w:r>
      <w:r w:rsidR="00F671AD">
        <w:rPr>
          <w:rFonts w:hint="cs"/>
          <w:rtl/>
        </w:rPr>
        <w:t xml:space="preserve">והאסמכתאות שם (20.12.2021)). </w:t>
      </w:r>
    </w:p>
    <w:p w14:paraId="090CE836" w14:textId="4195E921" w:rsidR="00D962FF" w:rsidRDefault="00F00654" w:rsidP="009F19C5">
      <w:pPr>
        <w:numPr>
          <w:ilvl w:val="0"/>
          <w:numId w:val="32"/>
        </w:numPr>
        <w:tabs>
          <w:tab w:val="left" w:pos="226"/>
        </w:tabs>
        <w:spacing w:after="0" w:line="360" w:lineRule="auto"/>
        <w:ind w:left="-58" w:firstLine="0"/>
        <w:jc w:val="both"/>
      </w:pPr>
      <w:r w:rsidRPr="00F00654">
        <w:rPr>
          <w:rFonts w:hint="cs"/>
          <w:rtl/>
        </w:rPr>
        <w:t>לאחר בחינת ערעור ההגנה, בראי המבחנים שנקבעו בפסיקה, מצאתי כי דין הערעור להידחות</w:t>
      </w:r>
      <w:r w:rsidR="00EC120F">
        <w:rPr>
          <w:rFonts w:hint="cs"/>
          <w:rtl/>
        </w:rPr>
        <w:t>. להלן יבואר</w:t>
      </w:r>
      <w:r w:rsidR="008A0FC6">
        <w:rPr>
          <w:rFonts w:hint="cs"/>
          <w:rtl/>
        </w:rPr>
        <w:t>ו</w:t>
      </w:r>
      <w:r w:rsidR="00EC120F">
        <w:rPr>
          <w:rFonts w:hint="cs"/>
          <w:rtl/>
        </w:rPr>
        <w:t xml:space="preserve"> הטע</w:t>
      </w:r>
      <w:r w:rsidR="008A0FC6">
        <w:rPr>
          <w:rFonts w:hint="cs"/>
          <w:rtl/>
        </w:rPr>
        <w:t>מי</w:t>
      </w:r>
      <w:r w:rsidR="00EC120F">
        <w:rPr>
          <w:rFonts w:hint="cs"/>
          <w:rtl/>
        </w:rPr>
        <w:t xml:space="preserve">ם לכך. </w:t>
      </w:r>
      <w:r w:rsidRPr="00F00654">
        <w:rPr>
          <w:rFonts w:hint="cs"/>
          <w:rtl/>
        </w:rPr>
        <w:t xml:space="preserve"> </w:t>
      </w:r>
    </w:p>
    <w:p w14:paraId="2F1D7BD8" w14:textId="77777777" w:rsidR="009A61E3" w:rsidRDefault="009A61E3" w:rsidP="009A61E3">
      <w:pPr>
        <w:pStyle w:val="1"/>
        <w:tabs>
          <w:tab w:val="left" w:pos="283"/>
        </w:tabs>
        <w:spacing w:line="360" w:lineRule="auto"/>
        <w:ind w:left="353"/>
        <w:jc w:val="both"/>
        <w:outlineLvl w:val="0"/>
        <w:rPr>
          <w:rFonts w:cs="David"/>
          <w:sz w:val="28"/>
          <w:szCs w:val="28"/>
          <w:rtl/>
        </w:rPr>
      </w:pPr>
    </w:p>
    <w:p w14:paraId="4AE91026" w14:textId="5B69B5A7" w:rsidR="00D962FF" w:rsidRDefault="009F19C5" w:rsidP="0002633B">
      <w:pPr>
        <w:pStyle w:val="1"/>
        <w:tabs>
          <w:tab w:val="left" w:pos="283"/>
        </w:tabs>
        <w:spacing w:line="360" w:lineRule="auto"/>
        <w:ind w:left="0"/>
        <w:jc w:val="both"/>
        <w:outlineLvl w:val="0"/>
        <w:rPr>
          <w:rFonts w:cs="David"/>
          <w:sz w:val="28"/>
          <w:szCs w:val="28"/>
          <w:u w:val="single"/>
          <w:rtl/>
        </w:rPr>
      </w:pPr>
      <w:r>
        <w:rPr>
          <w:rFonts w:cs="David" w:hint="cs"/>
          <w:sz w:val="28"/>
          <w:szCs w:val="28"/>
          <w:u w:val="single"/>
          <w:rtl/>
        </w:rPr>
        <w:t>ב</w:t>
      </w:r>
      <w:r w:rsidR="00D962FF">
        <w:rPr>
          <w:rFonts w:cs="David" w:hint="cs"/>
          <w:sz w:val="28"/>
          <w:szCs w:val="28"/>
          <w:u w:val="single"/>
          <w:rtl/>
        </w:rPr>
        <w:t xml:space="preserve">קשות ההגנה לקבל לידיה פרוטוקולים שנערכו בהכנה ליום הבחירות </w:t>
      </w:r>
    </w:p>
    <w:p w14:paraId="6A1D67A1" w14:textId="77777777" w:rsidR="00D962FF" w:rsidRPr="009F19C5" w:rsidRDefault="00D962FF" w:rsidP="00D962FF">
      <w:pPr>
        <w:pStyle w:val="1"/>
        <w:tabs>
          <w:tab w:val="left" w:pos="283"/>
        </w:tabs>
        <w:spacing w:line="360" w:lineRule="auto"/>
        <w:jc w:val="both"/>
        <w:outlineLvl w:val="0"/>
        <w:rPr>
          <w:rFonts w:cs="David"/>
          <w:sz w:val="6"/>
          <w:szCs w:val="6"/>
          <w:u w:val="single"/>
          <w:rtl/>
        </w:rPr>
      </w:pPr>
    </w:p>
    <w:p w14:paraId="051D85ED" w14:textId="1924D3AE" w:rsidR="00D962FF" w:rsidRDefault="00D962FF" w:rsidP="009F19C5">
      <w:pPr>
        <w:numPr>
          <w:ilvl w:val="0"/>
          <w:numId w:val="32"/>
        </w:numPr>
        <w:tabs>
          <w:tab w:val="left" w:pos="226"/>
        </w:tabs>
        <w:spacing w:after="0" w:line="360" w:lineRule="auto"/>
        <w:ind w:left="-58" w:firstLine="0"/>
        <w:jc w:val="both"/>
        <w:rPr>
          <w:rtl/>
        </w:rPr>
      </w:pPr>
      <w:r>
        <w:rPr>
          <w:rFonts w:hint="cs"/>
          <w:rtl/>
        </w:rPr>
        <w:t xml:space="preserve">בקשה זו נועדה, </w:t>
      </w:r>
      <w:r w:rsidR="008A0FC6">
        <w:rPr>
          <w:rFonts w:hint="cs"/>
          <w:rtl/>
        </w:rPr>
        <w:t xml:space="preserve">כאמור, לבסס טענה </w:t>
      </w:r>
      <w:r w:rsidR="00E06311">
        <w:rPr>
          <w:rFonts w:hint="cs"/>
          <w:rtl/>
        </w:rPr>
        <w:t xml:space="preserve">כי הרשות </w:t>
      </w:r>
      <w:r w:rsidR="008A0FC6">
        <w:rPr>
          <w:rFonts w:hint="cs"/>
          <w:rtl/>
        </w:rPr>
        <w:t xml:space="preserve">עצמה </w:t>
      </w:r>
      <w:r w:rsidR="00E06311">
        <w:rPr>
          <w:rFonts w:hint="cs"/>
          <w:rtl/>
        </w:rPr>
        <w:t xml:space="preserve">סברה </w:t>
      </w:r>
      <w:r w:rsidR="008A0FC6">
        <w:rPr>
          <w:rFonts w:hint="cs"/>
          <w:rtl/>
        </w:rPr>
        <w:t xml:space="preserve">שהפרדת מועדי הבחירות </w:t>
      </w:r>
      <w:r w:rsidR="00E06311">
        <w:rPr>
          <w:rFonts w:hint="cs"/>
          <w:rtl/>
        </w:rPr>
        <w:t>עשויה להוביל לטעויות בקרב החיילים המצביעים</w:t>
      </w:r>
      <w:r w:rsidR="007A4EC0">
        <w:rPr>
          <w:rFonts w:hint="cs"/>
          <w:rtl/>
        </w:rPr>
        <w:t>, ובכך לסייע לשתי טענות ההגנה</w:t>
      </w:r>
      <w:r w:rsidR="00E06311">
        <w:rPr>
          <w:rFonts w:hint="cs"/>
          <w:rtl/>
        </w:rPr>
        <w:t>.</w:t>
      </w:r>
      <w:r w:rsidR="00DB02B1">
        <w:rPr>
          <w:rFonts w:hint="cs"/>
          <w:rtl/>
        </w:rPr>
        <w:t xml:space="preserve"> </w:t>
      </w:r>
    </w:p>
    <w:p w14:paraId="58A780EE" w14:textId="7E3AD14B" w:rsidR="006D1EDC" w:rsidRDefault="00DB02B1" w:rsidP="009F19C5">
      <w:pPr>
        <w:numPr>
          <w:ilvl w:val="0"/>
          <w:numId w:val="32"/>
        </w:numPr>
        <w:tabs>
          <w:tab w:val="left" w:pos="226"/>
        </w:tabs>
        <w:spacing w:after="0" w:line="360" w:lineRule="auto"/>
        <w:ind w:left="-58" w:firstLine="0"/>
        <w:jc w:val="both"/>
        <w:rPr>
          <w:rtl/>
        </w:rPr>
      </w:pPr>
      <w:r>
        <w:rPr>
          <w:rFonts w:hint="cs"/>
          <w:rtl/>
        </w:rPr>
        <w:t xml:space="preserve">אין זה המקום להביע עמדה נחרצת בדבר סיכויי טענות ההגנה להתקבל, </w:t>
      </w:r>
      <w:r w:rsidR="007A4EC0">
        <w:rPr>
          <w:rFonts w:hint="cs"/>
          <w:rtl/>
        </w:rPr>
        <w:t xml:space="preserve">מה גם שאף ההגנה אינה חולקת על כי פעולותיהם של גורמי הבחירות בצה"ל נועדו למנוע טעויות בקרב המשרתים המצביעים. זאת ועוד, לאור סובייקטיביות הסייג בדבר </w:t>
      </w:r>
      <w:r>
        <w:rPr>
          <w:rFonts w:hint="cs"/>
          <w:rtl/>
        </w:rPr>
        <w:t>טעות במצב דברים (סעיף 34יח לחוק העונשין) הרי ש</w:t>
      </w:r>
      <w:r w:rsidR="006D1EDC">
        <w:rPr>
          <w:rFonts w:hint="cs"/>
          <w:rtl/>
        </w:rPr>
        <w:t xml:space="preserve">בצדק קבע </w:t>
      </w:r>
      <w:r w:rsidR="007A4EC0">
        <w:rPr>
          <w:rFonts w:hint="cs"/>
          <w:rtl/>
        </w:rPr>
        <w:t>ב</w:t>
      </w:r>
      <w:r w:rsidR="006D1EDC">
        <w:rPr>
          <w:rFonts w:hint="cs"/>
          <w:rtl/>
        </w:rPr>
        <w:t xml:space="preserve">ית הדין קמא, כי </w:t>
      </w:r>
      <w:r w:rsidR="009449AB">
        <w:rPr>
          <w:rFonts w:hint="cs"/>
          <w:rtl/>
        </w:rPr>
        <w:t>יש להתחשב גם בכך ש</w:t>
      </w:r>
      <w:r w:rsidR="007A4EC0">
        <w:rPr>
          <w:rFonts w:hint="cs"/>
          <w:rtl/>
        </w:rPr>
        <w:t>המערערת לא טענה, באימרתה, כי טעתה לסבור שההצבעה בקלפי הצבאית היא בבחינת מדגם בלבד.</w:t>
      </w:r>
    </w:p>
    <w:p w14:paraId="2D0A0E44" w14:textId="58E6625A" w:rsidR="006D1EDC" w:rsidRDefault="00F00654" w:rsidP="009F19C5">
      <w:pPr>
        <w:numPr>
          <w:ilvl w:val="0"/>
          <w:numId w:val="32"/>
        </w:numPr>
        <w:tabs>
          <w:tab w:val="left" w:pos="226"/>
        </w:tabs>
        <w:spacing w:after="0" w:line="360" w:lineRule="auto"/>
        <w:ind w:left="-58" w:firstLine="0"/>
        <w:jc w:val="both"/>
        <w:rPr>
          <w:rtl/>
        </w:rPr>
      </w:pPr>
      <w:r>
        <w:rPr>
          <w:rFonts w:hint="cs"/>
          <w:rtl/>
        </w:rPr>
        <w:t xml:space="preserve">גם לגופם של דברים אין מקום לקבל את ערעורה של ההגנה </w:t>
      </w:r>
      <w:r w:rsidR="007A4EC0">
        <w:rPr>
          <w:rFonts w:hint="cs"/>
          <w:rtl/>
        </w:rPr>
        <w:t xml:space="preserve">בעניין </w:t>
      </w:r>
      <w:r>
        <w:rPr>
          <w:rFonts w:hint="cs"/>
          <w:rtl/>
        </w:rPr>
        <w:t xml:space="preserve">זה. אכן, כפי שקבע בית הדין קמא, </w:t>
      </w:r>
      <w:r w:rsidR="00BB3AEA">
        <w:rPr>
          <w:rFonts w:hint="cs"/>
          <w:rtl/>
        </w:rPr>
        <w:t>אין כל מידע האם החומר המבוקש קיים, ו</w:t>
      </w:r>
      <w:r>
        <w:rPr>
          <w:rFonts w:hint="cs"/>
          <w:rtl/>
        </w:rPr>
        <w:t>האם יש ב</w:t>
      </w:r>
      <w:r w:rsidR="00BB3AEA">
        <w:rPr>
          <w:rFonts w:hint="cs"/>
          <w:rtl/>
        </w:rPr>
        <w:t>ו</w:t>
      </w:r>
      <w:r>
        <w:rPr>
          <w:rFonts w:hint="cs"/>
          <w:rtl/>
        </w:rPr>
        <w:t xml:space="preserve"> מידע </w:t>
      </w:r>
      <w:r w:rsidR="007A4EC0">
        <w:rPr>
          <w:rFonts w:hint="cs"/>
          <w:rtl/>
        </w:rPr>
        <w:t>כלשהו ה</w:t>
      </w:r>
      <w:r>
        <w:rPr>
          <w:rFonts w:hint="cs"/>
          <w:rtl/>
        </w:rPr>
        <w:t>עשוי להועיל להגנתה</w:t>
      </w:r>
      <w:r w:rsidR="00BB3AEA">
        <w:rPr>
          <w:rFonts w:hint="cs"/>
          <w:rtl/>
        </w:rPr>
        <w:t xml:space="preserve"> של המערערת</w:t>
      </w:r>
      <w:r>
        <w:rPr>
          <w:rFonts w:hint="cs"/>
          <w:rtl/>
        </w:rPr>
        <w:t xml:space="preserve">. מקום </w:t>
      </w:r>
      <w:r w:rsidR="007A4EC0">
        <w:rPr>
          <w:rFonts w:hint="cs"/>
          <w:rtl/>
        </w:rPr>
        <w:t>ש</w:t>
      </w:r>
      <w:r>
        <w:rPr>
          <w:rFonts w:hint="cs"/>
          <w:rtl/>
        </w:rPr>
        <w:t xml:space="preserve">בו מדובר בחומר שלא נאסף על ידי גורמי החקירה ורשויות התביעה, </w:t>
      </w:r>
      <w:r w:rsidR="00AA737F">
        <w:rPr>
          <w:rFonts w:hint="cs"/>
          <w:rtl/>
        </w:rPr>
        <w:t xml:space="preserve">המסלול </w:t>
      </w:r>
      <w:r w:rsidR="00E65C2C">
        <w:rPr>
          <w:rFonts w:hint="cs"/>
          <w:rtl/>
        </w:rPr>
        <w:t xml:space="preserve">הדיוני </w:t>
      </w:r>
      <w:r w:rsidR="00AA737F">
        <w:rPr>
          <w:rFonts w:hint="cs"/>
          <w:rtl/>
        </w:rPr>
        <w:t>הנכון</w:t>
      </w:r>
      <w:r w:rsidR="00E65C2C">
        <w:rPr>
          <w:rFonts w:hint="cs"/>
          <w:rtl/>
        </w:rPr>
        <w:t>, ככלל,</w:t>
      </w:r>
      <w:r w:rsidR="00AA737F">
        <w:rPr>
          <w:rFonts w:hint="cs"/>
          <w:rtl/>
        </w:rPr>
        <w:t xml:space="preserve"> לברר את טענת ההגנה הוא באמצעות סעיף 108 לחוק סדר הדין הפלילי (בש"פ 2565/17 </w:t>
      </w:r>
      <w:r w:rsidR="00AA737F">
        <w:rPr>
          <w:rFonts w:hint="cs"/>
          <w:b/>
          <w:bCs/>
          <w:rtl/>
        </w:rPr>
        <w:t>מדינת ישראל נ' פלוני</w:t>
      </w:r>
      <w:r w:rsidR="00AA737F">
        <w:rPr>
          <w:rFonts w:hint="cs"/>
          <w:rtl/>
        </w:rPr>
        <w:t xml:space="preserve">, פסקה 12 (11.5.2017)). מכאן שגם לא סברתי כי נפל פגם בהחלטת בית הדין קמא שלא </w:t>
      </w:r>
      <w:r w:rsidR="00E65C2C">
        <w:rPr>
          <w:rFonts w:hint="cs"/>
          <w:rtl/>
        </w:rPr>
        <w:t>לברר האם פרוטוקולים כאמור אכן קיימים, ולקבלם לעיונו</w:t>
      </w:r>
      <w:r w:rsidR="00BB3AEA">
        <w:rPr>
          <w:rFonts w:hint="cs"/>
          <w:rtl/>
        </w:rPr>
        <w:t xml:space="preserve">. </w:t>
      </w:r>
      <w:r w:rsidR="00AA737F">
        <w:rPr>
          <w:rFonts w:hint="cs"/>
          <w:rtl/>
        </w:rPr>
        <w:t xml:space="preserve"> </w:t>
      </w:r>
    </w:p>
    <w:p w14:paraId="75D21E71" w14:textId="314ED391" w:rsidR="00AA737F" w:rsidRDefault="00AA737F" w:rsidP="009F19C5">
      <w:pPr>
        <w:numPr>
          <w:ilvl w:val="0"/>
          <w:numId w:val="32"/>
        </w:numPr>
        <w:tabs>
          <w:tab w:val="left" w:pos="226"/>
        </w:tabs>
        <w:spacing w:after="0" w:line="360" w:lineRule="auto"/>
        <w:ind w:left="-58" w:firstLine="0"/>
        <w:jc w:val="both"/>
      </w:pPr>
      <w:r>
        <w:rPr>
          <w:rFonts w:hint="cs"/>
          <w:rtl/>
        </w:rPr>
        <w:t>מעבר לכך</w:t>
      </w:r>
      <w:r w:rsidR="00E65C2C">
        <w:rPr>
          <w:rFonts w:hint="cs"/>
          <w:rtl/>
        </w:rPr>
        <w:t>,</w:t>
      </w:r>
      <w:r>
        <w:rPr>
          <w:rFonts w:hint="cs"/>
          <w:rtl/>
        </w:rPr>
        <w:t xml:space="preserve"> בחומר החקירה הקיים ניתנה</w:t>
      </w:r>
      <w:r w:rsidR="00BB3AEA">
        <w:rPr>
          <w:rFonts w:hint="cs"/>
          <w:rtl/>
        </w:rPr>
        <w:t xml:space="preserve"> במידה רבה</w:t>
      </w:r>
      <w:r>
        <w:rPr>
          <w:rFonts w:hint="cs"/>
          <w:rtl/>
        </w:rPr>
        <w:t xml:space="preserve"> תשובה לטענות ההגנה. סא"ל </w:t>
      </w:r>
      <w:r w:rsidR="00E65C2C">
        <w:rPr>
          <w:rFonts w:hint="cs"/>
          <w:rtl/>
        </w:rPr>
        <w:t>(מיל') אלון</w:t>
      </w:r>
      <w:r>
        <w:rPr>
          <w:rFonts w:hint="cs"/>
          <w:rtl/>
        </w:rPr>
        <w:t>, שהוא עד תביעה, פירט כי אכן התעורר חשש לטעויות עקב הפרדת ימי הבחירות</w:t>
      </w:r>
      <w:r w:rsidR="00F514AE">
        <w:rPr>
          <w:rFonts w:hint="cs"/>
          <w:rtl/>
        </w:rPr>
        <w:t xml:space="preserve"> (ואף </w:t>
      </w:r>
      <w:r w:rsidR="00BB3AEA">
        <w:rPr>
          <w:rFonts w:hint="cs"/>
          <w:rtl/>
        </w:rPr>
        <w:t xml:space="preserve">הסביר, כאמור, </w:t>
      </w:r>
      <w:r w:rsidR="00E65C2C">
        <w:rPr>
          <w:rFonts w:hint="cs"/>
          <w:rtl/>
        </w:rPr>
        <w:t>מהם ה</w:t>
      </w:r>
      <w:r w:rsidR="00F514AE">
        <w:rPr>
          <w:rFonts w:hint="cs"/>
          <w:rtl/>
        </w:rPr>
        <w:t xml:space="preserve">אמצעים </w:t>
      </w:r>
      <w:r w:rsidR="00E65C2C">
        <w:rPr>
          <w:rFonts w:hint="cs"/>
          <w:rtl/>
        </w:rPr>
        <w:t>ש</w:t>
      </w:r>
      <w:r w:rsidR="00F514AE">
        <w:rPr>
          <w:rFonts w:hint="cs"/>
          <w:rtl/>
        </w:rPr>
        <w:t>ננקטו לשם התמודדות עם אותו חשש)</w:t>
      </w:r>
      <w:r w:rsidR="00BB3AEA">
        <w:rPr>
          <w:rFonts w:hint="cs"/>
          <w:rtl/>
        </w:rPr>
        <w:t>;</w:t>
      </w:r>
      <w:r w:rsidR="00F514AE">
        <w:rPr>
          <w:rFonts w:hint="cs"/>
          <w:rtl/>
        </w:rPr>
        <w:t xml:space="preserve"> ו</w:t>
      </w:r>
      <w:r w:rsidR="00E65C2C">
        <w:rPr>
          <w:rFonts w:hint="cs"/>
          <w:rtl/>
        </w:rPr>
        <w:t xml:space="preserve">חזקה על </w:t>
      </w:r>
      <w:r w:rsidR="00F514AE">
        <w:rPr>
          <w:rFonts w:hint="cs"/>
          <w:rtl/>
        </w:rPr>
        <w:t>ההגנה</w:t>
      </w:r>
      <w:r w:rsidR="00E65C2C">
        <w:rPr>
          <w:rFonts w:hint="cs"/>
          <w:rtl/>
        </w:rPr>
        <w:t>, כי</w:t>
      </w:r>
      <w:r w:rsidR="00F514AE">
        <w:rPr>
          <w:rFonts w:hint="cs"/>
          <w:rtl/>
        </w:rPr>
        <w:t xml:space="preserve"> תוכל </w:t>
      </w:r>
      <w:r w:rsidR="00E65C2C">
        <w:rPr>
          <w:rFonts w:hint="cs"/>
          <w:rtl/>
        </w:rPr>
        <w:t xml:space="preserve">לעשות בעדותו </w:t>
      </w:r>
      <w:r w:rsidR="00F514AE">
        <w:rPr>
          <w:rFonts w:hint="cs"/>
          <w:rtl/>
        </w:rPr>
        <w:t xml:space="preserve">שימוש לשם העלאת טענות מטעמה. </w:t>
      </w:r>
      <w:r>
        <w:rPr>
          <w:rFonts w:hint="cs"/>
          <w:rtl/>
        </w:rPr>
        <w:t xml:space="preserve">ככל שיעלה </w:t>
      </w:r>
      <w:r w:rsidR="00F514AE">
        <w:rPr>
          <w:rFonts w:hint="cs"/>
          <w:rtl/>
        </w:rPr>
        <w:t xml:space="preserve">מעדותו </w:t>
      </w:r>
      <w:r w:rsidR="00BB3AEA">
        <w:rPr>
          <w:rFonts w:hint="cs"/>
          <w:rtl/>
        </w:rPr>
        <w:t xml:space="preserve">של סא"ל </w:t>
      </w:r>
      <w:r w:rsidR="00E65C2C">
        <w:rPr>
          <w:rFonts w:hint="cs"/>
          <w:rtl/>
        </w:rPr>
        <w:t xml:space="preserve">(מיל') אלון </w:t>
      </w:r>
      <w:r w:rsidR="00BB3AEA">
        <w:rPr>
          <w:rFonts w:hint="cs"/>
          <w:rtl/>
        </w:rPr>
        <w:t xml:space="preserve">בבית הדין, </w:t>
      </w:r>
      <w:r w:rsidR="00F514AE">
        <w:rPr>
          <w:rFonts w:hint="cs"/>
          <w:rtl/>
        </w:rPr>
        <w:t xml:space="preserve">כי אכן </w:t>
      </w:r>
      <w:r w:rsidR="00E65C2C">
        <w:rPr>
          <w:rFonts w:hint="cs"/>
          <w:rtl/>
        </w:rPr>
        <w:t xml:space="preserve">קיימים בנמצא </w:t>
      </w:r>
      <w:r w:rsidR="00F514AE">
        <w:rPr>
          <w:rFonts w:hint="cs"/>
          <w:rtl/>
        </w:rPr>
        <w:t xml:space="preserve">סיכומים ופרוטוקולים שיש בהם כדי לסייע להגנה, היא תוכל לפנות בבקשה לפי סעיף 108 לחוק סדר הדין הפלילי. </w:t>
      </w:r>
    </w:p>
    <w:p w14:paraId="38171E72" w14:textId="69F7BACD" w:rsidR="00DD54C7" w:rsidRDefault="00DD54C7" w:rsidP="00DD54C7">
      <w:pPr>
        <w:tabs>
          <w:tab w:val="left" w:pos="226"/>
        </w:tabs>
        <w:spacing w:after="0" w:line="360" w:lineRule="auto"/>
        <w:jc w:val="both"/>
        <w:rPr>
          <w:rtl/>
        </w:rPr>
      </w:pPr>
    </w:p>
    <w:p w14:paraId="68D82438" w14:textId="77777777" w:rsidR="007A4170" w:rsidRDefault="007A4170" w:rsidP="009F19C5">
      <w:pPr>
        <w:tabs>
          <w:tab w:val="left" w:pos="226"/>
        </w:tabs>
        <w:spacing w:after="0" w:line="360" w:lineRule="auto"/>
        <w:ind w:left="-58"/>
        <w:jc w:val="both"/>
        <w:rPr>
          <w:u w:val="single"/>
          <w:rtl/>
        </w:rPr>
      </w:pPr>
      <w:r>
        <w:rPr>
          <w:rFonts w:hint="cs"/>
          <w:u w:val="single"/>
          <w:rtl/>
        </w:rPr>
        <w:lastRenderedPageBreak/>
        <w:t>בקשות ההגנה לקבל לידיה את פרטי החיילים שנחשדו כמי שהצביעו הצבעה כפולה</w:t>
      </w:r>
    </w:p>
    <w:p w14:paraId="46F27061" w14:textId="77777777" w:rsidR="007A4170" w:rsidRPr="009F19C5" w:rsidRDefault="007A4170" w:rsidP="007A4170">
      <w:pPr>
        <w:pStyle w:val="1"/>
        <w:tabs>
          <w:tab w:val="left" w:pos="283"/>
        </w:tabs>
        <w:spacing w:line="360" w:lineRule="auto"/>
        <w:ind w:left="353"/>
        <w:jc w:val="both"/>
        <w:outlineLvl w:val="0"/>
        <w:rPr>
          <w:rFonts w:cs="David"/>
          <w:sz w:val="6"/>
          <w:szCs w:val="6"/>
          <w:rtl/>
        </w:rPr>
      </w:pPr>
    </w:p>
    <w:p w14:paraId="5DCE12A0" w14:textId="77777777" w:rsidR="00F514AE" w:rsidRDefault="007A4170" w:rsidP="009F19C5">
      <w:pPr>
        <w:numPr>
          <w:ilvl w:val="0"/>
          <w:numId w:val="32"/>
        </w:numPr>
        <w:tabs>
          <w:tab w:val="left" w:pos="226"/>
        </w:tabs>
        <w:spacing w:after="0" w:line="360" w:lineRule="auto"/>
        <w:ind w:left="-58" w:firstLine="0"/>
        <w:jc w:val="both"/>
        <w:rPr>
          <w:rtl/>
        </w:rPr>
      </w:pPr>
      <w:r>
        <w:rPr>
          <w:rFonts w:hint="cs"/>
          <w:rtl/>
        </w:rPr>
        <w:t>כזכור הרקע לבקשה זו נעוץ ברצונה של ההגנה לבסס טענה של אכיפה בררנית</w:t>
      </w:r>
      <w:r w:rsidR="00BB3AEA">
        <w:rPr>
          <w:rFonts w:hint="cs"/>
          <w:rtl/>
        </w:rPr>
        <w:t>,</w:t>
      </w:r>
      <w:r>
        <w:rPr>
          <w:rFonts w:hint="cs"/>
          <w:rtl/>
        </w:rPr>
        <w:t xml:space="preserve"> ולהשתמש </w:t>
      </w:r>
      <w:r w:rsidR="00973CD6">
        <w:rPr>
          <w:rFonts w:hint="cs"/>
          <w:rtl/>
        </w:rPr>
        <w:t xml:space="preserve">בנתונים שיתקבלו על מנת לסייע </w:t>
      </w:r>
      <w:r w:rsidR="00BB3AEA">
        <w:rPr>
          <w:rFonts w:hint="cs"/>
          <w:rtl/>
        </w:rPr>
        <w:t xml:space="preserve">בהוכחת כנות טעותה של המערערת. </w:t>
      </w:r>
    </w:p>
    <w:p w14:paraId="45AD78B7" w14:textId="61653EE4" w:rsidR="00233CB3" w:rsidRPr="002524A4" w:rsidRDefault="00716E43" w:rsidP="009F19C5">
      <w:pPr>
        <w:numPr>
          <w:ilvl w:val="0"/>
          <w:numId w:val="32"/>
        </w:numPr>
        <w:tabs>
          <w:tab w:val="left" w:pos="226"/>
        </w:tabs>
        <w:spacing w:after="0" w:line="360" w:lineRule="auto"/>
        <w:ind w:left="-58" w:firstLine="0"/>
        <w:jc w:val="both"/>
        <w:rPr>
          <w:rtl/>
        </w:rPr>
      </w:pPr>
      <w:r w:rsidRPr="00233CB3">
        <w:rPr>
          <w:rFonts w:hint="cs"/>
          <w:rtl/>
        </w:rPr>
        <w:t xml:space="preserve">אף </w:t>
      </w:r>
      <w:r w:rsidR="00BB3AEA">
        <w:rPr>
          <w:rFonts w:hint="cs"/>
          <w:rtl/>
        </w:rPr>
        <w:t>בקשה זו</w:t>
      </w:r>
      <w:r w:rsidRPr="00233CB3">
        <w:rPr>
          <w:rFonts w:hint="cs"/>
          <w:rtl/>
        </w:rPr>
        <w:t xml:space="preserve"> נדחתה </w:t>
      </w:r>
      <w:r w:rsidR="00BB3AEA">
        <w:rPr>
          <w:rFonts w:hint="cs"/>
          <w:rtl/>
        </w:rPr>
        <w:t xml:space="preserve">בדין </w:t>
      </w:r>
      <w:r w:rsidRPr="00233CB3">
        <w:rPr>
          <w:rFonts w:hint="cs"/>
          <w:rtl/>
        </w:rPr>
        <w:t>על ידי בית הדין קמא. אכן, ככלל, המסלול המתאים לקבלת חומר חקירה לשם ביסוס טענה של אכיפה בררנית הוא בפניה לפי סעיף 108 לחוק סדר הדין הפלילי</w:t>
      </w:r>
      <w:r w:rsidR="00E65C2C">
        <w:rPr>
          <w:rFonts w:hint="cs"/>
          <w:rtl/>
        </w:rPr>
        <w:t xml:space="preserve"> </w:t>
      </w:r>
      <w:r w:rsidR="00233CB3" w:rsidRPr="00233CB3">
        <w:rPr>
          <w:rFonts w:hint="cs"/>
          <w:rtl/>
        </w:rPr>
        <w:t>(</w:t>
      </w:r>
      <w:r w:rsidRPr="00233CB3">
        <w:rPr>
          <w:rFonts w:hint="cs"/>
          <w:rtl/>
        </w:rPr>
        <w:t xml:space="preserve">בג"ץ 4929/19 </w:t>
      </w:r>
      <w:r w:rsidRPr="00233CB3">
        <w:rPr>
          <w:rFonts w:hint="cs"/>
          <w:b/>
          <w:bCs/>
          <w:rtl/>
        </w:rPr>
        <w:t>נוה נ' מדינת ישראל</w:t>
      </w:r>
      <w:r w:rsidR="00233CB3" w:rsidRPr="00233CB3">
        <w:rPr>
          <w:rFonts w:hint="cs"/>
          <w:b/>
          <w:bCs/>
          <w:rtl/>
        </w:rPr>
        <w:t xml:space="preserve">, </w:t>
      </w:r>
      <w:r w:rsidR="00233CB3" w:rsidRPr="00233CB3">
        <w:rPr>
          <w:rFonts w:hint="cs"/>
          <w:rtl/>
        </w:rPr>
        <w:t>בפסקאות 3</w:t>
      </w:r>
      <w:r w:rsidR="000E5558">
        <w:rPr>
          <w:rFonts w:hint="cs"/>
          <w:rtl/>
        </w:rPr>
        <w:t>2</w:t>
      </w:r>
      <w:r w:rsidR="00233CB3" w:rsidRPr="00233CB3">
        <w:rPr>
          <w:rFonts w:hint="cs"/>
          <w:rtl/>
        </w:rPr>
        <w:t>-3</w:t>
      </w:r>
      <w:r w:rsidR="000E5558">
        <w:rPr>
          <w:rFonts w:hint="cs"/>
          <w:rtl/>
        </w:rPr>
        <w:t>0</w:t>
      </w:r>
      <w:r w:rsidR="00233CB3" w:rsidRPr="00233CB3">
        <w:rPr>
          <w:rFonts w:hint="cs"/>
          <w:rtl/>
        </w:rPr>
        <w:t xml:space="preserve"> והאסמכתאות שם </w:t>
      </w:r>
      <w:r w:rsidRPr="00233CB3">
        <w:rPr>
          <w:rFonts w:hint="cs"/>
          <w:rtl/>
        </w:rPr>
        <w:t>(9.12.2019)</w:t>
      </w:r>
      <w:r w:rsidR="00233CB3" w:rsidRPr="00233CB3">
        <w:rPr>
          <w:rFonts w:hint="cs"/>
          <w:rtl/>
        </w:rPr>
        <w:t xml:space="preserve">; </w:t>
      </w:r>
      <w:r w:rsidR="00233CB3" w:rsidRPr="002524A4">
        <w:rPr>
          <w:rFonts w:hint="cs"/>
          <w:rtl/>
        </w:rPr>
        <w:t xml:space="preserve">בש"פ 9287/20 </w:t>
      </w:r>
      <w:r w:rsidR="00233CB3" w:rsidRPr="002524A4">
        <w:rPr>
          <w:rFonts w:hint="cs"/>
          <w:b/>
          <w:bCs/>
          <w:rtl/>
        </w:rPr>
        <w:t>אלוביץ נ' מדינת ישראל</w:t>
      </w:r>
      <w:r w:rsidR="00233CB3" w:rsidRPr="002524A4">
        <w:rPr>
          <w:rFonts w:hint="cs"/>
          <w:rtl/>
        </w:rPr>
        <w:t>, פסקה 15 (14.1.2021)</w:t>
      </w:r>
      <w:r w:rsidR="00E65C2C">
        <w:rPr>
          <w:rFonts w:hint="cs"/>
          <w:rtl/>
        </w:rPr>
        <w:t xml:space="preserve">; </w:t>
      </w:r>
      <w:r w:rsidR="009A1464" w:rsidRPr="002524A4">
        <w:rPr>
          <w:rFonts w:hint="cs"/>
          <w:rtl/>
        </w:rPr>
        <w:t>ע"מ</w:t>
      </w:r>
      <w:r w:rsidR="000E5558">
        <w:rPr>
          <w:rFonts w:hint="cs"/>
          <w:rtl/>
        </w:rPr>
        <w:t>/</w:t>
      </w:r>
      <w:r w:rsidR="009A1464" w:rsidRPr="002524A4">
        <w:rPr>
          <w:rFonts w:hint="cs"/>
          <w:rtl/>
        </w:rPr>
        <w:t xml:space="preserve">10/18 </w:t>
      </w:r>
      <w:r w:rsidR="000E5558" w:rsidRPr="000E5558">
        <w:rPr>
          <w:rFonts w:hint="cs"/>
          <w:b/>
          <w:bCs/>
          <w:rtl/>
        </w:rPr>
        <w:t>סמל</w:t>
      </w:r>
      <w:r w:rsidR="000E5558">
        <w:rPr>
          <w:rFonts w:hint="cs"/>
          <w:rtl/>
        </w:rPr>
        <w:t xml:space="preserve"> </w:t>
      </w:r>
      <w:r w:rsidR="009A1464" w:rsidRPr="002524A4">
        <w:rPr>
          <w:rFonts w:hint="cs"/>
          <w:b/>
          <w:bCs/>
          <w:rtl/>
        </w:rPr>
        <w:t xml:space="preserve">ארגואטי נ' התובע הצבאי הראשי </w:t>
      </w:r>
      <w:r w:rsidR="009A1464" w:rsidRPr="002524A4">
        <w:rPr>
          <w:rFonts w:hint="cs"/>
          <w:rtl/>
        </w:rPr>
        <w:t xml:space="preserve">(2018)). </w:t>
      </w:r>
      <w:r w:rsidR="00233CB3" w:rsidRPr="002524A4">
        <w:rPr>
          <w:rFonts w:hint="cs"/>
          <w:rtl/>
        </w:rPr>
        <w:t xml:space="preserve"> </w:t>
      </w:r>
    </w:p>
    <w:p w14:paraId="2AFCD03C" w14:textId="21809AE2" w:rsidR="00687199" w:rsidRPr="00687199" w:rsidRDefault="00F24D8D" w:rsidP="009F19C5">
      <w:pPr>
        <w:numPr>
          <w:ilvl w:val="0"/>
          <w:numId w:val="32"/>
        </w:numPr>
        <w:tabs>
          <w:tab w:val="left" w:pos="226"/>
        </w:tabs>
        <w:spacing w:after="0" w:line="360" w:lineRule="auto"/>
        <w:ind w:left="-58" w:firstLine="0"/>
        <w:jc w:val="both"/>
        <w:rPr>
          <w:rtl/>
        </w:rPr>
      </w:pPr>
      <w:r w:rsidRPr="00327D95">
        <w:rPr>
          <w:rFonts w:hint="cs"/>
          <w:rtl/>
        </w:rPr>
        <w:t xml:space="preserve">גם לגופם של דברים, </w:t>
      </w:r>
      <w:r w:rsidR="00BB3AEA">
        <w:rPr>
          <w:rFonts w:hint="cs"/>
          <w:rtl/>
        </w:rPr>
        <w:t xml:space="preserve">יש להבהיר כי </w:t>
      </w:r>
      <w:r w:rsidRPr="001B2B99">
        <w:rPr>
          <w:rFonts w:hint="cs"/>
          <w:rtl/>
        </w:rPr>
        <w:t>מדובר בבקשה ספקולטיבית</w:t>
      </w:r>
      <w:r w:rsidR="00E65C2C" w:rsidRPr="001B2B99">
        <w:rPr>
          <w:rFonts w:hint="cs"/>
          <w:rtl/>
        </w:rPr>
        <w:t>,</w:t>
      </w:r>
      <w:r w:rsidRPr="001B2B99">
        <w:rPr>
          <w:rFonts w:hint="cs"/>
          <w:rtl/>
        </w:rPr>
        <w:t xml:space="preserve"> הנשענת </w:t>
      </w:r>
      <w:r w:rsidR="0068036E" w:rsidRPr="001B2B99">
        <w:rPr>
          <w:rFonts w:hint="cs"/>
          <w:rtl/>
        </w:rPr>
        <w:t xml:space="preserve">על מקרה אחד בלבד, </w:t>
      </w:r>
      <w:r w:rsidR="00E65C2C" w:rsidRPr="001B2B99">
        <w:rPr>
          <w:rFonts w:hint="cs"/>
          <w:rtl/>
        </w:rPr>
        <w:t xml:space="preserve">הנזכר </w:t>
      </w:r>
      <w:r w:rsidR="0068036E" w:rsidRPr="001B2B99">
        <w:rPr>
          <w:rFonts w:hint="cs"/>
          <w:rtl/>
        </w:rPr>
        <w:t xml:space="preserve">בעדותו של סא"ל </w:t>
      </w:r>
      <w:r w:rsidR="00E65C2C" w:rsidRPr="001B2B99">
        <w:rPr>
          <w:rFonts w:hint="cs"/>
          <w:rtl/>
        </w:rPr>
        <w:t>(מיל')</w:t>
      </w:r>
      <w:r w:rsidR="007266F7">
        <w:rPr>
          <w:rFonts w:hint="cs"/>
          <w:rtl/>
        </w:rPr>
        <w:t xml:space="preserve"> אלון</w:t>
      </w:r>
      <w:r w:rsidR="0068036E" w:rsidRPr="001B2B99">
        <w:rPr>
          <w:rFonts w:hint="cs"/>
          <w:rtl/>
        </w:rPr>
        <w:t xml:space="preserve">. לא ניתן להסיק כי כלל החיילים ששמותיהם מופיעים </w:t>
      </w:r>
      <w:r w:rsidR="007266F7">
        <w:rPr>
          <w:rFonts w:hint="cs"/>
          <w:rtl/>
        </w:rPr>
        <w:t>כחשודים בהצבעה כפולה, שהם מיעוט המצביעים בקלפי הצה"לית,</w:t>
      </w:r>
      <w:r w:rsidR="0068036E" w:rsidRPr="001B2B99">
        <w:rPr>
          <w:rFonts w:hint="cs"/>
          <w:rtl/>
        </w:rPr>
        <w:t xml:space="preserve"> טעו לחשוב</w:t>
      </w:r>
      <w:r w:rsidR="007266F7">
        <w:rPr>
          <w:rFonts w:hint="cs"/>
          <w:rtl/>
        </w:rPr>
        <w:t>, כפי שנמסר לגבי אותו חייל בודד, כי ההצבעה בצה"ל היא בגדר מדגם</w:t>
      </w:r>
      <w:r w:rsidR="00687199" w:rsidRPr="001B2B99">
        <w:rPr>
          <w:rFonts w:hint="cs"/>
          <w:rtl/>
        </w:rPr>
        <w:t xml:space="preserve">. </w:t>
      </w:r>
      <w:r w:rsidR="007266F7">
        <w:rPr>
          <w:rFonts w:hint="cs"/>
          <w:rtl/>
        </w:rPr>
        <w:t>גם כאן, ראוי להזכיר כי סברתה הסובייקטיבית של המערערת, כעולה מאימרתה, הייתה שונה.</w:t>
      </w:r>
    </w:p>
    <w:p w14:paraId="3FCD59C6" w14:textId="548B0865" w:rsidR="00327D95" w:rsidRDefault="0068036E" w:rsidP="009F19C5">
      <w:pPr>
        <w:numPr>
          <w:ilvl w:val="0"/>
          <w:numId w:val="32"/>
        </w:numPr>
        <w:tabs>
          <w:tab w:val="left" w:pos="226"/>
        </w:tabs>
        <w:spacing w:after="0" w:line="360" w:lineRule="auto"/>
        <w:ind w:left="-58" w:firstLine="0"/>
        <w:jc w:val="both"/>
      </w:pPr>
      <w:r w:rsidRPr="001B2B99">
        <w:rPr>
          <w:rFonts w:hint="cs"/>
          <w:rtl/>
        </w:rPr>
        <w:t>לכל אלה יש להוסיף כי העברת שמות החיילים לידי ההגנה</w:t>
      </w:r>
      <w:r w:rsidR="00687199" w:rsidRPr="001B2B99">
        <w:rPr>
          <w:rFonts w:hint="cs"/>
          <w:rtl/>
        </w:rPr>
        <w:t>,</w:t>
      </w:r>
      <w:r w:rsidRPr="001B2B99">
        <w:rPr>
          <w:rFonts w:hint="cs"/>
          <w:rtl/>
        </w:rPr>
        <w:t xml:space="preserve"> </w:t>
      </w:r>
      <w:r w:rsidR="007266F7">
        <w:rPr>
          <w:rFonts w:hint="cs"/>
          <w:rtl/>
        </w:rPr>
        <w:t xml:space="preserve">כדי לאפשר לה ליצור </w:t>
      </w:r>
      <w:r w:rsidRPr="001B2B99">
        <w:rPr>
          <w:rFonts w:hint="cs"/>
          <w:rtl/>
        </w:rPr>
        <w:t>עמם קשר, פוגעת בפרטיותם. אמנם נכון הדבר כי לא מדובר במידע שמוטל עליו חיסיון או ש</w:t>
      </w:r>
      <w:r w:rsidR="007266F7">
        <w:rPr>
          <w:rFonts w:hint="cs"/>
          <w:rtl/>
        </w:rPr>
        <w:t xml:space="preserve">הוא </w:t>
      </w:r>
      <w:r w:rsidRPr="001B2B99">
        <w:rPr>
          <w:rFonts w:hint="cs"/>
          <w:rtl/>
        </w:rPr>
        <w:t>אסור בגילוי</w:t>
      </w:r>
      <w:r w:rsidR="007266F7">
        <w:rPr>
          <w:rFonts w:hint="cs"/>
          <w:rtl/>
        </w:rPr>
        <w:t xml:space="preserve">. ברם, </w:t>
      </w:r>
      <w:r w:rsidR="007A5AA6">
        <w:rPr>
          <w:rFonts w:hint="cs"/>
          <w:rtl/>
        </w:rPr>
        <w:t xml:space="preserve">כידוע, </w:t>
      </w:r>
      <w:r w:rsidR="007266F7">
        <w:rPr>
          <w:rFonts w:hint="cs"/>
          <w:rtl/>
        </w:rPr>
        <w:t xml:space="preserve">על </w:t>
      </w:r>
      <w:r w:rsidR="00327D95" w:rsidRPr="001B2B99">
        <w:rPr>
          <w:rFonts w:hint="cs"/>
          <w:rtl/>
        </w:rPr>
        <w:t xml:space="preserve">הערכאה השיפוטית לערוך איזון בין התועלת </w:t>
      </w:r>
      <w:r w:rsidR="007266F7">
        <w:rPr>
          <w:rFonts w:hint="cs"/>
          <w:rtl/>
        </w:rPr>
        <w:t xml:space="preserve">להגנה </w:t>
      </w:r>
      <w:r w:rsidR="00327D95" w:rsidRPr="001B2B99">
        <w:rPr>
          <w:rFonts w:hint="cs"/>
          <w:rtl/>
        </w:rPr>
        <w:t>מקבלת המידע לבין אינטרסים מוגנים אחרים, ואיזון זה פועל בדרך של "מקבילית כוחות": אם תרומתו של המידע שבמחלוקת להגנת הנאשם היא שולית או מעטה יחסית ואילו האינטרס הנגדי הוא בעל חשיבות רבה, יש לקבוע כי מדובר במידע שאינו בר גילוי (</w:t>
      </w:r>
      <w:r w:rsidR="00327D95" w:rsidRPr="00327D95">
        <w:rPr>
          <w:rFonts w:hint="cs"/>
          <w:rtl/>
        </w:rPr>
        <w:t xml:space="preserve">בש"פ 1965/21 </w:t>
      </w:r>
      <w:r w:rsidR="00327D95" w:rsidRPr="007A5AA6">
        <w:rPr>
          <w:rFonts w:hint="cs"/>
          <w:b/>
          <w:bCs/>
          <w:rtl/>
        </w:rPr>
        <w:t>נתניהו נ' מדינת ישראל</w:t>
      </w:r>
      <w:r w:rsidR="00327D95" w:rsidRPr="001B2B99">
        <w:rPr>
          <w:rFonts w:hint="cs"/>
          <w:rtl/>
        </w:rPr>
        <w:t xml:space="preserve">, </w:t>
      </w:r>
      <w:r w:rsidR="00327D95" w:rsidRPr="00327D95">
        <w:rPr>
          <w:rFonts w:hint="cs"/>
          <w:rtl/>
        </w:rPr>
        <w:t>פסקה 47 (11.4.2021)</w:t>
      </w:r>
      <w:r w:rsidR="00D64751">
        <w:rPr>
          <w:rFonts w:hint="cs"/>
          <w:rtl/>
        </w:rPr>
        <w:t>; עלב"ש</w:t>
      </w:r>
      <w:r w:rsidR="000E5558">
        <w:rPr>
          <w:rFonts w:hint="cs"/>
          <w:rtl/>
        </w:rPr>
        <w:t>/</w:t>
      </w:r>
      <w:r w:rsidR="00D64751">
        <w:rPr>
          <w:rFonts w:hint="cs"/>
          <w:rtl/>
        </w:rPr>
        <w:t>20/2</w:t>
      </w:r>
      <w:r w:rsidR="000E5558">
        <w:rPr>
          <w:rFonts w:hint="cs"/>
          <w:rtl/>
        </w:rPr>
        <w:t>1</w:t>
      </w:r>
      <w:r w:rsidR="00D64751">
        <w:rPr>
          <w:rFonts w:hint="cs"/>
          <w:rtl/>
        </w:rPr>
        <w:t xml:space="preserve"> </w:t>
      </w:r>
      <w:r w:rsidR="00D64751">
        <w:rPr>
          <w:rFonts w:hint="cs"/>
          <w:b/>
          <w:bCs/>
          <w:rtl/>
        </w:rPr>
        <w:t xml:space="preserve">רס"ל בן עמי נ' התובע הצבאי הראשי </w:t>
      </w:r>
      <w:r w:rsidR="00D64751">
        <w:rPr>
          <w:rFonts w:hint="cs"/>
          <w:rtl/>
        </w:rPr>
        <w:t>(2022)</w:t>
      </w:r>
      <w:r w:rsidR="00327D95" w:rsidRPr="00327D95">
        <w:rPr>
          <w:rFonts w:hint="cs"/>
          <w:rtl/>
        </w:rPr>
        <w:t xml:space="preserve">). סבורני כי </w:t>
      </w:r>
      <w:r w:rsidR="00327D95">
        <w:rPr>
          <w:rFonts w:hint="cs"/>
          <w:rtl/>
        </w:rPr>
        <w:t xml:space="preserve">במקרה זה, </w:t>
      </w:r>
      <w:r w:rsidR="007A5AA6">
        <w:rPr>
          <w:rFonts w:hint="cs"/>
          <w:rtl/>
        </w:rPr>
        <w:t>ש</w:t>
      </w:r>
      <w:r w:rsidR="00327D95">
        <w:rPr>
          <w:rFonts w:hint="cs"/>
          <w:rtl/>
        </w:rPr>
        <w:t xml:space="preserve">בו </w:t>
      </w:r>
      <w:r w:rsidR="007A5AA6">
        <w:rPr>
          <w:rFonts w:hint="cs"/>
          <w:rtl/>
        </w:rPr>
        <w:t xml:space="preserve">על פני הדברים, כמפורט לעיל, </w:t>
      </w:r>
      <w:r w:rsidR="00327D95">
        <w:rPr>
          <w:rFonts w:hint="cs"/>
          <w:rtl/>
        </w:rPr>
        <w:t xml:space="preserve">תרומתו </w:t>
      </w:r>
      <w:r w:rsidR="00C12E82">
        <w:rPr>
          <w:rFonts w:hint="cs"/>
          <w:rtl/>
        </w:rPr>
        <w:t xml:space="preserve">של המידע </w:t>
      </w:r>
      <w:r w:rsidR="00327D95">
        <w:rPr>
          <w:rFonts w:hint="cs"/>
          <w:rtl/>
        </w:rPr>
        <w:t>להגנת המערערת אינה רבה</w:t>
      </w:r>
      <w:r w:rsidR="007A5AA6">
        <w:rPr>
          <w:rFonts w:hint="cs"/>
          <w:rtl/>
        </w:rPr>
        <w:t xml:space="preserve">, </w:t>
      </w:r>
      <w:r w:rsidR="00327D95">
        <w:rPr>
          <w:rFonts w:hint="cs"/>
          <w:rtl/>
        </w:rPr>
        <w:t xml:space="preserve">ומנגד </w:t>
      </w:r>
      <w:r w:rsidR="00327D95" w:rsidRPr="00327D95">
        <w:rPr>
          <w:rFonts w:hint="cs"/>
          <w:rtl/>
        </w:rPr>
        <w:t xml:space="preserve">העברת </w:t>
      </w:r>
      <w:r w:rsidR="00327D95" w:rsidRPr="001B2B99">
        <w:rPr>
          <w:rFonts w:hint="cs"/>
          <w:rtl/>
        </w:rPr>
        <w:t xml:space="preserve">פרטיהם </w:t>
      </w:r>
      <w:r w:rsidR="007A5AA6">
        <w:rPr>
          <w:rFonts w:hint="cs"/>
          <w:rtl/>
        </w:rPr>
        <w:t xml:space="preserve">של חיילים, </w:t>
      </w:r>
      <w:r w:rsidR="00327D95" w:rsidRPr="001B2B99">
        <w:rPr>
          <w:rFonts w:hint="cs"/>
          <w:rtl/>
        </w:rPr>
        <w:t xml:space="preserve">תוך חשיפתם למעשה כחשודים בעבירה, מהווה בהחלט פגיעה בפרטיותם </w:t>
      </w:r>
      <w:r w:rsidR="007A5AA6">
        <w:rPr>
          <w:rFonts w:hint="cs"/>
          <w:rtl/>
        </w:rPr>
        <w:t>- איזון הדברים מוביל לדחיית בקשתה של ההגנה</w:t>
      </w:r>
      <w:r w:rsidR="00C12E82" w:rsidRPr="001B2B99">
        <w:rPr>
          <w:rFonts w:hint="cs"/>
          <w:rtl/>
        </w:rPr>
        <w:t xml:space="preserve">. </w:t>
      </w:r>
    </w:p>
    <w:p w14:paraId="74CDDE3C" w14:textId="18D391F2" w:rsidR="00CA501C" w:rsidRDefault="00CA501C" w:rsidP="00CA501C">
      <w:pPr>
        <w:tabs>
          <w:tab w:val="left" w:pos="226"/>
        </w:tabs>
        <w:spacing w:after="0" w:line="360" w:lineRule="auto"/>
        <w:jc w:val="both"/>
        <w:rPr>
          <w:rtl/>
        </w:rPr>
      </w:pPr>
    </w:p>
    <w:p w14:paraId="43F9E1D0" w14:textId="77777777" w:rsidR="00C12E82" w:rsidRPr="00711EA3" w:rsidRDefault="00C12E82" w:rsidP="00C12E82">
      <w:pPr>
        <w:pStyle w:val="1"/>
        <w:tabs>
          <w:tab w:val="left" w:pos="283"/>
        </w:tabs>
        <w:spacing w:line="360" w:lineRule="auto"/>
        <w:ind w:left="353"/>
        <w:jc w:val="both"/>
        <w:outlineLvl w:val="0"/>
        <w:rPr>
          <w:rFonts w:ascii="David" w:hAnsi="David" w:cs="David"/>
          <w:color w:val="000000"/>
          <w:spacing w:val="10"/>
          <w:sz w:val="16"/>
          <w:szCs w:val="16"/>
          <w:rtl/>
        </w:rPr>
      </w:pPr>
    </w:p>
    <w:p w14:paraId="6458BD14" w14:textId="2D0279AE" w:rsidR="00C12E82" w:rsidRDefault="00C12E82" w:rsidP="009F19C5">
      <w:pPr>
        <w:tabs>
          <w:tab w:val="left" w:pos="226"/>
        </w:tabs>
        <w:spacing w:after="0" w:line="360" w:lineRule="auto"/>
        <w:ind w:left="-58"/>
        <w:jc w:val="both"/>
        <w:rPr>
          <w:u w:val="single"/>
          <w:rtl/>
        </w:rPr>
      </w:pPr>
      <w:r>
        <w:rPr>
          <w:rFonts w:hint="cs"/>
          <w:u w:val="single"/>
          <w:rtl/>
        </w:rPr>
        <w:t xml:space="preserve">בקשות ההגנה לקבל לידיה את התחקיר שערך סא"ל </w:t>
      </w:r>
      <w:r w:rsidR="007A5AA6">
        <w:rPr>
          <w:rFonts w:hint="cs"/>
          <w:u w:val="single"/>
          <w:rtl/>
        </w:rPr>
        <w:t>(מיל') אלון</w:t>
      </w:r>
    </w:p>
    <w:p w14:paraId="3B5AA446" w14:textId="77777777" w:rsidR="00C12E82" w:rsidRPr="009F19C5" w:rsidRDefault="00C12E82" w:rsidP="00C12E82">
      <w:pPr>
        <w:pStyle w:val="1"/>
        <w:tabs>
          <w:tab w:val="left" w:pos="283"/>
        </w:tabs>
        <w:spacing w:line="360" w:lineRule="auto"/>
        <w:ind w:left="353"/>
        <w:jc w:val="both"/>
        <w:outlineLvl w:val="0"/>
        <w:rPr>
          <w:rFonts w:ascii="David" w:hAnsi="David" w:cs="David"/>
          <w:color w:val="000000"/>
          <w:spacing w:val="10"/>
          <w:sz w:val="6"/>
          <w:szCs w:val="6"/>
          <w:rtl/>
        </w:rPr>
      </w:pPr>
    </w:p>
    <w:p w14:paraId="1F5CDC83" w14:textId="10A67BA6" w:rsidR="00233CB3" w:rsidRDefault="00BB395E" w:rsidP="009F19C5">
      <w:pPr>
        <w:numPr>
          <w:ilvl w:val="0"/>
          <w:numId w:val="32"/>
        </w:numPr>
        <w:tabs>
          <w:tab w:val="left" w:pos="226"/>
        </w:tabs>
        <w:spacing w:after="0" w:line="360" w:lineRule="auto"/>
        <w:ind w:left="-58" w:firstLine="0"/>
        <w:jc w:val="both"/>
        <w:rPr>
          <w:rtl/>
        </w:rPr>
      </w:pPr>
      <w:r>
        <w:rPr>
          <w:rFonts w:hint="cs"/>
          <w:rtl/>
        </w:rPr>
        <w:t xml:space="preserve">לבסוף, </w:t>
      </w:r>
      <w:r w:rsidR="00C12E82">
        <w:rPr>
          <w:rFonts w:hint="cs"/>
          <w:rtl/>
        </w:rPr>
        <w:t xml:space="preserve">לא </w:t>
      </w:r>
      <w:r>
        <w:rPr>
          <w:rFonts w:hint="cs"/>
          <w:rtl/>
        </w:rPr>
        <w:t xml:space="preserve">סברתי כי </w:t>
      </w:r>
      <w:r w:rsidR="00C12E82">
        <w:rPr>
          <w:rFonts w:hint="cs"/>
          <w:rtl/>
        </w:rPr>
        <w:t xml:space="preserve">יש בהעברת התחקיר </w:t>
      </w:r>
      <w:r>
        <w:rPr>
          <w:rFonts w:hint="cs"/>
          <w:rtl/>
        </w:rPr>
        <w:t xml:space="preserve">המדובר כדי לסייע </w:t>
      </w:r>
      <w:r w:rsidR="00C12E82">
        <w:rPr>
          <w:rFonts w:hint="cs"/>
          <w:rtl/>
        </w:rPr>
        <w:t xml:space="preserve">להגנת </w:t>
      </w:r>
      <w:r>
        <w:rPr>
          <w:rFonts w:hint="cs"/>
          <w:rtl/>
        </w:rPr>
        <w:t>המערערת</w:t>
      </w:r>
      <w:r w:rsidR="00C12E82">
        <w:rPr>
          <w:rFonts w:hint="cs"/>
          <w:rtl/>
        </w:rPr>
        <w:t xml:space="preserve">. לפי עדותו </w:t>
      </w:r>
      <w:r>
        <w:rPr>
          <w:rFonts w:hint="cs"/>
          <w:rtl/>
        </w:rPr>
        <w:t xml:space="preserve">של סא"ל (מיל') אלון, </w:t>
      </w:r>
      <w:r w:rsidR="00C12E82">
        <w:rPr>
          <w:rFonts w:hint="cs"/>
          <w:rtl/>
        </w:rPr>
        <w:t xml:space="preserve">עסק </w:t>
      </w:r>
      <w:r>
        <w:rPr>
          <w:rFonts w:hint="cs"/>
          <w:rtl/>
        </w:rPr>
        <w:t>ה</w:t>
      </w:r>
      <w:r w:rsidR="00C12E82">
        <w:rPr>
          <w:rFonts w:hint="cs"/>
          <w:rtl/>
        </w:rPr>
        <w:t>תחקיר בבדיקה</w:t>
      </w:r>
      <w:r>
        <w:rPr>
          <w:rFonts w:hint="cs"/>
          <w:rtl/>
        </w:rPr>
        <w:t>,</w:t>
      </w:r>
      <w:r w:rsidR="00C12E82">
        <w:rPr>
          <w:rFonts w:hint="cs"/>
          <w:rtl/>
        </w:rPr>
        <w:t xml:space="preserve"> מול מפקדיהם של ארבעה חיילים </w:t>
      </w:r>
      <w:r w:rsidR="00C12E82">
        <w:rPr>
          <w:rFonts w:hint="cs"/>
          <w:rtl/>
        </w:rPr>
        <w:lastRenderedPageBreak/>
        <w:t>שנחשדו בהצבעה שלא כחוק, בשאלה מדוע שוחחו עמם</w:t>
      </w:r>
      <w:r>
        <w:rPr>
          <w:rFonts w:hint="cs"/>
          <w:rtl/>
        </w:rPr>
        <w:t xml:space="preserve"> בעניין זה,</w:t>
      </w:r>
      <w:r w:rsidR="00C12E82">
        <w:rPr>
          <w:rFonts w:hint="cs"/>
          <w:rtl/>
        </w:rPr>
        <w:t xml:space="preserve"> בניגוד להנחיה שניתנה בנושא. </w:t>
      </w:r>
      <w:r>
        <w:rPr>
          <w:rFonts w:hint="cs"/>
          <w:rtl/>
        </w:rPr>
        <w:t>לא נטען, כי כך נ</w:t>
      </w:r>
      <w:r w:rsidR="009449AB">
        <w:rPr>
          <w:rFonts w:hint="cs"/>
          <w:rtl/>
        </w:rPr>
        <w:t>עשה</w:t>
      </w:r>
      <w:r>
        <w:rPr>
          <w:rFonts w:hint="cs"/>
          <w:rtl/>
        </w:rPr>
        <w:t xml:space="preserve"> גם בעניינה של המערערת, ו</w:t>
      </w:r>
      <w:r w:rsidR="00C12E82">
        <w:rPr>
          <w:rFonts w:hint="cs"/>
          <w:rtl/>
        </w:rPr>
        <w:t xml:space="preserve">מכאן </w:t>
      </w:r>
      <w:r>
        <w:rPr>
          <w:rFonts w:hint="cs"/>
          <w:rtl/>
        </w:rPr>
        <w:t>כי ב</w:t>
      </w:r>
      <w:r w:rsidR="00C12E82">
        <w:rPr>
          <w:rFonts w:hint="cs"/>
          <w:rtl/>
        </w:rPr>
        <w:t xml:space="preserve">תחקיר </w:t>
      </w:r>
      <w:r>
        <w:rPr>
          <w:rFonts w:hint="cs"/>
          <w:rtl/>
        </w:rPr>
        <w:t xml:space="preserve">שמרכזו </w:t>
      </w:r>
      <w:r w:rsidR="00C12E82">
        <w:rPr>
          <w:rFonts w:hint="cs"/>
          <w:rtl/>
        </w:rPr>
        <w:t xml:space="preserve">התנהלות </w:t>
      </w:r>
      <w:r>
        <w:rPr>
          <w:rFonts w:hint="cs"/>
          <w:rtl/>
        </w:rPr>
        <w:t>ה</w:t>
      </w:r>
      <w:r w:rsidR="00C12E82">
        <w:rPr>
          <w:rFonts w:hint="cs"/>
          <w:rtl/>
        </w:rPr>
        <w:t>מפקדי</w:t>
      </w:r>
      <w:r>
        <w:rPr>
          <w:rFonts w:hint="cs"/>
          <w:rtl/>
        </w:rPr>
        <w:t xml:space="preserve">ם, לאחר יום הבחירות, </w:t>
      </w:r>
      <w:r w:rsidR="00C12E82">
        <w:rPr>
          <w:rFonts w:hint="cs"/>
          <w:rtl/>
        </w:rPr>
        <w:t>אין כל רלוונטיות להגנ</w:t>
      </w:r>
      <w:r>
        <w:rPr>
          <w:rFonts w:hint="cs"/>
          <w:rtl/>
        </w:rPr>
        <w:t>ה</w:t>
      </w:r>
      <w:r w:rsidR="00C12E82">
        <w:rPr>
          <w:rFonts w:hint="cs"/>
          <w:rtl/>
        </w:rPr>
        <w:t xml:space="preserve">. </w:t>
      </w:r>
    </w:p>
    <w:p w14:paraId="48844137" w14:textId="13857B7E" w:rsidR="00C12E82" w:rsidRDefault="00C12E82" w:rsidP="00C36B77">
      <w:pPr>
        <w:pStyle w:val="1"/>
        <w:numPr>
          <w:ilvl w:val="0"/>
          <w:numId w:val="32"/>
        </w:numPr>
        <w:tabs>
          <w:tab w:val="left" w:pos="283"/>
        </w:tabs>
        <w:spacing w:line="360" w:lineRule="auto"/>
        <w:jc w:val="both"/>
        <w:outlineLvl w:val="0"/>
        <w:rPr>
          <w:rFonts w:cs="David"/>
          <w:sz w:val="28"/>
          <w:szCs w:val="28"/>
          <w:rtl/>
        </w:rPr>
      </w:pPr>
      <w:r>
        <w:rPr>
          <w:rFonts w:cs="David" w:hint="cs"/>
          <w:sz w:val="28"/>
          <w:szCs w:val="28"/>
          <w:rtl/>
        </w:rPr>
        <w:t>הערעור נדחה</w:t>
      </w:r>
      <w:r w:rsidR="00BB395E">
        <w:rPr>
          <w:rFonts w:cs="David" w:hint="cs"/>
          <w:sz w:val="28"/>
          <w:szCs w:val="28"/>
          <w:rtl/>
        </w:rPr>
        <w:t>,</w:t>
      </w:r>
      <w:r>
        <w:rPr>
          <w:rFonts w:cs="David" w:hint="cs"/>
          <w:sz w:val="28"/>
          <w:szCs w:val="28"/>
          <w:rtl/>
        </w:rPr>
        <w:t xml:space="preserve"> אפוא. החלטת בית הדין קמא תעמוד על כנה. </w:t>
      </w:r>
    </w:p>
    <w:p w14:paraId="26F10401" w14:textId="2FC1B6C7" w:rsidR="007212CC" w:rsidRPr="0002633B" w:rsidRDefault="003261B1" w:rsidP="0002633B">
      <w:pPr>
        <w:pStyle w:val="Heading2"/>
        <w:spacing w:before="360" w:after="360" w:line="330" w:lineRule="atLeast"/>
        <w:rPr>
          <w:rFonts w:ascii="David" w:hAnsi="David" w:cs="David"/>
          <w:color w:val="auto"/>
          <w:sz w:val="28"/>
          <w:szCs w:val="28"/>
          <w:rtl/>
        </w:rPr>
      </w:pPr>
      <w:r w:rsidRPr="0002633B">
        <w:rPr>
          <w:rFonts w:ascii="David" w:hAnsi="David" w:cs="David" w:hint="cs"/>
          <w:color w:val="auto"/>
          <w:sz w:val="28"/>
          <w:szCs w:val="28"/>
          <w:rtl/>
        </w:rPr>
        <w:t>נית</w:t>
      </w:r>
      <w:r w:rsidR="00B80A2F" w:rsidRPr="0002633B">
        <w:rPr>
          <w:rFonts w:ascii="David" w:hAnsi="David" w:cs="David" w:hint="cs"/>
          <w:color w:val="auto"/>
          <w:sz w:val="28"/>
          <w:szCs w:val="28"/>
          <w:rtl/>
        </w:rPr>
        <w:t>נ</w:t>
      </w:r>
      <w:r w:rsidR="00BB1269" w:rsidRPr="0002633B">
        <w:rPr>
          <w:rFonts w:ascii="David" w:hAnsi="David" w:cs="David" w:hint="cs"/>
          <w:color w:val="auto"/>
          <w:sz w:val="28"/>
          <w:szCs w:val="28"/>
          <w:rtl/>
        </w:rPr>
        <w:t>ה</w:t>
      </w:r>
      <w:r w:rsidRPr="0002633B">
        <w:rPr>
          <w:rFonts w:ascii="David" w:hAnsi="David" w:cs="David" w:hint="cs"/>
          <w:color w:val="auto"/>
          <w:sz w:val="28"/>
          <w:szCs w:val="28"/>
          <w:rtl/>
        </w:rPr>
        <w:t xml:space="preserve"> </w:t>
      </w:r>
      <w:r w:rsidR="000A5BC5" w:rsidRPr="0002633B">
        <w:rPr>
          <w:rFonts w:ascii="David" w:hAnsi="David" w:cs="David" w:hint="cs"/>
          <w:color w:val="auto"/>
          <w:sz w:val="28"/>
          <w:szCs w:val="28"/>
          <w:rtl/>
        </w:rPr>
        <w:t>בלשכה</w:t>
      </w:r>
      <w:r w:rsidR="00EE587A" w:rsidRPr="0002633B">
        <w:rPr>
          <w:rFonts w:ascii="David" w:hAnsi="David" w:cs="David" w:hint="cs"/>
          <w:color w:val="auto"/>
          <w:sz w:val="28"/>
          <w:szCs w:val="28"/>
          <w:rtl/>
        </w:rPr>
        <w:t xml:space="preserve"> </w:t>
      </w:r>
      <w:r w:rsidR="00E5172B" w:rsidRPr="0002633B">
        <w:rPr>
          <w:rFonts w:ascii="David" w:hAnsi="David" w:cs="David" w:hint="cs"/>
          <w:color w:val="auto"/>
          <w:sz w:val="28"/>
          <w:szCs w:val="28"/>
          <w:rtl/>
        </w:rPr>
        <w:t>ה</w:t>
      </w:r>
      <w:r w:rsidRPr="0002633B">
        <w:rPr>
          <w:rFonts w:ascii="David" w:hAnsi="David" w:cs="David" w:hint="cs"/>
          <w:color w:val="auto"/>
          <w:sz w:val="28"/>
          <w:szCs w:val="28"/>
          <w:rtl/>
        </w:rPr>
        <w:t xml:space="preserve">יום, </w:t>
      </w:r>
      <w:r w:rsidR="00D64751" w:rsidRPr="0002633B">
        <w:rPr>
          <w:rFonts w:ascii="David" w:hAnsi="David" w:cs="David" w:hint="cs"/>
          <w:color w:val="auto"/>
          <w:sz w:val="28"/>
          <w:szCs w:val="28"/>
          <w:rtl/>
        </w:rPr>
        <w:t>ח'</w:t>
      </w:r>
      <w:r w:rsidR="00BB395E" w:rsidRPr="0002633B">
        <w:rPr>
          <w:rFonts w:ascii="David" w:hAnsi="David" w:cs="David" w:hint="cs"/>
          <w:color w:val="auto"/>
          <w:sz w:val="28"/>
          <w:szCs w:val="28"/>
          <w:rtl/>
        </w:rPr>
        <w:t xml:space="preserve"> </w:t>
      </w:r>
      <w:r w:rsidR="009A1464" w:rsidRPr="0002633B">
        <w:rPr>
          <w:rFonts w:ascii="David" w:hAnsi="David" w:cs="David" w:hint="cs"/>
          <w:color w:val="auto"/>
          <w:sz w:val="28"/>
          <w:szCs w:val="28"/>
          <w:rtl/>
        </w:rPr>
        <w:t xml:space="preserve">באייר </w:t>
      </w:r>
      <w:r w:rsidR="00BB395E" w:rsidRPr="0002633B">
        <w:rPr>
          <w:rFonts w:ascii="David" w:hAnsi="David" w:cs="David" w:hint="cs"/>
          <w:color w:val="auto"/>
          <w:sz w:val="28"/>
          <w:szCs w:val="28"/>
          <w:rtl/>
        </w:rPr>
        <w:t>ה</w:t>
      </w:r>
      <w:r w:rsidR="00FD47FB" w:rsidRPr="0002633B">
        <w:rPr>
          <w:rFonts w:ascii="David" w:hAnsi="David" w:cs="David" w:hint="cs"/>
          <w:color w:val="auto"/>
          <w:sz w:val="28"/>
          <w:szCs w:val="28"/>
          <w:rtl/>
        </w:rPr>
        <w:t>תשפ"</w:t>
      </w:r>
      <w:r w:rsidR="00761816" w:rsidRPr="0002633B">
        <w:rPr>
          <w:rFonts w:ascii="David" w:hAnsi="David" w:cs="David" w:hint="cs"/>
          <w:color w:val="auto"/>
          <w:sz w:val="28"/>
          <w:szCs w:val="28"/>
          <w:rtl/>
        </w:rPr>
        <w:t>ב</w:t>
      </w:r>
      <w:r w:rsidRPr="0002633B">
        <w:rPr>
          <w:rFonts w:ascii="David" w:hAnsi="David" w:cs="David" w:hint="cs"/>
          <w:color w:val="auto"/>
          <w:sz w:val="28"/>
          <w:szCs w:val="28"/>
          <w:rtl/>
        </w:rPr>
        <w:t>,</w:t>
      </w:r>
      <w:r w:rsidR="00AC79C4" w:rsidRPr="0002633B">
        <w:rPr>
          <w:rFonts w:ascii="David" w:hAnsi="David" w:cs="David" w:hint="cs"/>
          <w:color w:val="auto"/>
          <w:sz w:val="28"/>
          <w:szCs w:val="28"/>
          <w:rtl/>
        </w:rPr>
        <w:t xml:space="preserve"> </w:t>
      </w:r>
      <w:r w:rsidR="00D64751" w:rsidRPr="0002633B">
        <w:rPr>
          <w:rFonts w:ascii="David" w:hAnsi="David" w:cs="David" w:hint="cs"/>
          <w:color w:val="auto"/>
          <w:sz w:val="28"/>
          <w:szCs w:val="28"/>
          <w:rtl/>
        </w:rPr>
        <w:t>9</w:t>
      </w:r>
      <w:r w:rsidR="00BB395E" w:rsidRPr="0002633B">
        <w:rPr>
          <w:rFonts w:ascii="David" w:hAnsi="David" w:cs="David" w:hint="cs"/>
          <w:color w:val="auto"/>
          <w:sz w:val="28"/>
          <w:szCs w:val="28"/>
          <w:rtl/>
        </w:rPr>
        <w:t xml:space="preserve"> </w:t>
      </w:r>
      <w:r w:rsidR="00BB1269" w:rsidRPr="0002633B">
        <w:rPr>
          <w:rFonts w:ascii="David" w:hAnsi="David" w:cs="David" w:hint="cs"/>
          <w:color w:val="auto"/>
          <w:sz w:val="28"/>
          <w:szCs w:val="28"/>
          <w:rtl/>
        </w:rPr>
        <w:t>במאי</w:t>
      </w:r>
      <w:r w:rsidR="00761816" w:rsidRPr="0002633B">
        <w:rPr>
          <w:rFonts w:ascii="David" w:hAnsi="David" w:cs="David" w:hint="cs"/>
          <w:color w:val="auto"/>
          <w:sz w:val="28"/>
          <w:szCs w:val="28"/>
          <w:rtl/>
        </w:rPr>
        <w:t xml:space="preserve"> </w:t>
      </w:r>
      <w:r w:rsidR="00FD47FB" w:rsidRPr="0002633B">
        <w:rPr>
          <w:rFonts w:ascii="David" w:hAnsi="David" w:cs="David" w:hint="cs"/>
          <w:color w:val="auto"/>
          <w:sz w:val="28"/>
          <w:szCs w:val="28"/>
          <w:rtl/>
        </w:rPr>
        <w:t>202</w:t>
      </w:r>
      <w:r w:rsidR="00761816" w:rsidRPr="0002633B">
        <w:rPr>
          <w:rFonts w:ascii="David" w:hAnsi="David" w:cs="David" w:hint="cs"/>
          <w:color w:val="auto"/>
          <w:sz w:val="28"/>
          <w:szCs w:val="28"/>
          <w:rtl/>
        </w:rPr>
        <w:t>2</w:t>
      </w:r>
      <w:r w:rsidRPr="0002633B">
        <w:rPr>
          <w:rFonts w:ascii="David" w:hAnsi="David" w:cs="David" w:hint="cs"/>
          <w:color w:val="auto"/>
          <w:sz w:val="28"/>
          <w:szCs w:val="28"/>
          <w:rtl/>
        </w:rPr>
        <w:t xml:space="preserve">, </w:t>
      </w:r>
      <w:r w:rsidR="006969EC" w:rsidRPr="0002633B">
        <w:rPr>
          <w:rFonts w:ascii="David" w:hAnsi="David" w:cs="David" w:hint="cs"/>
          <w:color w:val="auto"/>
          <w:sz w:val="28"/>
          <w:szCs w:val="28"/>
          <w:rtl/>
        </w:rPr>
        <w:t xml:space="preserve">ותועבר </w:t>
      </w:r>
      <w:r w:rsidR="00BB395E" w:rsidRPr="0002633B">
        <w:rPr>
          <w:rFonts w:ascii="David" w:hAnsi="David" w:cs="David" w:hint="cs"/>
          <w:color w:val="auto"/>
          <w:sz w:val="28"/>
          <w:szCs w:val="28"/>
          <w:rtl/>
        </w:rPr>
        <w:t xml:space="preserve">לצדדים </w:t>
      </w:r>
      <w:r w:rsidR="00B80A2F" w:rsidRPr="0002633B">
        <w:rPr>
          <w:rFonts w:ascii="David" w:hAnsi="David" w:cs="David" w:hint="cs"/>
          <w:color w:val="auto"/>
          <w:sz w:val="28"/>
          <w:szCs w:val="28"/>
          <w:rtl/>
        </w:rPr>
        <w:t xml:space="preserve">על ידי מזכירות בית הדין. </w:t>
      </w:r>
    </w:p>
    <w:p w14:paraId="19E312BD" w14:textId="77777777" w:rsidR="0002633B" w:rsidRPr="009563B0" w:rsidRDefault="0002633B" w:rsidP="0002633B">
      <w:pPr>
        <w:pStyle w:val="ListParagraph"/>
        <w:ind w:left="4320" w:firstLine="720"/>
        <w:jc w:val="right"/>
        <w:rPr>
          <w:rtl/>
        </w:rPr>
      </w:pPr>
      <w:bookmarkStart w:id="0" w:name="_Hlk103692387"/>
      <w:r w:rsidRPr="009563B0">
        <w:rPr>
          <w:rFonts w:hint="cs"/>
          <w:rtl/>
        </w:rPr>
        <w:t>_____________________</w:t>
      </w:r>
    </w:p>
    <w:p w14:paraId="37529E13" w14:textId="77777777" w:rsidR="0002633B" w:rsidRPr="004F4C3E" w:rsidRDefault="0002633B" w:rsidP="0002633B">
      <w:pPr>
        <w:pStyle w:val="ListParagraph"/>
        <w:jc w:val="right"/>
        <w:rPr>
          <w:b/>
          <w:bCs/>
          <w:rtl/>
        </w:rPr>
      </w:pPr>
      <w:r w:rsidRPr="004F4C3E">
        <w:rPr>
          <w:rFonts w:hint="cs"/>
          <w:b/>
          <w:bCs/>
          <w:rtl/>
        </w:rPr>
        <w:t xml:space="preserve">אל"ם         מאיה  גולדשמידט  </w:t>
      </w:r>
      <w:r w:rsidRPr="004F4C3E">
        <w:rPr>
          <w:rFonts w:hint="cs"/>
          <w:b/>
          <w:bCs/>
          <w:rtl/>
        </w:rPr>
        <w:br/>
        <w:t xml:space="preserve">שופטת  </w:t>
      </w:r>
      <w:r w:rsidRPr="004F4C3E">
        <w:rPr>
          <w:b/>
          <w:bCs/>
          <w:rtl/>
        </w:rPr>
        <w:t xml:space="preserve"> </w:t>
      </w:r>
      <w:r w:rsidRPr="004F4C3E">
        <w:rPr>
          <w:rFonts w:hint="cs"/>
          <w:b/>
          <w:bCs/>
          <w:rtl/>
        </w:rPr>
        <w:t xml:space="preserve">  </w:t>
      </w:r>
      <w:r w:rsidRPr="004F4C3E">
        <w:rPr>
          <w:b/>
          <w:bCs/>
          <w:rtl/>
        </w:rPr>
        <w:t xml:space="preserve">בית </w:t>
      </w:r>
      <w:r w:rsidRPr="004F4C3E">
        <w:rPr>
          <w:rFonts w:hint="cs"/>
          <w:b/>
          <w:bCs/>
          <w:rtl/>
        </w:rPr>
        <w:t xml:space="preserve">    </w:t>
      </w:r>
      <w:r w:rsidRPr="004F4C3E">
        <w:rPr>
          <w:b/>
          <w:bCs/>
          <w:rtl/>
        </w:rPr>
        <w:t xml:space="preserve">הדין </w:t>
      </w:r>
      <w:r w:rsidRPr="004F4C3E">
        <w:rPr>
          <w:rFonts w:hint="cs"/>
          <w:b/>
          <w:bCs/>
          <w:rtl/>
        </w:rPr>
        <w:t xml:space="preserve">  </w:t>
      </w:r>
      <w:r w:rsidRPr="004F4C3E">
        <w:rPr>
          <w:b/>
          <w:bCs/>
          <w:rtl/>
        </w:rPr>
        <w:t>הצבאי</w:t>
      </w:r>
      <w:r w:rsidRPr="004F4C3E">
        <w:rPr>
          <w:rFonts w:hint="cs"/>
          <w:b/>
          <w:bCs/>
          <w:rtl/>
        </w:rPr>
        <w:br/>
      </w:r>
      <w:r w:rsidRPr="004F4C3E">
        <w:rPr>
          <w:b/>
          <w:bCs/>
          <w:rtl/>
        </w:rPr>
        <w:t>ל</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ע</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 xml:space="preserve">ר </w:t>
      </w:r>
      <w:r w:rsidRPr="004F4C3E">
        <w:rPr>
          <w:rFonts w:hint="cs"/>
          <w:b/>
          <w:bCs/>
          <w:rtl/>
        </w:rPr>
        <w:t xml:space="preserve">    </w:t>
      </w:r>
      <w:r w:rsidRPr="004F4C3E">
        <w:rPr>
          <w:b/>
          <w:bCs/>
          <w:rtl/>
        </w:rPr>
        <w:t>ע</w:t>
      </w:r>
      <w:r w:rsidRPr="004F4C3E">
        <w:rPr>
          <w:rFonts w:hint="cs"/>
          <w:b/>
          <w:bCs/>
          <w:rtl/>
        </w:rPr>
        <w:t xml:space="preserve">   </w:t>
      </w:r>
      <w:r w:rsidRPr="004F4C3E">
        <w:rPr>
          <w:b/>
          <w:bCs/>
          <w:rtl/>
        </w:rPr>
        <w:t xml:space="preserve"> </w:t>
      </w:r>
      <w:r w:rsidRPr="004F4C3E">
        <w:rPr>
          <w:rFonts w:hint="cs"/>
          <w:b/>
          <w:bCs/>
          <w:rtl/>
        </w:rPr>
        <w:t xml:space="preserve"> </w:t>
      </w:r>
      <w:r w:rsidRPr="004F4C3E">
        <w:rPr>
          <w:b/>
          <w:bCs/>
          <w:rtl/>
        </w:rPr>
        <w:t>ו</w:t>
      </w:r>
      <w:r w:rsidRPr="004F4C3E">
        <w:rPr>
          <w:rFonts w:hint="cs"/>
          <w:b/>
          <w:bCs/>
          <w:rtl/>
        </w:rPr>
        <w:t xml:space="preserve">    </w:t>
      </w:r>
      <w:r w:rsidRPr="004F4C3E">
        <w:rPr>
          <w:b/>
          <w:bCs/>
          <w:rtl/>
        </w:rPr>
        <w:t xml:space="preserve"> ר</w:t>
      </w:r>
      <w:r w:rsidRPr="004F4C3E">
        <w:rPr>
          <w:rFonts w:hint="cs"/>
          <w:b/>
          <w:bCs/>
          <w:rtl/>
        </w:rPr>
        <w:t xml:space="preserve">    </w:t>
      </w:r>
      <w:r w:rsidRPr="004F4C3E">
        <w:rPr>
          <w:b/>
          <w:bCs/>
          <w:rtl/>
        </w:rPr>
        <w:t xml:space="preserve"> י</w:t>
      </w:r>
      <w:r w:rsidRPr="004F4C3E">
        <w:rPr>
          <w:rFonts w:hint="cs"/>
          <w:b/>
          <w:bCs/>
          <w:rtl/>
        </w:rPr>
        <w:t xml:space="preserve">    </w:t>
      </w:r>
      <w:r w:rsidRPr="004F4C3E">
        <w:rPr>
          <w:b/>
          <w:bCs/>
          <w:rtl/>
        </w:rPr>
        <w:t>ם</w:t>
      </w:r>
    </w:p>
    <w:p w14:paraId="77870854" w14:textId="77777777" w:rsidR="0002633B" w:rsidRPr="004F4C3E" w:rsidRDefault="0002633B" w:rsidP="0002633B">
      <w:pPr>
        <w:rPr>
          <w:rtl/>
        </w:rPr>
      </w:pPr>
    </w:p>
    <w:bookmarkEnd w:id="0"/>
    <w:p w14:paraId="3BC69481" w14:textId="77777777" w:rsidR="0002633B" w:rsidRPr="0002633B" w:rsidRDefault="0002633B" w:rsidP="0002633B">
      <w:pPr>
        <w:spacing w:after="0" w:line="360" w:lineRule="auto"/>
        <w:jc w:val="both"/>
        <w:rPr>
          <w:rFonts w:ascii="Times New Roman" w:eastAsia="Times New Roman" w:hAnsi="Times New Roman"/>
          <w:rtl/>
        </w:rPr>
      </w:pPr>
    </w:p>
    <w:p w14:paraId="4C3BF33A" w14:textId="77777777" w:rsidR="0002633B" w:rsidRPr="0002633B" w:rsidRDefault="0002633B" w:rsidP="0002633B">
      <w:pPr>
        <w:spacing w:after="0" w:line="360" w:lineRule="auto"/>
        <w:jc w:val="both"/>
        <w:outlineLvl w:val="0"/>
        <w:rPr>
          <w:rFonts w:ascii="Times New Roman" w:eastAsia="Times New Roman" w:hAnsi="Times New Roman"/>
          <w:b/>
          <w:bCs/>
          <w:rtl/>
        </w:rPr>
      </w:pPr>
      <w:bookmarkStart w:id="1" w:name="_Hlk100495448"/>
      <w:r w:rsidRPr="0002633B">
        <w:rPr>
          <w:rFonts w:ascii="Times New Roman" w:eastAsia="Times New Roman" w:hAnsi="Times New Roman" w:hint="eastAsia"/>
          <w:b/>
          <w:bCs/>
          <w:rtl/>
        </w:rPr>
        <w:t>חתימת</w:t>
      </w:r>
      <w:r w:rsidRPr="0002633B">
        <w:rPr>
          <w:rFonts w:ascii="Times New Roman" w:eastAsia="Times New Roman" w:hAnsi="Times New Roman"/>
          <w:b/>
          <w:bCs/>
          <w:rtl/>
        </w:rPr>
        <w:t xml:space="preserve"> </w:t>
      </w:r>
      <w:r w:rsidRPr="0002633B">
        <w:rPr>
          <w:rFonts w:ascii="Times New Roman" w:eastAsia="Times New Roman" w:hAnsi="Times New Roman" w:hint="eastAsia"/>
          <w:b/>
          <w:bCs/>
          <w:rtl/>
        </w:rPr>
        <w:t>המגיה</w:t>
      </w:r>
      <w:r w:rsidRPr="0002633B">
        <w:rPr>
          <w:rFonts w:ascii="Times New Roman" w:eastAsia="Times New Roman" w:hAnsi="Times New Roman"/>
          <w:b/>
          <w:bCs/>
          <w:rtl/>
        </w:rPr>
        <w:t>: _________________</w:t>
      </w:r>
      <w:r w:rsidRPr="0002633B">
        <w:rPr>
          <w:rFonts w:ascii="Times New Roman" w:eastAsia="Times New Roman" w:hAnsi="Times New Roman" w:hint="cs"/>
          <w:b/>
          <w:bCs/>
          <w:rtl/>
        </w:rPr>
        <w:tab/>
        <w:t xml:space="preserve">           </w:t>
      </w:r>
      <w:r w:rsidRPr="0002633B">
        <w:rPr>
          <w:rFonts w:ascii="Times New Roman" w:eastAsia="Times New Roman" w:hAnsi="Times New Roman" w:hint="eastAsia"/>
          <w:b/>
          <w:bCs/>
          <w:rtl/>
        </w:rPr>
        <w:t>העתק</w:t>
      </w:r>
      <w:r w:rsidRPr="0002633B">
        <w:rPr>
          <w:rFonts w:ascii="Times New Roman" w:eastAsia="Times New Roman" w:hAnsi="Times New Roman" w:hint="cs"/>
          <w:b/>
          <w:bCs/>
          <w:rtl/>
        </w:rPr>
        <w:t xml:space="preserve">           </w:t>
      </w:r>
      <w:r w:rsidRPr="0002633B">
        <w:rPr>
          <w:rFonts w:ascii="Times New Roman" w:eastAsia="Times New Roman" w:hAnsi="Times New Roman" w:hint="eastAsia"/>
          <w:b/>
          <w:bCs/>
          <w:rtl/>
        </w:rPr>
        <w:t>נאמן</w:t>
      </w:r>
      <w:r w:rsidRPr="0002633B">
        <w:rPr>
          <w:rFonts w:ascii="Times New Roman" w:eastAsia="Times New Roman" w:hAnsi="Times New Roman"/>
          <w:b/>
          <w:bCs/>
          <w:rtl/>
        </w:rPr>
        <w:t xml:space="preserve"> </w:t>
      </w:r>
      <w:r w:rsidRPr="0002633B">
        <w:rPr>
          <w:rFonts w:ascii="Times New Roman" w:eastAsia="Times New Roman" w:hAnsi="Times New Roman" w:hint="cs"/>
          <w:b/>
          <w:bCs/>
          <w:rtl/>
        </w:rPr>
        <w:t xml:space="preserve">            </w:t>
      </w:r>
      <w:r w:rsidRPr="0002633B">
        <w:rPr>
          <w:rFonts w:ascii="Times New Roman" w:eastAsia="Times New Roman" w:hAnsi="Times New Roman" w:hint="eastAsia"/>
          <w:b/>
          <w:bCs/>
          <w:rtl/>
        </w:rPr>
        <w:t>למקור</w:t>
      </w:r>
      <w:r w:rsidRPr="0002633B">
        <w:rPr>
          <w:rFonts w:ascii="Times New Roman" w:eastAsia="Times New Roman" w:hAnsi="Times New Roman" w:hint="cs"/>
          <w:b/>
          <w:bCs/>
          <w:rtl/>
        </w:rPr>
        <w:br/>
      </w:r>
      <w:r w:rsidRPr="0002633B">
        <w:rPr>
          <w:rFonts w:ascii="Times New Roman" w:eastAsia="Times New Roman" w:hAnsi="Times New Roman" w:hint="cs"/>
          <w:b/>
          <w:bCs/>
          <w:rtl/>
        </w:rPr>
        <w:tab/>
        <w:t xml:space="preserve">                                                                     רס"ל       עדי         לביא</w:t>
      </w:r>
      <w:r w:rsidRPr="0002633B">
        <w:rPr>
          <w:rFonts w:ascii="Times New Roman" w:eastAsia="Times New Roman" w:hAnsi="Times New Roman" w:hint="cs"/>
          <w:b/>
          <w:bCs/>
          <w:rtl/>
        </w:rPr>
        <w:br/>
      </w:r>
      <w:r w:rsidRPr="0002633B">
        <w:rPr>
          <w:rFonts w:ascii="Times New Roman" w:eastAsia="Times New Roman" w:hAnsi="Times New Roman" w:hint="eastAsia"/>
          <w:b/>
          <w:bCs/>
          <w:rtl/>
        </w:rPr>
        <w:t>תאריך</w:t>
      </w:r>
      <w:r w:rsidRPr="0002633B">
        <w:rPr>
          <w:rFonts w:ascii="Times New Roman" w:eastAsia="Times New Roman" w:hAnsi="Times New Roman"/>
          <w:b/>
          <w:bCs/>
          <w:rtl/>
        </w:rPr>
        <w:t>: ______________________</w:t>
      </w:r>
      <w:r w:rsidRPr="0002633B">
        <w:rPr>
          <w:rFonts w:ascii="Times New Roman" w:eastAsia="Times New Roman" w:hAnsi="Times New Roman" w:hint="cs"/>
          <w:b/>
          <w:bCs/>
          <w:rtl/>
        </w:rPr>
        <w:tab/>
        <w:t xml:space="preserve">           קצינת            בית                    הדין</w:t>
      </w:r>
    </w:p>
    <w:bookmarkEnd w:id="1"/>
    <w:p w14:paraId="32EED429" w14:textId="77777777" w:rsidR="0002633B" w:rsidRPr="0002633B" w:rsidRDefault="0002633B" w:rsidP="0002633B">
      <w:pPr>
        <w:spacing w:after="0" w:line="360" w:lineRule="auto"/>
        <w:jc w:val="both"/>
        <w:rPr>
          <w:rFonts w:ascii="Times New Roman" w:eastAsia="Times New Roman" w:hAnsi="Times New Roman"/>
        </w:rPr>
      </w:pPr>
    </w:p>
    <w:p w14:paraId="31796AC7" w14:textId="77777777" w:rsidR="0002633B" w:rsidRPr="0002633B" w:rsidRDefault="0002633B" w:rsidP="0002633B"/>
    <w:p w14:paraId="6D229A67" w14:textId="73525339" w:rsidR="00C12E82" w:rsidRPr="0002633B" w:rsidRDefault="00C12E82" w:rsidP="009F19C5">
      <w:pPr>
        <w:tabs>
          <w:tab w:val="left" w:pos="283"/>
        </w:tabs>
        <w:spacing w:line="360" w:lineRule="auto"/>
        <w:ind w:left="357"/>
        <w:contextualSpacing/>
        <w:jc w:val="both"/>
        <w:outlineLvl w:val="0"/>
        <w:rPr>
          <w:rtl/>
        </w:rPr>
      </w:pPr>
    </w:p>
    <w:sectPr w:rsidR="00C12E82" w:rsidRPr="0002633B" w:rsidSect="00C270AA">
      <w:headerReference w:type="even" r:id="rId10"/>
      <w:headerReference w:type="default" r:id="rId11"/>
      <w:footerReference w:type="default" r:id="rId12"/>
      <w:headerReference w:type="first" r:id="rId13"/>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5B7F" w14:textId="77777777" w:rsidR="007E29F0" w:rsidRDefault="007E29F0" w:rsidP="00FB4276">
      <w:pPr>
        <w:spacing w:after="0" w:line="240" w:lineRule="auto"/>
      </w:pPr>
      <w:r>
        <w:separator/>
      </w:r>
    </w:p>
  </w:endnote>
  <w:endnote w:type="continuationSeparator" w:id="0">
    <w:p w14:paraId="4B57DBED" w14:textId="77777777" w:rsidR="007E29F0" w:rsidRDefault="007E29F0"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0BD5" w14:textId="77777777" w:rsidR="007F7018" w:rsidRPr="00CC4652" w:rsidRDefault="007F7018">
    <w:pPr>
      <w:pStyle w:val="Footer"/>
      <w:jc w:val="center"/>
      <w:rPr>
        <w:rtl/>
      </w:rPr>
    </w:pPr>
    <w:r w:rsidRPr="00CC4652">
      <w:fldChar w:fldCharType="begin"/>
    </w:r>
    <w:r w:rsidRPr="00CC4652">
      <w:instrText xml:space="preserve"> PAGE   \* MERGEFORMAT </w:instrText>
    </w:r>
    <w:r w:rsidRPr="00CC4652">
      <w:fldChar w:fldCharType="separate"/>
    </w:r>
    <w:r w:rsidR="00E9369C" w:rsidRPr="00E9369C">
      <w:rPr>
        <w:noProof/>
        <w:rtl/>
        <w:lang w:val="he-IL"/>
      </w:rPr>
      <w:t>2</w:t>
    </w:r>
    <w:r w:rsidRPr="00CC4652">
      <w:rPr>
        <w:noProof/>
        <w:lang w:val="he-IL"/>
      </w:rPr>
      <w:fldChar w:fldCharType="end"/>
    </w:r>
  </w:p>
  <w:p w14:paraId="0A2EA726"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EB70" w14:textId="77777777" w:rsidR="007E29F0" w:rsidRDefault="007E29F0" w:rsidP="00FB4276">
      <w:pPr>
        <w:spacing w:after="0" w:line="240" w:lineRule="auto"/>
      </w:pPr>
      <w:r>
        <w:separator/>
      </w:r>
    </w:p>
  </w:footnote>
  <w:footnote w:type="continuationSeparator" w:id="0">
    <w:p w14:paraId="32567B31" w14:textId="77777777" w:rsidR="007E29F0" w:rsidRDefault="007E29F0"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3ED" w14:textId="09983381" w:rsidR="00F92AF8" w:rsidRDefault="00B7164A">
    <w:pPr>
      <w:pStyle w:val="Header"/>
    </w:pPr>
    <w:r>
      <w:rPr>
        <w:noProof/>
      </w:rPr>
      <mc:AlternateContent>
        <mc:Choice Requires="wps">
          <w:drawing>
            <wp:anchor distT="0" distB="0" distL="0" distR="0" simplePos="0" relativeHeight="251657728" behindDoc="0" locked="0" layoutInCell="1" allowOverlap="1" wp14:anchorId="7DD35539" wp14:editId="7DADA4CC">
              <wp:simplePos x="0" y="0"/>
              <wp:positionH relativeFrom="column">
                <wp:align>center</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1013207"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D35539" id="_x0000_t202" coordsize="21600,21600" o:spt="202" path="m,l,21600r21600,l21600,xe">
              <v:stroke joinstyle="miter"/>
              <v:path gradientshapeok="t" o:connecttype="rect"/>
            </v:shapetype>
            <v:shape id="Text Box 3" o:spid="_x0000_s1026" type="#_x0000_t202"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cqIAIAAE4EAAAOAAAAZHJzL2Uyb0RvYy54bWysVF1v2jAUfZ+0/2D5fQRKV1URoWKtmCah&#10;thJMfTaOQ6IlvpZtSLpfv2Mnga7b07QXc3J9fD/OvZfFXdfU7KSsq0hnfDaZcqa0pLzSh4x/360/&#10;3XLmvNC5qEmrjL8qx++WHz8sWpOqKyqpzpVlcKJd2pqMl96bNEmcLFUj3ISM0rgsyDbC49MektyK&#10;Ft6bOrmaTm+SlmxuLEnlHKwP/SVfRv9FoaR/KgqnPKszjtx8PG089+FMlguRHqwwZSWHNMQ/ZNGI&#10;SiPo2dWD8IIdbfWHq6aSlhwVfiKpSagoKqliDahmNn1XzbYURsVaII4zZ5nc/3MrH0/PllV5xuec&#10;adGgRTvVefaFOjYP6rTGpSBtDWi+gxldjpU6syH5w4GSvOH0DxzYQY2usE34RZ0MD9GA17PoIYqE&#10;8fp6fnvzmTOJqwEHn5fHxjr/VVHDAsi4RU9jAuK0cb6njpQQS9O6qmvYRVrr3wzwGSwx3T7DkLjv&#10;9h3YAe4pf0WZlvoxcUauK8TcCOefhcVcoADMun/CUdTUZpwGxFlJ9uff7IGPduGWsxZzlnGNReCs&#10;/qbRxjCSI7Aj2I9AH5t7wuDOsENGRogH1tcjLCw1L1iAVYiBK6ElImXcj/De97OOBZJqtYokDJ4R&#10;fqO3Ro69DPrtuhdhzSCyR3ceaZw/kb7TuucGcZ1ZHT0Uj424aDiojKGNrRwWLGzF2+/IuvwNLH8B&#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LOhpyogAgAATgQAAA4AAAAAAAAAAAAAAAAALgIAAGRycy9lMm9Eb2MueG1sUEsBAi0AFAAG&#10;AAgAAAAhAISw0yjWAAAAAwEAAA8AAAAAAAAAAAAAAAAAegQAAGRycy9kb3ducmV2LnhtbFBLBQYA&#10;AAAABAAEAPMAAAB9BQAAAAA=&#10;" filled="f" stroked="f">
              <v:textbox style="mso-fit-shape-to-text:t" inset="0,0,0,0">
                <w:txbxContent>
                  <w:p w14:paraId="61013207"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A5F" w14:textId="41C4AC4D" w:rsidR="007F7018" w:rsidRDefault="006D7BCA" w:rsidP="009F19C5">
    <w:pPr>
      <w:pStyle w:val="Header"/>
      <w:tabs>
        <w:tab w:val="clear" w:pos="4153"/>
        <w:tab w:val="clear" w:pos="8306"/>
        <w:tab w:val="center" w:pos="4320"/>
      </w:tabs>
      <w:bidi w:val="0"/>
      <w:spacing w:after="0"/>
      <w:contextualSpacing/>
      <w:jc w:val="both"/>
      <w:rPr>
        <w:rtl/>
      </w:rPr>
    </w:pPr>
    <w:r>
      <w:rPr>
        <w:rFonts w:hint="cs"/>
        <w:rtl/>
      </w:rPr>
      <w:t>עלב"ש</w:t>
    </w:r>
    <w:r w:rsidR="009F19C5">
      <w:rPr>
        <w:rFonts w:hint="cs"/>
        <w:rtl/>
      </w:rPr>
      <w:t>/</w:t>
    </w:r>
    <w:r w:rsidR="00F92AF8">
      <w:rPr>
        <w:rFonts w:hint="cs"/>
        <w:rtl/>
      </w:rPr>
      <w:t>5/</w:t>
    </w:r>
    <w:r>
      <w:rPr>
        <w:rFonts w:hint="cs"/>
        <w:rtl/>
      </w:rPr>
      <w:t>2</w:t>
    </w:r>
    <w:r w:rsidR="009F19C5">
      <w:rPr>
        <w:rFonts w:hint="cs"/>
        <w:rtl/>
      </w:rPr>
      <w:t>2</w:t>
    </w:r>
    <w:r w:rsidR="009F19C5">
      <w:rPr>
        <w:rtl/>
      </w:rPr>
      <w:tab/>
    </w:r>
    <w:r w:rsidR="00CA501C">
      <w:rPr>
        <w:rFonts w:hint="cs"/>
        <w:rtl/>
      </w:rPr>
      <w:t>בלמ"ס</w:t>
    </w:r>
  </w:p>
  <w:p w14:paraId="72C2EF5C" w14:textId="77777777" w:rsidR="00133F64" w:rsidRDefault="00133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7744" w14:textId="3FCBB966" w:rsidR="00F92AF8" w:rsidRDefault="00B7164A">
    <w:pPr>
      <w:pStyle w:val="Header"/>
    </w:pPr>
    <w:r>
      <w:rPr>
        <w:noProof/>
      </w:rPr>
      <mc:AlternateContent>
        <mc:Choice Requires="wps">
          <w:drawing>
            <wp:anchor distT="0" distB="0" distL="0" distR="0" simplePos="0" relativeHeight="251656704" behindDoc="0" locked="0" layoutInCell="1" allowOverlap="1" wp14:anchorId="5CD7E1E0" wp14:editId="7F537566">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82279EF"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D7E1E0"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XjIAIAAFUEAAAOAAAAZHJzL2Uyb0RvYy54bWysVF1v2jAUfZ+0/2D5fQS6rqoiQsVaMU1C&#10;bSWo+mwch0RLfC3bkLBfv2Mnga7b07QXc3N97tc518zvuqZmR2VdRTrjs8mUM6Ul5ZXeZ/xlu/p0&#10;y5nzQueiJq0yflKO3y0+fpi3JlVXVFKdK8uQRLu0NRkvvTdpkjhZqka4CRmlcVmQbYTHp90nuRUt&#10;sjd1cjWd3iQt2dxYkso5eB/6S76I+YtCSf9UFE55Vmccvfl42njuwpks5iLdW2HKSg5tiH/oohGV&#10;RtFzqgfhBTvY6o9UTSUtOSr8RFKTUFFUUsUZMM1s+m6aTSmMirOAHGfONLn/l1Y+Hp8tq3Jox5kW&#10;DSTaqs6zr9SxWWCnNS4FaGMA8x3cARkmdWZN8ocDJHmD6QMc0AHTFbYJv5iTIRACnM6khyoSzuvr&#10;z7c3XziTuBrskPMSbKzz3xQ1LBgZt9A0NiCOa+d76AgJtTStqrqGX6S1/s2BnMET2+07DI37btcN&#10;BCAoeHaUnzCtpX5bnJGrCqXXwvlnYbEemAMr759wFDW1GafB4qwk+/Nv/oCHarjlrMW6ZVzjPXBW&#10;f9dQM2zmaNjR2I2GPjT3hP2FQuglmgiwvh7NwlLzinewDDVwJbREpYz70bz3/crjHUm1XEYQ9s8I&#10;v9YbI0dJA43b7lVYM3DtIdIjjWso0neU99jAsTPLgwfxUY8LhwPZ2N2o6PDOwuN4+x1Rl3+DxS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DouBeMgAgAAVQQAAA4AAAAAAAAAAAAAAAAALgIAAGRycy9lMm9Eb2MueG1sUEsBAi0AFAAG&#10;AAgAAAAhAISw0yjWAAAAAwEAAA8AAAAAAAAAAAAAAAAAegQAAGRycy9kb3ducmV2LnhtbFBLBQYA&#10;AAAABAAEAPMAAAB9BQAAAAA=&#10;" filled="f" stroked="f">
              <v:textbox style="mso-fit-shape-to-text:t" inset="0,0,0,0">
                <w:txbxContent>
                  <w:p w14:paraId="782279EF"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73807E2E"/>
    <w:lvl w:ilvl="0" w:tplc="9CF27F4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7D87197"/>
    <w:multiLevelType w:val="hybridMultilevel"/>
    <w:tmpl w:val="71BE1740"/>
    <w:lvl w:ilvl="0" w:tplc="DF3A2E9C">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D9019AA"/>
    <w:multiLevelType w:val="hybridMultilevel"/>
    <w:tmpl w:val="7818C220"/>
    <w:lvl w:ilvl="0" w:tplc="A4D64408">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9"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6"/>
  </w:num>
  <w:num w:numId="8">
    <w:abstractNumId w:val="8"/>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10"/>
    <w:lvlOverride w:ilvl="0">
      <w:startOverride w:val="1"/>
    </w:lvlOverride>
  </w:num>
  <w:num w:numId="15">
    <w:abstractNumId w:val="10"/>
    <w:lvlOverride w:ilvl="0">
      <w:startOverride w:val="1"/>
    </w:lvlOverride>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9"/>
  </w:num>
  <w:num w:numId="21">
    <w:abstractNumId w:val="10"/>
    <w:lvlOverride w:ilvl="0">
      <w:startOverride w:val="1"/>
    </w:lvlOverride>
  </w:num>
  <w:num w:numId="22">
    <w:abstractNumId w:val="0"/>
  </w:num>
  <w:num w:numId="23">
    <w:abstractNumId w:val="10"/>
    <w:lvlOverride w:ilvl="0">
      <w:startOverride w:val="1"/>
    </w:lvlOverride>
  </w:num>
  <w:num w:numId="24">
    <w:abstractNumId w:val="14"/>
  </w:num>
  <w:num w:numId="25">
    <w:abstractNumId w:val="10"/>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20"/>
  </w:num>
  <w:num w:numId="31">
    <w:abstractNumId w:val="7"/>
  </w:num>
  <w:num w:numId="32">
    <w:abstractNumId w:val="12"/>
  </w:num>
  <w:num w:numId="33">
    <w:abstractNumId w:val="18"/>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768"/>
    <w:rsid w:val="000169BA"/>
    <w:rsid w:val="00016EB8"/>
    <w:rsid w:val="00017691"/>
    <w:rsid w:val="000177CA"/>
    <w:rsid w:val="00017B2B"/>
    <w:rsid w:val="00017BC1"/>
    <w:rsid w:val="000211A1"/>
    <w:rsid w:val="00021840"/>
    <w:rsid w:val="00022BC6"/>
    <w:rsid w:val="000235A6"/>
    <w:rsid w:val="000243B0"/>
    <w:rsid w:val="00025EE8"/>
    <w:rsid w:val="0002633B"/>
    <w:rsid w:val="000265EA"/>
    <w:rsid w:val="000274A4"/>
    <w:rsid w:val="0002754B"/>
    <w:rsid w:val="00027819"/>
    <w:rsid w:val="00027BB0"/>
    <w:rsid w:val="00030B3D"/>
    <w:rsid w:val="00031228"/>
    <w:rsid w:val="000325BB"/>
    <w:rsid w:val="00032FD5"/>
    <w:rsid w:val="000335A2"/>
    <w:rsid w:val="000336FE"/>
    <w:rsid w:val="00033C1A"/>
    <w:rsid w:val="00034F95"/>
    <w:rsid w:val="00035C44"/>
    <w:rsid w:val="000413EA"/>
    <w:rsid w:val="00041440"/>
    <w:rsid w:val="0004177E"/>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B06"/>
    <w:rsid w:val="000649E1"/>
    <w:rsid w:val="00066466"/>
    <w:rsid w:val="00067AE1"/>
    <w:rsid w:val="00070277"/>
    <w:rsid w:val="00070B41"/>
    <w:rsid w:val="00071751"/>
    <w:rsid w:val="00075231"/>
    <w:rsid w:val="000752B0"/>
    <w:rsid w:val="000754CC"/>
    <w:rsid w:val="00076D19"/>
    <w:rsid w:val="000776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9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B723C"/>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5558"/>
    <w:rsid w:val="000E68F9"/>
    <w:rsid w:val="000F0EF0"/>
    <w:rsid w:val="000F20D9"/>
    <w:rsid w:val="000F7804"/>
    <w:rsid w:val="001001D3"/>
    <w:rsid w:val="001021F2"/>
    <w:rsid w:val="00103121"/>
    <w:rsid w:val="0010579D"/>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1A1E"/>
    <w:rsid w:val="00131B65"/>
    <w:rsid w:val="00131EE0"/>
    <w:rsid w:val="00132261"/>
    <w:rsid w:val="00133741"/>
    <w:rsid w:val="00133F64"/>
    <w:rsid w:val="00135538"/>
    <w:rsid w:val="001357E9"/>
    <w:rsid w:val="00137066"/>
    <w:rsid w:val="001378DE"/>
    <w:rsid w:val="00140068"/>
    <w:rsid w:val="00142552"/>
    <w:rsid w:val="001425C3"/>
    <w:rsid w:val="0014279F"/>
    <w:rsid w:val="001434CA"/>
    <w:rsid w:val="0014356C"/>
    <w:rsid w:val="00143968"/>
    <w:rsid w:val="00144249"/>
    <w:rsid w:val="001449B2"/>
    <w:rsid w:val="00147932"/>
    <w:rsid w:val="00150685"/>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2B99"/>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1425"/>
    <w:rsid w:val="001D38AC"/>
    <w:rsid w:val="001D3AC8"/>
    <w:rsid w:val="001D44ED"/>
    <w:rsid w:val="001D655E"/>
    <w:rsid w:val="001D70AF"/>
    <w:rsid w:val="001D712B"/>
    <w:rsid w:val="001D7326"/>
    <w:rsid w:val="001E0DAD"/>
    <w:rsid w:val="001E2519"/>
    <w:rsid w:val="001F05F9"/>
    <w:rsid w:val="001F0DF3"/>
    <w:rsid w:val="001F280C"/>
    <w:rsid w:val="001F2B3C"/>
    <w:rsid w:val="001F2B52"/>
    <w:rsid w:val="001F318B"/>
    <w:rsid w:val="001F4DEA"/>
    <w:rsid w:val="001F68E5"/>
    <w:rsid w:val="001F6AB1"/>
    <w:rsid w:val="001F7AD9"/>
    <w:rsid w:val="002002A2"/>
    <w:rsid w:val="00201D80"/>
    <w:rsid w:val="00202C6E"/>
    <w:rsid w:val="002033CC"/>
    <w:rsid w:val="0020394F"/>
    <w:rsid w:val="00206160"/>
    <w:rsid w:val="0020640C"/>
    <w:rsid w:val="00206A46"/>
    <w:rsid w:val="00211A37"/>
    <w:rsid w:val="00213232"/>
    <w:rsid w:val="00213752"/>
    <w:rsid w:val="00215188"/>
    <w:rsid w:val="00217FE8"/>
    <w:rsid w:val="00221ED6"/>
    <w:rsid w:val="002241B6"/>
    <w:rsid w:val="00224675"/>
    <w:rsid w:val="002246B1"/>
    <w:rsid w:val="00225353"/>
    <w:rsid w:val="0023044D"/>
    <w:rsid w:val="00230715"/>
    <w:rsid w:val="00231459"/>
    <w:rsid w:val="00231FA5"/>
    <w:rsid w:val="0023219C"/>
    <w:rsid w:val="00233CB3"/>
    <w:rsid w:val="0023422D"/>
    <w:rsid w:val="00235D18"/>
    <w:rsid w:val="00236E05"/>
    <w:rsid w:val="00237691"/>
    <w:rsid w:val="00237A70"/>
    <w:rsid w:val="002400A4"/>
    <w:rsid w:val="00241990"/>
    <w:rsid w:val="002448AC"/>
    <w:rsid w:val="002451B7"/>
    <w:rsid w:val="00245525"/>
    <w:rsid w:val="002467C7"/>
    <w:rsid w:val="00246A0C"/>
    <w:rsid w:val="00247061"/>
    <w:rsid w:val="00247DB2"/>
    <w:rsid w:val="0025060A"/>
    <w:rsid w:val="00251C69"/>
    <w:rsid w:val="002524A4"/>
    <w:rsid w:val="00252976"/>
    <w:rsid w:val="00254EF2"/>
    <w:rsid w:val="00256232"/>
    <w:rsid w:val="002566B0"/>
    <w:rsid w:val="00257BBD"/>
    <w:rsid w:val="00257D72"/>
    <w:rsid w:val="00257E29"/>
    <w:rsid w:val="00260D56"/>
    <w:rsid w:val="0026183E"/>
    <w:rsid w:val="00261897"/>
    <w:rsid w:val="00261A84"/>
    <w:rsid w:val="00262C73"/>
    <w:rsid w:val="002643E0"/>
    <w:rsid w:val="00265DEE"/>
    <w:rsid w:val="0026628A"/>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723"/>
    <w:rsid w:val="002A059A"/>
    <w:rsid w:val="002A0849"/>
    <w:rsid w:val="002A1012"/>
    <w:rsid w:val="002A2AD7"/>
    <w:rsid w:val="002A32D5"/>
    <w:rsid w:val="002A3FD4"/>
    <w:rsid w:val="002A4DE4"/>
    <w:rsid w:val="002A4E51"/>
    <w:rsid w:val="002A5C2D"/>
    <w:rsid w:val="002A6B00"/>
    <w:rsid w:val="002B2C28"/>
    <w:rsid w:val="002B486E"/>
    <w:rsid w:val="002B53F6"/>
    <w:rsid w:val="002B58A8"/>
    <w:rsid w:val="002B6795"/>
    <w:rsid w:val="002B756E"/>
    <w:rsid w:val="002B7B35"/>
    <w:rsid w:val="002C1F77"/>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2C63"/>
    <w:rsid w:val="002F39A4"/>
    <w:rsid w:val="002F3C4A"/>
    <w:rsid w:val="002F464F"/>
    <w:rsid w:val="002F53C1"/>
    <w:rsid w:val="002F7112"/>
    <w:rsid w:val="002F71F2"/>
    <w:rsid w:val="002F78E6"/>
    <w:rsid w:val="002F7AFC"/>
    <w:rsid w:val="002F7C23"/>
    <w:rsid w:val="0030094E"/>
    <w:rsid w:val="00301142"/>
    <w:rsid w:val="003015D5"/>
    <w:rsid w:val="00302FFC"/>
    <w:rsid w:val="00303378"/>
    <w:rsid w:val="00303747"/>
    <w:rsid w:val="003052ED"/>
    <w:rsid w:val="0030562D"/>
    <w:rsid w:val="003057D6"/>
    <w:rsid w:val="003066C4"/>
    <w:rsid w:val="00306BE0"/>
    <w:rsid w:val="003121E9"/>
    <w:rsid w:val="003126F9"/>
    <w:rsid w:val="00312B01"/>
    <w:rsid w:val="00312BB3"/>
    <w:rsid w:val="003130C9"/>
    <w:rsid w:val="00313808"/>
    <w:rsid w:val="00314025"/>
    <w:rsid w:val="003163F6"/>
    <w:rsid w:val="00316D72"/>
    <w:rsid w:val="00324459"/>
    <w:rsid w:val="00324A0B"/>
    <w:rsid w:val="00324A1A"/>
    <w:rsid w:val="003251FF"/>
    <w:rsid w:val="003261B1"/>
    <w:rsid w:val="003270AA"/>
    <w:rsid w:val="00327D95"/>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328E"/>
    <w:rsid w:val="00383D27"/>
    <w:rsid w:val="00384225"/>
    <w:rsid w:val="0038451D"/>
    <w:rsid w:val="00384B2D"/>
    <w:rsid w:val="003852E9"/>
    <w:rsid w:val="003864D8"/>
    <w:rsid w:val="00390128"/>
    <w:rsid w:val="003915E6"/>
    <w:rsid w:val="003916B2"/>
    <w:rsid w:val="00392963"/>
    <w:rsid w:val="0039322B"/>
    <w:rsid w:val="00393347"/>
    <w:rsid w:val="0039364E"/>
    <w:rsid w:val="00393AA2"/>
    <w:rsid w:val="00393C9C"/>
    <w:rsid w:val="00393F15"/>
    <w:rsid w:val="00394B7E"/>
    <w:rsid w:val="003962DB"/>
    <w:rsid w:val="003969BA"/>
    <w:rsid w:val="003A12CE"/>
    <w:rsid w:val="003A1598"/>
    <w:rsid w:val="003A370C"/>
    <w:rsid w:val="003A3A82"/>
    <w:rsid w:val="003A4038"/>
    <w:rsid w:val="003A564E"/>
    <w:rsid w:val="003A5914"/>
    <w:rsid w:val="003A6778"/>
    <w:rsid w:val="003A68E5"/>
    <w:rsid w:val="003A7378"/>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BF1"/>
    <w:rsid w:val="003E5FB9"/>
    <w:rsid w:val="003E7467"/>
    <w:rsid w:val="003E760B"/>
    <w:rsid w:val="003E7866"/>
    <w:rsid w:val="003E7E90"/>
    <w:rsid w:val="003F034C"/>
    <w:rsid w:val="003F0582"/>
    <w:rsid w:val="003F1042"/>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42DE"/>
    <w:rsid w:val="00405199"/>
    <w:rsid w:val="00405FFE"/>
    <w:rsid w:val="00406B68"/>
    <w:rsid w:val="00407DE8"/>
    <w:rsid w:val="00410FD4"/>
    <w:rsid w:val="004116BE"/>
    <w:rsid w:val="00412916"/>
    <w:rsid w:val="00413704"/>
    <w:rsid w:val="00414DA5"/>
    <w:rsid w:val="004169CF"/>
    <w:rsid w:val="004204C1"/>
    <w:rsid w:val="0042059A"/>
    <w:rsid w:val="004214FD"/>
    <w:rsid w:val="00422B1E"/>
    <w:rsid w:val="00423903"/>
    <w:rsid w:val="004260A4"/>
    <w:rsid w:val="004273C5"/>
    <w:rsid w:val="00430936"/>
    <w:rsid w:val="00430CF1"/>
    <w:rsid w:val="004314FE"/>
    <w:rsid w:val="004329CE"/>
    <w:rsid w:val="00433105"/>
    <w:rsid w:val="00433EBE"/>
    <w:rsid w:val="004353CE"/>
    <w:rsid w:val="00435C54"/>
    <w:rsid w:val="00435E11"/>
    <w:rsid w:val="00440110"/>
    <w:rsid w:val="00440180"/>
    <w:rsid w:val="0044020F"/>
    <w:rsid w:val="00440C49"/>
    <w:rsid w:val="0044134A"/>
    <w:rsid w:val="00441440"/>
    <w:rsid w:val="0044292A"/>
    <w:rsid w:val="00443133"/>
    <w:rsid w:val="004431F4"/>
    <w:rsid w:val="00443AF6"/>
    <w:rsid w:val="004444FA"/>
    <w:rsid w:val="004447A8"/>
    <w:rsid w:val="00445F71"/>
    <w:rsid w:val="004460F8"/>
    <w:rsid w:val="0044696C"/>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CFD"/>
    <w:rsid w:val="00463CBE"/>
    <w:rsid w:val="0046474E"/>
    <w:rsid w:val="00464A31"/>
    <w:rsid w:val="00466843"/>
    <w:rsid w:val="00467A17"/>
    <w:rsid w:val="00467EA1"/>
    <w:rsid w:val="00470A1E"/>
    <w:rsid w:val="004718C7"/>
    <w:rsid w:val="00473103"/>
    <w:rsid w:val="0047430E"/>
    <w:rsid w:val="00474BD1"/>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E52"/>
    <w:rsid w:val="004C46EA"/>
    <w:rsid w:val="004C6E94"/>
    <w:rsid w:val="004C71D4"/>
    <w:rsid w:val="004C7765"/>
    <w:rsid w:val="004D236C"/>
    <w:rsid w:val="004D2A49"/>
    <w:rsid w:val="004D47C9"/>
    <w:rsid w:val="004D5FE7"/>
    <w:rsid w:val="004D62A0"/>
    <w:rsid w:val="004E02B3"/>
    <w:rsid w:val="004E0FED"/>
    <w:rsid w:val="004E1131"/>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4142"/>
    <w:rsid w:val="00514731"/>
    <w:rsid w:val="005148EF"/>
    <w:rsid w:val="00514DEE"/>
    <w:rsid w:val="00515B46"/>
    <w:rsid w:val="00515FA1"/>
    <w:rsid w:val="00516616"/>
    <w:rsid w:val="00516E9C"/>
    <w:rsid w:val="005216C9"/>
    <w:rsid w:val="005226B3"/>
    <w:rsid w:val="0052372F"/>
    <w:rsid w:val="005258B9"/>
    <w:rsid w:val="00526BDE"/>
    <w:rsid w:val="005271EE"/>
    <w:rsid w:val="0053294A"/>
    <w:rsid w:val="00532D2E"/>
    <w:rsid w:val="005337BA"/>
    <w:rsid w:val="0053478C"/>
    <w:rsid w:val="00534CF4"/>
    <w:rsid w:val="005402B8"/>
    <w:rsid w:val="005408F6"/>
    <w:rsid w:val="005414C5"/>
    <w:rsid w:val="00541952"/>
    <w:rsid w:val="0054267F"/>
    <w:rsid w:val="00542F7B"/>
    <w:rsid w:val="00544052"/>
    <w:rsid w:val="005444E8"/>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80878"/>
    <w:rsid w:val="00580A7D"/>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30E0"/>
    <w:rsid w:val="00593302"/>
    <w:rsid w:val="00593C8D"/>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78E"/>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13BB"/>
    <w:rsid w:val="00641810"/>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B7A"/>
    <w:rsid w:val="00672B2A"/>
    <w:rsid w:val="00672ECF"/>
    <w:rsid w:val="0067368C"/>
    <w:rsid w:val="00673F3E"/>
    <w:rsid w:val="0067779B"/>
    <w:rsid w:val="0068033A"/>
    <w:rsid w:val="0068036E"/>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199"/>
    <w:rsid w:val="0068768B"/>
    <w:rsid w:val="00687826"/>
    <w:rsid w:val="00695AD7"/>
    <w:rsid w:val="00696340"/>
    <w:rsid w:val="006966DC"/>
    <w:rsid w:val="00696964"/>
    <w:rsid w:val="006969EC"/>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1B8A"/>
    <w:rsid w:val="006D1EDC"/>
    <w:rsid w:val="006D2B80"/>
    <w:rsid w:val="006D3BF6"/>
    <w:rsid w:val="006D3D72"/>
    <w:rsid w:val="006D40AE"/>
    <w:rsid w:val="006D45FF"/>
    <w:rsid w:val="006D4D30"/>
    <w:rsid w:val="006D5EFD"/>
    <w:rsid w:val="006D5F04"/>
    <w:rsid w:val="006D62DF"/>
    <w:rsid w:val="006D6F68"/>
    <w:rsid w:val="006D774C"/>
    <w:rsid w:val="006D7BCA"/>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A9F"/>
    <w:rsid w:val="006F2EE5"/>
    <w:rsid w:val="006F3FB1"/>
    <w:rsid w:val="006F5BBE"/>
    <w:rsid w:val="006F5BD5"/>
    <w:rsid w:val="006F5D87"/>
    <w:rsid w:val="006F7A1F"/>
    <w:rsid w:val="007006A3"/>
    <w:rsid w:val="007006CD"/>
    <w:rsid w:val="00701313"/>
    <w:rsid w:val="00701617"/>
    <w:rsid w:val="00701C83"/>
    <w:rsid w:val="00702327"/>
    <w:rsid w:val="00702DC9"/>
    <w:rsid w:val="007030B8"/>
    <w:rsid w:val="00704660"/>
    <w:rsid w:val="00704938"/>
    <w:rsid w:val="007060CE"/>
    <w:rsid w:val="0071019F"/>
    <w:rsid w:val="00710973"/>
    <w:rsid w:val="00710DA3"/>
    <w:rsid w:val="00711283"/>
    <w:rsid w:val="00711517"/>
    <w:rsid w:val="007116AA"/>
    <w:rsid w:val="007117F9"/>
    <w:rsid w:val="00711EA3"/>
    <w:rsid w:val="0071251B"/>
    <w:rsid w:val="0071398C"/>
    <w:rsid w:val="0071458C"/>
    <w:rsid w:val="0071541D"/>
    <w:rsid w:val="00715FB3"/>
    <w:rsid w:val="0071693B"/>
    <w:rsid w:val="00716E43"/>
    <w:rsid w:val="00717C60"/>
    <w:rsid w:val="00720160"/>
    <w:rsid w:val="00720CC1"/>
    <w:rsid w:val="007212CC"/>
    <w:rsid w:val="007212D7"/>
    <w:rsid w:val="0072149E"/>
    <w:rsid w:val="00721B13"/>
    <w:rsid w:val="0072265D"/>
    <w:rsid w:val="00724CBA"/>
    <w:rsid w:val="00725EEB"/>
    <w:rsid w:val="007266F7"/>
    <w:rsid w:val="00726E77"/>
    <w:rsid w:val="0072778F"/>
    <w:rsid w:val="007301C7"/>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5BA4"/>
    <w:rsid w:val="00795EA5"/>
    <w:rsid w:val="00796853"/>
    <w:rsid w:val="00796EC2"/>
    <w:rsid w:val="0079708B"/>
    <w:rsid w:val="00797352"/>
    <w:rsid w:val="007976E6"/>
    <w:rsid w:val="007A00BB"/>
    <w:rsid w:val="007A1AA9"/>
    <w:rsid w:val="007A4170"/>
    <w:rsid w:val="007A43F5"/>
    <w:rsid w:val="007A4EC0"/>
    <w:rsid w:val="007A5056"/>
    <w:rsid w:val="007A5AA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C1E"/>
    <w:rsid w:val="007C2BA4"/>
    <w:rsid w:val="007C40C4"/>
    <w:rsid w:val="007C58DC"/>
    <w:rsid w:val="007C5991"/>
    <w:rsid w:val="007C71D8"/>
    <w:rsid w:val="007D02DB"/>
    <w:rsid w:val="007D45DC"/>
    <w:rsid w:val="007D56C3"/>
    <w:rsid w:val="007D5DB2"/>
    <w:rsid w:val="007D6D6A"/>
    <w:rsid w:val="007D6EFE"/>
    <w:rsid w:val="007E018A"/>
    <w:rsid w:val="007E03C1"/>
    <w:rsid w:val="007E092A"/>
    <w:rsid w:val="007E0E5C"/>
    <w:rsid w:val="007E123A"/>
    <w:rsid w:val="007E285A"/>
    <w:rsid w:val="007E29F0"/>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3154"/>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2B17"/>
    <w:rsid w:val="00822E14"/>
    <w:rsid w:val="00823377"/>
    <w:rsid w:val="00827D3E"/>
    <w:rsid w:val="008317DD"/>
    <w:rsid w:val="008317FF"/>
    <w:rsid w:val="00831956"/>
    <w:rsid w:val="00831C78"/>
    <w:rsid w:val="00833771"/>
    <w:rsid w:val="008339DC"/>
    <w:rsid w:val="00833E8D"/>
    <w:rsid w:val="00834889"/>
    <w:rsid w:val="00834C31"/>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9E6"/>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1DC5"/>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0FC6"/>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272"/>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49AB"/>
    <w:rsid w:val="00944ED2"/>
    <w:rsid w:val="009453AB"/>
    <w:rsid w:val="00945700"/>
    <w:rsid w:val="00946CA3"/>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3CD6"/>
    <w:rsid w:val="009744EC"/>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464"/>
    <w:rsid w:val="009A170D"/>
    <w:rsid w:val="009A1C86"/>
    <w:rsid w:val="009A1DD3"/>
    <w:rsid w:val="009A221A"/>
    <w:rsid w:val="009A2D26"/>
    <w:rsid w:val="009A35F8"/>
    <w:rsid w:val="009A47DB"/>
    <w:rsid w:val="009A4AD6"/>
    <w:rsid w:val="009A61E3"/>
    <w:rsid w:val="009A70FD"/>
    <w:rsid w:val="009A76FE"/>
    <w:rsid w:val="009A7C97"/>
    <w:rsid w:val="009B13EE"/>
    <w:rsid w:val="009B257C"/>
    <w:rsid w:val="009B279B"/>
    <w:rsid w:val="009B2881"/>
    <w:rsid w:val="009B305F"/>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2290"/>
    <w:rsid w:val="009E3E8E"/>
    <w:rsid w:val="009E4946"/>
    <w:rsid w:val="009E6127"/>
    <w:rsid w:val="009E6D0D"/>
    <w:rsid w:val="009E70CF"/>
    <w:rsid w:val="009E74CB"/>
    <w:rsid w:val="009E7E65"/>
    <w:rsid w:val="009E7EAD"/>
    <w:rsid w:val="009F1203"/>
    <w:rsid w:val="009F19C5"/>
    <w:rsid w:val="009F1B93"/>
    <w:rsid w:val="009F25B9"/>
    <w:rsid w:val="009F25C5"/>
    <w:rsid w:val="009F34E6"/>
    <w:rsid w:val="009F59B1"/>
    <w:rsid w:val="009F6442"/>
    <w:rsid w:val="009F72EE"/>
    <w:rsid w:val="009F750E"/>
    <w:rsid w:val="009F751C"/>
    <w:rsid w:val="009F785E"/>
    <w:rsid w:val="00A01252"/>
    <w:rsid w:val="00A0243E"/>
    <w:rsid w:val="00A02A85"/>
    <w:rsid w:val="00A03B3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338D"/>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DBE"/>
    <w:rsid w:val="00A7521C"/>
    <w:rsid w:val="00A75520"/>
    <w:rsid w:val="00A761C6"/>
    <w:rsid w:val="00A776FD"/>
    <w:rsid w:val="00A77834"/>
    <w:rsid w:val="00A81D60"/>
    <w:rsid w:val="00A832A3"/>
    <w:rsid w:val="00A85C72"/>
    <w:rsid w:val="00A87A34"/>
    <w:rsid w:val="00A87E69"/>
    <w:rsid w:val="00A87EC7"/>
    <w:rsid w:val="00A90475"/>
    <w:rsid w:val="00A91BAF"/>
    <w:rsid w:val="00A92E12"/>
    <w:rsid w:val="00A932A7"/>
    <w:rsid w:val="00A938F0"/>
    <w:rsid w:val="00A9416E"/>
    <w:rsid w:val="00A94C0C"/>
    <w:rsid w:val="00A95AB8"/>
    <w:rsid w:val="00A95DEE"/>
    <w:rsid w:val="00A9616C"/>
    <w:rsid w:val="00A97797"/>
    <w:rsid w:val="00AA14D2"/>
    <w:rsid w:val="00AA1B26"/>
    <w:rsid w:val="00AA1C1D"/>
    <w:rsid w:val="00AA3DD9"/>
    <w:rsid w:val="00AA4447"/>
    <w:rsid w:val="00AA4914"/>
    <w:rsid w:val="00AA4D39"/>
    <w:rsid w:val="00AA4DDA"/>
    <w:rsid w:val="00AA551A"/>
    <w:rsid w:val="00AA649C"/>
    <w:rsid w:val="00AA6A97"/>
    <w:rsid w:val="00AA6AD9"/>
    <w:rsid w:val="00AA737F"/>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4322"/>
    <w:rsid w:val="00AC6822"/>
    <w:rsid w:val="00AC6A15"/>
    <w:rsid w:val="00AC6CFA"/>
    <w:rsid w:val="00AC749A"/>
    <w:rsid w:val="00AC79B2"/>
    <w:rsid w:val="00AC79C4"/>
    <w:rsid w:val="00AD09D1"/>
    <w:rsid w:val="00AD11A1"/>
    <w:rsid w:val="00AD130A"/>
    <w:rsid w:val="00AD2474"/>
    <w:rsid w:val="00AD2993"/>
    <w:rsid w:val="00AD2BC7"/>
    <w:rsid w:val="00AD2EA0"/>
    <w:rsid w:val="00AD34A6"/>
    <w:rsid w:val="00AD4867"/>
    <w:rsid w:val="00AD630C"/>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B01395"/>
    <w:rsid w:val="00B02F18"/>
    <w:rsid w:val="00B03531"/>
    <w:rsid w:val="00B037D2"/>
    <w:rsid w:val="00B04176"/>
    <w:rsid w:val="00B04366"/>
    <w:rsid w:val="00B04E8F"/>
    <w:rsid w:val="00B06D67"/>
    <w:rsid w:val="00B07186"/>
    <w:rsid w:val="00B074EB"/>
    <w:rsid w:val="00B10176"/>
    <w:rsid w:val="00B12A72"/>
    <w:rsid w:val="00B12FF1"/>
    <w:rsid w:val="00B1324A"/>
    <w:rsid w:val="00B143FD"/>
    <w:rsid w:val="00B14576"/>
    <w:rsid w:val="00B15104"/>
    <w:rsid w:val="00B15376"/>
    <w:rsid w:val="00B15624"/>
    <w:rsid w:val="00B16881"/>
    <w:rsid w:val="00B16E2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07D0"/>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2283"/>
    <w:rsid w:val="00B42D37"/>
    <w:rsid w:val="00B432B0"/>
    <w:rsid w:val="00B46F78"/>
    <w:rsid w:val="00B47130"/>
    <w:rsid w:val="00B47F45"/>
    <w:rsid w:val="00B50ACA"/>
    <w:rsid w:val="00B512E2"/>
    <w:rsid w:val="00B53125"/>
    <w:rsid w:val="00B53278"/>
    <w:rsid w:val="00B53286"/>
    <w:rsid w:val="00B53AAD"/>
    <w:rsid w:val="00B53BBB"/>
    <w:rsid w:val="00B551A7"/>
    <w:rsid w:val="00B57564"/>
    <w:rsid w:val="00B57DDD"/>
    <w:rsid w:val="00B6019D"/>
    <w:rsid w:val="00B60582"/>
    <w:rsid w:val="00B61294"/>
    <w:rsid w:val="00B622AF"/>
    <w:rsid w:val="00B6393D"/>
    <w:rsid w:val="00B64BDC"/>
    <w:rsid w:val="00B67763"/>
    <w:rsid w:val="00B7164A"/>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68B2"/>
    <w:rsid w:val="00BA6BCB"/>
    <w:rsid w:val="00BA77F5"/>
    <w:rsid w:val="00BB1269"/>
    <w:rsid w:val="00BB2755"/>
    <w:rsid w:val="00BB31D4"/>
    <w:rsid w:val="00BB395E"/>
    <w:rsid w:val="00BB3AEA"/>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82F"/>
    <w:rsid w:val="00BE489B"/>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2E82"/>
    <w:rsid w:val="00C134B8"/>
    <w:rsid w:val="00C141B7"/>
    <w:rsid w:val="00C1422C"/>
    <w:rsid w:val="00C1441B"/>
    <w:rsid w:val="00C14B18"/>
    <w:rsid w:val="00C16485"/>
    <w:rsid w:val="00C1775A"/>
    <w:rsid w:val="00C1787F"/>
    <w:rsid w:val="00C206AC"/>
    <w:rsid w:val="00C20DB7"/>
    <w:rsid w:val="00C23583"/>
    <w:rsid w:val="00C25AEE"/>
    <w:rsid w:val="00C270A4"/>
    <w:rsid w:val="00C270AA"/>
    <w:rsid w:val="00C27DBE"/>
    <w:rsid w:val="00C31A59"/>
    <w:rsid w:val="00C354B7"/>
    <w:rsid w:val="00C36B77"/>
    <w:rsid w:val="00C370FD"/>
    <w:rsid w:val="00C37857"/>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367"/>
    <w:rsid w:val="00C60DC2"/>
    <w:rsid w:val="00C626B0"/>
    <w:rsid w:val="00C62895"/>
    <w:rsid w:val="00C64036"/>
    <w:rsid w:val="00C647A9"/>
    <w:rsid w:val="00C647EB"/>
    <w:rsid w:val="00C64876"/>
    <w:rsid w:val="00C65979"/>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4970"/>
    <w:rsid w:val="00C85DA9"/>
    <w:rsid w:val="00C85DF8"/>
    <w:rsid w:val="00C86006"/>
    <w:rsid w:val="00C8648F"/>
    <w:rsid w:val="00C865E7"/>
    <w:rsid w:val="00C869CC"/>
    <w:rsid w:val="00C86E56"/>
    <w:rsid w:val="00C903EB"/>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01C"/>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44BB"/>
    <w:rsid w:val="00D045A6"/>
    <w:rsid w:val="00D05D09"/>
    <w:rsid w:val="00D06FFE"/>
    <w:rsid w:val="00D110BE"/>
    <w:rsid w:val="00D11518"/>
    <w:rsid w:val="00D11A03"/>
    <w:rsid w:val="00D122F2"/>
    <w:rsid w:val="00D12DD5"/>
    <w:rsid w:val="00D15B26"/>
    <w:rsid w:val="00D15DF4"/>
    <w:rsid w:val="00D2109D"/>
    <w:rsid w:val="00D211AA"/>
    <w:rsid w:val="00D22BE6"/>
    <w:rsid w:val="00D22F60"/>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7531"/>
    <w:rsid w:val="00D617DC"/>
    <w:rsid w:val="00D62129"/>
    <w:rsid w:val="00D62422"/>
    <w:rsid w:val="00D63219"/>
    <w:rsid w:val="00D63846"/>
    <w:rsid w:val="00D64751"/>
    <w:rsid w:val="00D65AFE"/>
    <w:rsid w:val="00D65DB0"/>
    <w:rsid w:val="00D66691"/>
    <w:rsid w:val="00D666DB"/>
    <w:rsid w:val="00D67223"/>
    <w:rsid w:val="00D67CDF"/>
    <w:rsid w:val="00D7065C"/>
    <w:rsid w:val="00D70A39"/>
    <w:rsid w:val="00D70E90"/>
    <w:rsid w:val="00D718BD"/>
    <w:rsid w:val="00D72F6F"/>
    <w:rsid w:val="00D73E9F"/>
    <w:rsid w:val="00D75005"/>
    <w:rsid w:val="00D7537C"/>
    <w:rsid w:val="00D769D9"/>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62FF"/>
    <w:rsid w:val="00D97FF5"/>
    <w:rsid w:val="00DA0CF0"/>
    <w:rsid w:val="00DA1038"/>
    <w:rsid w:val="00DA27BB"/>
    <w:rsid w:val="00DA2D46"/>
    <w:rsid w:val="00DA339A"/>
    <w:rsid w:val="00DA6D0F"/>
    <w:rsid w:val="00DA7BD8"/>
    <w:rsid w:val="00DB02B1"/>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2A48"/>
    <w:rsid w:val="00DD38BC"/>
    <w:rsid w:val="00DD54C7"/>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D00"/>
    <w:rsid w:val="00DF5079"/>
    <w:rsid w:val="00DF50FF"/>
    <w:rsid w:val="00DF547D"/>
    <w:rsid w:val="00DF679E"/>
    <w:rsid w:val="00E006AE"/>
    <w:rsid w:val="00E02C1A"/>
    <w:rsid w:val="00E03603"/>
    <w:rsid w:val="00E0397C"/>
    <w:rsid w:val="00E04B05"/>
    <w:rsid w:val="00E05D2C"/>
    <w:rsid w:val="00E0617D"/>
    <w:rsid w:val="00E06311"/>
    <w:rsid w:val="00E067F2"/>
    <w:rsid w:val="00E07514"/>
    <w:rsid w:val="00E10767"/>
    <w:rsid w:val="00E10925"/>
    <w:rsid w:val="00E11AE0"/>
    <w:rsid w:val="00E121BD"/>
    <w:rsid w:val="00E128F5"/>
    <w:rsid w:val="00E12BC2"/>
    <w:rsid w:val="00E13DAE"/>
    <w:rsid w:val="00E14097"/>
    <w:rsid w:val="00E14380"/>
    <w:rsid w:val="00E15491"/>
    <w:rsid w:val="00E15E02"/>
    <w:rsid w:val="00E163A3"/>
    <w:rsid w:val="00E1670E"/>
    <w:rsid w:val="00E17E4F"/>
    <w:rsid w:val="00E2013E"/>
    <w:rsid w:val="00E2021A"/>
    <w:rsid w:val="00E20323"/>
    <w:rsid w:val="00E21C85"/>
    <w:rsid w:val="00E21D9F"/>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1F2B"/>
    <w:rsid w:val="00E42083"/>
    <w:rsid w:val="00E44063"/>
    <w:rsid w:val="00E44289"/>
    <w:rsid w:val="00E444F3"/>
    <w:rsid w:val="00E44C18"/>
    <w:rsid w:val="00E44D2C"/>
    <w:rsid w:val="00E4565A"/>
    <w:rsid w:val="00E46270"/>
    <w:rsid w:val="00E462E9"/>
    <w:rsid w:val="00E46D2C"/>
    <w:rsid w:val="00E4793A"/>
    <w:rsid w:val="00E501A8"/>
    <w:rsid w:val="00E514FD"/>
    <w:rsid w:val="00E5172B"/>
    <w:rsid w:val="00E52172"/>
    <w:rsid w:val="00E530B5"/>
    <w:rsid w:val="00E538AD"/>
    <w:rsid w:val="00E53EA8"/>
    <w:rsid w:val="00E54E61"/>
    <w:rsid w:val="00E567A1"/>
    <w:rsid w:val="00E60D12"/>
    <w:rsid w:val="00E61411"/>
    <w:rsid w:val="00E61AA0"/>
    <w:rsid w:val="00E61C90"/>
    <w:rsid w:val="00E61CC9"/>
    <w:rsid w:val="00E61DCE"/>
    <w:rsid w:val="00E61F4C"/>
    <w:rsid w:val="00E636C8"/>
    <w:rsid w:val="00E65AC6"/>
    <w:rsid w:val="00E65C2C"/>
    <w:rsid w:val="00E662AF"/>
    <w:rsid w:val="00E67C75"/>
    <w:rsid w:val="00E67C9E"/>
    <w:rsid w:val="00E701CF"/>
    <w:rsid w:val="00E7038E"/>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4F"/>
    <w:rsid w:val="00E82D64"/>
    <w:rsid w:val="00E83243"/>
    <w:rsid w:val="00E874B3"/>
    <w:rsid w:val="00E90FAB"/>
    <w:rsid w:val="00E92927"/>
    <w:rsid w:val="00E929B1"/>
    <w:rsid w:val="00E93531"/>
    <w:rsid w:val="00E93542"/>
    <w:rsid w:val="00E93627"/>
    <w:rsid w:val="00E9369C"/>
    <w:rsid w:val="00E93B3F"/>
    <w:rsid w:val="00E95F92"/>
    <w:rsid w:val="00E96ABF"/>
    <w:rsid w:val="00E978DD"/>
    <w:rsid w:val="00E9794D"/>
    <w:rsid w:val="00E97978"/>
    <w:rsid w:val="00E97AE9"/>
    <w:rsid w:val="00EA07B3"/>
    <w:rsid w:val="00EA0987"/>
    <w:rsid w:val="00EA1039"/>
    <w:rsid w:val="00EA1ED2"/>
    <w:rsid w:val="00EA2EFE"/>
    <w:rsid w:val="00EA31DE"/>
    <w:rsid w:val="00EA3210"/>
    <w:rsid w:val="00EA3D41"/>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20F"/>
    <w:rsid w:val="00EC1C11"/>
    <w:rsid w:val="00EC25D0"/>
    <w:rsid w:val="00EC331D"/>
    <w:rsid w:val="00EC4840"/>
    <w:rsid w:val="00EC5331"/>
    <w:rsid w:val="00EC6086"/>
    <w:rsid w:val="00EC620D"/>
    <w:rsid w:val="00EC758A"/>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1951"/>
    <w:rsid w:val="00EF1DB0"/>
    <w:rsid w:val="00EF31DE"/>
    <w:rsid w:val="00EF5365"/>
    <w:rsid w:val="00EF546B"/>
    <w:rsid w:val="00EF632B"/>
    <w:rsid w:val="00EF6A97"/>
    <w:rsid w:val="00EF714D"/>
    <w:rsid w:val="00F00654"/>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D1"/>
    <w:rsid w:val="00F212EE"/>
    <w:rsid w:val="00F217CE"/>
    <w:rsid w:val="00F2260D"/>
    <w:rsid w:val="00F228F1"/>
    <w:rsid w:val="00F23B8D"/>
    <w:rsid w:val="00F24D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4AE"/>
    <w:rsid w:val="00F515F1"/>
    <w:rsid w:val="00F52FB5"/>
    <w:rsid w:val="00F544A8"/>
    <w:rsid w:val="00F548C9"/>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671AD"/>
    <w:rsid w:val="00F708DD"/>
    <w:rsid w:val="00F70AB7"/>
    <w:rsid w:val="00F72EAD"/>
    <w:rsid w:val="00F75B7D"/>
    <w:rsid w:val="00F77400"/>
    <w:rsid w:val="00F77EF1"/>
    <w:rsid w:val="00F804B8"/>
    <w:rsid w:val="00F80AB6"/>
    <w:rsid w:val="00F80CBF"/>
    <w:rsid w:val="00F81C59"/>
    <w:rsid w:val="00F81E15"/>
    <w:rsid w:val="00F82F6C"/>
    <w:rsid w:val="00F83C26"/>
    <w:rsid w:val="00F849DA"/>
    <w:rsid w:val="00F8671C"/>
    <w:rsid w:val="00F86975"/>
    <w:rsid w:val="00F86A5B"/>
    <w:rsid w:val="00F874F2"/>
    <w:rsid w:val="00F9131F"/>
    <w:rsid w:val="00F92981"/>
    <w:rsid w:val="00F92AF8"/>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99"/>
    <w:rsid w:val="00FA7AAF"/>
    <w:rsid w:val="00FB0AA4"/>
    <w:rsid w:val="00FB10C3"/>
    <w:rsid w:val="00FB25BC"/>
    <w:rsid w:val="00FB2757"/>
    <w:rsid w:val="00FB4276"/>
    <w:rsid w:val="00FB5522"/>
    <w:rsid w:val="00FB71D2"/>
    <w:rsid w:val="00FC14E5"/>
    <w:rsid w:val="00FC1CAE"/>
    <w:rsid w:val="00FC2E8C"/>
    <w:rsid w:val="00FC33DB"/>
    <w:rsid w:val="00FC3BC1"/>
    <w:rsid w:val="00FC5481"/>
    <w:rsid w:val="00FC672E"/>
    <w:rsid w:val="00FC7EE8"/>
    <w:rsid w:val="00FD0022"/>
    <w:rsid w:val="00FD11D7"/>
    <w:rsid w:val="00FD1ADE"/>
    <w:rsid w:val="00FD2B4D"/>
    <w:rsid w:val="00FD2D8E"/>
    <w:rsid w:val="00FD3A36"/>
    <w:rsid w:val="00FD47FB"/>
    <w:rsid w:val="00FD4B7C"/>
    <w:rsid w:val="00FD4F9F"/>
    <w:rsid w:val="00FD6A1F"/>
    <w:rsid w:val="00FD7468"/>
    <w:rsid w:val="00FD7B1D"/>
    <w:rsid w:val="00FE1382"/>
    <w:rsid w:val="00FE2583"/>
    <w:rsid w:val="00FE2A1D"/>
    <w:rsid w:val="00FE2E42"/>
    <w:rsid w:val="00FE4079"/>
    <w:rsid w:val="00FE4DAC"/>
    <w:rsid w:val="00FE5C5E"/>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D3188"/>
  <w15:docId w15:val="{0F725DC6-5665-4D13-A04B-0AC45F7E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2">
    <w:name w:val="heading 2"/>
    <w:basedOn w:val="Normal"/>
    <w:next w:val="Normal"/>
    <w:link w:val="Heading2Char"/>
    <w:uiPriority w:val="9"/>
    <w:unhideWhenUsed/>
    <w:qFormat/>
    <w:rsid w:val="00144249"/>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Normal"/>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67CDF"/>
    <w:rPr>
      <w:i/>
      <w:iCs/>
    </w:rPr>
  </w:style>
  <w:style w:type="paragraph" w:customStyle="1" w:styleId="a10">
    <w:name w:val="a1"/>
    <w:basedOn w:val="Normal"/>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9"/>
    <w:rsid w:val="00144249"/>
    <w:rPr>
      <w:rFonts w:ascii="Calibri Light" w:eastAsia="Times New Roman" w:hAnsi="Calibri Light" w:cs="Times New Roman"/>
      <w:color w:val="2E74B5"/>
      <w:sz w:val="26"/>
      <w:szCs w:val="26"/>
    </w:rPr>
  </w:style>
  <w:style w:type="paragraph" w:customStyle="1" w:styleId="ruller410">
    <w:name w:val="ruller41"/>
    <w:basedOn w:val="Normal"/>
    <w:rsid w:val="00B16E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2633B"/>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449007797">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683163943">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893610619">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10907585">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1B6D-8A62-4A49-8BD0-BBB87F7F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2481</Words>
  <Characters>12406</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14858</CharactersWithSpaces>
  <SharedDoc>false</SharedDoc>
  <HLinks>
    <vt:vector size="96" baseType="variant">
      <vt:variant>
        <vt:i4>6357100</vt:i4>
      </vt:variant>
      <vt:variant>
        <vt:i4>45</vt:i4>
      </vt:variant>
      <vt:variant>
        <vt:i4>0</vt:i4>
      </vt:variant>
      <vt:variant>
        <vt:i4>5</vt:i4>
      </vt:variant>
      <vt:variant>
        <vt:lpwstr>http://www.nevo.co.il/law/74903/108</vt:lpwstr>
      </vt:variant>
      <vt:variant>
        <vt:lpwstr/>
      </vt:variant>
      <vt:variant>
        <vt:i4>8257646</vt:i4>
      </vt:variant>
      <vt:variant>
        <vt:i4>42</vt:i4>
      </vt:variant>
      <vt:variant>
        <vt:i4>0</vt:i4>
      </vt:variant>
      <vt:variant>
        <vt:i4>5</vt:i4>
      </vt:variant>
      <vt:variant>
        <vt:lpwstr>http://www.nevo.co.il/law/74903</vt:lpwstr>
      </vt:variant>
      <vt:variant>
        <vt:lpwstr/>
      </vt:variant>
      <vt:variant>
        <vt:i4>6357100</vt:i4>
      </vt:variant>
      <vt:variant>
        <vt:i4>39</vt:i4>
      </vt:variant>
      <vt:variant>
        <vt:i4>0</vt:i4>
      </vt:variant>
      <vt:variant>
        <vt:i4>5</vt:i4>
      </vt:variant>
      <vt:variant>
        <vt:lpwstr>http://www.nevo.co.il/law/74903/108</vt:lpwstr>
      </vt:variant>
      <vt:variant>
        <vt:lpwstr/>
      </vt:variant>
      <vt:variant>
        <vt:i4>8257646</vt:i4>
      </vt:variant>
      <vt:variant>
        <vt:i4>36</vt:i4>
      </vt:variant>
      <vt:variant>
        <vt:i4>0</vt:i4>
      </vt:variant>
      <vt:variant>
        <vt:i4>5</vt:i4>
      </vt:variant>
      <vt:variant>
        <vt:lpwstr>http://www.nevo.co.il/law/74903</vt:lpwstr>
      </vt:variant>
      <vt:variant>
        <vt:lpwstr/>
      </vt:variant>
      <vt:variant>
        <vt:i4>8061028</vt:i4>
      </vt:variant>
      <vt:variant>
        <vt:i4>33</vt:i4>
      </vt:variant>
      <vt:variant>
        <vt:i4>0</vt:i4>
      </vt:variant>
      <vt:variant>
        <vt:i4>5</vt:i4>
      </vt:variant>
      <vt:variant>
        <vt:lpwstr>http://www.nevo.co.il/law/74903/149.10</vt:lpwstr>
      </vt:variant>
      <vt:variant>
        <vt:lpwstr/>
      </vt:variant>
      <vt:variant>
        <vt:i4>3801205</vt:i4>
      </vt:variant>
      <vt:variant>
        <vt:i4>30</vt:i4>
      </vt:variant>
      <vt:variant>
        <vt:i4>0</vt:i4>
      </vt:variant>
      <vt:variant>
        <vt:i4>5</vt:i4>
      </vt:variant>
      <vt:variant>
        <vt:lpwstr>http://www.nevo.co.il/case/6148880</vt:lpwstr>
      </vt:variant>
      <vt:variant>
        <vt:lpwstr/>
      </vt:variant>
      <vt:variant>
        <vt:i4>8257646</vt:i4>
      </vt:variant>
      <vt:variant>
        <vt:i4>27</vt:i4>
      </vt:variant>
      <vt:variant>
        <vt:i4>0</vt:i4>
      </vt:variant>
      <vt:variant>
        <vt:i4>5</vt:i4>
      </vt:variant>
      <vt:variant>
        <vt:lpwstr>http://www.nevo.co.il/law/74903</vt:lpwstr>
      </vt:variant>
      <vt:variant>
        <vt:lpwstr/>
      </vt:variant>
      <vt:variant>
        <vt:i4>6357100</vt:i4>
      </vt:variant>
      <vt:variant>
        <vt:i4>24</vt:i4>
      </vt:variant>
      <vt:variant>
        <vt:i4>0</vt:i4>
      </vt:variant>
      <vt:variant>
        <vt:i4>5</vt:i4>
      </vt:variant>
      <vt:variant>
        <vt:lpwstr>http://www.nevo.co.il/law/74903/108</vt:lpwstr>
      </vt:variant>
      <vt:variant>
        <vt:lpwstr/>
      </vt:variant>
      <vt:variant>
        <vt:i4>6357100</vt:i4>
      </vt:variant>
      <vt:variant>
        <vt:i4>21</vt:i4>
      </vt:variant>
      <vt:variant>
        <vt:i4>0</vt:i4>
      </vt:variant>
      <vt:variant>
        <vt:i4>5</vt:i4>
      </vt:variant>
      <vt:variant>
        <vt:lpwstr>http://www.nevo.co.il/law/74903/108</vt:lpwstr>
      </vt:variant>
      <vt:variant>
        <vt:lpwstr/>
      </vt:variant>
      <vt:variant>
        <vt:i4>8257646</vt:i4>
      </vt:variant>
      <vt:variant>
        <vt:i4>18</vt:i4>
      </vt:variant>
      <vt:variant>
        <vt:i4>0</vt:i4>
      </vt:variant>
      <vt:variant>
        <vt:i4>5</vt:i4>
      </vt:variant>
      <vt:variant>
        <vt:lpwstr>http://www.nevo.co.il/law/74903</vt:lpwstr>
      </vt:variant>
      <vt:variant>
        <vt:lpwstr/>
      </vt:variant>
      <vt:variant>
        <vt:i4>6619242</vt:i4>
      </vt:variant>
      <vt:variant>
        <vt:i4>15</vt:i4>
      </vt:variant>
      <vt:variant>
        <vt:i4>0</vt:i4>
      </vt:variant>
      <vt:variant>
        <vt:i4>5</vt:i4>
      </vt:variant>
      <vt:variant>
        <vt:lpwstr>http://www.nevo.co.il/law/74903/74</vt:lpwstr>
      </vt:variant>
      <vt:variant>
        <vt:lpwstr/>
      </vt:variant>
      <vt:variant>
        <vt:i4>3866736</vt:i4>
      </vt:variant>
      <vt:variant>
        <vt:i4>12</vt:i4>
      </vt:variant>
      <vt:variant>
        <vt:i4>0</vt:i4>
      </vt:variant>
      <vt:variant>
        <vt:i4>5</vt:i4>
      </vt:variant>
      <vt:variant>
        <vt:lpwstr>http://www.nevo.co.il/case/5772910</vt:lpwstr>
      </vt:variant>
      <vt:variant>
        <vt:lpwstr/>
      </vt:variant>
      <vt:variant>
        <vt:i4>3342455</vt:i4>
      </vt:variant>
      <vt:variant>
        <vt:i4>9</vt:i4>
      </vt:variant>
      <vt:variant>
        <vt:i4>0</vt:i4>
      </vt:variant>
      <vt:variant>
        <vt:i4>5</vt:i4>
      </vt:variant>
      <vt:variant>
        <vt:lpwstr>http://www.nevo.co.il/case/5732267</vt:lpwstr>
      </vt:variant>
      <vt:variant>
        <vt:lpwstr/>
      </vt:variant>
      <vt:variant>
        <vt:i4>3801205</vt:i4>
      </vt:variant>
      <vt:variant>
        <vt:i4>6</vt:i4>
      </vt:variant>
      <vt:variant>
        <vt:i4>0</vt:i4>
      </vt:variant>
      <vt:variant>
        <vt:i4>5</vt:i4>
      </vt:variant>
      <vt:variant>
        <vt:lpwstr>http://www.nevo.co.il/case/6148880</vt:lpwstr>
      </vt:variant>
      <vt:variant>
        <vt:lpwstr/>
      </vt:variant>
      <vt:variant>
        <vt:i4>3801205</vt:i4>
      </vt:variant>
      <vt:variant>
        <vt:i4>3</vt:i4>
      </vt:variant>
      <vt:variant>
        <vt:i4>0</vt:i4>
      </vt:variant>
      <vt:variant>
        <vt:i4>5</vt:i4>
      </vt:variant>
      <vt:variant>
        <vt:lpwstr>http://www.nevo.co.il/case/6148880</vt:lpwstr>
      </vt:variant>
      <vt:variant>
        <vt:lpwstr/>
      </vt:variant>
      <vt:variant>
        <vt:i4>3866741</vt:i4>
      </vt:variant>
      <vt:variant>
        <vt:i4>0</vt:i4>
      </vt:variant>
      <vt:variant>
        <vt:i4>0</vt:i4>
      </vt:variant>
      <vt:variant>
        <vt:i4>5</vt:i4>
      </vt:variant>
      <vt:variant>
        <vt:lpwstr>http://www.nevo.co.il/case/17913706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dc:description/>
  <cp:lastModifiedBy>יבד"ץ 205/בית הדין לערעורים/עוזרת משפטי/קורן שמח</cp:lastModifiedBy>
  <cp:revision>13</cp:revision>
  <cp:lastPrinted>2022-05-19T07:14:00Z</cp:lastPrinted>
  <dcterms:created xsi:type="dcterms:W3CDTF">2022-05-17T10:47:00Z</dcterms:created>
  <dcterms:modified xsi:type="dcterms:W3CDTF">2022-06-08T09:05:00Z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2022-05-02T14:34:22Z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b11712ca-e48e-4d63-abac-2aedee054ae3</vt:lpwstr>
  </property>
  <property fmtid="{D5CDD505-2E9C-101B-9397-08002B2CF9AE}" pid="11" name="MSIP_Label_701b9bfc-c426-492e-a46c-1a922d5fe54b_ContentBits">
    <vt:lpwstr>1</vt:lpwstr>
  </property>
</Properties>
</file>