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FE87" w14:textId="77777777" w:rsidR="00700EC3" w:rsidRPr="00FD2DDA" w:rsidRDefault="00700EC3" w:rsidP="00700EC3">
      <w:pPr>
        <w:bidi w:val="0"/>
        <w:spacing w:line="480" w:lineRule="auto"/>
        <w:jc w:val="center"/>
        <w:rPr>
          <w:rFonts w:ascii="David" w:hAnsi="David" w:cs="David"/>
          <w:b/>
          <w:bCs/>
          <w:sz w:val="28"/>
          <w:szCs w:val="28"/>
          <w:u w:val="single"/>
        </w:rPr>
      </w:pPr>
      <w:bookmarkStart w:id="0" w:name="_Hlk124684707"/>
      <w:r w:rsidRPr="00FD2DDA">
        <w:rPr>
          <w:rFonts w:ascii="David" w:hAnsi="David" w:cs="David" w:hint="cs"/>
          <w:b/>
          <w:bCs/>
          <w:sz w:val="28"/>
          <w:szCs w:val="28"/>
          <w:u w:val="single"/>
          <w:rtl/>
        </w:rPr>
        <w:t>בבית הדין הצבאי לערעורים</w:t>
      </w:r>
    </w:p>
    <w:p w14:paraId="22C539D7" w14:textId="77777777" w:rsidR="00700EC3" w:rsidRPr="00FD2DDA" w:rsidRDefault="00700EC3" w:rsidP="00700EC3">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348BACF" w14:textId="1193E85A" w:rsidR="00700EC3" w:rsidRDefault="00EA44D8" w:rsidP="00700EC3">
      <w:pPr>
        <w:spacing w:line="240" w:lineRule="auto"/>
        <w:jc w:val="center"/>
        <w:rPr>
          <w:rFonts w:cs="David"/>
          <w:sz w:val="28"/>
          <w:szCs w:val="28"/>
          <w:rtl/>
        </w:rPr>
      </w:pPr>
      <w:r>
        <w:rPr>
          <w:rFonts w:cs="David" w:hint="cs"/>
          <w:b/>
          <w:bCs/>
          <w:sz w:val="28"/>
          <w:szCs w:val="28"/>
          <w:rtl/>
        </w:rPr>
        <w:t>תא"ל</w:t>
      </w:r>
      <w:r w:rsidR="003E78B9">
        <w:rPr>
          <w:rFonts w:cs="David" w:hint="cs"/>
          <w:b/>
          <w:bCs/>
          <w:sz w:val="28"/>
          <w:szCs w:val="28"/>
          <w:rtl/>
        </w:rPr>
        <w:t xml:space="preserve"> (מיל')</w:t>
      </w:r>
      <w:r>
        <w:rPr>
          <w:rFonts w:cs="David" w:hint="cs"/>
          <w:b/>
          <w:bCs/>
          <w:sz w:val="28"/>
          <w:szCs w:val="28"/>
          <w:rtl/>
        </w:rPr>
        <w:t xml:space="preserve"> אבי לוי</w:t>
      </w:r>
      <w:r w:rsidR="002B500B">
        <w:rPr>
          <w:rFonts w:cs="David" w:hint="cs"/>
          <w:sz w:val="28"/>
          <w:szCs w:val="28"/>
          <w:rtl/>
        </w:rPr>
        <w:t xml:space="preserve">    -      שופט</w:t>
      </w:r>
    </w:p>
    <w:p w14:paraId="55D12323" w14:textId="77777777" w:rsidR="00700EC3" w:rsidRPr="00BB5867" w:rsidRDefault="00700EC3" w:rsidP="00700EC3">
      <w:pPr>
        <w:spacing w:line="240" w:lineRule="auto"/>
        <w:jc w:val="center"/>
        <w:rPr>
          <w:rFonts w:cs="David"/>
          <w:sz w:val="28"/>
          <w:szCs w:val="28"/>
          <w:rtl/>
        </w:rPr>
      </w:pPr>
    </w:p>
    <w:p w14:paraId="1833588A" w14:textId="77777777" w:rsidR="00700EC3" w:rsidRPr="00FD2DDA" w:rsidRDefault="00700EC3" w:rsidP="00700EC3">
      <w:pPr>
        <w:rPr>
          <w:rFonts w:ascii="David" w:hAnsi="David" w:cs="David"/>
          <w:sz w:val="28"/>
          <w:szCs w:val="28"/>
          <w:rtl/>
        </w:rPr>
      </w:pPr>
      <w:r w:rsidRPr="00FD2DDA">
        <w:rPr>
          <w:rFonts w:ascii="David" w:hAnsi="David" w:cs="David" w:hint="cs"/>
          <w:sz w:val="28"/>
          <w:szCs w:val="28"/>
          <w:rtl/>
        </w:rPr>
        <w:t>בעניין:</w:t>
      </w:r>
    </w:p>
    <w:p w14:paraId="04D8689A" w14:textId="4A983FD3" w:rsidR="00700EC3" w:rsidRPr="00FD2DDA" w:rsidRDefault="00700EC3" w:rsidP="00E97D7D">
      <w:pPr>
        <w:jc w:val="center"/>
        <w:rPr>
          <w:rFonts w:ascii="David" w:hAnsi="David" w:cs="David"/>
          <w:sz w:val="28"/>
          <w:szCs w:val="28"/>
          <w:rtl/>
        </w:rPr>
      </w:pPr>
      <w:r>
        <w:rPr>
          <w:rFonts w:ascii="David" w:hAnsi="David" w:cs="David" w:hint="cs"/>
          <w:b/>
          <w:bCs/>
          <w:sz w:val="28"/>
          <w:szCs w:val="28"/>
          <w:rtl/>
        </w:rPr>
        <w:t>ב/</w:t>
      </w:r>
      <w:r w:rsidR="00E97D7D">
        <w:rPr>
          <w:rFonts w:ascii="David" w:hAnsi="David" w:cs="David"/>
          <w:b/>
          <w:bCs/>
          <w:sz w:val="28"/>
          <w:szCs w:val="28"/>
        </w:rPr>
        <w:t>XX</w:t>
      </w:r>
      <w:r w:rsidR="00E97D7D">
        <w:rPr>
          <w:rFonts w:ascii="David" w:hAnsi="David" w:cs="David" w:hint="cs"/>
          <w:b/>
          <w:bCs/>
          <w:sz w:val="28"/>
          <w:szCs w:val="28"/>
        </w:rPr>
        <w:t>XXXX</w:t>
      </w:r>
      <w:r>
        <w:rPr>
          <w:rFonts w:ascii="David" w:hAnsi="David" w:cs="David" w:hint="cs"/>
          <w:b/>
          <w:bCs/>
          <w:sz w:val="28"/>
          <w:szCs w:val="28"/>
          <w:rtl/>
        </w:rPr>
        <w:t xml:space="preserve"> טוראי </w:t>
      </w:r>
      <w:r w:rsidR="002076D8">
        <w:rPr>
          <w:rFonts w:ascii="David" w:hAnsi="David" w:cs="David" w:hint="cs"/>
          <w:b/>
          <w:bCs/>
          <w:sz w:val="28"/>
          <w:szCs w:val="28"/>
          <w:rtl/>
        </w:rPr>
        <w:t>א'</w:t>
      </w:r>
      <w:r>
        <w:rPr>
          <w:rFonts w:ascii="David" w:hAnsi="David" w:cs="David" w:hint="cs"/>
          <w:b/>
          <w:bCs/>
          <w:sz w:val="28"/>
          <w:szCs w:val="28"/>
          <w:rtl/>
        </w:rPr>
        <w:t xml:space="preserve"> </w:t>
      </w:r>
      <w:r w:rsidR="002076D8">
        <w:rPr>
          <w:rFonts w:ascii="David" w:hAnsi="David" w:cs="David" w:hint="cs"/>
          <w:b/>
          <w:bCs/>
          <w:sz w:val="28"/>
          <w:szCs w:val="28"/>
          <w:rtl/>
        </w:rPr>
        <w:t>א'</w:t>
      </w:r>
      <w:r>
        <w:rPr>
          <w:rFonts w:ascii="David" w:hAnsi="David" w:cs="David" w:hint="cs"/>
          <w:b/>
          <w:bCs/>
          <w:sz w:val="28"/>
          <w:szCs w:val="28"/>
          <w:rtl/>
        </w:rPr>
        <w:t xml:space="preserve"> </w:t>
      </w:r>
      <w:r w:rsidR="002076D8">
        <w:rPr>
          <w:rFonts w:ascii="David" w:hAnsi="David" w:cs="David" w:hint="cs"/>
          <w:b/>
          <w:bCs/>
          <w:sz w:val="28"/>
          <w:szCs w:val="28"/>
          <w:rtl/>
        </w:rPr>
        <w:t>א'</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Pr>
          <w:rFonts w:ascii="David" w:hAnsi="David" w:cs="David" w:hint="cs"/>
          <w:sz w:val="28"/>
          <w:szCs w:val="28"/>
          <w:rtl/>
        </w:rPr>
        <w:t xml:space="preserve"> סרן מישל </w:t>
      </w:r>
      <w:proofErr w:type="spellStart"/>
      <w:r>
        <w:rPr>
          <w:rFonts w:ascii="David" w:hAnsi="David" w:cs="David" w:hint="cs"/>
          <w:sz w:val="28"/>
          <w:szCs w:val="28"/>
          <w:rtl/>
        </w:rPr>
        <w:t>צ'רניחובסקי</w:t>
      </w:r>
      <w:proofErr w:type="spellEnd"/>
      <w:r>
        <w:rPr>
          <w:rFonts w:ascii="David" w:hAnsi="David" w:cs="David" w:hint="cs"/>
          <w:sz w:val="28"/>
          <w:szCs w:val="28"/>
          <w:rtl/>
        </w:rPr>
        <w:t xml:space="preserve">; </w:t>
      </w:r>
      <w:r w:rsidR="00EA44D8">
        <w:rPr>
          <w:rFonts w:ascii="David" w:hAnsi="David" w:cs="David" w:hint="cs"/>
          <w:sz w:val="28"/>
          <w:szCs w:val="28"/>
          <w:rtl/>
        </w:rPr>
        <w:t xml:space="preserve">קמ"ש </w:t>
      </w:r>
      <w:proofErr w:type="spellStart"/>
      <w:r w:rsidR="00EA44D8">
        <w:rPr>
          <w:rFonts w:ascii="David" w:hAnsi="David" w:cs="David" w:hint="cs"/>
          <w:sz w:val="28"/>
          <w:szCs w:val="28"/>
          <w:rtl/>
        </w:rPr>
        <w:t>גילעד</w:t>
      </w:r>
      <w:proofErr w:type="spellEnd"/>
      <w:r w:rsidR="00EA44D8">
        <w:rPr>
          <w:rFonts w:ascii="David" w:hAnsi="David" w:cs="David" w:hint="cs"/>
          <w:sz w:val="28"/>
          <w:szCs w:val="28"/>
          <w:rtl/>
        </w:rPr>
        <w:t xml:space="preserve"> כהן</w:t>
      </w:r>
      <w:r w:rsidRPr="00FD2DDA">
        <w:rPr>
          <w:rFonts w:ascii="David" w:hAnsi="David" w:cs="David" w:hint="cs"/>
          <w:sz w:val="28"/>
          <w:szCs w:val="28"/>
          <w:rtl/>
        </w:rPr>
        <w:t>)</w:t>
      </w:r>
    </w:p>
    <w:p w14:paraId="7D31847A" w14:textId="77777777" w:rsidR="00700EC3" w:rsidRPr="00FD2DDA" w:rsidRDefault="00700EC3" w:rsidP="00700EC3">
      <w:pPr>
        <w:jc w:val="center"/>
        <w:rPr>
          <w:rFonts w:ascii="David" w:hAnsi="David" w:cs="David"/>
          <w:sz w:val="28"/>
          <w:szCs w:val="28"/>
          <w:rtl/>
        </w:rPr>
      </w:pPr>
    </w:p>
    <w:p w14:paraId="6FB446C9" w14:textId="77777777" w:rsidR="00700EC3" w:rsidRPr="00FD2DDA" w:rsidRDefault="00700EC3" w:rsidP="00700EC3">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720C80A2" w14:textId="210380BD" w:rsidR="00700EC3" w:rsidRPr="00FD2DDA" w:rsidRDefault="00700EC3" w:rsidP="00700EC3">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קמ"ש תהל ברון; סרן יצחק אלמו</w:t>
      </w:r>
      <w:r w:rsidRPr="00FD2DDA">
        <w:rPr>
          <w:rFonts w:ascii="David" w:hAnsi="David" w:cs="David" w:hint="cs"/>
          <w:sz w:val="28"/>
          <w:szCs w:val="28"/>
          <w:rtl/>
        </w:rPr>
        <w:t>)</w:t>
      </w:r>
    </w:p>
    <w:p w14:paraId="64AFAB2E" w14:textId="77777777" w:rsidR="00700EC3" w:rsidRPr="00FD2DDA" w:rsidRDefault="00700EC3" w:rsidP="00700EC3">
      <w:pPr>
        <w:spacing w:after="360" w:line="360" w:lineRule="auto"/>
        <w:rPr>
          <w:rFonts w:ascii="David" w:hAnsi="David" w:cs="David"/>
          <w:b/>
          <w:bCs/>
          <w:sz w:val="28"/>
          <w:szCs w:val="28"/>
          <w:u w:val="single"/>
          <w:rtl/>
        </w:rPr>
      </w:pPr>
    </w:p>
    <w:p w14:paraId="4246E5F1" w14:textId="00CC4B14" w:rsidR="00700EC3" w:rsidRDefault="00700EC3" w:rsidP="00A5709B">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6B2DD1">
        <w:rPr>
          <w:rFonts w:ascii="David" w:hAnsi="David" w:cs="David" w:hint="cs"/>
          <w:sz w:val="28"/>
          <w:szCs w:val="28"/>
          <w:rtl/>
        </w:rPr>
        <w:t xml:space="preserve">החלטת </w:t>
      </w:r>
      <w:r w:rsidR="00A5709B">
        <w:rPr>
          <w:rFonts w:ascii="David" w:hAnsi="David" w:cs="David" w:hint="cs"/>
          <w:sz w:val="28"/>
          <w:szCs w:val="28"/>
          <w:rtl/>
        </w:rPr>
        <w:t>מעצר</w:t>
      </w:r>
      <w:r w:rsidRPr="00FD2DDA">
        <w:rPr>
          <w:rFonts w:ascii="David" w:hAnsi="David" w:cs="David" w:hint="cs"/>
          <w:sz w:val="28"/>
          <w:szCs w:val="28"/>
          <w:rtl/>
        </w:rPr>
        <w:t xml:space="preserve"> של בית הדין הצבאי המחוזי במחוז שיפוטי </w:t>
      </w:r>
      <w:r w:rsidR="00A5709B">
        <w:rPr>
          <w:rFonts w:ascii="David" w:hAnsi="David" w:cs="David" w:hint="cs"/>
          <w:sz w:val="28"/>
          <w:szCs w:val="28"/>
          <w:rtl/>
        </w:rPr>
        <w:t>הצפון</w:t>
      </w:r>
      <w:r w:rsidRPr="00FD2DDA">
        <w:rPr>
          <w:rFonts w:ascii="David" w:hAnsi="David" w:cs="David" w:hint="cs"/>
          <w:sz w:val="28"/>
          <w:szCs w:val="28"/>
          <w:rtl/>
        </w:rPr>
        <w:t xml:space="preserve"> </w:t>
      </w:r>
      <w:r w:rsidR="006B2DD1">
        <w:rPr>
          <w:rFonts w:ascii="David" w:hAnsi="David" w:cs="David" w:hint="cs"/>
          <w:sz w:val="28"/>
          <w:szCs w:val="28"/>
          <w:rtl/>
        </w:rPr>
        <w:t>שניתנה</w:t>
      </w:r>
      <w:r w:rsidRPr="00FD2DDA">
        <w:rPr>
          <w:rFonts w:ascii="David" w:hAnsi="David" w:cs="David" w:hint="cs"/>
          <w:sz w:val="28"/>
          <w:szCs w:val="28"/>
          <w:rtl/>
        </w:rPr>
        <w:t xml:space="preserve"> בתיק </w:t>
      </w:r>
      <w:r w:rsidR="00A5709B">
        <w:rPr>
          <w:rFonts w:ascii="David" w:hAnsi="David" w:cs="David" w:hint="cs"/>
          <w:sz w:val="28"/>
          <w:szCs w:val="28"/>
          <w:rtl/>
        </w:rPr>
        <w:t>צפון</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A5709B">
        <w:rPr>
          <w:rFonts w:ascii="David" w:hAnsi="David" w:cs="David" w:hint="cs"/>
          <w:sz w:val="28"/>
          <w:szCs w:val="28"/>
          <w:rtl/>
        </w:rPr>
        <w:t>29</w:t>
      </w:r>
      <w:r w:rsidRPr="00FE7B6F">
        <w:rPr>
          <w:rFonts w:ascii="David" w:hAnsi="David" w:cs="David" w:hint="cs"/>
          <w:sz w:val="28"/>
          <w:szCs w:val="28"/>
          <w:rtl/>
        </w:rPr>
        <w:t>/</w:t>
      </w:r>
      <w:r w:rsidR="00A5709B">
        <w:rPr>
          <w:rFonts w:ascii="David" w:hAnsi="David" w:cs="David" w:hint="cs"/>
          <w:sz w:val="28"/>
          <w:szCs w:val="28"/>
          <w:rtl/>
        </w:rPr>
        <w:t>23</w:t>
      </w:r>
      <w:r w:rsidRPr="00FE7B6F">
        <w:rPr>
          <w:rFonts w:ascii="David" w:hAnsi="David" w:cs="David" w:hint="cs"/>
          <w:sz w:val="28"/>
          <w:szCs w:val="28"/>
          <w:rtl/>
        </w:rPr>
        <w:t xml:space="preserve"> (</w:t>
      </w:r>
      <w:r w:rsidR="00A5709B">
        <w:rPr>
          <w:rFonts w:ascii="David" w:hAnsi="David" w:cs="David" w:hint="cs"/>
          <w:sz w:val="28"/>
          <w:szCs w:val="28"/>
          <w:rtl/>
        </w:rPr>
        <w:t xml:space="preserve">אל"ם שחר גרינברג - </w:t>
      </w:r>
      <w:r w:rsidR="00926BC9">
        <w:rPr>
          <w:rFonts w:ascii="David" w:hAnsi="David" w:cs="David" w:hint="cs"/>
          <w:sz w:val="28"/>
          <w:szCs w:val="28"/>
          <w:rtl/>
        </w:rPr>
        <w:t>שופט</w:t>
      </w:r>
      <w:r w:rsidRPr="00FE7B6F">
        <w:rPr>
          <w:rFonts w:ascii="David" w:hAnsi="David" w:cs="David" w:hint="cs"/>
          <w:sz w:val="28"/>
          <w:szCs w:val="28"/>
          <w:rtl/>
        </w:rPr>
        <w:t xml:space="preserve">) ביום </w:t>
      </w:r>
      <w:r w:rsidR="00EA44D8">
        <w:rPr>
          <w:rFonts w:ascii="David" w:hAnsi="David" w:cs="David" w:hint="cs"/>
          <w:sz w:val="28"/>
          <w:szCs w:val="28"/>
          <w:rtl/>
        </w:rPr>
        <w:t>2.5.2023</w:t>
      </w:r>
      <w:r w:rsidR="006B2DD1">
        <w:rPr>
          <w:rFonts w:ascii="David" w:hAnsi="David" w:cs="David" w:hint="cs"/>
          <w:sz w:val="28"/>
          <w:szCs w:val="28"/>
          <w:rtl/>
        </w:rPr>
        <w:t>.</w:t>
      </w:r>
      <w:r w:rsidR="00EA44D8">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r w:rsidR="00EA44D8">
        <w:rPr>
          <w:rFonts w:ascii="David" w:hAnsi="David" w:cs="David" w:hint="cs"/>
          <w:sz w:val="28"/>
          <w:szCs w:val="28"/>
          <w:rtl/>
        </w:rPr>
        <w:t>התקבל</w:t>
      </w:r>
      <w:r w:rsidR="00A5709B">
        <w:rPr>
          <w:rFonts w:ascii="David" w:hAnsi="David" w:cs="David" w:hint="cs"/>
          <w:sz w:val="28"/>
          <w:szCs w:val="28"/>
          <w:rtl/>
        </w:rPr>
        <w:t xml:space="preserve"> באופן חלקי</w:t>
      </w:r>
      <w:r w:rsidRPr="00FE7B6F">
        <w:rPr>
          <w:rFonts w:ascii="David" w:hAnsi="David" w:cs="David" w:hint="cs"/>
          <w:sz w:val="28"/>
          <w:szCs w:val="28"/>
          <w:rtl/>
        </w:rPr>
        <w:t>.</w:t>
      </w:r>
    </w:p>
    <w:bookmarkEnd w:id="0"/>
    <w:p w14:paraId="060ED91E" w14:textId="77777777" w:rsidR="00700EC3" w:rsidRDefault="00700EC3" w:rsidP="00C3592D">
      <w:pPr>
        <w:pStyle w:val="ListParagraph"/>
        <w:tabs>
          <w:tab w:val="left" w:pos="226"/>
        </w:tabs>
        <w:ind w:left="-58"/>
        <w:jc w:val="center"/>
        <w:rPr>
          <w:b/>
          <w:bCs/>
          <w:u w:val="single"/>
          <w:rtl/>
        </w:rPr>
      </w:pPr>
    </w:p>
    <w:p w14:paraId="6FA09B34" w14:textId="6089EBE2" w:rsidR="00C3592D" w:rsidRDefault="00C3592D" w:rsidP="00C3592D">
      <w:pPr>
        <w:pStyle w:val="ListParagraph"/>
        <w:tabs>
          <w:tab w:val="left" w:pos="226"/>
        </w:tabs>
        <w:ind w:left="-58"/>
        <w:jc w:val="center"/>
        <w:rPr>
          <w:b/>
          <w:bCs/>
          <w:u w:val="single"/>
          <w:rtl/>
        </w:rPr>
      </w:pPr>
      <w:r w:rsidRPr="0016109F">
        <w:rPr>
          <w:rFonts w:hint="cs"/>
          <w:b/>
          <w:bCs/>
          <w:u w:val="single"/>
          <w:rtl/>
        </w:rPr>
        <w:t>ה</w:t>
      </w:r>
      <w:r w:rsidR="00700EC3">
        <w:rPr>
          <w:rFonts w:hint="cs"/>
          <w:b/>
          <w:bCs/>
          <w:u w:val="single"/>
          <w:rtl/>
        </w:rPr>
        <w:t xml:space="preserve"> </w:t>
      </w:r>
      <w:r w:rsidRPr="0016109F">
        <w:rPr>
          <w:rFonts w:hint="cs"/>
          <w:b/>
          <w:bCs/>
          <w:u w:val="single"/>
          <w:rtl/>
        </w:rPr>
        <w:t>ח</w:t>
      </w:r>
      <w:r w:rsidR="00700EC3">
        <w:rPr>
          <w:rFonts w:hint="cs"/>
          <w:b/>
          <w:bCs/>
          <w:u w:val="single"/>
          <w:rtl/>
        </w:rPr>
        <w:t xml:space="preserve"> </w:t>
      </w:r>
      <w:r w:rsidRPr="0016109F">
        <w:rPr>
          <w:rFonts w:hint="cs"/>
          <w:b/>
          <w:bCs/>
          <w:u w:val="single"/>
          <w:rtl/>
        </w:rPr>
        <w:t>ל</w:t>
      </w:r>
      <w:r w:rsidR="00700EC3">
        <w:rPr>
          <w:rFonts w:hint="cs"/>
          <w:b/>
          <w:bCs/>
          <w:u w:val="single"/>
          <w:rtl/>
        </w:rPr>
        <w:t xml:space="preserve"> </w:t>
      </w:r>
      <w:r w:rsidRPr="0016109F">
        <w:rPr>
          <w:rFonts w:hint="cs"/>
          <w:b/>
          <w:bCs/>
          <w:u w:val="single"/>
          <w:rtl/>
        </w:rPr>
        <w:t>ט</w:t>
      </w:r>
      <w:r w:rsidR="00700EC3">
        <w:rPr>
          <w:rFonts w:hint="cs"/>
          <w:b/>
          <w:bCs/>
          <w:u w:val="single"/>
          <w:rtl/>
        </w:rPr>
        <w:t xml:space="preserve"> </w:t>
      </w:r>
      <w:r w:rsidRPr="0016109F">
        <w:rPr>
          <w:rFonts w:hint="cs"/>
          <w:b/>
          <w:bCs/>
          <w:u w:val="single"/>
          <w:rtl/>
        </w:rPr>
        <w:t>ה</w:t>
      </w:r>
    </w:p>
    <w:p w14:paraId="7F6F09FB" w14:textId="77777777" w:rsidR="00C3592D" w:rsidRDefault="00C3592D" w:rsidP="00E44D4C">
      <w:pPr>
        <w:pStyle w:val="ListParagraph"/>
        <w:tabs>
          <w:tab w:val="left" w:pos="226"/>
        </w:tabs>
        <w:ind w:left="-2"/>
        <w:rPr>
          <w:rtl/>
        </w:rPr>
      </w:pPr>
    </w:p>
    <w:p w14:paraId="2D1B3DBA" w14:textId="20601A73" w:rsidR="00E44D4C" w:rsidRDefault="00C3592D" w:rsidP="00592110">
      <w:pPr>
        <w:pStyle w:val="ListParagraph"/>
        <w:numPr>
          <w:ilvl w:val="0"/>
          <w:numId w:val="1"/>
        </w:numPr>
        <w:tabs>
          <w:tab w:val="left" w:pos="226"/>
        </w:tabs>
        <w:ind w:left="-2" w:firstLine="0"/>
      </w:pPr>
      <w:r>
        <w:rPr>
          <w:rFonts w:hint="cs"/>
          <w:rtl/>
        </w:rPr>
        <w:t>זהו ערע</w:t>
      </w:r>
      <w:r w:rsidR="006242C3">
        <w:rPr>
          <w:rFonts w:hint="cs"/>
          <w:rtl/>
        </w:rPr>
        <w:t>ו</w:t>
      </w:r>
      <w:r>
        <w:rPr>
          <w:rFonts w:hint="cs"/>
          <w:rtl/>
        </w:rPr>
        <w:t xml:space="preserve">ר ההגנה, אשר הופנה כלפי החלטת </w:t>
      </w:r>
      <w:r w:rsidR="00926BC9">
        <w:rPr>
          <w:rFonts w:hint="cs"/>
          <w:rtl/>
        </w:rPr>
        <w:t>שופט</w:t>
      </w:r>
      <w:r>
        <w:rPr>
          <w:rFonts w:hint="cs"/>
          <w:rtl/>
        </w:rPr>
        <w:t xml:space="preserve"> בית הדין הצבאי </w:t>
      </w:r>
      <w:r w:rsidR="00926BC9">
        <w:rPr>
          <w:rFonts w:hint="cs"/>
          <w:rtl/>
        </w:rPr>
        <w:t>ב</w:t>
      </w:r>
      <w:r>
        <w:rPr>
          <w:rFonts w:hint="cs"/>
          <w:rtl/>
        </w:rPr>
        <w:t>מחוז שיפוט</w:t>
      </w:r>
      <w:r w:rsidR="00926BC9">
        <w:rPr>
          <w:rFonts w:hint="cs"/>
          <w:rtl/>
        </w:rPr>
        <w:t>י</w:t>
      </w:r>
      <w:r>
        <w:rPr>
          <w:rFonts w:hint="cs"/>
          <w:rtl/>
        </w:rPr>
        <w:t xml:space="preserve"> </w:t>
      </w:r>
      <w:r w:rsidR="00926BC9">
        <w:rPr>
          <w:rFonts w:hint="cs"/>
          <w:rtl/>
        </w:rPr>
        <w:t>ה</w:t>
      </w:r>
      <w:r>
        <w:rPr>
          <w:rFonts w:hint="cs"/>
          <w:rtl/>
        </w:rPr>
        <w:t>צפון במסגרת תיק צפ</w:t>
      </w:r>
      <w:r w:rsidR="00926BC9">
        <w:rPr>
          <w:rFonts w:hint="cs"/>
          <w:rtl/>
        </w:rPr>
        <w:t>ון (מחוזי)</w:t>
      </w:r>
      <w:r>
        <w:rPr>
          <w:rFonts w:hint="cs"/>
          <w:rtl/>
        </w:rPr>
        <w:t xml:space="preserve"> 29/23</w:t>
      </w:r>
      <w:r w:rsidR="00373AE2">
        <w:rPr>
          <w:rFonts w:hint="cs"/>
          <w:rtl/>
        </w:rPr>
        <w:t>,</w:t>
      </w:r>
      <w:r>
        <w:rPr>
          <w:rFonts w:hint="cs"/>
          <w:rtl/>
        </w:rPr>
        <w:t xml:space="preserve"> בעניינו של העורר </w:t>
      </w:r>
      <w:r w:rsidR="002076D8">
        <w:rPr>
          <w:rFonts w:hint="cs"/>
          <w:rtl/>
        </w:rPr>
        <w:t>א'</w:t>
      </w:r>
      <w:r>
        <w:rPr>
          <w:rFonts w:hint="cs"/>
          <w:rtl/>
        </w:rPr>
        <w:t xml:space="preserve"> </w:t>
      </w:r>
      <w:r w:rsidR="002076D8">
        <w:rPr>
          <w:rFonts w:hint="cs"/>
          <w:rtl/>
        </w:rPr>
        <w:t>א'</w:t>
      </w:r>
      <w:r>
        <w:rPr>
          <w:rFonts w:hint="cs"/>
          <w:rtl/>
        </w:rPr>
        <w:t xml:space="preserve"> </w:t>
      </w:r>
      <w:r w:rsidR="002076D8">
        <w:rPr>
          <w:rFonts w:hint="cs"/>
          <w:rtl/>
        </w:rPr>
        <w:t>א'</w:t>
      </w:r>
      <w:r>
        <w:rPr>
          <w:rFonts w:hint="cs"/>
          <w:rtl/>
        </w:rPr>
        <w:t xml:space="preserve">. במסגרת אותה החלטה הורה </w:t>
      </w:r>
      <w:r w:rsidR="000E4D57">
        <w:rPr>
          <w:rFonts w:hint="cs"/>
          <w:rtl/>
        </w:rPr>
        <w:t>השופט</w:t>
      </w:r>
      <w:r>
        <w:rPr>
          <w:rFonts w:hint="cs"/>
          <w:rtl/>
        </w:rPr>
        <w:t xml:space="preserve"> הנכבד על הארכת </w:t>
      </w:r>
      <w:r w:rsidR="006242C3">
        <w:rPr>
          <w:rFonts w:hint="cs"/>
          <w:rtl/>
        </w:rPr>
        <w:t>ה</w:t>
      </w:r>
      <w:r>
        <w:rPr>
          <w:rFonts w:hint="cs"/>
          <w:rtl/>
        </w:rPr>
        <w:t>מעצר עד תום ההליכים המשפטיים.</w:t>
      </w:r>
    </w:p>
    <w:p w14:paraId="5F358BF3" w14:textId="1F10E82B" w:rsidR="00E44D4C" w:rsidRDefault="00C3592D" w:rsidP="00592110">
      <w:pPr>
        <w:pStyle w:val="ListParagraph"/>
        <w:numPr>
          <w:ilvl w:val="0"/>
          <w:numId w:val="1"/>
        </w:numPr>
        <w:tabs>
          <w:tab w:val="left" w:pos="226"/>
        </w:tabs>
        <w:ind w:left="-2" w:firstLine="0"/>
      </w:pPr>
      <w:r>
        <w:rPr>
          <w:rFonts w:hint="cs"/>
          <w:rtl/>
        </w:rPr>
        <w:t>עובדות המקרה הן פשוטות: נגד העורר הוגש כתב אישום בחודש ינואר 2023 בגין היעדרות בת 67 ימים</w:t>
      </w:r>
      <w:r w:rsidR="006242C3">
        <w:rPr>
          <w:rFonts w:hint="cs"/>
          <w:rtl/>
        </w:rPr>
        <w:t>.</w:t>
      </w:r>
      <w:r>
        <w:rPr>
          <w:rFonts w:hint="cs"/>
          <w:rtl/>
        </w:rPr>
        <w:t xml:space="preserve"> הוחלט על בדיקת התאמתו להליך שילוב בבית הדין המשלב</w:t>
      </w:r>
      <w:r w:rsidR="006242C3">
        <w:rPr>
          <w:rFonts w:hint="cs"/>
          <w:rtl/>
        </w:rPr>
        <w:t>.</w:t>
      </w:r>
      <w:r>
        <w:rPr>
          <w:rFonts w:hint="cs"/>
          <w:rtl/>
        </w:rPr>
        <w:t xml:space="preserve"> ביום 6 בפברואר הוא שוחרר בתנאים (כולל חובת התייצבות לשירות ולישיבות בבית הדין). בדיון מעקב ראשון עלה כי הוא החל להיעדר שוב יום אחד בלבד לאחר ששוחרר מן המעצר כאמור. הוצ</w:t>
      </w:r>
      <w:r w:rsidR="006242C3">
        <w:rPr>
          <w:rFonts w:hint="cs"/>
          <w:rtl/>
        </w:rPr>
        <w:t>א</w:t>
      </w:r>
      <w:r>
        <w:rPr>
          <w:rFonts w:hint="cs"/>
          <w:rtl/>
        </w:rPr>
        <w:t xml:space="preserve">ה בעניינו פקודת מעצר. ביום 30 באפריל 2023 הוא התייצב מיוזמתו בבסיס הכליאה 416 ונעצר, ולמחרת תוקן כתב האישום המקורי והוספה היעדרות בת 77 ימים. התבקש מעצרו עד תום ההליכים וכאמור בית הדין קמא הורה על מעצר עד תום ההליכים. בית הדין ציין בהחלטתו כי היעדר מן השירות מקים עילות מעצר מובהקות: חשש להיעדרות נוספת, פגיעה במשמעת הצבא וחשש להימלטות מאימת הדין. בית הדין הכיר בכך שבמקרה זה אין עוד חשש לאי התייצבות לשירות (העורר פוטר </w:t>
      </w:r>
      <w:r w:rsidR="00F549E8">
        <w:rPr>
          <w:rFonts w:hint="cs"/>
          <w:rtl/>
        </w:rPr>
        <w:t>מהמשך שירות), וכי</w:t>
      </w:r>
      <w:r>
        <w:rPr>
          <w:rFonts w:hint="cs"/>
          <w:rtl/>
        </w:rPr>
        <w:t xml:space="preserve"> הפגיעה במשמעת הצבא מצטמצמת כשעוסקים במי שאינו עוד חייל. עם זאת, חשש ההימלטות המוגבר בעילה שעניינה הפרת </w:t>
      </w:r>
      <w:r>
        <w:rPr>
          <w:rFonts w:hint="cs"/>
          <w:rtl/>
        </w:rPr>
        <w:lastRenderedPageBreak/>
        <w:t>תנאי מעצר</w:t>
      </w:r>
      <w:r w:rsidR="00691F79">
        <w:rPr>
          <w:rFonts w:hint="cs"/>
          <w:rtl/>
        </w:rPr>
        <w:t>,</w:t>
      </w:r>
      <w:r>
        <w:rPr>
          <w:rFonts w:hint="cs"/>
          <w:rtl/>
        </w:rPr>
        <w:t xml:space="preserve"> הקים עילת מעצר חזקה ובית הדין הגיע למסקנה שאין ניתן להלום עילות מעצר אלו </w:t>
      </w:r>
      <w:r w:rsidR="00592110">
        <w:rPr>
          <w:rFonts w:hint="cs"/>
          <w:rtl/>
        </w:rPr>
        <w:t>ב</w:t>
      </w:r>
      <w:r>
        <w:rPr>
          <w:rFonts w:hint="cs"/>
          <w:rtl/>
        </w:rPr>
        <w:t xml:space="preserve">חלופה כלשהי. בית הדין קמא לא התעלם מנסיבותיו האישיות של העורר אך סבר שאלו </w:t>
      </w:r>
      <w:r w:rsidR="00592110">
        <w:rPr>
          <w:rFonts w:hint="cs"/>
          <w:rtl/>
        </w:rPr>
        <w:t>כ</w:t>
      </w:r>
      <w:r>
        <w:rPr>
          <w:rFonts w:hint="cs"/>
          <w:rtl/>
        </w:rPr>
        <w:t>שלעצמן אינן מטות את הכף. העורר לא ניצל את ההזדמנות שניתנה לו ובכך לימד על עצמו כי הוא אינו ראוי לאמון המגולם בחלופת מעצר.</w:t>
      </w:r>
    </w:p>
    <w:p w14:paraId="183A79C9" w14:textId="6F83B9CB" w:rsidR="00E44D4C" w:rsidRDefault="00C3592D" w:rsidP="00592110">
      <w:pPr>
        <w:pStyle w:val="ListParagraph"/>
        <w:numPr>
          <w:ilvl w:val="0"/>
          <w:numId w:val="1"/>
        </w:numPr>
        <w:tabs>
          <w:tab w:val="left" w:pos="226"/>
        </w:tabs>
        <w:ind w:left="-2" w:firstLine="0"/>
      </w:pPr>
      <w:r>
        <w:rPr>
          <w:rFonts w:hint="cs"/>
          <w:rtl/>
        </w:rPr>
        <w:t xml:space="preserve">בערר אשר הוגש כנגד ההחלטה טענו סנגוריו קמ"ש כהן וסגן </w:t>
      </w:r>
      <w:proofErr w:type="spellStart"/>
      <w:r>
        <w:rPr>
          <w:rFonts w:hint="cs"/>
          <w:rtl/>
        </w:rPr>
        <w:t>צ'רניחובסקי</w:t>
      </w:r>
      <w:proofErr w:type="spellEnd"/>
      <w:r>
        <w:rPr>
          <w:rFonts w:hint="cs"/>
          <w:rtl/>
        </w:rPr>
        <w:t xml:space="preserve"> כי לאור פיטוריו של העורר</w:t>
      </w:r>
      <w:r w:rsidR="00C63326">
        <w:rPr>
          <w:rFonts w:hint="cs"/>
          <w:rtl/>
        </w:rPr>
        <w:t>,</w:t>
      </w:r>
      <w:r>
        <w:rPr>
          <w:rFonts w:hint="cs"/>
          <w:rtl/>
        </w:rPr>
        <w:t xml:space="preserve"> עילות המעצר הת</w:t>
      </w:r>
      <w:r w:rsidR="00C63326">
        <w:rPr>
          <w:rFonts w:hint="cs"/>
          <w:rtl/>
        </w:rPr>
        <w:t>א</w:t>
      </w:r>
      <w:r>
        <w:rPr>
          <w:rFonts w:hint="cs"/>
          <w:rtl/>
        </w:rPr>
        <w:t>יינו</w:t>
      </w:r>
      <w:r w:rsidR="00E97C82">
        <w:rPr>
          <w:rFonts w:hint="cs"/>
          <w:rtl/>
        </w:rPr>
        <w:t xml:space="preserve"> -</w:t>
      </w:r>
      <w:r>
        <w:rPr>
          <w:rFonts w:hint="cs"/>
          <w:rtl/>
        </w:rPr>
        <w:t xml:space="preserve"> אין חשש שהוא לא יחזור לשירות, אין חשש לאובדן הר</w:t>
      </w:r>
      <w:r w:rsidR="00C63326">
        <w:rPr>
          <w:rFonts w:hint="cs"/>
          <w:rtl/>
        </w:rPr>
        <w:t>ת</w:t>
      </w:r>
      <w:r>
        <w:rPr>
          <w:rFonts w:hint="cs"/>
          <w:rtl/>
        </w:rPr>
        <w:t>עה (עניין לנו בהיעדרות קצרה של מי שהתייצב להסדיר</w:t>
      </w:r>
      <w:r w:rsidR="00691F79">
        <w:rPr>
          <w:rFonts w:hint="cs"/>
          <w:rtl/>
        </w:rPr>
        <w:t xml:space="preserve"> את</w:t>
      </w:r>
      <w:r>
        <w:rPr>
          <w:rFonts w:hint="cs"/>
          <w:rtl/>
        </w:rPr>
        <w:t xml:space="preserve"> מעמדו פעמיים), ובכל מקרה, את החשש להימלטות מאימת הדין ניתן ל</w:t>
      </w:r>
      <w:r w:rsidR="00C63326">
        <w:rPr>
          <w:rFonts w:hint="cs"/>
          <w:rtl/>
        </w:rPr>
        <w:t>א</w:t>
      </w:r>
      <w:r>
        <w:rPr>
          <w:rFonts w:hint="cs"/>
          <w:rtl/>
        </w:rPr>
        <w:t xml:space="preserve">יין באמצעות תנאי שחרור מתאימים. הסנגורים </w:t>
      </w:r>
      <w:r w:rsidR="00C63326">
        <w:rPr>
          <w:rFonts w:hint="cs"/>
          <w:rtl/>
        </w:rPr>
        <w:t>ק</w:t>
      </w:r>
      <w:r>
        <w:rPr>
          <w:rFonts w:hint="cs"/>
          <w:rtl/>
        </w:rPr>
        <w:t>בלו על כך שחלופה אשר הוצעה בידי ההגנה כלל לא נבחנה</w:t>
      </w:r>
      <w:r w:rsidR="00C63326">
        <w:rPr>
          <w:rFonts w:hint="cs"/>
          <w:rtl/>
        </w:rPr>
        <w:t>,</w:t>
      </w:r>
      <w:r>
        <w:rPr>
          <w:rFonts w:hint="cs"/>
          <w:rtl/>
        </w:rPr>
        <w:t xml:space="preserve"> ואף טענו כי הדרך </w:t>
      </w:r>
      <w:r w:rsidR="00C63326">
        <w:rPr>
          <w:rFonts w:hint="cs"/>
          <w:rtl/>
        </w:rPr>
        <w:t>ש</w:t>
      </w:r>
      <w:r>
        <w:rPr>
          <w:rFonts w:hint="cs"/>
          <w:rtl/>
        </w:rPr>
        <w:t>בה בחר ללכת הנשיא הנכבד משמעה שכל עריק אשר הפר את הסדר השילוב צפוי למעצר</w:t>
      </w:r>
      <w:r w:rsidR="00C63326">
        <w:rPr>
          <w:rFonts w:hint="cs"/>
          <w:rtl/>
        </w:rPr>
        <w:t>,</w:t>
      </w:r>
      <w:r>
        <w:rPr>
          <w:rFonts w:hint="cs"/>
          <w:rtl/>
        </w:rPr>
        <w:t xml:space="preserve"> וחלופות לא </w:t>
      </w:r>
      <w:r w:rsidR="00C63326">
        <w:rPr>
          <w:rFonts w:hint="cs"/>
          <w:rtl/>
        </w:rPr>
        <w:t>י</w:t>
      </w:r>
      <w:r>
        <w:rPr>
          <w:rFonts w:hint="cs"/>
          <w:rtl/>
        </w:rPr>
        <w:t>ישקלו בעניינו. הופנית</w:t>
      </w:r>
      <w:r>
        <w:rPr>
          <w:rFonts w:hint="eastAsia"/>
          <w:rtl/>
        </w:rPr>
        <w:t>י</w:t>
      </w:r>
      <w:r>
        <w:rPr>
          <w:rFonts w:hint="cs"/>
          <w:rtl/>
        </w:rPr>
        <w:t xml:space="preserve"> במסגרת כתב הערר ובדיון לשתי החלטות שניתנו בערכאה הראשונה</w:t>
      </w:r>
      <w:r w:rsidR="00C63326">
        <w:rPr>
          <w:rFonts w:hint="cs"/>
          <w:rtl/>
        </w:rPr>
        <w:t>,</w:t>
      </w:r>
      <w:r>
        <w:rPr>
          <w:rFonts w:hint="cs"/>
          <w:rtl/>
        </w:rPr>
        <w:t xml:space="preserve"> מט</w:t>
      </w:r>
      <w:r w:rsidR="008B32D8">
        <w:rPr>
          <w:rFonts w:hint="cs"/>
          <w:rtl/>
        </w:rPr>
        <w:t>כ"ל (מחוזי)</w:t>
      </w:r>
      <w:r w:rsidR="00C63326">
        <w:rPr>
          <w:rFonts w:hint="cs"/>
          <w:rtl/>
        </w:rPr>
        <w:t xml:space="preserve"> </w:t>
      </w:r>
      <w:r>
        <w:rPr>
          <w:rFonts w:hint="cs"/>
          <w:rtl/>
        </w:rPr>
        <w:t xml:space="preserve">375/22 </w:t>
      </w:r>
      <w:r w:rsidR="008B32D8" w:rsidRPr="008B32D8">
        <w:rPr>
          <w:rFonts w:hint="cs"/>
          <w:b/>
          <w:bCs/>
          <w:rtl/>
        </w:rPr>
        <w:t xml:space="preserve">התובע הצבאי נ' </w:t>
      </w:r>
      <w:r w:rsidRPr="008B32D8">
        <w:rPr>
          <w:rFonts w:hint="cs"/>
          <w:b/>
          <w:bCs/>
          <w:rtl/>
        </w:rPr>
        <w:t>טוראי בן לולו</w:t>
      </w:r>
      <w:r w:rsidR="008B32D8">
        <w:rPr>
          <w:rFonts w:hint="cs"/>
          <w:rtl/>
        </w:rPr>
        <w:t xml:space="preserve"> (2022)</w:t>
      </w:r>
      <w:r>
        <w:rPr>
          <w:rFonts w:hint="cs"/>
          <w:rtl/>
        </w:rPr>
        <w:t xml:space="preserve"> וצפ</w:t>
      </w:r>
      <w:r w:rsidR="008B32D8">
        <w:rPr>
          <w:rFonts w:hint="cs"/>
          <w:rtl/>
        </w:rPr>
        <w:t>ון (מחוזי)</w:t>
      </w:r>
      <w:r>
        <w:rPr>
          <w:rFonts w:hint="cs"/>
          <w:rtl/>
        </w:rPr>
        <w:t xml:space="preserve"> 147/22 </w:t>
      </w:r>
      <w:r w:rsidR="008B32D8" w:rsidRPr="008B32D8">
        <w:rPr>
          <w:rFonts w:hint="cs"/>
          <w:b/>
          <w:bCs/>
          <w:rtl/>
        </w:rPr>
        <w:t xml:space="preserve">התובע הצבאי נ' </w:t>
      </w:r>
      <w:r w:rsidRPr="008B32D8">
        <w:rPr>
          <w:rFonts w:hint="cs"/>
          <w:b/>
          <w:bCs/>
          <w:rtl/>
        </w:rPr>
        <w:t>טוראי סבג</w:t>
      </w:r>
      <w:r w:rsidR="008B32D8">
        <w:rPr>
          <w:rFonts w:hint="cs"/>
          <w:rtl/>
        </w:rPr>
        <w:t xml:space="preserve"> (2022)</w:t>
      </w:r>
      <w:r w:rsidR="00C63326">
        <w:rPr>
          <w:rFonts w:hint="cs"/>
          <w:rtl/>
        </w:rPr>
        <w:t>,</w:t>
      </w:r>
      <w:r w:rsidR="003B301F">
        <w:rPr>
          <w:rFonts w:hint="cs"/>
          <w:rtl/>
        </w:rPr>
        <w:t xml:space="preserve"> </w:t>
      </w:r>
      <w:r>
        <w:rPr>
          <w:rFonts w:hint="cs"/>
          <w:rtl/>
        </w:rPr>
        <w:t>שבמסגרתן הורו בתי הדין על שחרור בתנאים של נאשמים אשר הואשמו בהיעדר מן השירות תוך כדי הליך שילוב בבית דין משלב</w:t>
      </w:r>
      <w:r w:rsidR="00E44D4C">
        <w:rPr>
          <w:rFonts w:hint="cs"/>
          <w:rtl/>
        </w:rPr>
        <w:t>.</w:t>
      </w:r>
    </w:p>
    <w:p w14:paraId="1616F789" w14:textId="2D4CFBBE" w:rsidR="00E44D4C" w:rsidRDefault="00C3592D" w:rsidP="00592110">
      <w:pPr>
        <w:pStyle w:val="ListParagraph"/>
        <w:numPr>
          <w:ilvl w:val="0"/>
          <w:numId w:val="1"/>
        </w:numPr>
        <w:tabs>
          <w:tab w:val="left" w:pos="226"/>
        </w:tabs>
        <w:ind w:left="-2" w:firstLine="0"/>
      </w:pPr>
      <w:r>
        <w:rPr>
          <w:rFonts w:hint="cs"/>
          <w:rtl/>
        </w:rPr>
        <w:t>באי כוח המשיבה עתרו לדחיית הערר. למעשה הם תמכו בהנמקתו של כבוד הנשיא ואף הפנו אל החלטת המשנה לנשיא (כתוארה דאז) אלופה אורלי מרקמן בע"מ</w:t>
      </w:r>
      <w:r w:rsidR="00867ACE">
        <w:rPr>
          <w:rFonts w:hint="cs"/>
          <w:rtl/>
        </w:rPr>
        <w:t>/</w:t>
      </w:r>
      <w:r>
        <w:rPr>
          <w:rFonts w:hint="cs"/>
          <w:rtl/>
        </w:rPr>
        <w:t xml:space="preserve">71/17 </w:t>
      </w:r>
      <w:r w:rsidR="00867ACE" w:rsidRPr="00867ACE">
        <w:rPr>
          <w:rFonts w:hint="cs"/>
          <w:b/>
          <w:bCs/>
          <w:rtl/>
        </w:rPr>
        <w:t>רב"ט</w:t>
      </w:r>
      <w:r w:rsidR="00C52BE8">
        <w:rPr>
          <w:rFonts w:hint="cs"/>
          <w:b/>
          <w:bCs/>
          <w:rtl/>
        </w:rPr>
        <w:t xml:space="preserve"> </w:t>
      </w:r>
      <w:proofErr w:type="spellStart"/>
      <w:r w:rsidR="00C52BE8">
        <w:rPr>
          <w:rFonts w:hint="cs"/>
          <w:b/>
          <w:bCs/>
          <w:rtl/>
        </w:rPr>
        <w:t>בוריק</w:t>
      </w:r>
      <w:proofErr w:type="spellEnd"/>
      <w:r w:rsidR="00C52BE8">
        <w:rPr>
          <w:rFonts w:hint="cs"/>
          <w:b/>
          <w:bCs/>
          <w:rtl/>
        </w:rPr>
        <w:t xml:space="preserve"> </w:t>
      </w:r>
      <w:r w:rsidR="00867ACE" w:rsidRPr="00867ACE">
        <w:rPr>
          <w:rFonts w:hint="cs"/>
          <w:b/>
          <w:bCs/>
          <w:rtl/>
        </w:rPr>
        <w:t>נ' תובע הצבאי הראשי</w:t>
      </w:r>
      <w:r w:rsidR="00BE36C5" w:rsidRPr="002F7EFA">
        <w:rPr>
          <w:rFonts w:hint="cs"/>
          <w:rtl/>
        </w:rPr>
        <w:t xml:space="preserve"> (</w:t>
      </w:r>
      <w:r w:rsidR="00BE36C5" w:rsidRPr="00BE36C5">
        <w:rPr>
          <w:rFonts w:hint="cs"/>
          <w:rtl/>
        </w:rPr>
        <w:t>2017)</w:t>
      </w:r>
      <w:r w:rsidR="00867ACE">
        <w:rPr>
          <w:rFonts w:hint="cs"/>
          <w:rtl/>
        </w:rPr>
        <w:t xml:space="preserve">, </w:t>
      </w:r>
      <w:r>
        <w:rPr>
          <w:rFonts w:hint="cs"/>
          <w:rtl/>
        </w:rPr>
        <w:t xml:space="preserve">שבה </w:t>
      </w:r>
      <w:r w:rsidR="00867ACE">
        <w:rPr>
          <w:rFonts w:hint="cs"/>
          <w:rtl/>
        </w:rPr>
        <w:t>נקבע</w:t>
      </w:r>
      <w:r>
        <w:rPr>
          <w:rFonts w:hint="cs"/>
          <w:rtl/>
        </w:rPr>
        <w:t xml:space="preserve"> </w:t>
      </w:r>
      <w:r w:rsidR="00ED527C">
        <w:rPr>
          <w:rFonts w:hint="cs"/>
          <w:rtl/>
        </w:rPr>
        <w:t xml:space="preserve">כי </w:t>
      </w:r>
      <w:r>
        <w:rPr>
          <w:rFonts w:hint="cs"/>
          <w:rtl/>
        </w:rPr>
        <w:t>הפרת תנאי שחרור ממעצר מהווה עילת מעצר עצמאית הנעוצה בהפרת האמון שניתן על ידי בית המשפט בנאשם</w:t>
      </w:r>
      <w:r w:rsidR="00ED527C">
        <w:rPr>
          <w:rFonts w:hint="cs"/>
          <w:rtl/>
        </w:rPr>
        <w:t>,</w:t>
      </w:r>
      <w:r>
        <w:rPr>
          <w:rFonts w:hint="cs"/>
          <w:rtl/>
        </w:rPr>
        <w:t xml:space="preserve"> שעה שהשחרור לחלופת המעצר נוצל על ידו לביצוע עבירה נוספת. יוער שאותה החלטה </w:t>
      </w:r>
      <w:r w:rsidR="00ED527C">
        <w:rPr>
          <w:rFonts w:hint="cs"/>
          <w:rtl/>
        </w:rPr>
        <w:t>ש</w:t>
      </w:r>
      <w:r>
        <w:rPr>
          <w:rFonts w:hint="cs"/>
          <w:rtl/>
        </w:rPr>
        <w:t>בה הוחלט על הותרת העוררת במעצר עסקה בחיילת שהייתה עדיין בשירות</w:t>
      </w:r>
      <w:r w:rsidR="00F549E8">
        <w:rPr>
          <w:rFonts w:hint="cs"/>
          <w:rtl/>
        </w:rPr>
        <w:t>,</w:t>
      </w:r>
      <w:r>
        <w:rPr>
          <w:rFonts w:hint="cs"/>
          <w:rtl/>
        </w:rPr>
        <w:t xml:space="preserve"> על כל המשמעויות הניבטות מכך. </w:t>
      </w:r>
    </w:p>
    <w:p w14:paraId="72927DE7" w14:textId="71687DDB" w:rsidR="00E44D4C" w:rsidRDefault="00C3592D" w:rsidP="00592110">
      <w:pPr>
        <w:pStyle w:val="ListParagraph"/>
        <w:numPr>
          <w:ilvl w:val="0"/>
          <w:numId w:val="1"/>
        </w:numPr>
        <w:tabs>
          <w:tab w:val="left" w:pos="226"/>
        </w:tabs>
        <w:ind w:left="-2" w:firstLine="0"/>
      </w:pPr>
      <w:r>
        <w:rPr>
          <w:rFonts w:hint="cs"/>
          <w:rtl/>
        </w:rPr>
        <w:t xml:space="preserve">ערר זה </w:t>
      </w:r>
      <w:r w:rsidR="00F549E8">
        <w:rPr>
          <w:rFonts w:hint="cs"/>
          <w:rtl/>
        </w:rPr>
        <w:t>י</w:t>
      </w:r>
      <w:r>
        <w:rPr>
          <w:rFonts w:hint="cs"/>
          <w:rtl/>
        </w:rPr>
        <w:t>יחתך בסופו של דבר כפועל יוצא של מידה</w:t>
      </w:r>
      <w:r w:rsidR="00E97C82">
        <w:rPr>
          <w:rFonts w:hint="cs"/>
          <w:rtl/>
        </w:rPr>
        <w:t>,</w:t>
      </w:r>
      <w:r>
        <w:rPr>
          <w:rFonts w:hint="cs"/>
          <w:rtl/>
        </w:rPr>
        <w:t xml:space="preserve"> ולא של קביעה החלטית לכאן או לכאן. אבהיר </w:t>
      </w:r>
      <w:r w:rsidR="00867ACE">
        <w:rPr>
          <w:rFonts w:hint="cs"/>
          <w:rtl/>
        </w:rPr>
        <w:t xml:space="preserve">את </w:t>
      </w:r>
      <w:r>
        <w:rPr>
          <w:rFonts w:hint="cs"/>
          <w:rtl/>
        </w:rPr>
        <w:t xml:space="preserve">דבריי. מקום </w:t>
      </w:r>
      <w:r w:rsidR="00E97C82">
        <w:rPr>
          <w:rFonts w:hint="cs"/>
          <w:rtl/>
        </w:rPr>
        <w:t>ש</w:t>
      </w:r>
      <w:r>
        <w:rPr>
          <w:rFonts w:hint="cs"/>
          <w:rtl/>
        </w:rPr>
        <w:t>בו נדון עניינו של מי שמואשם בהיעדר מן השירות שלא ברשות שתחילתה בהפרת תנאי שחרור שנקבעו על ידי בית דין צבאי תקום עילת מעצר חזקה של חשש להימלטות מאימת הדין. חשש זה איננו נחלש רק בגלל שהנאשם פוטר בינתיים מהשירות. עם זאת, כפי שציין הנשיא הנכבד קמא</w:t>
      </w:r>
      <w:r w:rsidR="00E97C82">
        <w:rPr>
          <w:rFonts w:hint="cs"/>
          <w:rtl/>
        </w:rPr>
        <w:t>,</w:t>
      </w:r>
      <w:r>
        <w:rPr>
          <w:rFonts w:hint="cs"/>
          <w:rtl/>
        </w:rPr>
        <w:t xml:space="preserve"> אין עוד תחולה במקרה של מי שפוטר מן השירות לעילה המניעתית</w:t>
      </w:r>
      <w:r w:rsidR="00E97C82">
        <w:rPr>
          <w:rFonts w:hint="cs"/>
          <w:rtl/>
        </w:rPr>
        <w:t xml:space="preserve"> </w:t>
      </w:r>
      <w:r>
        <w:rPr>
          <w:rFonts w:hint="cs"/>
          <w:rtl/>
        </w:rPr>
        <w:t xml:space="preserve">- חשש לאי התייצבות לשירות. כמו כן, עילת הפגיעה במשמעת </w:t>
      </w:r>
      <w:r w:rsidR="00867ACE">
        <w:rPr>
          <w:rFonts w:hint="cs"/>
          <w:rtl/>
        </w:rPr>
        <w:t>מוקהית</w:t>
      </w:r>
      <w:r>
        <w:rPr>
          <w:rFonts w:hint="cs"/>
          <w:rtl/>
        </w:rPr>
        <w:t xml:space="preserve"> במידה רבה. </w:t>
      </w:r>
    </w:p>
    <w:p w14:paraId="4B785A9D" w14:textId="42B8F962" w:rsidR="00E44D4C" w:rsidRDefault="00C3592D" w:rsidP="00592110">
      <w:pPr>
        <w:pStyle w:val="ListParagraph"/>
        <w:numPr>
          <w:ilvl w:val="0"/>
          <w:numId w:val="1"/>
        </w:numPr>
        <w:tabs>
          <w:tab w:val="left" w:pos="226"/>
        </w:tabs>
        <w:ind w:left="-2" w:firstLine="0"/>
      </w:pPr>
      <w:r>
        <w:rPr>
          <w:rFonts w:hint="cs"/>
          <w:rtl/>
        </w:rPr>
        <w:t>אמרתי שאנו מצויים כעת בעולם של מידה ולא בעולם של הכרעה בינארית</w:t>
      </w:r>
      <w:r w:rsidR="00C56D69">
        <w:rPr>
          <w:rFonts w:hint="cs"/>
          <w:rtl/>
        </w:rPr>
        <w:t>,</w:t>
      </w:r>
      <w:r>
        <w:rPr>
          <w:rFonts w:hint="cs"/>
          <w:rtl/>
        </w:rPr>
        <w:t xml:space="preserve"> שכן סוגיית החשש מהימלטות מאימת הדין נבחנת בכל מקרה לגופו. אינני סבור שיש מקום לאמירה גורפת שלפיה כל מי שנפקד במסגרת הליכי שילוב ונמנע מלהתייצב בדיונים בבית הדין ייעצר ויהי מה. קביעה שכזו תעמוד בניגוד להוראות החוק המחייבות בחינת חלופה בכל מקרה </w:t>
      </w:r>
      <w:r>
        <w:rPr>
          <w:rFonts w:hint="cs"/>
          <w:rtl/>
        </w:rPr>
        <w:lastRenderedPageBreak/>
        <w:t xml:space="preserve">ומקרה. ההחלטות שאליהן הופניתי בעניינם של </w:t>
      </w:r>
      <w:r w:rsidRPr="00E67318">
        <w:rPr>
          <w:rFonts w:hint="cs"/>
          <w:b/>
          <w:bCs/>
          <w:rtl/>
        </w:rPr>
        <w:t>בן לולו וסבג</w:t>
      </w:r>
      <w:r>
        <w:rPr>
          <w:rFonts w:hint="cs"/>
          <w:rtl/>
        </w:rPr>
        <w:t xml:space="preserve"> מוכיחות זאת. מסכים אני עם טענת המשיבה כי שני המקרים הללו שונים וקלים מהמקרה בו אנו עוסקים כאן. אין ספק שאותם מקרים מתאפיינים בייחוד</w:t>
      </w:r>
      <w:r w:rsidR="00C56D69">
        <w:rPr>
          <w:rFonts w:hint="cs"/>
          <w:rtl/>
        </w:rPr>
        <w:t>,</w:t>
      </w:r>
      <w:r>
        <w:rPr>
          <w:rFonts w:hint="cs"/>
          <w:rtl/>
        </w:rPr>
        <w:t xml:space="preserve"> באשר באחד עניין לנו במי שנקבע לו פרופיל בלתי כשיר לשירות ובאחר מדובר בעריק "מיטב" אשר מלכתחילה היסס הצבא אם לגייסו לנוכח רישום פלילי</w:t>
      </w:r>
      <w:r w:rsidR="00C56D69">
        <w:rPr>
          <w:rFonts w:hint="cs"/>
          <w:rtl/>
        </w:rPr>
        <w:t>,</w:t>
      </w:r>
      <w:r>
        <w:rPr>
          <w:rFonts w:hint="cs"/>
          <w:rtl/>
        </w:rPr>
        <w:t xml:space="preserve"> וההחלטה לפ</w:t>
      </w:r>
      <w:r w:rsidR="00700E5C">
        <w:rPr>
          <w:rFonts w:hint="cs"/>
          <w:rtl/>
        </w:rPr>
        <w:t>ו</w:t>
      </w:r>
      <w:r>
        <w:rPr>
          <w:rFonts w:hint="cs"/>
          <w:rtl/>
        </w:rPr>
        <w:t xml:space="preserve">טרו הגיעה במהרה ועוד בטרם החל שירות של ממש. </w:t>
      </w:r>
    </w:p>
    <w:p w14:paraId="2DF7D096" w14:textId="6DEAA241" w:rsidR="00E44D4C" w:rsidRDefault="00C3592D" w:rsidP="00592110">
      <w:pPr>
        <w:pStyle w:val="ListParagraph"/>
        <w:numPr>
          <w:ilvl w:val="0"/>
          <w:numId w:val="1"/>
        </w:numPr>
        <w:tabs>
          <w:tab w:val="left" w:pos="226"/>
        </w:tabs>
        <w:ind w:left="-2" w:firstLine="0"/>
      </w:pPr>
      <w:r>
        <w:rPr>
          <w:rFonts w:hint="cs"/>
          <w:rtl/>
        </w:rPr>
        <w:t>עם זאת</w:t>
      </w:r>
      <w:r w:rsidR="00286784">
        <w:rPr>
          <w:rFonts w:hint="cs"/>
          <w:rtl/>
        </w:rPr>
        <w:t>,</w:t>
      </w:r>
      <w:r>
        <w:rPr>
          <w:rFonts w:hint="cs"/>
          <w:rtl/>
        </w:rPr>
        <w:t xml:space="preserve"> סבורני שראוי בכל מקרה ומקרה לבחון האם ניתן להלום את החשש להימלטות מאימת הדין בחלופה. ראוי להניח לכף אחת של המאזניים את מספר ההיעדרויות הקודמות, משכן, דרך סיומן, ועוד נתונים הקשורים לעבירות ומן הצד השני את יכולתה של החלופה המוצעת לתת מענה טוב לאותו סיכון. במקרים מסוימים יהיה ברור ששום חלופה לא </w:t>
      </w:r>
      <w:proofErr w:type="spellStart"/>
      <w:r>
        <w:rPr>
          <w:rFonts w:hint="cs"/>
          <w:rtl/>
        </w:rPr>
        <w:t>ת</w:t>
      </w:r>
      <w:r w:rsidR="006C4CFF">
        <w:rPr>
          <w:rFonts w:hint="cs"/>
          <w:rtl/>
        </w:rPr>
        <w:t>ס</w:t>
      </w:r>
      <w:r>
        <w:rPr>
          <w:rFonts w:hint="cs"/>
          <w:rtl/>
        </w:rPr>
        <w:t>כון</w:t>
      </w:r>
      <w:proofErr w:type="spellEnd"/>
      <w:r>
        <w:rPr>
          <w:rFonts w:hint="cs"/>
          <w:rtl/>
        </w:rPr>
        <w:t>. יהיו מקרים אחרים שבהם הנטל הכבד שמוטל על הנאשם</w:t>
      </w:r>
      <w:r w:rsidR="00C56D69">
        <w:rPr>
          <w:rFonts w:hint="cs"/>
          <w:rtl/>
        </w:rPr>
        <w:t>,</w:t>
      </w:r>
      <w:r>
        <w:rPr>
          <w:rFonts w:hint="cs"/>
          <w:rtl/>
        </w:rPr>
        <w:t xml:space="preserve"> שהחשש שלא יתייצב לדיונים ניתן להפרכה</w:t>
      </w:r>
      <w:r w:rsidR="00C56D69">
        <w:rPr>
          <w:rFonts w:hint="cs"/>
          <w:rtl/>
        </w:rPr>
        <w:t>,</w:t>
      </w:r>
      <w:r>
        <w:rPr>
          <w:rFonts w:hint="cs"/>
          <w:rtl/>
        </w:rPr>
        <w:t xml:space="preserve"> יורם על ידי הצעת חלופה מתאימה. </w:t>
      </w:r>
    </w:p>
    <w:p w14:paraId="560313E5" w14:textId="5D5F7CFD" w:rsidR="00E44D4C" w:rsidRDefault="00C3592D" w:rsidP="00592110">
      <w:pPr>
        <w:pStyle w:val="ListParagraph"/>
        <w:numPr>
          <w:ilvl w:val="0"/>
          <w:numId w:val="1"/>
        </w:numPr>
        <w:tabs>
          <w:tab w:val="left" w:pos="226"/>
        </w:tabs>
        <w:ind w:left="-2" w:firstLine="0"/>
      </w:pPr>
      <w:r>
        <w:rPr>
          <w:rFonts w:hint="cs"/>
          <w:rtl/>
        </w:rPr>
        <w:t>דומני ש</w:t>
      </w:r>
      <w:r w:rsidR="00C56D69">
        <w:rPr>
          <w:rFonts w:hint="cs"/>
          <w:rtl/>
        </w:rPr>
        <w:t>ה</w:t>
      </w:r>
      <w:r>
        <w:rPr>
          <w:rFonts w:hint="cs"/>
          <w:rtl/>
        </w:rPr>
        <w:t>מקרה שלפנינו נוטה יותר לכיוון המקרים שבהם יקשה מאוד על הנאשם להציג חלופה מתאימה</w:t>
      </w:r>
      <w:r w:rsidR="00286784">
        <w:rPr>
          <w:rFonts w:hint="cs"/>
          <w:rtl/>
        </w:rPr>
        <w:t>,</w:t>
      </w:r>
      <w:r>
        <w:rPr>
          <w:rFonts w:hint="cs"/>
          <w:rtl/>
        </w:rPr>
        <w:t xml:space="preserve"> איך אינני מוכן לומר</w:t>
      </w:r>
      <w:r w:rsidR="001C7432">
        <w:rPr>
          <w:rFonts w:hint="cs"/>
          <w:rtl/>
        </w:rPr>
        <w:t xml:space="preserve"> </w:t>
      </w:r>
      <w:r>
        <w:rPr>
          <w:rFonts w:hint="cs"/>
          <w:rtl/>
        </w:rPr>
        <w:t xml:space="preserve">בהתחשב </w:t>
      </w:r>
      <w:r w:rsidRPr="00E44D4C">
        <w:rPr>
          <w:rFonts w:hint="cs"/>
          <w:b/>
          <w:bCs/>
          <w:rtl/>
        </w:rPr>
        <w:t>בכל</w:t>
      </w:r>
      <w:r>
        <w:rPr>
          <w:rFonts w:hint="cs"/>
          <w:rtl/>
        </w:rPr>
        <w:t xml:space="preserve"> הנתונים ובהם התייצבויותיו, העובדה שהתייצבותו האחרונה הגיעה בלי קשר לפטור ועוד כהנה וכהנה נתונים</w:t>
      </w:r>
      <w:r w:rsidR="0020676D">
        <w:rPr>
          <w:rFonts w:hint="cs"/>
          <w:rtl/>
        </w:rPr>
        <w:t>,</w:t>
      </w:r>
      <w:r>
        <w:rPr>
          <w:rFonts w:hint="cs"/>
          <w:rtl/>
        </w:rPr>
        <w:t xml:space="preserve"> כי שום חלופה לא </w:t>
      </w:r>
      <w:proofErr w:type="spellStart"/>
      <w:r>
        <w:rPr>
          <w:rFonts w:hint="cs"/>
          <w:rtl/>
        </w:rPr>
        <w:t>ת</w:t>
      </w:r>
      <w:r w:rsidR="006C4CFF">
        <w:rPr>
          <w:rFonts w:hint="cs"/>
          <w:rtl/>
        </w:rPr>
        <w:t>ס</w:t>
      </w:r>
      <w:r>
        <w:rPr>
          <w:rFonts w:hint="cs"/>
          <w:rtl/>
        </w:rPr>
        <w:t>כון</w:t>
      </w:r>
      <w:proofErr w:type="spellEnd"/>
      <w:r>
        <w:rPr>
          <w:rFonts w:hint="cs"/>
          <w:rtl/>
        </w:rPr>
        <w:t>.</w:t>
      </w:r>
    </w:p>
    <w:p w14:paraId="7CE67FB3" w14:textId="5C71D7FC" w:rsidR="00E44D4C" w:rsidRDefault="00C3592D" w:rsidP="00592110">
      <w:pPr>
        <w:pStyle w:val="ListParagraph"/>
        <w:numPr>
          <w:ilvl w:val="0"/>
          <w:numId w:val="1"/>
        </w:numPr>
        <w:tabs>
          <w:tab w:val="left" w:pos="226"/>
        </w:tabs>
        <w:ind w:left="-2" w:firstLine="0"/>
      </w:pPr>
      <w:r>
        <w:rPr>
          <w:rFonts w:hint="cs"/>
          <w:rtl/>
        </w:rPr>
        <w:t>סבורני שסכום הפקדה גבוה (ולא רק כתלות ביכולתו הכלכלית של העורר)</w:t>
      </w:r>
      <w:r>
        <w:rPr>
          <w:rFonts w:hint="cs"/>
        </w:rPr>
        <w:t xml:space="preserve"> </w:t>
      </w:r>
      <w:r>
        <w:rPr>
          <w:rFonts w:hint="cs"/>
          <w:rtl/>
        </w:rPr>
        <w:t>לצד ערבויות עצמאיות טובות נוספות ועוד תנאים שעשויים להיקבע</w:t>
      </w:r>
      <w:r w:rsidR="00286784">
        <w:rPr>
          <w:rFonts w:hint="cs"/>
          <w:rtl/>
        </w:rPr>
        <w:t>,</w:t>
      </w:r>
      <w:r>
        <w:rPr>
          <w:rFonts w:hint="cs"/>
          <w:rtl/>
        </w:rPr>
        <w:t xml:space="preserve"> יכולים לתת מענה לאותו חשש.</w:t>
      </w:r>
    </w:p>
    <w:p w14:paraId="6F2012EE" w14:textId="1677BBFC" w:rsidR="00E44D4C" w:rsidRDefault="00C3592D" w:rsidP="00592110">
      <w:pPr>
        <w:pStyle w:val="ListParagraph"/>
        <w:numPr>
          <w:ilvl w:val="0"/>
          <w:numId w:val="1"/>
        </w:numPr>
        <w:tabs>
          <w:tab w:val="left" w:pos="226"/>
        </w:tabs>
        <w:ind w:left="-2" w:firstLine="0"/>
      </w:pPr>
      <w:r>
        <w:rPr>
          <w:rFonts w:hint="cs"/>
          <w:rtl/>
        </w:rPr>
        <w:t>סבורני אפוא שמוטל על בית הדין קמא לבחון חלופה שתוצ</w:t>
      </w:r>
      <w:r w:rsidR="00C15CEF">
        <w:rPr>
          <w:rFonts w:hint="cs"/>
          <w:rtl/>
        </w:rPr>
        <w:t>ע</w:t>
      </w:r>
      <w:r>
        <w:rPr>
          <w:rFonts w:hint="cs"/>
          <w:rtl/>
        </w:rPr>
        <w:t xml:space="preserve"> לו לגופה ובלבד שתתאם את רוח הדברים האמורים לעיל. </w:t>
      </w:r>
    </w:p>
    <w:p w14:paraId="6E5E45E3" w14:textId="77777777" w:rsidR="00E44D4C" w:rsidRDefault="00C3592D" w:rsidP="00592110">
      <w:pPr>
        <w:pStyle w:val="ListParagraph"/>
        <w:numPr>
          <w:ilvl w:val="0"/>
          <w:numId w:val="1"/>
        </w:numPr>
        <w:tabs>
          <w:tab w:val="left" w:pos="226"/>
        </w:tabs>
        <w:ind w:left="-2" w:firstLine="0"/>
      </w:pPr>
      <w:r>
        <w:rPr>
          <w:rFonts w:hint="cs"/>
          <w:rtl/>
        </w:rPr>
        <w:t xml:space="preserve">התוצאה היא שערר מתקבל באופן חלקי כך שהעניין מוחזר לבחינה של חלופה בבית הדין קמא. מטבע הדברים הנטל מוטל על ההגנה וכפי שניתן להבין מהאמור לעיל מדובר בנטל כבד מאוד. </w:t>
      </w:r>
    </w:p>
    <w:p w14:paraId="6D3E583B" w14:textId="05B791BA" w:rsidR="00C3592D" w:rsidRPr="00DB2DBD" w:rsidRDefault="00C3592D" w:rsidP="00592110">
      <w:pPr>
        <w:pStyle w:val="ListParagraph"/>
        <w:numPr>
          <w:ilvl w:val="0"/>
          <w:numId w:val="1"/>
        </w:numPr>
        <w:tabs>
          <w:tab w:val="left" w:pos="226"/>
        </w:tabs>
        <w:ind w:left="-2" w:firstLine="0"/>
        <w:rPr>
          <w:rtl/>
        </w:rPr>
      </w:pPr>
      <w:r>
        <w:rPr>
          <w:rFonts w:hint="cs"/>
          <w:rtl/>
        </w:rPr>
        <w:t>עד לקבלת החלטה אחרת בידי בית הדין קמא יוותר העורר במעצר.</w:t>
      </w:r>
    </w:p>
    <w:p w14:paraId="0BCBCF91" w14:textId="77777777" w:rsidR="00C3592D" w:rsidRDefault="00C3592D" w:rsidP="002B500B">
      <w:pPr>
        <w:pStyle w:val="ListParagraph"/>
        <w:tabs>
          <w:tab w:val="left" w:pos="226"/>
        </w:tabs>
        <w:ind w:left="-58"/>
        <w:rPr>
          <w:rtl/>
        </w:rPr>
      </w:pPr>
    </w:p>
    <w:p w14:paraId="24E6922B" w14:textId="6E725B25" w:rsidR="00C3592D" w:rsidRDefault="00C3592D" w:rsidP="00C3592D">
      <w:pPr>
        <w:pStyle w:val="ListParagraph"/>
        <w:tabs>
          <w:tab w:val="left" w:pos="226"/>
        </w:tabs>
        <w:ind w:left="-58"/>
        <w:rPr>
          <w:rtl/>
        </w:rPr>
      </w:pPr>
      <w:r>
        <w:rPr>
          <w:rFonts w:hint="cs"/>
          <w:rtl/>
        </w:rPr>
        <w:t xml:space="preserve"> </w:t>
      </w:r>
      <w:r w:rsidRPr="00C0775F">
        <w:rPr>
          <w:rFonts w:hint="cs"/>
          <w:rtl/>
        </w:rPr>
        <w:t xml:space="preserve">ניתנה היום, </w:t>
      </w:r>
      <w:r>
        <w:rPr>
          <w:rFonts w:hint="cs"/>
          <w:rtl/>
        </w:rPr>
        <w:t xml:space="preserve">י"ב באייר </w:t>
      </w:r>
      <w:proofErr w:type="spellStart"/>
      <w:r w:rsidRPr="00C0775F">
        <w:rPr>
          <w:rFonts w:hint="cs"/>
          <w:rtl/>
        </w:rPr>
        <w:t>התשפ"</w:t>
      </w:r>
      <w:r>
        <w:rPr>
          <w:rFonts w:hint="cs"/>
          <w:rtl/>
        </w:rPr>
        <w:t>ג</w:t>
      </w:r>
      <w:proofErr w:type="spellEnd"/>
      <w:r w:rsidRPr="00C0775F">
        <w:rPr>
          <w:rFonts w:hint="cs"/>
          <w:rtl/>
        </w:rPr>
        <w:t xml:space="preserve">, </w:t>
      </w:r>
      <w:r w:rsidR="00C15CEF">
        <w:rPr>
          <w:rFonts w:hint="cs"/>
          <w:rtl/>
        </w:rPr>
        <w:t>3</w:t>
      </w:r>
      <w:r>
        <w:rPr>
          <w:rFonts w:hint="cs"/>
          <w:rtl/>
        </w:rPr>
        <w:t xml:space="preserve"> במאי</w:t>
      </w:r>
      <w:r w:rsidRPr="00C0775F">
        <w:rPr>
          <w:rFonts w:hint="cs"/>
          <w:rtl/>
        </w:rPr>
        <w:t xml:space="preserve"> 202</w:t>
      </w:r>
      <w:r>
        <w:rPr>
          <w:rFonts w:hint="cs"/>
          <w:rtl/>
        </w:rPr>
        <w:t>3</w:t>
      </w:r>
      <w:r w:rsidRPr="00C0775F">
        <w:rPr>
          <w:rFonts w:hint="cs"/>
          <w:rtl/>
        </w:rPr>
        <w:t>, בפומבי ובמעמד הצדדים.</w:t>
      </w:r>
    </w:p>
    <w:p w14:paraId="5EF41BBA" w14:textId="77777777" w:rsidR="00A5709B" w:rsidRDefault="00A5709B" w:rsidP="00C3592D">
      <w:pPr>
        <w:spacing w:after="0" w:line="240" w:lineRule="auto"/>
        <w:ind w:left="5193" w:right="-142"/>
        <w:jc w:val="both"/>
        <w:rPr>
          <w:rFonts w:ascii="Times New Roman" w:eastAsia="Times New Roman" w:hAnsi="Times New Roman" w:cs="David"/>
          <w:b/>
          <w:bCs/>
          <w:sz w:val="28"/>
          <w:szCs w:val="28"/>
          <w:rtl/>
        </w:rPr>
      </w:pPr>
    </w:p>
    <w:p w14:paraId="6C7BDC5F" w14:textId="55D887A9" w:rsidR="00C3592D" w:rsidRPr="00C3592D" w:rsidRDefault="00C3592D" w:rsidP="00C3592D">
      <w:pPr>
        <w:spacing w:after="0" w:line="240" w:lineRule="auto"/>
        <w:ind w:left="5193" w:right="-142"/>
        <w:jc w:val="both"/>
        <w:rPr>
          <w:rFonts w:ascii="Times New Roman" w:eastAsia="Times New Roman" w:hAnsi="Times New Roman" w:cs="David"/>
          <w:b/>
          <w:bCs/>
          <w:sz w:val="28"/>
          <w:szCs w:val="28"/>
          <w:rtl/>
        </w:rPr>
      </w:pPr>
      <w:r w:rsidRPr="00C3592D">
        <w:rPr>
          <w:rFonts w:ascii="Times New Roman" w:eastAsia="Times New Roman" w:hAnsi="Times New Roman" w:cs="David" w:hint="cs"/>
          <w:b/>
          <w:bCs/>
          <w:sz w:val="28"/>
          <w:szCs w:val="28"/>
          <w:rtl/>
        </w:rPr>
        <w:t>______________________</w:t>
      </w:r>
      <w:r w:rsidR="00A5709B">
        <w:rPr>
          <w:rFonts w:ascii="Times New Roman" w:eastAsia="Times New Roman" w:hAnsi="Times New Roman" w:cs="David" w:hint="cs"/>
          <w:b/>
          <w:bCs/>
          <w:sz w:val="28"/>
          <w:szCs w:val="28"/>
          <w:rtl/>
        </w:rPr>
        <w:t>_____</w:t>
      </w:r>
    </w:p>
    <w:p w14:paraId="66C229C3" w14:textId="0BFD1610" w:rsidR="00C3592D" w:rsidRPr="00C3592D" w:rsidRDefault="00C3592D" w:rsidP="00C3592D">
      <w:pPr>
        <w:spacing w:after="0" w:line="360" w:lineRule="auto"/>
        <w:jc w:val="both"/>
        <w:rPr>
          <w:rFonts w:ascii="Times New Roman" w:eastAsia="Times New Roman" w:hAnsi="Times New Roman" w:cs="David"/>
          <w:b/>
          <w:bCs/>
          <w:sz w:val="28"/>
          <w:szCs w:val="28"/>
          <w:rtl/>
        </w:rPr>
      </w:pPr>
      <w:r w:rsidRPr="00C3592D">
        <w:rPr>
          <w:rFonts w:ascii="Times New Roman" w:eastAsia="Times New Roman" w:hAnsi="Times New Roman" w:cs="David" w:hint="cs"/>
          <w:b/>
          <w:bCs/>
          <w:sz w:val="28"/>
          <w:szCs w:val="28"/>
          <w:rtl/>
        </w:rPr>
        <w:t xml:space="preserve">                                                                                   תא"ל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(מיל')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אבי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לוי        </w:t>
      </w:r>
    </w:p>
    <w:p w14:paraId="41C9046B" w14:textId="1E240969" w:rsidR="00C3592D" w:rsidRDefault="00C3592D" w:rsidP="00C3592D">
      <w:pPr>
        <w:spacing w:after="0" w:line="360" w:lineRule="auto"/>
        <w:jc w:val="both"/>
        <w:outlineLvl w:val="0"/>
        <w:rPr>
          <w:rFonts w:ascii="Times New Roman" w:eastAsia="Times New Roman" w:hAnsi="Times New Roman" w:cs="David"/>
          <w:b/>
          <w:bCs/>
          <w:sz w:val="28"/>
          <w:szCs w:val="28"/>
          <w:rtl/>
        </w:rPr>
      </w:pPr>
      <w:r w:rsidRPr="00C3592D">
        <w:rPr>
          <w:rFonts w:ascii="Times New Roman" w:eastAsia="Times New Roman" w:hAnsi="Times New Roman" w:cs="David" w:hint="cs"/>
          <w:b/>
          <w:bCs/>
          <w:sz w:val="28"/>
          <w:szCs w:val="28"/>
          <w:rtl/>
        </w:rPr>
        <w:t xml:space="preserve">                                                                                   שופט בית הדין</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הצבאי</w:t>
      </w:r>
      <w:r w:rsidRPr="00C3592D">
        <w:rPr>
          <w:rFonts w:ascii="Times New Roman" w:eastAsia="Times New Roman" w:hAnsi="Times New Roman" w:cs="David" w:hint="cs"/>
          <w:b/>
          <w:bCs/>
          <w:sz w:val="28"/>
          <w:szCs w:val="28"/>
          <w:rtl/>
        </w:rPr>
        <w:br/>
        <w:t xml:space="preserve">                                                                                   ל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ע</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ר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ע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ו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 xml:space="preserve"> ר    </w:t>
      </w:r>
      <w:r w:rsidR="00A5709B">
        <w:rPr>
          <w:rFonts w:ascii="Times New Roman" w:eastAsia="Times New Roman" w:hAnsi="Times New Roman" w:cs="David" w:hint="cs"/>
          <w:b/>
          <w:bCs/>
          <w:sz w:val="28"/>
          <w:szCs w:val="28"/>
          <w:rtl/>
        </w:rPr>
        <w:t xml:space="preserve"> </w:t>
      </w:r>
      <w:r w:rsidRPr="00C3592D">
        <w:rPr>
          <w:rFonts w:ascii="Times New Roman" w:eastAsia="Times New Roman" w:hAnsi="Times New Roman" w:cs="David" w:hint="cs"/>
          <w:b/>
          <w:bCs/>
          <w:sz w:val="28"/>
          <w:szCs w:val="28"/>
          <w:rtl/>
        </w:rPr>
        <w:t>י     ם</w:t>
      </w:r>
    </w:p>
    <w:p w14:paraId="082311BB" w14:textId="003FD94B" w:rsidR="00C3592D" w:rsidRDefault="00C3592D" w:rsidP="003D0038">
      <w:pPr>
        <w:ind w:right="-142"/>
        <w:rPr>
          <w:rtl/>
        </w:rPr>
      </w:pPr>
    </w:p>
    <w:p w14:paraId="55A52709" w14:textId="0C8889BE" w:rsidR="00A5709B" w:rsidRPr="00B53ED3" w:rsidRDefault="00A5709B" w:rsidP="003D0038">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______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sidR="003D0038">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7A7CA551" w14:textId="3BB6D03E" w:rsidR="00A5709B" w:rsidRPr="007D6E18" w:rsidRDefault="00A5709B" w:rsidP="003D0038">
      <w:pPr>
        <w:ind w:left="-58" w:right="-142"/>
        <w:rPr>
          <w:rFonts w:ascii="David" w:hAnsi="David" w:cs="David"/>
          <w:b/>
          <w:bCs/>
          <w:sz w:val="28"/>
          <w:szCs w:val="28"/>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sidR="003D0038">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ת</w:t>
      </w:r>
      <w:r w:rsidRPr="00B53ED3">
        <w:rPr>
          <w:rFonts w:ascii="David" w:hAnsi="David" w:cs="David" w:hint="cs"/>
          <w:b/>
          <w:bCs/>
          <w:sz w:val="28"/>
          <w:szCs w:val="28"/>
          <w:rtl/>
        </w:rPr>
        <w:t>אריך: _______________________</w:t>
      </w:r>
      <w:r>
        <w:rPr>
          <w:rFonts w:ascii="David" w:hAnsi="David" w:cs="David" w:hint="cs"/>
          <w:b/>
          <w:bCs/>
          <w:sz w:val="28"/>
          <w:szCs w:val="28"/>
          <w:rtl/>
        </w:rPr>
        <w:t>______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3D0038">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bookmarkEnd w:id="1"/>
    </w:p>
    <w:sectPr w:rsidR="00A5709B" w:rsidRPr="007D6E18" w:rsidSect="00700EC3">
      <w:headerReference w:type="default" r:id="rId8"/>
      <w:footerReference w:type="default" r:id="rId9"/>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193D" w14:textId="77777777" w:rsidR="00965F72" w:rsidRDefault="00965F72" w:rsidP="00700EC3">
      <w:pPr>
        <w:spacing w:after="0" w:line="240" w:lineRule="auto"/>
      </w:pPr>
      <w:r>
        <w:separator/>
      </w:r>
    </w:p>
  </w:endnote>
  <w:endnote w:type="continuationSeparator" w:id="0">
    <w:p w14:paraId="5D1833E7" w14:textId="77777777" w:rsidR="00965F72" w:rsidRDefault="00965F72" w:rsidP="0070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sz w:val="28"/>
        <w:szCs w:val="28"/>
        <w:rtl/>
      </w:rPr>
      <w:id w:val="1450208339"/>
      <w:docPartObj>
        <w:docPartGallery w:val="Page Numbers (Bottom of Page)"/>
        <w:docPartUnique/>
      </w:docPartObj>
    </w:sdtPr>
    <w:sdtEndPr>
      <w:rPr>
        <w:sz w:val="32"/>
        <w:szCs w:val="32"/>
      </w:rPr>
    </w:sdtEndPr>
    <w:sdtContent>
      <w:p w14:paraId="5A823B03" w14:textId="273B5BAC" w:rsidR="00A5709B" w:rsidRPr="002B500B" w:rsidRDefault="00A5709B">
        <w:pPr>
          <w:pStyle w:val="Footer"/>
          <w:jc w:val="center"/>
          <w:rPr>
            <w:rFonts w:ascii="David" w:hAnsi="David" w:cs="David"/>
            <w:sz w:val="28"/>
            <w:szCs w:val="28"/>
          </w:rPr>
        </w:pPr>
        <w:r w:rsidRPr="002B500B">
          <w:rPr>
            <w:rFonts w:ascii="David" w:hAnsi="David" w:cs="David"/>
            <w:sz w:val="28"/>
            <w:szCs w:val="28"/>
          </w:rPr>
          <w:fldChar w:fldCharType="begin"/>
        </w:r>
        <w:r w:rsidRPr="002B500B">
          <w:rPr>
            <w:rFonts w:ascii="David" w:hAnsi="David" w:cs="David"/>
            <w:sz w:val="28"/>
            <w:szCs w:val="28"/>
          </w:rPr>
          <w:instrText>PAGE   \* MERGEFORMAT</w:instrText>
        </w:r>
        <w:r w:rsidRPr="002B500B">
          <w:rPr>
            <w:rFonts w:ascii="David" w:hAnsi="David" w:cs="David"/>
            <w:sz w:val="28"/>
            <w:szCs w:val="28"/>
          </w:rPr>
          <w:fldChar w:fldCharType="separate"/>
        </w:r>
        <w:r w:rsidRPr="002B500B">
          <w:rPr>
            <w:rFonts w:ascii="David" w:hAnsi="David" w:cs="David"/>
            <w:sz w:val="28"/>
            <w:szCs w:val="28"/>
            <w:rtl/>
            <w:lang w:val="he-IL"/>
          </w:rPr>
          <w:t>2</w:t>
        </w:r>
        <w:r w:rsidRPr="002B500B">
          <w:rPr>
            <w:rFonts w:ascii="David" w:hAnsi="David" w:cs="David"/>
            <w:sz w:val="28"/>
            <w:szCs w:val="28"/>
          </w:rPr>
          <w:fldChar w:fldCharType="end"/>
        </w:r>
      </w:p>
    </w:sdtContent>
  </w:sdt>
  <w:p w14:paraId="1E85C0EA" w14:textId="77777777" w:rsidR="00A5709B" w:rsidRPr="002B500B" w:rsidRDefault="00A5709B">
    <w:pPr>
      <w:pStyle w:val="Footer"/>
      <w:rPr>
        <w:rFonts w:ascii="David" w:hAnsi="David" w:cs="Davi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299F" w14:textId="77777777" w:rsidR="00965F72" w:rsidRDefault="00965F72" w:rsidP="00700EC3">
      <w:pPr>
        <w:spacing w:after="0" w:line="240" w:lineRule="auto"/>
      </w:pPr>
      <w:r>
        <w:separator/>
      </w:r>
    </w:p>
  </w:footnote>
  <w:footnote w:type="continuationSeparator" w:id="0">
    <w:p w14:paraId="19AEA504" w14:textId="77777777" w:rsidR="00965F72" w:rsidRDefault="00965F72" w:rsidP="00700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9B75" w14:textId="32A6C96E" w:rsidR="00700EC3" w:rsidRPr="00926BC9" w:rsidRDefault="00700EC3">
    <w:pPr>
      <w:pStyle w:val="Header"/>
      <w:rPr>
        <w:rFonts w:ascii="David" w:hAnsi="David" w:cs="David"/>
        <w:sz w:val="28"/>
        <w:szCs w:val="28"/>
      </w:rPr>
    </w:pPr>
    <w:r w:rsidRPr="00926BC9">
      <w:rPr>
        <w:rFonts w:ascii="David" w:hAnsi="David" w:cs="David"/>
        <w:sz w:val="28"/>
        <w:szCs w:val="28"/>
        <w:rtl/>
      </w:rPr>
      <w:ptab w:relativeTo="margin" w:alignment="center" w:leader="none"/>
    </w:r>
    <w:r w:rsidR="002076D8">
      <w:rPr>
        <w:rFonts w:ascii="David" w:hAnsi="David" w:cs="David" w:hint="cs"/>
        <w:sz w:val="28"/>
        <w:szCs w:val="28"/>
        <w:rtl/>
      </w:rPr>
      <w:t>ב ל מ " ס</w:t>
    </w:r>
    <w:r w:rsidRPr="00926BC9">
      <w:rPr>
        <w:rFonts w:ascii="David" w:hAnsi="David" w:cs="David"/>
        <w:sz w:val="28"/>
        <w:szCs w:val="28"/>
        <w:rtl/>
      </w:rPr>
      <w:ptab w:relativeTo="margin" w:alignment="right" w:leader="none"/>
    </w:r>
    <w:r w:rsidRPr="00926BC9">
      <w:rPr>
        <w:rFonts w:ascii="David" w:hAnsi="David" w:cs="David"/>
        <w:sz w:val="28"/>
        <w:szCs w:val="28"/>
        <w:rtl/>
      </w:rPr>
      <w:t>ע"מ/26/23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A25DC"/>
    <w:multiLevelType w:val="hybridMultilevel"/>
    <w:tmpl w:val="E82C61A6"/>
    <w:lvl w:ilvl="0" w:tplc="30DCD6C6">
      <w:start w:val="1"/>
      <w:numFmt w:val="decimal"/>
      <w:suff w:val="space"/>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0F"/>
    <w:rsid w:val="000207E6"/>
    <w:rsid w:val="000E4D57"/>
    <w:rsid w:val="001A238B"/>
    <w:rsid w:val="001C7432"/>
    <w:rsid w:val="0020676D"/>
    <w:rsid w:val="002076D8"/>
    <w:rsid w:val="00286784"/>
    <w:rsid w:val="002B500B"/>
    <w:rsid w:val="002F7EFA"/>
    <w:rsid w:val="00373AE2"/>
    <w:rsid w:val="00382EAD"/>
    <w:rsid w:val="003B301F"/>
    <w:rsid w:val="003D0038"/>
    <w:rsid w:val="003E78B9"/>
    <w:rsid w:val="00592110"/>
    <w:rsid w:val="006242C3"/>
    <w:rsid w:val="00691F79"/>
    <w:rsid w:val="006B2DD1"/>
    <w:rsid w:val="006C4CFF"/>
    <w:rsid w:val="00700E5C"/>
    <w:rsid w:val="00700EC3"/>
    <w:rsid w:val="007759BF"/>
    <w:rsid w:val="00796749"/>
    <w:rsid w:val="00867ACE"/>
    <w:rsid w:val="008B32D8"/>
    <w:rsid w:val="00926BC9"/>
    <w:rsid w:val="00965F72"/>
    <w:rsid w:val="00A5709B"/>
    <w:rsid w:val="00B43238"/>
    <w:rsid w:val="00BE36C5"/>
    <w:rsid w:val="00C15CEF"/>
    <w:rsid w:val="00C3592D"/>
    <w:rsid w:val="00C52BE8"/>
    <w:rsid w:val="00C56D69"/>
    <w:rsid w:val="00C63326"/>
    <w:rsid w:val="00D44E82"/>
    <w:rsid w:val="00DB1B0F"/>
    <w:rsid w:val="00E44D4C"/>
    <w:rsid w:val="00E67318"/>
    <w:rsid w:val="00E97C82"/>
    <w:rsid w:val="00E97D7D"/>
    <w:rsid w:val="00EA44D8"/>
    <w:rsid w:val="00ED527C"/>
    <w:rsid w:val="00F54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56F1F"/>
  <w15:chartTrackingRefBased/>
  <w15:docId w15:val="{982F8109-29C8-45BD-937B-C964A5F9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3592D"/>
    <w:rPr>
      <w:rFonts w:ascii="Times New Roman" w:eastAsia="Times New Roman" w:hAnsi="Times New Roman" w:cs="David"/>
      <w:sz w:val="28"/>
      <w:szCs w:val="28"/>
    </w:rPr>
  </w:style>
  <w:style w:type="paragraph" w:styleId="ListParagraph">
    <w:name w:val="List Paragraph"/>
    <w:basedOn w:val="Normal"/>
    <w:link w:val="ListParagraphChar"/>
    <w:uiPriority w:val="34"/>
    <w:qFormat/>
    <w:rsid w:val="00C3592D"/>
    <w:pPr>
      <w:spacing w:after="0" w:line="360" w:lineRule="auto"/>
      <w:ind w:left="720"/>
      <w:contextualSpacing/>
      <w:jc w:val="both"/>
    </w:pPr>
    <w:rPr>
      <w:rFonts w:ascii="Times New Roman" w:eastAsia="Times New Roman" w:hAnsi="Times New Roman" w:cs="David"/>
      <w:sz w:val="28"/>
      <w:szCs w:val="28"/>
    </w:rPr>
  </w:style>
  <w:style w:type="paragraph" w:styleId="Header">
    <w:name w:val="header"/>
    <w:basedOn w:val="Normal"/>
    <w:link w:val="HeaderChar"/>
    <w:uiPriority w:val="99"/>
    <w:unhideWhenUsed/>
    <w:rsid w:val="00700E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EC3"/>
  </w:style>
  <w:style w:type="paragraph" w:styleId="Footer">
    <w:name w:val="footer"/>
    <w:basedOn w:val="Normal"/>
    <w:link w:val="FooterChar"/>
    <w:uiPriority w:val="99"/>
    <w:unhideWhenUsed/>
    <w:rsid w:val="00700E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1AD-E8AB-464F-9F4F-4E79EBEB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1014</Words>
  <Characters>5070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משפטית/דניאל אוזן</dc:creator>
  <cp:keywords/>
  <dc:description/>
  <cp:lastModifiedBy>יבד"ץ 205/בית הדין לערעורים/עוזרת משפטית/דניאל אוזן</cp:lastModifiedBy>
  <cp:revision>39</cp:revision>
  <cp:lastPrinted>2023-05-07T12:23:00Z</cp:lastPrinted>
  <dcterms:created xsi:type="dcterms:W3CDTF">2023-05-04T07:42:00Z</dcterms:created>
  <dcterms:modified xsi:type="dcterms:W3CDTF">2023-05-07T14:07:00Z</dcterms:modified>
</cp:coreProperties>
</file>