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1B30A" w14:textId="77777777" w:rsidR="00C9121E" w:rsidRDefault="00C9121E" w:rsidP="00C9121E">
      <w:pPr>
        <w:jc w:val="center"/>
        <w:rPr>
          <w:rFonts w:ascii="David" w:hAnsi="David"/>
          <w:b/>
          <w:bCs/>
          <w:sz w:val="32"/>
          <w:szCs w:val="32"/>
          <w:rtl/>
        </w:rPr>
      </w:pPr>
      <w:r w:rsidRPr="00956C06">
        <w:rPr>
          <w:rFonts w:hint="cs"/>
          <w:b/>
          <w:bCs/>
          <w:sz w:val="32"/>
          <w:szCs w:val="32"/>
          <w:rtl/>
        </w:rPr>
        <w:t>צבא הגנה לישראל</w:t>
      </w:r>
    </w:p>
    <w:p w14:paraId="03BE69C4" w14:textId="77777777" w:rsidR="00C9121E" w:rsidRDefault="00C9121E" w:rsidP="00C9121E">
      <w:pPr>
        <w:jc w:val="center"/>
        <w:rPr>
          <w:rFonts w:ascii="David" w:hAnsi="David"/>
          <w:b/>
          <w:bCs/>
          <w:sz w:val="32"/>
          <w:szCs w:val="32"/>
          <w:rtl/>
        </w:rPr>
      </w:pPr>
    </w:p>
    <w:p w14:paraId="3AEC4398" w14:textId="773B8169" w:rsidR="00C9121E" w:rsidRPr="00251191" w:rsidRDefault="00C9121E" w:rsidP="00C9121E">
      <w:pPr>
        <w:jc w:val="center"/>
        <w:textAlignment w:val="baseline"/>
        <w:rPr>
          <w:b/>
          <w:bCs/>
          <w:sz w:val="32"/>
          <w:szCs w:val="32"/>
          <w:rtl/>
        </w:rPr>
      </w:pPr>
      <w:r w:rsidRPr="00956C06">
        <w:rPr>
          <w:rFonts w:hint="cs"/>
          <w:b/>
          <w:bCs/>
          <w:sz w:val="32"/>
          <w:szCs w:val="32"/>
          <w:rtl/>
        </w:rPr>
        <w:t>צו מס'</w:t>
      </w:r>
      <w:r w:rsidRPr="00956C06">
        <w:rPr>
          <w:b/>
          <w:bCs/>
          <w:sz w:val="32"/>
          <w:szCs w:val="32"/>
        </w:rPr>
        <w:t xml:space="preserve"> </w:t>
      </w:r>
      <w:r w:rsidRPr="00956C06">
        <w:rPr>
          <w:rFonts w:hint="cs"/>
          <w:b/>
          <w:bCs/>
          <w:sz w:val="32"/>
          <w:szCs w:val="32"/>
          <w:rtl/>
        </w:rPr>
        <w:t xml:space="preserve"> </w:t>
      </w:r>
      <w:r>
        <w:rPr>
          <w:rFonts w:hint="cs"/>
          <w:b/>
          <w:bCs/>
          <w:sz w:val="32"/>
          <w:szCs w:val="32"/>
          <w:rtl/>
        </w:rPr>
        <w:t>2219</w:t>
      </w:r>
    </w:p>
    <w:p w14:paraId="14E9EB53" w14:textId="77777777" w:rsidR="00C9121E" w:rsidRDefault="00C9121E" w:rsidP="00C9121E">
      <w:pPr>
        <w:rPr>
          <w:rFonts w:ascii="David" w:hAnsi="David"/>
          <w:b/>
          <w:bCs/>
          <w:sz w:val="32"/>
          <w:szCs w:val="32"/>
          <w:rtl/>
        </w:rPr>
      </w:pPr>
    </w:p>
    <w:p w14:paraId="6CF57F1B" w14:textId="753BB351" w:rsidR="00C9121E" w:rsidRPr="00807D37" w:rsidRDefault="00C9121E" w:rsidP="00C9121E">
      <w:pPr>
        <w:jc w:val="center"/>
        <w:rPr>
          <w:rFonts w:ascii="David" w:hAnsi="David"/>
          <w:b/>
          <w:bCs/>
          <w:sz w:val="32"/>
          <w:szCs w:val="32"/>
          <w:rtl/>
        </w:rPr>
      </w:pPr>
      <w:r w:rsidRPr="00956C06">
        <w:rPr>
          <w:rFonts w:ascii="Segoe UI" w:hAnsi="Segoe UI" w:hint="cs"/>
          <w:b/>
          <w:bCs/>
          <w:sz w:val="32"/>
          <w:szCs w:val="32"/>
          <w:rtl/>
        </w:rPr>
        <w:t>צו בדבר הוראות ביטחון (תיקון מס'</w:t>
      </w:r>
      <w:r>
        <w:rPr>
          <w:rFonts w:ascii="Segoe UI" w:hAnsi="Segoe UI" w:hint="cs"/>
          <w:b/>
          <w:bCs/>
          <w:sz w:val="32"/>
          <w:szCs w:val="32"/>
          <w:rtl/>
        </w:rPr>
        <w:t xml:space="preserve"> 88</w:t>
      </w:r>
      <w:r w:rsidRPr="00956C06">
        <w:rPr>
          <w:rFonts w:ascii="Segoe UI" w:hAnsi="Segoe UI" w:hint="cs"/>
          <w:b/>
          <w:bCs/>
          <w:sz w:val="32"/>
          <w:szCs w:val="32"/>
          <w:rtl/>
        </w:rPr>
        <w:t>) (יהודה ושומרון)</w:t>
      </w:r>
      <w:r>
        <w:rPr>
          <w:rFonts w:ascii="Segoe UI" w:hAnsi="Segoe UI" w:hint="cs"/>
          <w:b/>
          <w:bCs/>
          <w:sz w:val="32"/>
          <w:szCs w:val="32"/>
          <w:rtl/>
        </w:rPr>
        <w:t xml:space="preserve"> (מס' </w:t>
      </w:r>
      <w:r>
        <w:rPr>
          <w:rFonts w:ascii="Segoe UI" w:hAnsi="Segoe UI" w:hint="cs"/>
          <w:b/>
          <w:bCs/>
          <w:sz w:val="32"/>
          <w:szCs w:val="32"/>
          <w:rtl/>
        </w:rPr>
        <w:t>2219</w:t>
      </w:r>
      <w:r>
        <w:rPr>
          <w:rFonts w:ascii="Segoe UI" w:hAnsi="Segoe UI" w:hint="cs"/>
          <w:b/>
          <w:bCs/>
          <w:sz w:val="32"/>
          <w:szCs w:val="32"/>
          <w:rtl/>
        </w:rPr>
        <w:t>)</w:t>
      </w:r>
      <w:r w:rsidRPr="00956C06">
        <w:rPr>
          <w:rFonts w:ascii="Segoe UI" w:hAnsi="Segoe UI" w:hint="cs"/>
          <w:b/>
          <w:bCs/>
          <w:sz w:val="32"/>
          <w:szCs w:val="32"/>
          <w:rtl/>
        </w:rPr>
        <w:t>, התשפ"</w:t>
      </w:r>
      <w:r>
        <w:rPr>
          <w:rFonts w:ascii="Segoe UI" w:hAnsi="Segoe UI" w:hint="cs"/>
          <w:b/>
          <w:bCs/>
          <w:sz w:val="32"/>
          <w:szCs w:val="32"/>
          <w:rtl/>
        </w:rPr>
        <w:t>ה</w:t>
      </w:r>
      <w:r w:rsidRPr="00956C06">
        <w:rPr>
          <w:rFonts w:ascii="Segoe UI" w:hAnsi="Segoe UI" w:hint="cs"/>
          <w:b/>
          <w:bCs/>
          <w:sz w:val="32"/>
          <w:szCs w:val="32"/>
          <w:rtl/>
        </w:rPr>
        <w:t>-2024</w:t>
      </w:r>
    </w:p>
    <w:p w14:paraId="211A123E" w14:textId="77777777" w:rsidR="00C9121E" w:rsidRDefault="00C9121E" w:rsidP="00C9121E">
      <w:pPr>
        <w:rPr>
          <w:rtl/>
        </w:rPr>
      </w:pPr>
    </w:p>
    <w:p w14:paraId="003A8981" w14:textId="77777777" w:rsidR="00C9121E" w:rsidRDefault="00C9121E" w:rsidP="00C9121E">
      <w:pPr>
        <w:rPr>
          <w:rFonts w:ascii="David" w:hAnsi="David"/>
          <w:b/>
          <w:bCs/>
          <w:sz w:val="32"/>
          <w:szCs w:val="32"/>
          <w:rtl/>
        </w:rPr>
      </w:pPr>
      <w:r w:rsidRPr="00D35E74">
        <w:rPr>
          <w:rFonts w:hint="cs"/>
          <w:rtl/>
        </w:rPr>
        <w:t>בתוקף סמכותי כמפקד כוחות צה"ל באזור, ובהיותי סבור</w:t>
      </w:r>
      <w:r>
        <w:rPr>
          <w:rFonts w:hint="cs"/>
          <w:rtl/>
        </w:rPr>
        <w:t xml:space="preserve"> כי הדבר נחוץ לשם שמירה על הסדר </w:t>
      </w:r>
      <w:r w:rsidRPr="00D35E74">
        <w:rPr>
          <w:rFonts w:hint="cs"/>
          <w:rtl/>
        </w:rPr>
        <w:t>הציבורי וביטחון האזור, הנני מצווה בזאת לאמור:</w:t>
      </w:r>
    </w:p>
    <w:tbl>
      <w:tblPr>
        <w:tblpPr w:leftFromText="180" w:rightFromText="180" w:vertAnchor="page" w:horzAnchor="margin" w:tblpY="4251"/>
        <w:bidiVisual/>
        <w:tblW w:w="9075" w:type="dxa"/>
        <w:tblLayout w:type="fixed"/>
        <w:tblLook w:val="0000" w:firstRow="0" w:lastRow="0" w:firstColumn="0" w:lastColumn="0" w:noHBand="0" w:noVBand="0"/>
      </w:tblPr>
      <w:tblGrid>
        <w:gridCol w:w="1267"/>
        <w:gridCol w:w="611"/>
        <w:gridCol w:w="1234"/>
        <w:gridCol w:w="851"/>
        <w:gridCol w:w="567"/>
        <w:gridCol w:w="567"/>
        <w:gridCol w:w="3978"/>
      </w:tblGrid>
      <w:tr w:rsidR="00C9121E" w:rsidRPr="00D35E74" w14:paraId="638E113F" w14:textId="77777777" w:rsidTr="00613963">
        <w:trPr>
          <w:cantSplit/>
        </w:trPr>
        <w:tc>
          <w:tcPr>
            <w:tcW w:w="1267" w:type="dxa"/>
          </w:tcPr>
          <w:p w14:paraId="60B9B715" w14:textId="77777777" w:rsidR="00C9121E" w:rsidRDefault="00C9121E" w:rsidP="00613963">
            <w:pPr>
              <w:jc w:val="both"/>
              <w:textAlignment w:val="baseline"/>
              <w:rPr>
                <w:b/>
                <w:bCs/>
                <w:sz w:val="24"/>
                <w:rtl/>
              </w:rPr>
            </w:pPr>
          </w:p>
        </w:tc>
        <w:tc>
          <w:tcPr>
            <w:tcW w:w="611" w:type="dxa"/>
          </w:tcPr>
          <w:p w14:paraId="4FB19AB0" w14:textId="77777777" w:rsidR="00C9121E" w:rsidRPr="00D35E74" w:rsidRDefault="00C9121E" w:rsidP="00613963">
            <w:pPr>
              <w:ind w:left="360"/>
              <w:jc w:val="both"/>
              <w:textAlignment w:val="baseline"/>
              <w:rPr>
                <w:szCs w:val="18"/>
                <w:rtl/>
              </w:rPr>
            </w:pPr>
          </w:p>
        </w:tc>
        <w:tc>
          <w:tcPr>
            <w:tcW w:w="7197" w:type="dxa"/>
            <w:gridSpan w:val="5"/>
          </w:tcPr>
          <w:p w14:paraId="6B88360A" w14:textId="77777777" w:rsidR="00C9121E" w:rsidRDefault="00C9121E" w:rsidP="00613963">
            <w:pPr>
              <w:jc w:val="both"/>
              <w:textAlignment w:val="baseline"/>
              <w:rPr>
                <w:rtl/>
              </w:rPr>
            </w:pPr>
          </w:p>
        </w:tc>
      </w:tr>
      <w:tr w:rsidR="00C9121E" w:rsidRPr="00D35E74" w14:paraId="06D28B15" w14:textId="77777777" w:rsidTr="00613963">
        <w:trPr>
          <w:cantSplit/>
        </w:trPr>
        <w:tc>
          <w:tcPr>
            <w:tcW w:w="1267" w:type="dxa"/>
          </w:tcPr>
          <w:p w14:paraId="5C388237" w14:textId="77777777" w:rsidR="00C9121E" w:rsidRPr="00D35E74" w:rsidRDefault="00C9121E" w:rsidP="00613963">
            <w:pPr>
              <w:jc w:val="both"/>
              <w:textAlignment w:val="baseline"/>
              <w:rPr>
                <w:szCs w:val="18"/>
                <w:rtl/>
              </w:rPr>
            </w:pPr>
            <w:r>
              <w:rPr>
                <w:rFonts w:hint="cs"/>
                <w:b/>
                <w:bCs/>
                <w:sz w:val="24"/>
                <w:rtl/>
              </w:rPr>
              <w:t xml:space="preserve">הוספת סעיף 237ג </w:t>
            </w:r>
          </w:p>
        </w:tc>
        <w:tc>
          <w:tcPr>
            <w:tcW w:w="611" w:type="dxa"/>
          </w:tcPr>
          <w:p w14:paraId="7EE85A22" w14:textId="77777777" w:rsidR="00C9121E" w:rsidRDefault="00C9121E" w:rsidP="00613963">
            <w:pPr>
              <w:pStyle w:val="a9"/>
              <w:textAlignment w:val="baseline"/>
              <w:rPr>
                <w:szCs w:val="18"/>
                <w:rtl/>
              </w:rPr>
            </w:pPr>
          </w:p>
          <w:p w14:paraId="32D6C89B" w14:textId="77777777" w:rsidR="00C9121E" w:rsidRPr="00ED6AD6" w:rsidRDefault="00C9121E" w:rsidP="00613963">
            <w:pPr>
              <w:rPr>
                <w:rtl/>
              </w:rPr>
            </w:pPr>
            <w:r>
              <w:rPr>
                <w:rFonts w:hint="cs"/>
                <w:rtl/>
              </w:rPr>
              <w:t>1.</w:t>
            </w:r>
          </w:p>
        </w:tc>
        <w:tc>
          <w:tcPr>
            <w:tcW w:w="7197" w:type="dxa"/>
            <w:gridSpan w:val="5"/>
          </w:tcPr>
          <w:p w14:paraId="74DABEB1" w14:textId="77777777" w:rsidR="00C9121E" w:rsidRPr="00D35E74" w:rsidRDefault="00C9121E" w:rsidP="00613963">
            <w:pPr>
              <w:jc w:val="both"/>
              <w:textAlignment w:val="baseline"/>
              <w:rPr>
                <w:rtl/>
              </w:rPr>
            </w:pPr>
            <w:r>
              <w:rPr>
                <w:rFonts w:hint="cs"/>
                <w:rtl/>
              </w:rPr>
              <w:t xml:space="preserve">בצו בדבר הוראות ביטחון [נוסח משולב] (יהודה והשומרון) (מס' 1651), התש"ע-2009 (להלן </w:t>
            </w:r>
            <w:r>
              <w:rPr>
                <w:rtl/>
              </w:rPr>
              <w:t>–</w:t>
            </w:r>
            <w:r>
              <w:rPr>
                <w:rFonts w:hint="cs"/>
                <w:rtl/>
              </w:rPr>
              <w:t xml:space="preserve"> הצו העיקרי), אחרי סעיף 237ב, יבוא:  </w:t>
            </w:r>
          </w:p>
        </w:tc>
      </w:tr>
      <w:tr w:rsidR="00C9121E" w:rsidRPr="00D35E74" w14:paraId="5370EF01" w14:textId="77777777" w:rsidTr="00613963">
        <w:trPr>
          <w:cantSplit/>
        </w:trPr>
        <w:tc>
          <w:tcPr>
            <w:tcW w:w="1267" w:type="dxa"/>
          </w:tcPr>
          <w:p w14:paraId="562E64FE" w14:textId="77777777" w:rsidR="00C9121E" w:rsidRPr="00D35E74" w:rsidRDefault="00C9121E" w:rsidP="00613963">
            <w:pPr>
              <w:jc w:val="both"/>
              <w:textAlignment w:val="baseline"/>
              <w:rPr>
                <w:b/>
                <w:bCs/>
                <w:sz w:val="24"/>
                <w:rtl/>
              </w:rPr>
            </w:pPr>
          </w:p>
        </w:tc>
        <w:tc>
          <w:tcPr>
            <w:tcW w:w="611" w:type="dxa"/>
          </w:tcPr>
          <w:p w14:paraId="4CE53F3C" w14:textId="77777777" w:rsidR="00C9121E" w:rsidRPr="00D35E74" w:rsidRDefault="00C9121E" w:rsidP="00613963">
            <w:pPr>
              <w:jc w:val="both"/>
              <w:textAlignment w:val="baseline"/>
              <w:rPr>
                <w:szCs w:val="18"/>
                <w:rtl/>
              </w:rPr>
            </w:pPr>
          </w:p>
        </w:tc>
        <w:tc>
          <w:tcPr>
            <w:tcW w:w="7197" w:type="dxa"/>
            <w:gridSpan w:val="5"/>
          </w:tcPr>
          <w:p w14:paraId="11B7CE45" w14:textId="77777777" w:rsidR="00C9121E" w:rsidRPr="00D35E74" w:rsidRDefault="00C9121E" w:rsidP="00613963">
            <w:pPr>
              <w:jc w:val="both"/>
              <w:textAlignment w:val="baseline"/>
              <w:rPr>
                <w:rtl/>
              </w:rPr>
            </w:pPr>
          </w:p>
        </w:tc>
      </w:tr>
      <w:tr w:rsidR="00C9121E" w:rsidRPr="00D35E74" w14:paraId="3F25C3A1" w14:textId="77777777" w:rsidTr="00613963">
        <w:trPr>
          <w:cantSplit/>
        </w:trPr>
        <w:tc>
          <w:tcPr>
            <w:tcW w:w="1267" w:type="dxa"/>
          </w:tcPr>
          <w:p w14:paraId="2E8DCD36" w14:textId="77777777" w:rsidR="00C9121E" w:rsidRPr="00D35E74" w:rsidRDefault="00C9121E" w:rsidP="00613963">
            <w:pPr>
              <w:jc w:val="both"/>
              <w:textAlignment w:val="baseline"/>
              <w:rPr>
                <w:b/>
                <w:bCs/>
                <w:sz w:val="24"/>
                <w:rtl/>
              </w:rPr>
            </w:pPr>
          </w:p>
        </w:tc>
        <w:tc>
          <w:tcPr>
            <w:tcW w:w="611" w:type="dxa"/>
          </w:tcPr>
          <w:p w14:paraId="11064DE9" w14:textId="77777777" w:rsidR="00C9121E" w:rsidRPr="00D35E74" w:rsidRDefault="00C9121E" w:rsidP="00613963">
            <w:pPr>
              <w:jc w:val="both"/>
              <w:textAlignment w:val="baseline"/>
              <w:rPr>
                <w:szCs w:val="18"/>
                <w:rtl/>
              </w:rPr>
            </w:pPr>
          </w:p>
        </w:tc>
        <w:tc>
          <w:tcPr>
            <w:tcW w:w="1234" w:type="dxa"/>
          </w:tcPr>
          <w:p w14:paraId="39E7AD73" w14:textId="77777777" w:rsidR="00C9121E" w:rsidRPr="00781DEB" w:rsidRDefault="00C9121E" w:rsidP="00613963">
            <w:pPr>
              <w:jc w:val="both"/>
              <w:textAlignment w:val="baseline"/>
              <w:rPr>
                <w:rtl/>
              </w:rPr>
            </w:pPr>
            <w:r>
              <w:rPr>
                <w:rFonts w:hint="cs"/>
                <w:b/>
                <w:bCs/>
                <w:sz w:val="24"/>
                <w:rtl/>
              </w:rPr>
              <w:t>"</w:t>
            </w:r>
            <w:r w:rsidRPr="00781DEB">
              <w:rPr>
                <w:rFonts w:hint="cs"/>
                <w:b/>
                <w:bCs/>
                <w:sz w:val="24"/>
                <w:rtl/>
              </w:rPr>
              <w:t>גיוס להתאחדות בלתי מותרת</w:t>
            </w:r>
          </w:p>
        </w:tc>
        <w:tc>
          <w:tcPr>
            <w:tcW w:w="851" w:type="dxa"/>
          </w:tcPr>
          <w:p w14:paraId="07F5EB66" w14:textId="77777777" w:rsidR="00C9121E" w:rsidRPr="00D35E74" w:rsidRDefault="00C9121E" w:rsidP="00613963">
            <w:pPr>
              <w:jc w:val="both"/>
              <w:textAlignment w:val="baseline"/>
              <w:rPr>
                <w:rtl/>
              </w:rPr>
            </w:pPr>
            <w:r>
              <w:rPr>
                <w:rFonts w:hint="cs"/>
                <w:rtl/>
              </w:rPr>
              <w:t>237ג.</w:t>
            </w:r>
          </w:p>
        </w:tc>
        <w:tc>
          <w:tcPr>
            <w:tcW w:w="5112" w:type="dxa"/>
            <w:gridSpan w:val="3"/>
          </w:tcPr>
          <w:p w14:paraId="00545AA3" w14:textId="77777777" w:rsidR="00C9121E" w:rsidRPr="00D35E74" w:rsidRDefault="00C9121E" w:rsidP="00613963">
            <w:pPr>
              <w:jc w:val="both"/>
              <w:textAlignment w:val="baseline"/>
              <w:rPr>
                <w:rtl/>
              </w:rPr>
            </w:pPr>
            <w:r>
              <w:rPr>
                <w:rFonts w:hint="cs"/>
                <w:rtl/>
              </w:rPr>
              <w:t xml:space="preserve">המגייס, במישרין או בעקיפין, חבר להתאחדות בלתי מותרת, דינו </w:t>
            </w:r>
            <w:r>
              <w:rPr>
                <w:rtl/>
              </w:rPr>
              <w:t>–</w:t>
            </w:r>
            <w:r>
              <w:rPr>
                <w:rFonts w:hint="cs"/>
                <w:rtl/>
              </w:rPr>
              <w:t xml:space="preserve"> מאסר 10 שנים.".</w:t>
            </w:r>
          </w:p>
        </w:tc>
      </w:tr>
      <w:tr w:rsidR="00C9121E" w:rsidRPr="00D35E74" w14:paraId="2D20DA0B" w14:textId="77777777" w:rsidTr="00613963">
        <w:trPr>
          <w:cantSplit/>
        </w:trPr>
        <w:tc>
          <w:tcPr>
            <w:tcW w:w="1267" w:type="dxa"/>
          </w:tcPr>
          <w:p w14:paraId="26CEDBF8" w14:textId="77777777" w:rsidR="00C9121E" w:rsidRPr="00D35E74" w:rsidRDefault="00C9121E" w:rsidP="00613963">
            <w:pPr>
              <w:jc w:val="both"/>
              <w:textAlignment w:val="baseline"/>
              <w:rPr>
                <w:b/>
                <w:bCs/>
                <w:sz w:val="24"/>
                <w:rtl/>
              </w:rPr>
            </w:pPr>
          </w:p>
        </w:tc>
        <w:tc>
          <w:tcPr>
            <w:tcW w:w="611" w:type="dxa"/>
          </w:tcPr>
          <w:p w14:paraId="68D99135" w14:textId="77777777" w:rsidR="00C9121E" w:rsidRPr="00D35E74" w:rsidRDefault="00C9121E" w:rsidP="00613963">
            <w:pPr>
              <w:jc w:val="both"/>
              <w:textAlignment w:val="baseline"/>
              <w:rPr>
                <w:szCs w:val="18"/>
                <w:rtl/>
              </w:rPr>
            </w:pPr>
          </w:p>
        </w:tc>
        <w:tc>
          <w:tcPr>
            <w:tcW w:w="7197" w:type="dxa"/>
            <w:gridSpan w:val="5"/>
          </w:tcPr>
          <w:p w14:paraId="7DA48F78" w14:textId="77777777" w:rsidR="00C9121E" w:rsidRPr="00781DEB" w:rsidRDefault="00C9121E" w:rsidP="00613963">
            <w:pPr>
              <w:jc w:val="both"/>
              <w:textAlignment w:val="baseline"/>
              <w:rPr>
                <w:rtl/>
              </w:rPr>
            </w:pPr>
          </w:p>
        </w:tc>
      </w:tr>
      <w:tr w:rsidR="00C9121E" w:rsidRPr="00D35E74" w14:paraId="725AEE70" w14:textId="77777777" w:rsidTr="00613963">
        <w:trPr>
          <w:cantSplit/>
        </w:trPr>
        <w:tc>
          <w:tcPr>
            <w:tcW w:w="1267" w:type="dxa"/>
            <w:vMerge w:val="restart"/>
          </w:tcPr>
          <w:p w14:paraId="60599DC1" w14:textId="77777777" w:rsidR="00C9121E" w:rsidRPr="00D35E74" w:rsidRDefault="00C9121E" w:rsidP="00613963">
            <w:pPr>
              <w:jc w:val="both"/>
              <w:textAlignment w:val="baseline"/>
              <w:rPr>
                <w:b/>
                <w:bCs/>
                <w:sz w:val="24"/>
                <w:rtl/>
              </w:rPr>
            </w:pPr>
            <w:r>
              <w:rPr>
                <w:rFonts w:hint="cs"/>
                <w:b/>
                <w:bCs/>
                <w:sz w:val="24"/>
                <w:rtl/>
              </w:rPr>
              <w:t>הוספת סעיף 238א</w:t>
            </w:r>
          </w:p>
        </w:tc>
        <w:tc>
          <w:tcPr>
            <w:tcW w:w="611" w:type="dxa"/>
          </w:tcPr>
          <w:p w14:paraId="6905D312" w14:textId="77777777" w:rsidR="00C9121E" w:rsidRPr="00ED6AD6" w:rsidRDefault="00C9121E" w:rsidP="00613963">
            <w:pPr>
              <w:jc w:val="both"/>
              <w:textAlignment w:val="baseline"/>
              <w:rPr>
                <w:rtl/>
              </w:rPr>
            </w:pPr>
            <w:r w:rsidRPr="00ED6AD6">
              <w:rPr>
                <w:rFonts w:hint="cs"/>
                <w:rtl/>
              </w:rPr>
              <w:t xml:space="preserve">2. </w:t>
            </w:r>
          </w:p>
        </w:tc>
        <w:tc>
          <w:tcPr>
            <w:tcW w:w="7197" w:type="dxa"/>
            <w:gridSpan w:val="5"/>
          </w:tcPr>
          <w:p w14:paraId="1F7F5134" w14:textId="77777777" w:rsidR="00C9121E" w:rsidRPr="00781DEB" w:rsidRDefault="00C9121E" w:rsidP="00613963">
            <w:pPr>
              <w:jc w:val="both"/>
              <w:textAlignment w:val="baseline"/>
              <w:rPr>
                <w:rtl/>
              </w:rPr>
            </w:pPr>
            <w:r w:rsidRPr="00781DEB">
              <w:rPr>
                <w:rFonts w:hint="cs"/>
                <w:rtl/>
              </w:rPr>
              <w:t>בצו</w:t>
            </w:r>
            <w:r>
              <w:rPr>
                <w:rFonts w:hint="cs"/>
                <w:rtl/>
              </w:rPr>
              <w:t xml:space="preserve"> העיקרי</w:t>
            </w:r>
            <w:r w:rsidRPr="00781DEB">
              <w:rPr>
                <w:rFonts w:hint="cs"/>
                <w:rtl/>
              </w:rPr>
              <w:t>, אחרי סעיף 238, יבוא:</w:t>
            </w:r>
          </w:p>
        </w:tc>
      </w:tr>
      <w:tr w:rsidR="00C9121E" w:rsidRPr="00D35E74" w14:paraId="7A0A3075" w14:textId="77777777" w:rsidTr="00613963">
        <w:trPr>
          <w:cantSplit/>
        </w:trPr>
        <w:tc>
          <w:tcPr>
            <w:tcW w:w="1267" w:type="dxa"/>
            <w:vMerge/>
          </w:tcPr>
          <w:p w14:paraId="257A2185" w14:textId="77777777" w:rsidR="00C9121E" w:rsidRDefault="00C9121E" w:rsidP="00613963">
            <w:pPr>
              <w:jc w:val="both"/>
              <w:textAlignment w:val="baseline"/>
              <w:rPr>
                <w:b/>
                <w:bCs/>
                <w:sz w:val="24"/>
                <w:rtl/>
              </w:rPr>
            </w:pPr>
          </w:p>
        </w:tc>
        <w:tc>
          <w:tcPr>
            <w:tcW w:w="611" w:type="dxa"/>
          </w:tcPr>
          <w:p w14:paraId="5964B545" w14:textId="77777777" w:rsidR="00C9121E" w:rsidRPr="00D35E74" w:rsidRDefault="00C9121E" w:rsidP="00613963">
            <w:pPr>
              <w:ind w:left="720"/>
              <w:jc w:val="both"/>
              <w:textAlignment w:val="baseline"/>
              <w:rPr>
                <w:szCs w:val="18"/>
                <w:rtl/>
              </w:rPr>
            </w:pPr>
          </w:p>
        </w:tc>
        <w:tc>
          <w:tcPr>
            <w:tcW w:w="7197" w:type="dxa"/>
            <w:gridSpan w:val="5"/>
          </w:tcPr>
          <w:p w14:paraId="078AFCA0" w14:textId="77777777" w:rsidR="00C9121E" w:rsidRPr="00781DEB" w:rsidRDefault="00C9121E" w:rsidP="00613963">
            <w:pPr>
              <w:jc w:val="both"/>
              <w:textAlignment w:val="baseline"/>
              <w:rPr>
                <w:rtl/>
              </w:rPr>
            </w:pPr>
          </w:p>
        </w:tc>
      </w:tr>
      <w:tr w:rsidR="00C9121E" w:rsidRPr="00D35E74" w14:paraId="3CB5DBCA" w14:textId="77777777" w:rsidTr="00613963">
        <w:trPr>
          <w:cantSplit/>
        </w:trPr>
        <w:tc>
          <w:tcPr>
            <w:tcW w:w="1267" w:type="dxa"/>
          </w:tcPr>
          <w:p w14:paraId="73F1EA64" w14:textId="77777777" w:rsidR="00C9121E" w:rsidRDefault="00C9121E" w:rsidP="00613963">
            <w:pPr>
              <w:jc w:val="both"/>
              <w:textAlignment w:val="baseline"/>
              <w:rPr>
                <w:b/>
                <w:bCs/>
                <w:sz w:val="24"/>
                <w:rtl/>
              </w:rPr>
            </w:pPr>
          </w:p>
        </w:tc>
        <w:tc>
          <w:tcPr>
            <w:tcW w:w="611" w:type="dxa"/>
          </w:tcPr>
          <w:p w14:paraId="22BA0221" w14:textId="77777777" w:rsidR="00C9121E" w:rsidRPr="00D35E74" w:rsidRDefault="00C9121E" w:rsidP="00613963">
            <w:pPr>
              <w:ind w:left="720"/>
              <w:jc w:val="both"/>
              <w:textAlignment w:val="baseline"/>
              <w:rPr>
                <w:szCs w:val="18"/>
                <w:rtl/>
              </w:rPr>
            </w:pPr>
          </w:p>
        </w:tc>
        <w:tc>
          <w:tcPr>
            <w:tcW w:w="1234" w:type="dxa"/>
          </w:tcPr>
          <w:p w14:paraId="54F072F2" w14:textId="77777777" w:rsidR="00C9121E" w:rsidRPr="00781DEB" w:rsidRDefault="00C9121E" w:rsidP="00613963">
            <w:pPr>
              <w:jc w:val="both"/>
              <w:textAlignment w:val="baseline"/>
              <w:rPr>
                <w:rtl/>
              </w:rPr>
            </w:pPr>
            <w:r>
              <w:rPr>
                <w:rFonts w:hint="cs"/>
                <w:rtl/>
              </w:rPr>
              <w:t>"</w:t>
            </w:r>
            <w:r w:rsidRPr="00781DEB">
              <w:rPr>
                <w:rFonts w:hint="cs"/>
                <w:b/>
                <w:bCs/>
                <w:sz w:val="24"/>
                <w:rtl/>
              </w:rPr>
              <w:t xml:space="preserve">איסור קיום אימונים לצורך ביצוע עבירה </w:t>
            </w:r>
          </w:p>
        </w:tc>
        <w:tc>
          <w:tcPr>
            <w:tcW w:w="851" w:type="dxa"/>
          </w:tcPr>
          <w:p w14:paraId="27768848" w14:textId="77777777" w:rsidR="00C9121E" w:rsidRDefault="00C9121E" w:rsidP="00613963">
            <w:pPr>
              <w:jc w:val="both"/>
              <w:textAlignment w:val="baseline"/>
              <w:rPr>
                <w:rtl/>
              </w:rPr>
            </w:pPr>
            <w:r>
              <w:rPr>
                <w:rFonts w:hint="cs"/>
                <w:rtl/>
              </w:rPr>
              <w:t xml:space="preserve">238א. </w:t>
            </w:r>
          </w:p>
        </w:tc>
        <w:tc>
          <w:tcPr>
            <w:tcW w:w="567" w:type="dxa"/>
          </w:tcPr>
          <w:p w14:paraId="0956E7E2" w14:textId="77777777" w:rsidR="00C9121E" w:rsidRDefault="00C9121E" w:rsidP="00613963">
            <w:pPr>
              <w:jc w:val="both"/>
              <w:textAlignment w:val="baseline"/>
              <w:rPr>
                <w:rtl/>
              </w:rPr>
            </w:pPr>
            <w:r>
              <w:rPr>
                <w:rFonts w:hint="cs"/>
                <w:rtl/>
              </w:rPr>
              <w:t xml:space="preserve">(א) </w:t>
            </w:r>
          </w:p>
        </w:tc>
        <w:tc>
          <w:tcPr>
            <w:tcW w:w="4545" w:type="dxa"/>
            <w:gridSpan w:val="2"/>
          </w:tcPr>
          <w:p w14:paraId="660A85A4" w14:textId="77777777" w:rsidR="00C9121E" w:rsidRDefault="00C9121E" w:rsidP="00613963">
            <w:pPr>
              <w:jc w:val="both"/>
              <w:textAlignment w:val="baseline"/>
              <w:rPr>
                <w:rtl/>
              </w:rPr>
            </w:pPr>
            <w:r>
              <w:rPr>
                <w:rFonts w:hint="cs"/>
                <w:rtl/>
              </w:rPr>
              <w:t xml:space="preserve">המאמן או המדריך אדם אחר להשתמש בשיטות פעולה או באמצעים לצורך ביצוע עבירה לפי צו זה, למניעת גילויה או להכשלת חקירתה, או המאמן או המדריך אחר להשתמש בנשק או להכינו, והכל במטרה לקדם פעילות של התאחדות בלתי מותרת, דינו </w:t>
            </w:r>
            <w:r>
              <w:rPr>
                <w:rtl/>
              </w:rPr>
              <w:t>–</w:t>
            </w:r>
            <w:r>
              <w:rPr>
                <w:rFonts w:hint="cs"/>
                <w:rtl/>
              </w:rPr>
              <w:t xml:space="preserve"> מאסר 15 שנים.</w:t>
            </w:r>
          </w:p>
        </w:tc>
      </w:tr>
      <w:tr w:rsidR="00C9121E" w:rsidRPr="00D35E74" w14:paraId="6DA6CD3E" w14:textId="77777777" w:rsidTr="00613963">
        <w:trPr>
          <w:cantSplit/>
        </w:trPr>
        <w:tc>
          <w:tcPr>
            <w:tcW w:w="1267" w:type="dxa"/>
          </w:tcPr>
          <w:p w14:paraId="27BDADD9" w14:textId="77777777" w:rsidR="00C9121E" w:rsidRDefault="00C9121E" w:rsidP="00613963">
            <w:pPr>
              <w:jc w:val="both"/>
              <w:textAlignment w:val="baseline"/>
              <w:rPr>
                <w:b/>
                <w:bCs/>
                <w:sz w:val="24"/>
                <w:rtl/>
              </w:rPr>
            </w:pPr>
          </w:p>
        </w:tc>
        <w:tc>
          <w:tcPr>
            <w:tcW w:w="611" w:type="dxa"/>
          </w:tcPr>
          <w:p w14:paraId="32C33307" w14:textId="77777777" w:rsidR="00C9121E" w:rsidRPr="00D35E74" w:rsidRDefault="00C9121E" w:rsidP="00613963">
            <w:pPr>
              <w:ind w:left="720"/>
              <w:jc w:val="both"/>
              <w:textAlignment w:val="baseline"/>
              <w:rPr>
                <w:szCs w:val="18"/>
                <w:rtl/>
              </w:rPr>
            </w:pPr>
          </w:p>
        </w:tc>
        <w:tc>
          <w:tcPr>
            <w:tcW w:w="1234" w:type="dxa"/>
          </w:tcPr>
          <w:p w14:paraId="05895B2E" w14:textId="77777777" w:rsidR="00C9121E" w:rsidRPr="00781DEB" w:rsidRDefault="00C9121E" w:rsidP="00613963">
            <w:pPr>
              <w:jc w:val="both"/>
              <w:textAlignment w:val="baseline"/>
              <w:rPr>
                <w:b/>
                <w:bCs/>
                <w:sz w:val="24"/>
                <w:rtl/>
              </w:rPr>
            </w:pPr>
          </w:p>
        </w:tc>
        <w:tc>
          <w:tcPr>
            <w:tcW w:w="851" w:type="dxa"/>
          </w:tcPr>
          <w:p w14:paraId="017B99B4" w14:textId="77777777" w:rsidR="00C9121E" w:rsidRDefault="00C9121E" w:rsidP="00613963">
            <w:pPr>
              <w:jc w:val="both"/>
              <w:textAlignment w:val="baseline"/>
              <w:rPr>
                <w:rtl/>
              </w:rPr>
            </w:pPr>
          </w:p>
        </w:tc>
        <w:tc>
          <w:tcPr>
            <w:tcW w:w="5112" w:type="dxa"/>
            <w:gridSpan w:val="3"/>
          </w:tcPr>
          <w:p w14:paraId="7DC44562" w14:textId="77777777" w:rsidR="00C9121E" w:rsidRDefault="00C9121E" w:rsidP="00613963">
            <w:pPr>
              <w:jc w:val="both"/>
              <w:textAlignment w:val="baseline"/>
              <w:rPr>
                <w:rtl/>
              </w:rPr>
            </w:pPr>
          </w:p>
        </w:tc>
      </w:tr>
      <w:tr w:rsidR="00C9121E" w:rsidRPr="00D35E74" w14:paraId="33D6ECCB" w14:textId="77777777" w:rsidTr="00613963">
        <w:trPr>
          <w:cantSplit/>
        </w:trPr>
        <w:tc>
          <w:tcPr>
            <w:tcW w:w="1267" w:type="dxa"/>
          </w:tcPr>
          <w:p w14:paraId="331CA6A8" w14:textId="77777777" w:rsidR="00C9121E" w:rsidRDefault="00C9121E" w:rsidP="00613963">
            <w:pPr>
              <w:jc w:val="both"/>
              <w:textAlignment w:val="baseline"/>
              <w:rPr>
                <w:b/>
                <w:bCs/>
                <w:sz w:val="24"/>
                <w:rtl/>
              </w:rPr>
            </w:pPr>
          </w:p>
        </w:tc>
        <w:tc>
          <w:tcPr>
            <w:tcW w:w="611" w:type="dxa"/>
          </w:tcPr>
          <w:p w14:paraId="6D323A7E" w14:textId="77777777" w:rsidR="00C9121E" w:rsidRPr="00D35E74" w:rsidRDefault="00C9121E" w:rsidP="00613963">
            <w:pPr>
              <w:ind w:left="720"/>
              <w:jc w:val="both"/>
              <w:textAlignment w:val="baseline"/>
              <w:rPr>
                <w:szCs w:val="18"/>
                <w:rtl/>
              </w:rPr>
            </w:pPr>
          </w:p>
        </w:tc>
        <w:tc>
          <w:tcPr>
            <w:tcW w:w="1234" w:type="dxa"/>
          </w:tcPr>
          <w:p w14:paraId="3AFAEE35" w14:textId="77777777" w:rsidR="00C9121E" w:rsidRDefault="00C9121E" w:rsidP="00613963">
            <w:pPr>
              <w:jc w:val="both"/>
              <w:textAlignment w:val="baseline"/>
              <w:rPr>
                <w:b/>
                <w:bCs/>
                <w:sz w:val="24"/>
                <w:highlight w:val="yellow"/>
                <w:rtl/>
              </w:rPr>
            </w:pPr>
          </w:p>
        </w:tc>
        <w:tc>
          <w:tcPr>
            <w:tcW w:w="851" w:type="dxa"/>
          </w:tcPr>
          <w:p w14:paraId="4791399A" w14:textId="77777777" w:rsidR="00C9121E" w:rsidRDefault="00C9121E" w:rsidP="00613963">
            <w:pPr>
              <w:jc w:val="both"/>
              <w:textAlignment w:val="baseline"/>
              <w:rPr>
                <w:rtl/>
              </w:rPr>
            </w:pPr>
          </w:p>
        </w:tc>
        <w:tc>
          <w:tcPr>
            <w:tcW w:w="567" w:type="dxa"/>
          </w:tcPr>
          <w:p w14:paraId="295B9453" w14:textId="77777777" w:rsidR="00C9121E" w:rsidRDefault="00C9121E" w:rsidP="00613963">
            <w:pPr>
              <w:jc w:val="both"/>
              <w:textAlignment w:val="baseline"/>
              <w:rPr>
                <w:rtl/>
              </w:rPr>
            </w:pPr>
            <w:r>
              <w:rPr>
                <w:rFonts w:hint="cs"/>
                <w:rtl/>
              </w:rPr>
              <w:t xml:space="preserve">(ב) </w:t>
            </w:r>
          </w:p>
        </w:tc>
        <w:tc>
          <w:tcPr>
            <w:tcW w:w="4545" w:type="dxa"/>
            <w:gridSpan w:val="2"/>
          </w:tcPr>
          <w:p w14:paraId="395603A7" w14:textId="77777777" w:rsidR="00C9121E" w:rsidRDefault="00C9121E" w:rsidP="00613963">
            <w:pPr>
              <w:jc w:val="both"/>
              <w:textAlignment w:val="baseline"/>
              <w:rPr>
                <w:rtl/>
              </w:rPr>
            </w:pPr>
            <w:r>
              <w:rPr>
                <w:rFonts w:hint="cs"/>
                <w:rtl/>
              </w:rPr>
              <w:t xml:space="preserve">המקבל אימון או הדרכה כאמור בסעיף קטן (א), דינו </w:t>
            </w:r>
            <w:r>
              <w:rPr>
                <w:rtl/>
              </w:rPr>
              <w:t>–</w:t>
            </w:r>
            <w:r>
              <w:rPr>
                <w:rFonts w:hint="cs"/>
                <w:rtl/>
              </w:rPr>
              <w:t xml:space="preserve"> מאסר 10 שנים.</w:t>
            </w:r>
          </w:p>
        </w:tc>
      </w:tr>
      <w:tr w:rsidR="00C9121E" w:rsidRPr="00D35E74" w14:paraId="52DD7DDA" w14:textId="77777777" w:rsidTr="00613963">
        <w:trPr>
          <w:cantSplit/>
        </w:trPr>
        <w:tc>
          <w:tcPr>
            <w:tcW w:w="1267" w:type="dxa"/>
          </w:tcPr>
          <w:p w14:paraId="5746FA64" w14:textId="77777777" w:rsidR="00C9121E" w:rsidRDefault="00C9121E" w:rsidP="00613963">
            <w:pPr>
              <w:jc w:val="both"/>
              <w:textAlignment w:val="baseline"/>
              <w:rPr>
                <w:b/>
                <w:bCs/>
                <w:sz w:val="24"/>
                <w:rtl/>
              </w:rPr>
            </w:pPr>
          </w:p>
        </w:tc>
        <w:tc>
          <w:tcPr>
            <w:tcW w:w="611" w:type="dxa"/>
          </w:tcPr>
          <w:p w14:paraId="5900B594" w14:textId="77777777" w:rsidR="00C9121E" w:rsidRPr="00D35E74" w:rsidRDefault="00C9121E" w:rsidP="00613963">
            <w:pPr>
              <w:ind w:left="720"/>
              <w:jc w:val="both"/>
              <w:textAlignment w:val="baseline"/>
              <w:rPr>
                <w:szCs w:val="18"/>
                <w:rtl/>
              </w:rPr>
            </w:pPr>
          </w:p>
        </w:tc>
        <w:tc>
          <w:tcPr>
            <w:tcW w:w="1234" w:type="dxa"/>
          </w:tcPr>
          <w:p w14:paraId="0B42D426" w14:textId="77777777" w:rsidR="00C9121E" w:rsidRDefault="00C9121E" w:rsidP="00613963">
            <w:pPr>
              <w:jc w:val="both"/>
              <w:textAlignment w:val="baseline"/>
              <w:rPr>
                <w:b/>
                <w:bCs/>
                <w:sz w:val="24"/>
                <w:highlight w:val="yellow"/>
                <w:rtl/>
              </w:rPr>
            </w:pPr>
          </w:p>
        </w:tc>
        <w:tc>
          <w:tcPr>
            <w:tcW w:w="851" w:type="dxa"/>
          </w:tcPr>
          <w:p w14:paraId="1DD16011" w14:textId="77777777" w:rsidR="00C9121E" w:rsidRDefault="00C9121E" w:rsidP="00613963">
            <w:pPr>
              <w:jc w:val="both"/>
              <w:textAlignment w:val="baseline"/>
              <w:rPr>
                <w:rtl/>
              </w:rPr>
            </w:pPr>
          </w:p>
        </w:tc>
        <w:tc>
          <w:tcPr>
            <w:tcW w:w="5112" w:type="dxa"/>
            <w:gridSpan w:val="3"/>
          </w:tcPr>
          <w:p w14:paraId="045F30BD" w14:textId="77777777" w:rsidR="00C9121E" w:rsidRDefault="00C9121E" w:rsidP="00613963">
            <w:pPr>
              <w:jc w:val="both"/>
              <w:textAlignment w:val="baseline"/>
              <w:rPr>
                <w:rtl/>
              </w:rPr>
            </w:pPr>
          </w:p>
        </w:tc>
      </w:tr>
      <w:tr w:rsidR="00C9121E" w:rsidRPr="00D35E74" w14:paraId="5D5E3E5B" w14:textId="77777777" w:rsidTr="00613963">
        <w:trPr>
          <w:cantSplit/>
        </w:trPr>
        <w:tc>
          <w:tcPr>
            <w:tcW w:w="1267" w:type="dxa"/>
          </w:tcPr>
          <w:p w14:paraId="16320112" w14:textId="77777777" w:rsidR="00C9121E" w:rsidRDefault="00C9121E" w:rsidP="00613963">
            <w:pPr>
              <w:jc w:val="both"/>
              <w:textAlignment w:val="baseline"/>
              <w:rPr>
                <w:b/>
                <w:bCs/>
                <w:sz w:val="24"/>
                <w:rtl/>
              </w:rPr>
            </w:pPr>
          </w:p>
        </w:tc>
        <w:tc>
          <w:tcPr>
            <w:tcW w:w="611" w:type="dxa"/>
          </w:tcPr>
          <w:p w14:paraId="175FC018" w14:textId="77777777" w:rsidR="00C9121E" w:rsidRPr="00D35E74" w:rsidRDefault="00C9121E" w:rsidP="00613963">
            <w:pPr>
              <w:ind w:left="720"/>
              <w:jc w:val="both"/>
              <w:textAlignment w:val="baseline"/>
              <w:rPr>
                <w:szCs w:val="18"/>
                <w:rtl/>
              </w:rPr>
            </w:pPr>
          </w:p>
        </w:tc>
        <w:tc>
          <w:tcPr>
            <w:tcW w:w="1234" w:type="dxa"/>
          </w:tcPr>
          <w:p w14:paraId="4F59272B" w14:textId="77777777" w:rsidR="00C9121E" w:rsidRDefault="00C9121E" w:rsidP="00613963">
            <w:pPr>
              <w:jc w:val="both"/>
              <w:textAlignment w:val="baseline"/>
              <w:rPr>
                <w:b/>
                <w:bCs/>
                <w:sz w:val="24"/>
                <w:highlight w:val="yellow"/>
                <w:rtl/>
              </w:rPr>
            </w:pPr>
          </w:p>
        </w:tc>
        <w:tc>
          <w:tcPr>
            <w:tcW w:w="851" w:type="dxa"/>
          </w:tcPr>
          <w:p w14:paraId="2A407D48" w14:textId="77777777" w:rsidR="00C9121E" w:rsidRDefault="00C9121E" w:rsidP="00613963">
            <w:pPr>
              <w:jc w:val="both"/>
              <w:textAlignment w:val="baseline"/>
              <w:rPr>
                <w:rtl/>
              </w:rPr>
            </w:pPr>
          </w:p>
        </w:tc>
        <w:tc>
          <w:tcPr>
            <w:tcW w:w="567" w:type="dxa"/>
          </w:tcPr>
          <w:p w14:paraId="0712F2C6" w14:textId="77777777" w:rsidR="00C9121E" w:rsidRDefault="00C9121E" w:rsidP="00613963">
            <w:pPr>
              <w:jc w:val="both"/>
              <w:textAlignment w:val="baseline"/>
              <w:rPr>
                <w:rtl/>
              </w:rPr>
            </w:pPr>
            <w:r>
              <w:rPr>
                <w:rFonts w:hint="cs"/>
                <w:rtl/>
              </w:rPr>
              <w:t>(ג)</w:t>
            </w:r>
          </w:p>
        </w:tc>
        <w:tc>
          <w:tcPr>
            <w:tcW w:w="4545" w:type="dxa"/>
            <w:gridSpan w:val="2"/>
          </w:tcPr>
          <w:p w14:paraId="7CF85192" w14:textId="77777777" w:rsidR="00C9121E" w:rsidRDefault="00C9121E" w:rsidP="00613963">
            <w:pPr>
              <w:jc w:val="both"/>
              <w:textAlignment w:val="baseline"/>
              <w:rPr>
                <w:rtl/>
              </w:rPr>
            </w:pPr>
            <w:r>
              <w:rPr>
                <w:rFonts w:hint="cs"/>
                <w:rtl/>
              </w:rPr>
              <w:t xml:space="preserve">לעניין סעיף זה </w:t>
            </w:r>
            <w:r>
              <w:rPr>
                <w:rtl/>
              </w:rPr>
              <w:t>–</w:t>
            </w:r>
            <w:r>
              <w:rPr>
                <w:rFonts w:hint="cs"/>
                <w:rtl/>
              </w:rPr>
              <w:t xml:space="preserve"> </w:t>
            </w:r>
          </w:p>
        </w:tc>
      </w:tr>
      <w:tr w:rsidR="00C9121E" w:rsidRPr="00D35E74" w14:paraId="7BEB46F2" w14:textId="77777777" w:rsidTr="00613963">
        <w:trPr>
          <w:cantSplit/>
        </w:trPr>
        <w:tc>
          <w:tcPr>
            <w:tcW w:w="1267" w:type="dxa"/>
          </w:tcPr>
          <w:p w14:paraId="038B0DB1" w14:textId="77777777" w:rsidR="00C9121E" w:rsidRDefault="00C9121E" w:rsidP="00613963">
            <w:pPr>
              <w:jc w:val="both"/>
              <w:textAlignment w:val="baseline"/>
              <w:rPr>
                <w:b/>
                <w:bCs/>
                <w:sz w:val="24"/>
                <w:rtl/>
              </w:rPr>
            </w:pPr>
          </w:p>
        </w:tc>
        <w:tc>
          <w:tcPr>
            <w:tcW w:w="611" w:type="dxa"/>
          </w:tcPr>
          <w:p w14:paraId="0898F09B" w14:textId="77777777" w:rsidR="00C9121E" w:rsidRPr="00D35E74" w:rsidRDefault="00C9121E" w:rsidP="00613963">
            <w:pPr>
              <w:ind w:left="720"/>
              <w:jc w:val="both"/>
              <w:textAlignment w:val="baseline"/>
              <w:rPr>
                <w:szCs w:val="18"/>
                <w:rtl/>
              </w:rPr>
            </w:pPr>
          </w:p>
        </w:tc>
        <w:tc>
          <w:tcPr>
            <w:tcW w:w="1234" w:type="dxa"/>
          </w:tcPr>
          <w:p w14:paraId="6E5331B6" w14:textId="77777777" w:rsidR="00C9121E" w:rsidRDefault="00C9121E" w:rsidP="00613963">
            <w:pPr>
              <w:jc w:val="both"/>
              <w:textAlignment w:val="baseline"/>
              <w:rPr>
                <w:b/>
                <w:bCs/>
                <w:sz w:val="24"/>
                <w:highlight w:val="yellow"/>
                <w:rtl/>
              </w:rPr>
            </w:pPr>
          </w:p>
        </w:tc>
        <w:tc>
          <w:tcPr>
            <w:tcW w:w="851" w:type="dxa"/>
          </w:tcPr>
          <w:p w14:paraId="08A7174B" w14:textId="77777777" w:rsidR="00C9121E" w:rsidRDefault="00C9121E" w:rsidP="00613963">
            <w:pPr>
              <w:jc w:val="both"/>
              <w:textAlignment w:val="baseline"/>
              <w:rPr>
                <w:rtl/>
              </w:rPr>
            </w:pPr>
          </w:p>
        </w:tc>
        <w:tc>
          <w:tcPr>
            <w:tcW w:w="567" w:type="dxa"/>
          </w:tcPr>
          <w:p w14:paraId="0D355B9C" w14:textId="77777777" w:rsidR="00C9121E" w:rsidRDefault="00C9121E" w:rsidP="00613963">
            <w:pPr>
              <w:jc w:val="both"/>
              <w:textAlignment w:val="baseline"/>
              <w:rPr>
                <w:rtl/>
              </w:rPr>
            </w:pPr>
          </w:p>
        </w:tc>
        <w:tc>
          <w:tcPr>
            <w:tcW w:w="4545" w:type="dxa"/>
            <w:gridSpan w:val="2"/>
          </w:tcPr>
          <w:p w14:paraId="53082E76" w14:textId="77777777" w:rsidR="00C9121E" w:rsidRPr="00042D83" w:rsidRDefault="00C9121E" w:rsidP="00613963">
            <w:pPr>
              <w:jc w:val="both"/>
              <w:textAlignment w:val="baseline"/>
              <w:rPr>
                <w:rtl/>
              </w:rPr>
            </w:pPr>
          </w:p>
        </w:tc>
      </w:tr>
      <w:tr w:rsidR="00C9121E" w:rsidRPr="00D35E74" w14:paraId="6C884228" w14:textId="77777777" w:rsidTr="00613963">
        <w:trPr>
          <w:cantSplit/>
        </w:trPr>
        <w:tc>
          <w:tcPr>
            <w:tcW w:w="1267" w:type="dxa"/>
          </w:tcPr>
          <w:p w14:paraId="0C0DA934" w14:textId="77777777" w:rsidR="00C9121E" w:rsidRDefault="00C9121E" w:rsidP="00613963">
            <w:pPr>
              <w:jc w:val="both"/>
              <w:textAlignment w:val="baseline"/>
              <w:rPr>
                <w:b/>
                <w:bCs/>
                <w:sz w:val="24"/>
                <w:rtl/>
              </w:rPr>
            </w:pPr>
          </w:p>
        </w:tc>
        <w:tc>
          <w:tcPr>
            <w:tcW w:w="611" w:type="dxa"/>
          </w:tcPr>
          <w:p w14:paraId="0320E9F7" w14:textId="77777777" w:rsidR="00C9121E" w:rsidRPr="00D35E74" w:rsidRDefault="00C9121E" w:rsidP="00613963">
            <w:pPr>
              <w:ind w:left="720"/>
              <w:jc w:val="both"/>
              <w:textAlignment w:val="baseline"/>
              <w:rPr>
                <w:szCs w:val="18"/>
                <w:rtl/>
              </w:rPr>
            </w:pPr>
          </w:p>
        </w:tc>
        <w:tc>
          <w:tcPr>
            <w:tcW w:w="1234" w:type="dxa"/>
          </w:tcPr>
          <w:p w14:paraId="20BC5371" w14:textId="77777777" w:rsidR="00C9121E" w:rsidRDefault="00C9121E" w:rsidP="00613963">
            <w:pPr>
              <w:jc w:val="both"/>
              <w:textAlignment w:val="baseline"/>
              <w:rPr>
                <w:b/>
                <w:bCs/>
                <w:sz w:val="24"/>
                <w:highlight w:val="yellow"/>
                <w:rtl/>
              </w:rPr>
            </w:pPr>
          </w:p>
        </w:tc>
        <w:tc>
          <w:tcPr>
            <w:tcW w:w="851" w:type="dxa"/>
          </w:tcPr>
          <w:p w14:paraId="73D9DE0E" w14:textId="77777777" w:rsidR="00C9121E" w:rsidRDefault="00C9121E" w:rsidP="00613963">
            <w:pPr>
              <w:jc w:val="both"/>
              <w:textAlignment w:val="baseline"/>
              <w:rPr>
                <w:rtl/>
              </w:rPr>
            </w:pPr>
          </w:p>
        </w:tc>
        <w:tc>
          <w:tcPr>
            <w:tcW w:w="567" w:type="dxa"/>
          </w:tcPr>
          <w:p w14:paraId="0828C549" w14:textId="77777777" w:rsidR="00C9121E" w:rsidRDefault="00C9121E" w:rsidP="00613963">
            <w:pPr>
              <w:jc w:val="both"/>
              <w:textAlignment w:val="baseline"/>
              <w:rPr>
                <w:rtl/>
              </w:rPr>
            </w:pPr>
          </w:p>
        </w:tc>
        <w:tc>
          <w:tcPr>
            <w:tcW w:w="567" w:type="dxa"/>
          </w:tcPr>
          <w:p w14:paraId="1F254149" w14:textId="77777777" w:rsidR="00C9121E" w:rsidRPr="00042D83" w:rsidRDefault="00C9121E" w:rsidP="00613963">
            <w:pPr>
              <w:textAlignment w:val="baseline"/>
              <w:rPr>
                <w:rtl/>
              </w:rPr>
            </w:pPr>
            <w:r w:rsidRPr="00042D83">
              <w:rPr>
                <w:rFonts w:hint="cs"/>
                <w:rtl/>
              </w:rPr>
              <w:t>(1)</w:t>
            </w:r>
          </w:p>
        </w:tc>
        <w:tc>
          <w:tcPr>
            <w:tcW w:w="3978" w:type="dxa"/>
          </w:tcPr>
          <w:p w14:paraId="73465719" w14:textId="77777777" w:rsidR="00C9121E" w:rsidRPr="00042D83" w:rsidRDefault="00C9121E" w:rsidP="00613963">
            <w:pPr>
              <w:jc w:val="both"/>
              <w:textAlignment w:val="baseline"/>
              <w:rPr>
                <w:rtl/>
              </w:rPr>
            </w:pPr>
            <w:r w:rsidRPr="00042D83">
              <w:rPr>
                <w:rFonts w:hint="cs"/>
                <w:rtl/>
              </w:rPr>
              <w:t xml:space="preserve">נכח אדם במקום המשמש באותה עת לאימון או הדרכה כאמור בסעיף קטן (א), חזקה כי קיבל את האימון או ההדרכה. </w:t>
            </w:r>
            <w:r w:rsidRPr="00042D83">
              <w:rPr>
                <w:rtl/>
              </w:rPr>
              <w:t xml:space="preserve"> עורר נאשם ספק סביר לעניין זה – יפעל הספק לטובתו</w:t>
            </w:r>
            <w:r w:rsidRPr="00042D83">
              <w:rPr>
                <w:rFonts w:hint="cs"/>
                <w:rtl/>
              </w:rPr>
              <w:t>;</w:t>
            </w:r>
          </w:p>
        </w:tc>
      </w:tr>
      <w:tr w:rsidR="00C9121E" w:rsidRPr="00D35E74" w14:paraId="74325A4A" w14:textId="77777777" w:rsidTr="00613963">
        <w:trPr>
          <w:cantSplit/>
        </w:trPr>
        <w:tc>
          <w:tcPr>
            <w:tcW w:w="1267" w:type="dxa"/>
          </w:tcPr>
          <w:p w14:paraId="425EDDE9" w14:textId="77777777" w:rsidR="00C9121E" w:rsidRDefault="00C9121E" w:rsidP="00613963">
            <w:pPr>
              <w:jc w:val="both"/>
              <w:textAlignment w:val="baseline"/>
              <w:rPr>
                <w:b/>
                <w:bCs/>
                <w:sz w:val="24"/>
                <w:rtl/>
              </w:rPr>
            </w:pPr>
          </w:p>
        </w:tc>
        <w:tc>
          <w:tcPr>
            <w:tcW w:w="611" w:type="dxa"/>
          </w:tcPr>
          <w:p w14:paraId="4C740458" w14:textId="77777777" w:rsidR="00C9121E" w:rsidRPr="00D35E74" w:rsidRDefault="00C9121E" w:rsidP="00613963">
            <w:pPr>
              <w:ind w:left="720"/>
              <w:jc w:val="both"/>
              <w:textAlignment w:val="baseline"/>
              <w:rPr>
                <w:szCs w:val="18"/>
                <w:rtl/>
              </w:rPr>
            </w:pPr>
          </w:p>
        </w:tc>
        <w:tc>
          <w:tcPr>
            <w:tcW w:w="1234" w:type="dxa"/>
          </w:tcPr>
          <w:p w14:paraId="19D76F80" w14:textId="77777777" w:rsidR="00C9121E" w:rsidRDefault="00C9121E" w:rsidP="00613963">
            <w:pPr>
              <w:jc w:val="both"/>
              <w:textAlignment w:val="baseline"/>
              <w:rPr>
                <w:b/>
                <w:bCs/>
                <w:sz w:val="24"/>
                <w:highlight w:val="yellow"/>
                <w:rtl/>
              </w:rPr>
            </w:pPr>
          </w:p>
        </w:tc>
        <w:tc>
          <w:tcPr>
            <w:tcW w:w="851" w:type="dxa"/>
          </w:tcPr>
          <w:p w14:paraId="78DD3892" w14:textId="77777777" w:rsidR="00C9121E" w:rsidRDefault="00C9121E" w:rsidP="00613963">
            <w:pPr>
              <w:jc w:val="both"/>
              <w:textAlignment w:val="baseline"/>
              <w:rPr>
                <w:rtl/>
              </w:rPr>
            </w:pPr>
          </w:p>
        </w:tc>
        <w:tc>
          <w:tcPr>
            <w:tcW w:w="567" w:type="dxa"/>
          </w:tcPr>
          <w:p w14:paraId="59D02649" w14:textId="77777777" w:rsidR="00C9121E" w:rsidRDefault="00C9121E" w:rsidP="00613963">
            <w:pPr>
              <w:jc w:val="both"/>
              <w:textAlignment w:val="baseline"/>
              <w:rPr>
                <w:rtl/>
              </w:rPr>
            </w:pPr>
          </w:p>
        </w:tc>
        <w:tc>
          <w:tcPr>
            <w:tcW w:w="567" w:type="dxa"/>
          </w:tcPr>
          <w:p w14:paraId="21599211" w14:textId="77777777" w:rsidR="00C9121E" w:rsidRPr="00042D83" w:rsidRDefault="00C9121E" w:rsidP="00613963">
            <w:pPr>
              <w:textAlignment w:val="baseline"/>
              <w:rPr>
                <w:rtl/>
              </w:rPr>
            </w:pPr>
          </w:p>
        </w:tc>
        <w:tc>
          <w:tcPr>
            <w:tcW w:w="3978" w:type="dxa"/>
          </w:tcPr>
          <w:p w14:paraId="04455DF6" w14:textId="77777777" w:rsidR="00C9121E" w:rsidRPr="00042D83" w:rsidRDefault="00C9121E" w:rsidP="00613963">
            <w:pPr>
              <w:jc w:val="both"/>
              <w:textAlignment w:val="baseline"/>
              <w:rPr>
                <w:rtl/>
              </w:rPr>
            </w:pPr>
          </w:p>
        </w:tc>
      </w:tr>
      <w:tr w:rsidR="00C9121E" w:rsidRPr="00D35E74" w14:paraId="73C8E80D" w14:textId="77777777" w:rsidTr="00613963">
        <w:trPr>
          <w:cantSplit/>
        </w:trPr>
        <w:tc>
          <w:tcPr>
            <w:tcW w:w="1267" w:type="dxa"/>
          </w:tcPr>
          <w:p w14:paraId="4ABEC45D" w14:textId="77777777" w:rsidR="00C9121E" w:rsidRDefault="00C9121E" w:rsidP="00613963">
            <w:pPr>
              <w:jc w:val="both"/>
              <w:textAlignment w:val="baseline"/>
              <w:rPr>
                <w:b/>
                <w:bCs/>
                <w:sz w:val="24"/>
                <w:rtl/>
              </w:rPr>
            </w:pPr>
          </w:p>
        </w:tc>
        <w:tc>
          <w:tcPr>
            <w:tcW w:w="611" w:type="dxa"/>
          </w:tcPr>
          <w:p w14:paraId="13800AD1" w14:textId="77777777" w:rsidR="00C9121E" w:rsidRPr="00D35E74" w:rsidRDefault="00C9121E" w:rsidP="00613963">
            <w:pPr>
              <w:ind w:left="720"/>
              <w:jc w:val="both"/>
              <w:textAlignment w:val="baseline"/>
              <w:rPr>
                <w:szCs w:val="18"/>
                <w:rtl/>
              </w:rPr>
            </w:pPr>
          </w:p>
        </w:tc>
        <w:tc>
          <w:tcPr>
            <w:tcW w:w="1234" w:type="dxa"/>
          </w:tcPr>
          <w:p w14:paraId="322B9E09" w14:textId="77777777" w:rsidR="00C9121E" w:rsidRDefault="00C9121E" w:rsidP="00613963">
            <w:pPr>
              <w:jc w:val="both"/>
              <w:textAlignment w:val="baseline"/>
              <w:rPr>
                <w:b/>
                <w:bCs/>
                <w:sz w:val="24"/>
                <w:highlight w:val="yellow"/>
                <w:rtl/>
              </w:rPr>
            </w:pPr>
          </w:p>
        </w:tc>
        <w:tc>
          <w:tcPr>
            <w:tcW w:w="851" w:type="dxa"/>
          </w:tcPr>
          <w:p w14:paraId="4E5A9C41" w14:textId="77777777" w:rsidR="00C9121E" w:rsidRDefault="00C9121E" w:rsidP="00613963">
            <w:pPr>
              <w:jc w:val="both"/>
              <w:textAlignment w:val="baseline"/>
              <w:rPr>
                <w:rtl/>
              </w:rPr>
            </w:pPr>
          </w:p>
        </w:tc>
        <w:tc>
          <w:tcPr>
            <w:tcW w:w="567" w:type="dxa"/>
          </w:tcPr>
          <w:p w14:paraId="0529536A" w14:textId="77777777" w:rsidR="00C9121E" w:rsidRDefault="00C9121E" w:rsidP="00613963">
            <w:pPr>
              <w:jc w:val="both"/>
              <w:textAlignment w:val="baseline"/>
              <w:rPr>
                <w:rtl/>
              </w:rPr>
            </w:pPr>
          </w:p>
        </w:tc>
        <w:tc>
          <w:tcPr>
            <w:tcW w:w="567" w:type="dxa"/>
          </w:tcPr>
          <w:p w14:paraId="1D71CF45" w14:textId="77777777" w:rsidR="00C9121E" w:rsidRPr="00042D83" w:rsidRDefault="00C9121E" w:rsidP="00613963">
            <w:pPr>
              <w:jc w:val="both"/>
              <w:textAlignment w:val="baseline"/>
              <w:rPr>
                <w:rtl/>
              </w:rPr>
            </w:pPr>
            <w:r w:rsidRPr="00042D83">
              <w:rPr>
                <w:rFonts w:hint="cs"/>
                <w:rtl/>
              </w:rPr>
              <w:t xml:space="preserve">(2) </w:t>
            </w:r>
          </w:p>
        </w:tc>
        <w:tc>
          <w:tcPr>
            <w:tcW w:w="3978" w:type="dxa"/>
          </w:tcPr>
          <w:p w14:paraId="322941AA" w14:textId="77777777" w:rsidR="00C9121E" w:rsidRPr="00042D83" w:rsidRDefault="00C9121E" w:rsidP="00613963">
            <w:pPr>
              <w:jc w:val="both"/>
              <w:textAlignment w:val="baseline"/>
              <w:rPr>
                <w:rtl/>
              </w:rPr>
            </w:pPr>
            <w:r w:rsidRPr="00042D83">
              <w:rPr>
                <w:rFonts w:hint="cs"/>
                <w:rtl/>
              </w:rPr>
              <w:t xml:space="preserve">אין נפקא מינה אם האימון או ההדרכה ניתנו לאדם אחד או לציבור מסוים או בלתי מסוים, ואם כוונו לקדם פעילות מסוימת או בלתי מסוימת של התאחדות בלתי מותרת; </w:t>
            </w:r>
          </w:p>
        </w:tc>
      </w:tr>
      <w:tr w:rsidR="00C9121E" w:rsidRPr="00D35E74" w14:paraId="6C44F1F8" w14:textId="77777777" w:rsidTr="00613963">
        <w:trPr>
          <w:cantSplit/>
        </w:trPr>
        <w:tc>
          <w:tcPr>
            <w:tcW w:w="1267" w:type="dxa"/>
          </w:tcPr>
          <w:p w14:paraId="7D7B3DFE" w14:textId="77777777" w:rsidR="00C9121E" w:rsidRDefault="00C9121E" w:rsidP="00613963">
            <w:pPr>
              <w:jc w:val="both"/>
              <w:textAlignment w:val="baseline"/>
              <w:rPr>
                <w:b/>
                <w:bCs/>
                <w:sz w:val="24"/>
                <w:rtl/>
              </w:rPr>
            </w:pPr>
          </w:p>
        </w:tc>
        <w:tc>
          <w:tcPr>
            <w:tcW w:w="611" w:type="dxa"/>
          </w:tcPr>
          <w:p w14:paraId="7C064277" w14:textId="77777777" w:rsidR="00C9121E" w:rsidRPr="00D35E74" w:rsidRDefault="00C9121E" w:rsidP="00613963">
            <w:pPr>
              <w:ind w:left="720"/>
              <w:jc w:val="both"/>
              <w:textAlignment w:val="baseline"/>
              <w:rPr>
                <w:szCs w:val="18"/>
                <w:rtl/>
              </w:rPr>
            </w:pPr>
          </w:p>
        </w:tc>
        <w:tc>
          <w:tcPr>
            <w:tcW w:w="1234" w:type="dxa"/>
          </w:tcPr>
          <w:p w14:paraId="1730BF8D" w14:textId="77777777" w:rsidR="00C9121E" w:rsidRDefault="00C9121E" w:rsidP="00613963">
            <w:pPr>
              <w:jc w:val="both"/>
              <w:textAlignment w:val="baseline"/>
              <w:rPr>
                <w:b/>
                <w:bCs/>
                <w:sz w:val="24"/>
                <w:highlight w:val="yellow"/>
                <w:rtl/>
              </w:rPr>
            </w:pPr>
          </w:p>
        </w:tc>
        <w:tc>
          <w:tcPr>
            <w:tcW w:w="851" w:type="dxa"/>
          </w:tcPr>
          <w:p w14:paraId="4431427D" w14:textId="77777777" w:rsidR="00C9121E" w:rsidRDefault="00C9121E" w:rsidP="00613963">
            <w:pPr>
              <w:jc w:val="both"/>
              <w:textAlignment w:val="baseline"/>
              <w:rPr>
                <w:rtl/>
              </w:rPr>
            </w:pPr>
          </w:p>
        </w:tc>
        <w:tc>
          <w:tcPr>
            <w:tcW w:w="567" w:type="dxa"/>
          </w:tcPr>
          <w:p w14:paraId="30D08D14" w14:textId="77777777" w:rsidR="00C9121E" w:rsidRDefault="00C9121E" w:rsidP="00613963">
            <w:pPr>
              <w:jc w:val="both"/>
              <w:textAlignment w:val="baseline"/>
              <w:rPr>
                <w:rtl/>
              </w:rPr>
            </w:pPr>
          </w:p>
        </w:tc>
        <w:tc>
          <w:tcPr>
            <w:tcW w:w="567" w:type="dxa"/>
          </w:tcPr>
          <w:p w14:paraId="4BC0FFAC" w14:textId="77777777" w:rsidR="00C9121E" w:rsidRPr="00042D83" w:rsidRDefault="00C9121E" w:rsidP="00613963">
            <w:pPr>
              <w:jc w:val="both"/>
              <w:textAlignment w:val="baseline"/>
              <w:rPr>
                <w:rtl/>
              </w:rPr>
            </w:pPr>
          </w:p>
        </w:tc>
        <w:tc>
          <w:tcPr>
            <w:tcW w:w="3978" w:type="dxa"/>
          </w:tcPr>
          <w:p w14:paraId="461D474B" w14:textId="77777777" w:rsidR="00C9121E" w:rsidRPr="00042D83" w:rsidRDefault="00C9121E" w:rsidP="00613963">
            <w:pPr>
              <w:jc w:val="both"/>
              <w:textAlignment w:val="baseline"/>
              <w:rPr>
                <w:rtl/>
              </w:rPr>
            </w:pPr>
          </w:p>
        </w:tc>
      </w:tr>
      <w:tr w:rsidR="00C9121E" w:rsidRPr="00D35E74" w14:paraId="0AE03195" w14:textId="77777777" w:rsidTr="00613963">
        <w:trPr>
          <w:cantSplit/>
        </w:trPr>
        <w:tc>
          <w:tcPr>
            <w:tcW w:w="1267" w:type="dxa"/>
          </w:tcPr>
          <w:p w14:paraId="2C039C40" w14:textId="77777777" w:rsidR="00C9121E" w:rsidRDefault="00C9121E" w:rsidP="00613963">
            <w:pPr>
              <w:jc w:val="both"/>
              <w:textAlignment w:val="baseline"/>
              <w:rPr>
                <w:b/>
                <w:bCs/>
                <w:sz w:val="24"/>
                <w:rtl/>
              </w:rPr>
            </w:pPr>
          </w:p>
        </w:tc>
        <w:tc>
          <w:tcPr>
            <w:tcW w:w="611" w:type="dxa"/>
          </w:tcPr>
          <w:p w14:paraId="218DFF1F" w14:textId="77777777" w:rsidR="00C9121E" w:rsidRPr="00D35E74" w:rsidRDefault="00C9121E" w:rsidP="00613963">
            <w:pPr>
              <w:ind w:left="720"/>
              <w:jc w:val="both"/>
              <w:textAlignment w:val="baseline"/>
              <w:rPr>
                <w:szCs w:val="18"/>
                <w:rtl/>
              </w:rPr>
            </w:pPr>
          </w:p>
        </w:tc>
        <w:tc>
          <w:tcPr>
            <w:tcW w:w="1234" w:type="dxa"/>
          </w:tcPr>
          <w:p w14:paraId="5F8100C2" w14:textId="77777777" w:rsidR="00C9121E" w:rsidRDefault="00C9121E" w:rsidP="00613963">
            <w:pPr>
              <w:jc w:val="both"/>
              <w:textAlignment w:val="baseline"/>
              <w:rPr>
                <w:b/>
                <w:bCs/>
                <w:sz w:val="24"/>
                <w:highlight w:val="yellow"/>
                <w:rtl/>
              </w:rPr>
            </w:pPr>
          </w:p>
        </w:tc>
        <w:tc>
          <w:tcPr>
            <w:tcW w:w="851" w:type="dxa"/>
          </w:tcPr>
          <w:p w14:paraId="7306EAAA" w14:textId="77777777" w:rsidR="00C9121E" w:rsidRDefault="00C9121E" w:rsidP="00613963">
            <w:pPr>
              <w:jc w:val="both"/>
              <w:textAlignment w:val="baseline"/>
              <w:rPr>
                <w:rtl/>
              </w:rPr>
            </w:pPr>
          </w:p>
        </w:tc>
        <w:tc>
          <w:tcPr>
            <w:tcW w:w="567" w:type="dxa"/>
          </w:tcPr>
          <w:p w14:paraId="6B6573F1" w14:textId="77777777" w:rsidR="00C9121E" w:rsidRDefault="00C9121E" w:rsidP="00613963">
            <w:pPr>
              <w:jc w:val="both"/>
              <w:textAlignment w:val="baseline"/>
              <w:rPr>
                <w:rtl/>
              </w:rPr>
            </w:pPr>
          </w:p>
        </w:tc>
        <w:tc>
          <w:tcPr>
            <w:tcW w:w="567" w:type="dxa"/>
          </w:tcPr>
          <w:p w14:paraId="2E1DCBE1" w14:textId="77777777" w:rsidR="00C9121E" w:rsidRPr="00042D83" w:rsidRDefault="00C9121E" w:rsidP="00613963">
            <w:pPr>
              <w:jc w:val="both"/>
              <w:textAlignment w:val="baseline"/>
              <w:rPr>
                <w:rtl/>
              </w:rPr>
            </w:pPr>
            <w:r w:rsidRPr="00042D83">
              <w:rPr>
                <w:rFonts w:hint="cs"/>
                <w:rtl/>
              </w:rPr>
              <w:t>(3)</w:t>
            </w:r>
          </w:p>
        </w:tc>
        <w:tc>
          <w:tcPr>
            <w:tcW w:w="3978" w:type="dxa"/>
          </w:tcPr>
          <w:p w14:paraId="48233CCC" w14:textId="77777777" w:rsidR="00C9121E" w:rsidRPr="00042D83" w:rsidRDefault="00C9121E" w:rsidP="00613963">
            <w:pPr>
              <w:jc w:val="both"/>
              <w:textAlignment w:val="baseline"/>
              <w:rPr>
                <w:rtl/>
              </w:rPr>
            </w:pPr>
            <w:r w:rsidRPr="00042D83">
              <w:rPr>
                <w:rFonts w:hint="cs"/>
                <w:rtl/>
              </w:rPr>
              <w:t xml:space="preserve">אימון או הדרכה כאמור בסעיף קטן (א) שניתנו או התקבלו על ידי חבר בהתאחדות בלתי מותרת, מטעם התאחדות בלתי מותרת, במסגרת פעילות של התאחדות בלתי מותרת או במקום המשמש דרך קבע לפעילות של התאחדות בלתי מותרת, חזקה כי ניתנו או התקבלו </w:t>
            </w:r>
            <w:r w:rsidRPr="00042D83">
              <w:rPr>
                <w:rFonts w:hint="cs"/>
                <w:rtl/>
              </w:rPr>
              <w:lastRenderedPageBreak/>
              <w:t>במטרה כאמור בסעיף קטן (א), אלא אם כן הוכח אחרת.</w:t>
            </w:r>
            <w:r>
              <w:rPr>
                <w:rFonts w:hint="cs"/>
                <w:rtl/>
              </w:rPr>
              <w:t>".</w:t>
            </w:r>
          </w:p>
        </w:tc>
      </w:tr>
      <w:tr w:rsidR="00C9121E" w:rsidRPr="00D35E74" w14:paraId="445D3EB8" w14:textId="77777777" w:rsidTr="00613963">
        <w:trPr>
          <w:cantSplit/>
        </w:trPr>
        <w:tc>
          <w:tcPr>
            <w:tcW w:w="1267" w:type="dxa"/>
          </w:tcPr>
          <w:p w14:paraId="55DAE1F1" w14:textId="77777777" w:rsidR="00C9121E" w:rsidRPr="00D35E74" w:rsidRDefault="00C9121E" w:rsidP="00613963">
            <w:pPr>
              <w:jc w:val="both"/>
              <w:textAlignment w:val="baseline"/>
              <w:rPr>
                <w:b/>
                <w:bCs/>
                <w:sz w:val="24"/>
                <w:rtl/>
              </w:rPr>
            </w:pPr>
          </w:p>
        </w:tc>
        <w:tc>
          <w:tcPr>
            <w:tcW w:w="611" w:type="dxa"/>
          </w:tcPr>
          <w:p w14:paraId="491AB8F6" w14:textId="77777777" w:rsidR="00C9121E" w:rsidRPr="00D35E74" w:rsidRDefault="00C9121E" w:rsidP="00613963">
            <w:pPr>
              <w:jc w:val="both"/>
              <w:textAlignment w:val="baseline"/>
              <w:rPr>
                <w:szCs w:val="18"/>
                <w:rtl/>
              </w:rPr>
            </w:pPr>
          </w:p>
        </w:tc>
        <w:tc>
          <w:tcPr>
            <w:tcW w:w="7197" w:type="dxa"/>
            <w:gridSpan w:val="5"/>
          </w:tcPr>
          <w:p w14:paraId="21368A1D" w14:textId="77777777" w:rsidR="00C9121E" w:rsidRPr="00D35E74" w:rsidRDefault="00C9121E" w:rsidP="00613963">
            <w:pPr>
              <w:jc w:val="both"/>
              <w:textAlignment w:val="baseline"/>
              <w:rPr>
                <w:rtl/>
              </w:rPr>
            </w:pPr>
          </w:p>
        </w:tc>
      </w:tr>
      <w:tr w:rsidR="00C9121E" w:rsidRPr="00D35E74" w14:paraId="3DE5AF6F" w14:textId="77777777" w:rsidTr="00613963">
        <w:trPr>
          <w:cantSplit/>
        </w:trPr>
        <w:tc>
          <w:tcPr>
            <w:tcW w:w="1267" w:type="dxa"/>
          </w:tcPr>
          <w:p w14:paraId="483BFDEC" w14:textId="77777777" w:rsidR="00C9121E" w:rsidRPr="00D35E74" w:rsidRDefault="00C9121E" w:rsidP="00613963">
            <w:pPr>
              <w:jc w:val="both"/>
              <w:textAlignment w:val="baseline"/>
              <w:rPr>
                <w:b/>
                <w:bCs/>
                <w:sz w:val="24"/>
                <w:rtl/>
              </w:rPr>
            </w:pPr>
            <w:r w:rsidRPr="00D35E74">
              <w:rPr>
                <w:rFonts w:hint="cs"/>
                <w:b/>
                <w:bCs/>
                <w:sz w:val="24"/>
                <w:rtl/>
              </w:rPr>
              <w:t xml:space="preserve">תחילה </w:t>
            </w:r>
          </w:p>
        </w:tc>
        <w:tc>
          <w:tcPr>
            <w:tcW w:w="611" w:type="dxa"/>
          </w:tcPr>
          <w:p w14:paraId="408921D9" w14:textId="77777777" w:rsidR="00C9121E" w:rsidRPr="00D35E74" w:rsidRDefault="00C9121E" w:rsidP="00613963">
            <w:pPr>
              <w:jc w:val="both"/>
              <w:textAlignment w:val="baseline"/>
              <w:rPr>
                <w:szCs w:val="18"/>
                <w:rtl/>
              </w:rPr>
            </w:pPr>
            <w:r w:rsidRPr="00ED6AD6">
              <w:rPr>
                <w:rFonts w:hint="cs"/>
                <w:rtl/>
              </w:rPr>
              <w:t>3.</w:t>
            </w:r>
          </w:p>
        </w:tc>
        <w:tc>
          <w:tcPr>
            <w:tcW w:w="7197" w:type="dxa"/>
            <w:gridSpan w:val="5"/>
          </w:tcPr>
          <w:p w14:paraId="67E456E0" w14:textId="77777777" w:rsidR="00C9121E" w:rsidRPr="00D35E74" w:rsidRDefault="00C9121E" w:rsidP="00613963">
            <w:pPr>
              <w:jc w:val="both"/>
              <w:textAlignment w:val="baseline"/>
              <w:rPr>
                <w:rtl/>
              </w:rPr>
            </w:pPr>
            <w:r>
              <w:rPr>
                <w:rFonts w:hint="cs"/>
                <w:rtl/>
              </w:rPr>
              <w:t>תחילתו של צו זה מיום חתימתו.</w:t>
            </w:r>
          </w:p>
        </w:tc>
      </w:tr>
      <w:tr w:rsidR="00C9121E" w:rsidRPr="00D35E74" w14:paraId="206E693B" w14:textId="77777777" w:rsidTr="00613963">
        <w:trPr>
          <w:cantSplit/>
        </w:trPr>
        <w:tc>
          <w:tcPr>
            <w:tcW w:w="1267" w:type="dxa"/>
          </w:tcPr>
          <w:p w14:paraId="2F8809EB" w14:textId="77777777" w:rsidR="00C9121E" w:rsidRPr="00D35E74" w:rsidRDefault="00C9121E" w:rsidP="00613963">
            <w:pPr>
              <w:jc w:val="both"/>
              <w:textAlignment w:val="baseline"/>
              <w:rPr>
                <w:b/>
                <w:bCs/>
                <w:sz w:val="24"/>
                <w:rtl/>
              </w:rPr>
            </w:pPr>
          </w:p>
        </w:tc>
        <w:tc>
          <w:tcPr>
            <w:tcW w:w="611" w:type="dxa"/>
          </w:tcPr>
          <w:p w14:paraId="10F158FC" w14:textId="77777777" w:rsidR="00C9121E" w:rsidRPr="00D35E74" w:rsidRDefault="00C9121E" w:rsidP="00613963">
            <w:pPr>
              <w:jc w:val="both"/>
              <w:textAlignment w:val="baseline"/>
              <w:rPr>
                <w:szCs w:val="18"/>
                <w:rtl/>
              </w:rPr>
            </w:pPr>
          </w:p>
        </w:tc>
        <w:tc>
          <w:tcPr>
            <w:tcW w:w="7197" w:type="dxa"/>
            <w:gridSpan w:val="5"/>
          </w:tcPr>
          <w:p w14:paraId="15EF8282" w14:textId="77777777" w:rsidR="00C9121E" w:rsidRPr="00D35E74" w:rsidRDefault="00C9121E" w:rsidP="00613963">
            <w:pPr>
              <w:jc w:val="both"/>
              <w:textAlignment w:val="baseline"/>
              <w:rPr>
                <w:rtl/>
              </w:rPr>
            </w:pPr>
          </w:p>
        </w:tc>
      </w:tr>
      <w:tr w:rsidR="00C9121E" w:rsidRPr="00D35E74" w14:paraId="057E1950" w14:textId="77777777" w:rsidTr="00613963">
        <w:trPr>
          <w:cantSplit/>
        </w:trPr>
        <w:tc>
          <w:tcPr>
            <w:tcW w:w="1267" w:type="dxa"/>
          </w:tcPr>
          <w:p w14:paraId="46C7B228" w14:textId="77777777" w:rsidR="00C9121E" w:rsidRPr="00D35E74" w:rsidRDefault="00C9121E" w:rsidP="00613963">
            <w:pPr>
              <w:jc w:val="both"/>
              <w:textAlignment w:val="baseline"/>
              <w:rPr>
                <w:b/>
                <w:bCs/>
                <w:sz w:val="24"/>
                <w:rtl/>
              </w:rPr>
            </w:pPr>
            <w:r w:rsidRPr="00D35E74">
              <w:rPr>
                <w:rFonts w:hint="cs"/>
                <w:b/>
                <w:bCs/>
                <w:sz w:val="24"/>
                <w:rtl/>
              </w:rPr>
              <w:t>השם</w:t>
            </w:r>
          </w:p>
        </w:tc>
        <w:tc>
          <w:tcPr>
            <w:tcW w:w="611" w:type="dxa"/>
          </w:tcPr>
          <w:p w14:paraId="760A8B6F" w14:textId="77777777" w:rsidR="00C9121E" w:rsidRPr="00D35E74" w:rsidRDefault="00C9121E" w:rsidP="00613963">
            <w:pPr>
              <w:jc w:val="both"/>
              <w:textAlignment w:val="baseline"/>
              <w:rPr>
                <w:szCs w:val="18"/>
                <w:rtl/>
              </w:rPr>
            </w:pPr>
            <w:r w:rsidRPr="00ED6AD6">
              <w:rPr>
                <w:rFonts w:hint="cs"/>
                <w:rtl/>
              </w:rPr>
              <w:t>4.</w:t>
            </w:r>
            <w:r>
              <w:rPr>
                <w:rFonts w:hint="cs"/>
                <w:szCs w:val="18"/>
                <w:rtl/>
              </w:rPr>
              <w:t xml:space="preserve"> </w:t>
            </w:r>
          </w:p>
        </w:tc>
        <w:tc>
          <w:tcPr>
            <w:tcW w:w="7197" w:type="dxa"/>
            <w:gridSpan w:val="5"/>
          </w:tcPr>
          <w:p w14:paraId="0D94188A" w14:textId="6F1FAB05" w:rsidR="00C9121E" w:rsidRPr="00D35E74" w:rsidRDefault="00C9121E" w:rsidP="00613963">
            <w:pPr>
              <w:tabs>
                <w:tab w:val="left" w:pos="1341"/>
              </w:tabs>
              <w:jc w:val="both"/>
              <w:textAlignment w:val="baseline"/>
              <w:rPr>
                <w:rtl/>
              </w:rPr>
            </w:pPr>
            <w:r w:rsidRPr="00D35E74">
              <w:rPr>
                <w:rFonts w:hint="cs"/>
                <w:rtl/>
              </w:rPr>
              <w:t>צו זה ייקרא:</w:t>
            </w:r>
            <w:r w:rsidRPr="00D35E74">
              <w:rPr>
                <w:rtl/>
              </w:rPr>
              <w:t xml:space="preserve"> </w:t>
            </w:r>
            <w:r>
              <w:rPr>
                <w:rFonts w:hint="cs"/>
                <w:rtl/>
              </w:rPr>
              <w:t>"</w:t>
            </w:r>
            <w:r w:rsidRPr="00D35E74">
              <w:rPr>
                <w:rtl/>
              </w:rPr>
              <w:t>צו בדבר הוראות ביטחון</w:t>
            </w:r>
            <w:r w:rsidRPr="00D35E74">
              <w:rPr>
                <w:rFonts w:hint="cs"/>
                <w:rtl/>
              </w:rPr>
              <w:t xml:space="preserve"> </w:t>
            </w:r>
            <w:r w:rsidRPr="00D35E74">
              <w:rPr>
                <w:rtl/>
              </w:rPr>
              <w:t>(תיקון</w:t>
            </w:r>
            <w:r>
              <w:rPr>
                <w:rtl/>
              </w:rPr>
              <w:t xml:space="preserve"> מס'</w:t>
            </w:r>
            <w:r>
              <w:rPr>
                <w:rFonts w:hint="cs"/>
                <w:rtl/>
              </w:rPr>
              <w:t xml:space="preserve"> 88</w:t>
            </w:r>
            <w:r>
              <w:rPr>
                <w:rtl/>
              </w:rPr>
              <w:t>) (יהודה ושומרון)</w:t>
            </w:r>
            <w:r>
              <w:rPr>
                <w:rFonts w:hint="cs"/>
                <w:rtl/>
              </w:rPr>
              <w:t xml:space="preserve"> (מס'</w:t>
            </w:r>
            <w:r>
              <w:rPr>
                <w:rFonts w:hint="cs"/>
                <w:rtl/>
              </w:rPr>
              <w:t xml:space="preserve"> 2219</w:t>
            </w:r>
            <w:r>
              <w:rPr>
                <w:rFonts w:hint="cs"/>
                <w:rtl/>
              </w:rPr>
              <w:t>)</w:t>
            </w:r>
            <w:r>
              <w:rPr>
                <w:rtl/>
              </w:rPr>
              <w:t>, התשפ"</w:t>
            </w:r>
            <w:r>
              <w:rPr>
                <w:rFonts w:hint="cs"/>
                <w:rtl/>
              </w:rPr>
              <w:t>ה</w:t>
            </w:r>
            <w:r w:rsidRPr="00D35E74">
              <w:rPr>
                <w:rtl/>
              </w:rPr>
              <w:t>-202</w:t>
            </w:r>
            <w:r>
              <w:rPr>
                <w:rFonts w:hint="cs"/>
                <w:rtl/>
              </w:rPr>
              <w:t>4".</w:t>
            </w:r>
          </w:p>
        </w:tc>
      </w:tr>
    </w:tbl>
    <w:p w14:paraId="519DC7DC" w14:textId="77777777" w:rsidR="00C9121E" w:rsidRDefault="00C9121E" w:rsidP="00C9121E">
      <w:pPr>
        <w:rPr>
          <w:rFonts w:ascii="David" w:hAnsi="David"/>
          <w:b/>
          <w:bCs/>
          <w:sz w:val="32"/>
          <w:szCs w:val="32"/>
          <w:rtl/>
        </w:rPr>
      </w:pPr>
    </w:p>
    <w:p w14:paraId="2D092CCC" w14:textId="77777777" w:rsidR="00C9121E" w:rsidRDefault="00C9121E" w:rsidP="00C9121E">
      <w:pPr>
        <w:rPr>
          <w:rFonts w:ascii="David" w:hAnsi="David"/>
          <w:b/>
          <w:bCs/>
          <w:sz w:val="32"/>
          <w:szCs w:val="32"/>
          <w:rtl/>
        </w:rPr>
      </w:pPr>
    </w:p>
    <w:p w14:paraId="54085AD6" w14:textId="77777777" w:rsidR="00C9121E" w:rsidRDefault="00C9121E" w:rsidP="00C9121E">
      <w:pPr>
        <w:rPr>
          <w:rFonts w:ascii="David" w:hAnsi="David"/>
          <w:sz w:val="32"/>
          <w:szCs w:val="32"/>
          <w:rtl/>
        </w:rPr>
      </w:pPr>
    </w:p>
    <w:p w14:paraId="5F919D94" w14:textId="77777777" w:rsidR="00C9121E" w:rsidRDefault="00C9121E" w:rsidP="00C9121E">
      <w:pPr>
        <w:rPr>
          <w:rFonts w:ascii="David" w:hAnsi="David"/>
          <w:sz w:val="32"/>
          <w:szCs w:val="32"/>
          <w:rtl/>
        </w:rPr>
      </w:pPr>
    </w:p>
    <w:tbl>
      <w:tblPr>
        <w:bidiVisual/>
        <w:tblW w:w="8358" w:type="dxa"/>
        <w:tblInd w:w="816" w:type="dxa"/>
        <w:tblLook w:val="04A0" w:firstRow="1" w:lastRow="0" w:firstColumn="1" w:lastColumn="0" w:noHBand="0" w:noVBand="1"/>
      </w:tblPr>
      <w:tblGrid>
        <w:gridCol w:w="4995"/>
        <w:gridCol w:w="3363"/>
      </w:tblGrid>
      <w:tr w:rsidR="00C9121E" w:rsidRPr="00AF4FC9" w14:paraId="54F0B796" w14:textId="77777777" w:rsidTr="00C9121E">
        <w:tc>
          <w:tcPr>
            <w:tcW w:w="4995" w:type="dxa"/>
          </w:tcPr>
          <w:p w14:paraId="70572ECC" w14:textId="4A394BCA" w:rsidR="00C9121E" w:rsidRPr="00200808" w:rsidRDefault="00C9121E" w:rsidP="00613963">
            <w:pPr>
              <w:spacing w:line="480" w:lineRule="auto"/>
              <w:ind w:right="1780"/>
              <w:jc w:val="both"/>
              <w:rPr>
                <w:rFonts w:ascii="David" w:eastAsia="Calibri" w:hAnsi="David"/>
                <w:b/>
                <w:bCs/>
                <w:sz w:val="26"/>
                <w:rtl/>
              </w:rPr>
            </w:pPr>
            <w:r>
              <w:rPr>
                <w:rFonts w:ascii="David" w:eastAsia="Calibri" w:hAnsi="David" w:hint="cs"/>
                <w:b/>
                <w:bCs/>
                <w:sz w:val="26"/>
                <w:rtl/>
              </w:rPr>
              <w:t>כ"ה בכסלו</w:t>
            </w:r>
            <w:r>
              <w:rPr>
                <w:rFonts w:ascii="David" w:eastAsia="Calibri" w:hAnsi="David" w:hint="cs"/>
                <w:b/>
                <w:bCs/>
                <w:sz w:val="26"/>
                <w:rtl/>
              </w:rPr>
              <w:t xml:space="preserve"> </w:t>
            </w:r>
            <w:r w:rsidRPr="00200808">
              <w:rPr>
                <w:rFonts w:ascii="David" w:eastAsia="Calibri" w:hAnsi="David"/>
                <w:b/>
                <w:bCs/>
                <w:sz w:val="26"/>
                <w:rtl/>
              </w:rPr>
              <w:t>התשפ"</w:t>
            </w:r>
            <w:r>
              <w:rPr>
                <w:rFonts w:ascii="David" w:eastAsia="Calibri" w:hAnsi="David" w:hint="cs"/>
                <w:b/>
                <w:bCs/>
                <w:sz w:val="26"/>
                <w:rtl/>
              </w:rPr>
              <w:t>ה</w:t>
            </w:r>
            <w:r w:rsidRPr="00200808">
              <w:rPr>
                <w:rFonts w:ascii="David" w:eastAsia="Calibri" w:hAnsi="David"/>
                <w:b/>
                <w:bCs/>
                <w:sz w:val="26"/>
                <w:rtl/>
              </w:rPr>
              <w:br/>
            </w:r>
            <w:r>
              <w:rPr>
                <w:rFonts w:ascii="David" w:eastAsia="Calibri" w:hAnsi="David" w:hint="cs"/>
                <w:b/>
                <w:bCs/>
                <w:sz w:val="26"/>
                <w:rtl/>
              </w:rPr>
              <w:t xml:space="preserve">26 בדצמבר </w:t>
            </w:r>
            <w:r w:rsidRPr="00200808">
              <w:rPr>
                <w:rFonts w:ascii="David" w:eastAsia="Calibri" w:hAnsi="David"/>
                <w:b/>
                <w:bCs/>
                <w:sz w:val="26"/>
                <w:rtl/>
              </w:rPr>
              <w:t>202</w:t>
            </w:r>
            <w:r w:rsidRPr="00200808">
              <w:rPr>
                <w:rFonts w:ascii="David" w:eastAsia="Calibri" w:hAnsi="David" w:hint="cs"/>
                <w:b/>
                <w:bCs/>
                <w:sz w:val="26"/>
                <w:rtl/>
              </w:rPr>
              <w:t>4</w:t>
            </w:r>
            <w:r w:rsidRPr="00200808">
              <w:rPr>
                <w:rFonts w:ascii="David" w:eastAsia="Calibri" w:hAnsi="David"/>
                <w:b/>
                <w:bCs/>
                <w:sz w:val="26"/>
                <w:rtl/>
              </w:rPr>
              <w:br/>
            </w:r>
          </w:p>
        </w:tc>
        <w:tc>
          <w:tcPr>
            <w:tcW w:w="3363" w:type="dxa"/>
            <w:hideMark/>
          </w:tcPr>
          <w:p w14:paraId="5BAB47DC" w14:textId="77777777" w:rsidR="00C9121E" w:rsidRPr="00AF4FC9" w:rsidRDefault="00C9121E" w:rsidP="00613963">
            <w:pPr>
              <w:spacing w:line="360" w:lineRule="auto"/>
              <w:jc w:val="both"/>
              <w:rPr>
                <w:rFonts w:ascii="David" w:eastAsia="Calibri" w:hAnsi="David"/>
                <w:b/>
                <w:bCs/>
                <w:sz w:val="26"/>
                <w:rtl/>
              </w:rPr>
            </w:pPr>
            <w:r w:rsidRPr="00200808">
              <w:rPr>
                <w:rFonts w:ascii="David" w:eastAsia="Calibri" w:hAnsi="David"/>
                <w:b/>
                <w:bCs/>
                <w:sz w:val="26"/>
                <w:rtl/>
              </w:rPr>
              <w:t xml:space="preserve">אלוף </w:t>
            </w:r>
            <w:r w:rsidRPr="00200808">
              <w:rPr>
                <w:rFonts w:ascii="David" w:eastAsia="Calibri" w:hAnsi="David" w:hint="cs"/>
                <w:b/>
                <w:bCs/>
                <w:sz w:val="26"/>
                <w:rtl/>
              </w:rPr>
              <w:t>אבי בלוט</w:t>
            </w:r>
            <w:r w:rsidRPr="00200808">
              <w:rPr>
                <w:rFonts w:ascii="David" w:eastAsia="Calibri" w:hAnsi="David"/>
                <w:b/>
                <w:bCs/>
                <w:sz w:val="26"/>
                <w:rtl/>
              </w:rPr>
              <w:br/>
              <w:t xml:space="preserve">מפקד     כוחות     צה"ל  </w:t>
            </w:r>
            <w:r w:rsidRPr="00200808">
              <w:rPr>
                <w:rFonts w:ascii="David" w:eastAsia="Calibri" w:hAnsi="David"/>
                <w:b/>
                <w:bCs/>
                <w:sz w:val="26"/>
                <w:rtl/>
              </w:rPr>
              <w:br/>
              <w:t>באזור  יהודה  ושומרון</w:t>
            </w:r>
            <w:r w:rsidRPr="00AF4FC9">
              <w:rPr>
                <w:rFonts w:ascii="David" w:eastAsia="Calibri" w:hAnsi="David"/>
                <w:b/>
                <w:bCs/>
                <w:sz w:val="26"/>
                <w:rtl/>
              </w:rPr>
              <w:br/>
            </w:r>
          </w:p>
        </w:tc>
      </w:tr>
    </w:tbl>
    <w:p w14:paraId="31BFC837" w14:textId="77777777" w:rsidR="00C9121E" w:rsidRPr="00D868A3" w:rsidRDefault="00C9121E" w:rsidP="00C9121E">
      <w:pPr>
        <w:rPr>
          <w:rFonts w:ascii="David" w:hAnsi="David"/>
          <w:sz w:val="32"/>
          <w:szCs w:val="32"/>
          <w:rtl/>
        </w:rPr>
      </w:pPr>
    </w:p>
    <w:p w14:paraId="2D5AE1BC" w14:textId="77777777" w:rsidR="00E25ED2" w:rsidRDefault="00E25ED2"/>
    <w:sectPr w:rsidR="00E25ED2" w:rsidSect="00C9121E">
      <w:headerReference w:type="even" r:id="rId6"/>
      <w:headerReference w:type="default" r:id="rId7"/>
      <w:headerReference w:type="firs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BB3DE" w14:textId="77777777" w:rsidR="00A530A2" w:rsidRDefault="00A530A2" w:rsidP="00C9121E">
      <w:r>
        <w:separator/>
      </w:r>
    </w:p>
  </w:endnote>
  <w:endnote w:type="continuationSeparator" w:id="0">
    <w:p w14:paraId="04856E42" w14:textId="77777777" w:rsidR="00A530A2" w:rsidRDefault="00A530A2" w:rsidP="00C91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DA176" w14:textId="77777777" w:rsidR="00A530A2" w:rsidRDefault="00A530A2" w:rsidP="00C9121E">
      <w:r>
        <w:separator/>
      </w:r>
    </w:p>
  </w:footnote>
  <w:footnote w:type="continuationSeparator" w:id="0">
    <w:p w14:paraId="250C3EFF" w14:textId="77777777" w:rsidR="00A530A2" w:rsidRDefault="00A530A2" w:rsidP="00C91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75E74" w14:textId="06CA3DE5" w:rsidR="00000000" w:rsidRDefault="00C9121E">
    <w:pPr>
      <w:pStyle w:val="ae"/>
    </w:pPr>
    <w:r>
      <w:rPr>
        <w:noProof/>
        <w14:ligatures w14:val="standardContextual"/>
      </w:rPr>
      <mc:AlternateContent>
        <mc:Choice Requires="wps">
          <w:drawing>
            <wp:anchor distT="0" distB="0" distL="0" distR="0" simplePos="0" relativeHeight="251659264" behindDoc="0" locked="0" layoutInCell="1" allowOverlap="1" wp14:anchorId="17B51BB0" wp14:editId="6E82E0F6">
              <wp:simplePos x="635" y="635"/>
              <wp:positionH relativeFrom="page">
                <wp:align>center</wp:align>
              </wp:positionH>
              <wp:positionV relativeFrom="page">
                <wp:align>top</wp:align>
              </wp:positionV>
              <wp:extent cx="450215" cy="345440"/>
              <wp:effectExtent l="0" t="0" r="6985" b="16510"/>
              <wp:wrapNone/>
              <wp:docPr id="1497690893" name="תיבת טקסט 2"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0215" cy="345440"/>
                      </a:xfrm>
                      <a:prstGeom prst="rect">
                        <a:avLst/>
                      </a:prstGeom>
                      <a:noFill/>
                      <a:ln>
                        <a:noFill/>
                      </a:ln>
                    </wps:spPr>
                    <wps:txbx>
                      <w:txbxContent>
                        <w:p w14:paraId="3D5E6160" w14:textId="68CA8746" w:rsidR="00C9121E" w:rsidRPr="00C9121E" w:rsidRDefault="00C9121E" w:rsidP="00C9121E">
                          <w:pPr>
                            <w:rPr>
                              <w:rFonts w:ascii="Calibri" w:eastAsia="Calibri" w:hAnsi="Calibri" w:cs="Calibri"/>
                              <w:noProof/>
                              <w:color w:val="000000"/>
                              <w:sz w:val="20"/>
                              <w:szCs w:val="20"/>
                            </w:rPr>
                          </w:pPr>
                          <w:r w:rsidRPr="00C9121E">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w:pict>
            <v:shapetype w14:anchorId="17B51BB0" id="_x0000_t202" coordsize="21600,21600" o:spt="202" path="m,l,21600r21600,l21600,xe">
              <v:stroke joinstyle="miter"/>
              <v:path gradientshapeok="t" o:connecttype="rect"/>
            </v:shapetype>
            <v:shape id="תיבת טקסט 2" o:spid="_x0000_s1026" type="#_x0000_t202" alt="- בלמ&quot;ס -" style="position:absolute;left:0;text-align:left;margin-left:0;margin-top:0;width:35.45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" filled="f" stroked="f">
              <v:fill o:detectmouseclick="t"/>
              <v:textbox style="mso-fit-shape-to-text:t" inset="0,15pt,0,0">
                <w:txbxContent>
                  <w:p w14:paraId="3D5E6160" w14:textId="68CA8746" w:rsidR="00C9121E" w:rsidRPr="00C9121E" w:rsidRDefault="00C9121E" w:rsidP="00C9121E">
                    <w:pPr>
                      <w:rPr>
                        <w:rFonts w:ascii="Calibri" w:eastAsia="Calibri" w:hAnsi="Calibri" w:cs="Calibri"/>
                        <w:noProof/>
                        <w:color w:val="000000"/>
                        <w:sz w:val="20"/>
                        <w:szCs w:val="20"/>
                      </w:rPr>
                    </w:pPr>
                    <w:r w:rsidRPr="00C9121E">
                      <w:rPr>
                        <w:rFonts w:ascii="Calibri" w:eastAsia="Calibri" w:hAnsi="Calibri" w:cs="Calibri"/>
                        <w:noProof/>
                        <w:color w:val="000000"/>
                        <w:sz w:val="20"/>
                        <w:szCs w:val="20"/>
                        <w:rtl/>
                      </w:rPr>
                      <w:t>- בלמ"ס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1E581" w14:textId="6604E93C" w:rsidR="00C9121E" w:rsidRDefault="00C9121E">
    <w:pPr>
      <w:pStyle w:val="ae"/>
    </w:pPr>
    <w:r>
      <w:rPr>
        <w:noProof/>
        <w14:ligatures w14:val="standardContextual"/>
      </w:rPr>
      <mc:AlternateContent>
        <mc:Choice Requires="wps">
          <w:drawing>
            <wp:anchor distT="0" distB="0" distL="0" distR="0" simplePos="0" relativeHeight="251660288" behindDoc="0" locked="0" layoutInCell="1" allowOverlap="1" wp14:anchorId="657489BF" wp14:editId="76B7ED32">
              <wp:simplePos x="914400" y="447675"/>
              <wp:positionH relativeFrom="page">
                <wp:align>center</wp:align>
              </wp:positionH>
              <wp:positionV relativeFrom="page">
                <wp:align>top</wp:align>
              </wp:positionV>
              <wp:extent cx="450215" cy="345440"/>
              <wp:effectExtent l="0" t="0" r="6985" b="16510"/>
              <wp:wrapNone/>
              <wp:docPr id="569554762" name="תיבת טקסט 3"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0215" cy="345440"/>
                      </a:xfrm>
                      <a:prstGeom prst="rect">
                        <a:avLst/>
                      </a:prstGeom>
                      <a:noFill/>
                      <a:ln>
                        <a:noFill/>
                      </a:ln>
                    </wps:spPr>
                    <wps:txbx>
                      <w:txbxContent>
                        <w:p w14:paraId="7256D644" w14:textId="0866DE5A" w:rsidR="00C9121E" w:rsidRPr="00C9121E" w:rsidRDefault="00C9121E" w:rsidP="00C9121E">
                          <w:pPr>
                            <w:rPr>
                              <w:rFonts w:ascii="Calibri" w:eastAsia="Calibri" w:hAnsi="Calibri" w:cs="Calibri"/>
                              <w:noProof/>
                              <w:color w:val="000000"/>
                              <w:sz w:val="20"/>
                              <w:szCs w:val="20"/>
                            </w:rPr>
                          </w:pPr>
                          <w:r w:rsidRPr="00C9121E">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w:pict>
            <v:shapetype w14:anchorId="657489BF" id="_x0000_t202" coordsize="21600,21600" o:spt="202" path="m,l,21600r21600,l21600,xe">
              <v:stroke joinstyle="miter"/>
              <v:path gradientshapeok="t" o:connecttype="rect"/>
            </v:shapetype>
            <v:shape id="תיבת טקסט 3" o:spid="_x0000_s1027" type="#_x0000_t202" alt="- בלמ&quot;ס -" style="position:absolute;left:0;text-align:left;margin-left:0;margin-top:0;width:35.45pt;height:27.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" filled="f" stroked="f">
              <v:fill o:detectmouseclick="t"/>
              <v:textbox style="mso-fit-shape-to-text:t" inset="0,15pt,0,0">
                <w:txbxContent>
                  <w:p w14:paraId="7256D644" w14:textId="0866DE5A" w:rsidR="00C9121E" w:rsidRPr="00C9121E" w:rsidRDefault="00C9121E" w:rsidP="00C9121E">
                    <w:pPr>
                      <w:rPr>
                        <w:rFonts w:ascii="Calibri" w:eastAsia="Calibri" w:hAnsi="Calibri" w:cs="Calibri"/>
                        <w:noProof/>
                        <w:color w:val="000000"/>
                        <w:sz w:val="20"/>
                        <w:szCs w:val="20"/>
                      </w:rPr>
                    </w:pPr>
                    <w:r w:rsidRPr="00C9121E">
                      <w:rPr>
                        <w:rFonts w:ascii="Calibri" w:eastAsia="Calibri" w:hAnsi="Calibri" w:cs="Calibri"/>
                        <w:noProof/>
                        <w:color w:val="000000"/>
                        <w:sz w:val="20"/>
                        <w:szCs w:val="20"/>
                        <w:rtl/>
                      </w:rPr>
                      <w:t>- בלמ"ס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2A5E5" w14:textId="29794080" w:rsidR="00000000" w:rsidRDefault="00C9121E">
    <w:pPr>
      <w:pStyle w:val="ae"/>
    </w:pPr>
    <w:r>
      <w:rPr>
        <w:noProof/>
        <w14:ligatures w14:val="standardContextual"/>
      </w:rPr>
      <mc:AlternateContent>
        <mc:Choice Requires="wps">
          <w:drawing>
            <wp:anchor distT="0" distB="0" distL="0" distR="0" simplePos="0" relativeHeight="251658240" behindDoc="0" locked="0" layoutInCell="1" allowOverlap="1" wp14:anchorId="2BAC43D8" wp14:editId="20AA62A2">
              <wp:simplePos x="635" y="635"/>
              <wp:positionH relativeFrom="page">
                <wp:align>center</wp:align>
              </wp:positionH>
              <wp:positionV relativeFrom="page">
                <wp:align>top</wp:align>
              </wp:positionV>
              <wp:extent cx="450215" cy="345440"/>
              <wp:effectExtent l="0" t="0" r="6985" b="16510"/>
              <wp:wrapNone/>
              <wp:docPr id="99734156" name="תיבת טקסט 1"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0215" cy="345440"/>
                      </a:xfrm>
                      <a:prstGeom prst="rect">
                        <a:avLst/>
                      </a:prstGeom>
                      <a:noFill/>
                      <a:ln>
                        <a:noFill/>
                      </a:ln>
                    </wps:spPr>
                    <wps:txbx>
                      <w:txbxContent>
                        <w:p w14:paraId="24E9C2BF" w14:textId="36E0D122" w:rsidR="00C9121E" w:rsidRPr="00C9121E" w:rsidRDefault="00C9121E" w:rsidP="00C9121E">
                          <w:pPr>
                            <w:rPr>
                              <w:rFonts w:ascii="Calibri" w:eastAsia="Calibri" w:hAnsi="Calibri" w:cs="Calibri"/>
                              <w:noProof/>
                              <w:color w:val="000000"/>
                              <w:sz w:val="20"/>
                              <w:szCs w:val="20"/>
                            </w:rPr>
                          </w:pPr>
                          <w:r w:rsidRPr="00C9121E">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w:pict>
            <v:shapetype w14:anchorId="2BAC43D8" id="_x0000_t202" coordsize="21600,21600" o:spt="202" path="m,l,21600r21600,l21600,xe">
              <v:stroke joinstyle="miter"/>
              <v:path gradientshapeok="t" o:connecttype="rect"/>
            </v:shapetype>
            <v:shape id="תיבת טקסט 1" o:spid="_x0000_s1028" type="#_x0000_t202" alt="- בלמ&quot;ס -" style="position:absolute;left:0;text-align:left;margin-left:0;margin-top:0;width:35.45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" filled="f" stroked="f">
              <v:fill o:detectmouseclick="t"/>
              <v:textbox style="mso-fit-shape-to-text:t" inset="0,15pt,0,0">
                <w:txbxContent>
                  <w:p w14:paraId="24E9C2BF" w14:textId="36E0D122" w:rsidR="00C9121E" w:rsidRPr="00C9121E" w:rsidRDefault="00C9121E" w:rsidP="00C9121E">
                    <w:pPr>
                      <w:rPr>
                        <w:rFonts w:ascii="Calibri" w:eastAsia="Calibri" w:hAnsi="Calibri" w:cs="Calibri"/>
                        <w:noProof/>
                        <w:color w:val="000000"/>
                        <w:sz w:val="20"/>
                        <w:szCs w:val="20"/>
                      </w:rPr>
                    </w:pPr>
                    <w:r w:rsidRPr="00C9121E">
                      <w:rPr>
                        <w:rFonts w:ascii="Calibri" w:eastAsia="Calibri" w:hAnsi="Calibri" w:cs="Calibri"/>
                        <w:noProof/>
                        <w:color w:val="000000"/>
                        <w:sz w:val="20"/>
                        <w:szCs w:val="20"/>
                        <w:rtl/>
                      </w:rPr>
                      <w:t>- בלמ"ס -</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21E"/>
    <w:rsid w:val="005F229A"/>
    <w:rsid w:val="008F54C1"/>
    <w:rsid w:val="00A530A2"/>
    <w:rsid w:val="00C9121E"/>
    <w:rsid w:val="00E25E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99CB3"/>
  <w15:chartTrackingRefBased/>
  <w15:docId w15:val="{F870F19D-6483-4399-91EF-CC8AB6A5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David"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121E"/>
    <w:pPr>
      <w:bidi/>
      <w:spacing w:after="0" w:line="240" w:lineRule="auto"/>
    </w:pPr>
    <w:rPr>
      <w:rFonts w:ascii="Times New Roman" w:eastAsia="Times New Roman" w:hAnsi="Times New Roman" w:cs="David"/>
      <w:kern w:val="0"/>
      <w:sz w:val="18"/>
      <w:szCs w:val="26"/>
      <w:lang w:eastAsia="he-IL"/>
      <w14:ligatures w14:val="none"/>
    </w:rPr>
  </w:style>
  <w:style w:type="paragraph" w:styleId="1">
    <w:name w:val="heading 1"/>
    <w:basedOn w:val="a"/>
    <w:next w:val="a"/>
    <w:link w:val="10"/>
    <w:uiPriority w:val="9"/>
    <w:qFormat/>
    <w:rsid w:val="00E25ED2"/>
    <w:pPr>
      <w:keepNext/>
      <w:keepLines/>
      <w:spacing w:before="360" w:after="80" w:line="278" w:lineRule="auto"/>
      <w:jc w:val="both"/>
      <w:outlineLvl w:val="0"/>
    </w:pPr>
    <w:rPr>
      <w:rFonts w:asciiTheme="majorHAnsi" w:eastAsiaTheme="majorEastAsia" w:hAnsiTheme="majorHAnsi"/>
      <w:bCs/>
      <w:kern w:val="2"/>
      <w:sz w:val="40"/>
      <w:szCs w:val="36"/>
      <w:lang w:eastAsia="en-US"/>
      <w14:ligatures w14:val="standardContextual"/>
    </w:rPr>
  </w:style>
  <w:style w:type="paragraph" w:styleId="2">
    <w:name w:val="heading 2"/>
    <w:basedOn w:val="a"/>
    <w:next w:val="a"/>
    <w:link w:val="20"/>
    <w:uiPriority w:val="9"/>
    <w:semiHidden/>
    <w:unhideWhenUsed/>
    <w:qFormat/>
    <w:rsid w:val="00E25ED2"/>
    <w:pPr>
      <w:keepNext/>
      <w:keepLines/>
      <w:spacing w:before="160" w:after="80" w:line="278" w:lineRule="auto"/>
      <w:jc w:val="both"/>
      <w:outlineLvl w:val="1"/>
    </w:pPr>
    <w:rPr>
      <w:rFonts w:asciiTheme="majorHAnsi" w:eastAsiaTheme="majorEastAsia" w:hAnsiTheme="majorHAnsi"/>
      <w:bCs/>
      <w:kern w:val="2"/>
      <w:sz w:val="32"/>
      <w:szCs w:val="32"/>
      <w:lang w:eastAsia="en-US"/>
      <w14:ligatures w14:val="standardContextual"/>
    </w:rPr>
  </w:style>
  <w:style w:type="paragraph" w:styleId="3">
    <w:name w:val="heading 3"/>
    <w:basedOn w:val="a"/>
    <w:next w:val="a"/>
    <w:link w:val="30"/>
    <w:uiPriority w:val="9"/>
    <w:semiHidden/>
    <w:unhideWhenUsed/>
    <w:qFormat/>
    <w:rsid w:val="00E25ED2"/>
    <w:pPr>
      <w:keepNext/>
      <w:keepLines/>
      <w:spacing w:before="160" w:after="80" w:line="278" w:lineRule="auto"/>
      <w:jc w:val="both"/>
      <w:outlineLvl w:val="2"/>
    </w:pPr>
    <w:rPr>
      <w:rFonts w:ascii="David" w:eastAsiaTheme="majorEastAsia" w:hAnsi="David"/>
      <w:bCs/>
      <w:kern w:val="2"/>
      <w:sz w:val="28"/>
      <w:szCs w:val="28"/>
      <w:lang w:eastAsia="en-US"/>
      <w14:ligatures w14:val="standardContextual"/>
    </w:rPr>
  </w:style>
  <w:style w:type="paragraph" w:styleId="4">
    <w:name w:val="heading 4"/>
    <w:basedOn w:val="a"/>
    <w:next w:val="a"/>
    <w:link w:val="40"/>
    <w:uiPriority w:val="9"/>
    <w:semiHidden/>
    <w:unhideWhenUsed/>
    <w:qFormat/>
    <w:rsid w:val="00E25ED2"/>
    <w:pPr>
      <w:keepNext/>
      <w:keepLines/>
      <w:spacing w:before="80" w:after="40" w:line="278" w:lineRule="auto"/>
      <w:jc w:val="both"/>
      <w:outlineLvl w:val="3"/>
    </w:pPr>
    <w:rPr>
      <w:rFonts w:ascii="David" w:eastAsiaTheme="majorEastAsia" w:hAnsi="David"/>
      <w:bCs/>
      <w:i/>
      <w:kern w:val="2"/>
      <w:sz w:val="24"/>
      <w:lang w:eastAsia="en-US"/>
      <w14:ligatures w14:val="standardContextual"/>
    </w:rPr>
  </w:style>
  <w:style w:type="paragraph" w:styleId="5">
    <w:name w:val="heading 5"/>
    <w:basedOn w:val="a"/>
    <w:next w:val="a"/>
    <w:link w:val="50"/>
    <w:autoRedefine/>
    <w:uiPriority w:val="9"/>
    <w:unhideWhenUsed/>
    <w:qFormat/>
    <w:rsid w:val="00E25ED2"/>
    <w:pPr>
      <w:keepNext/>
      <w:keepLines/>
      <w:spacing w:before="80" w:after="40" w:line="278" w:lineRule="auto"/>
      <w:jc w:val="both"/>
      <w:outlineLvl w:val="4"/>
    </w:pPr>
    <w:rPr>
      <w:rFonts w:ascii="David" w:eastAsiaTheme="majorEastAsia" w:hAnsi="David"/>
      <w:bCs/>
      <w:kern w:val="2"/>
      <w:sz w:val="24"/>
      <w:szCs w:val="24"/>
      <w:lang w:eastAsia="en-US"/>
      <w14:ligatures w14:val="standardContextual"/>
    </w:rPr>
  </w:style>
  <w:style w:type="paragraph" w:styleId="6">
    <w:name w:val="heading 6"/>
    <w:basedOn w:val="a"/>
    <w:next w:val="a"/>
    <w:link w:val="60"/>
    <w:autoRedefine/>
    <w:uiPriority w:val="9"/>
    <w:semiHidden/>
    <w:unhideWhenUsed/>
    <w:qFormat/>
    <w:rsid w:val="00E25ED2"/>
    <w:pPr>
      <w:keepNext/>
      <w:keepLines/>
      <w:spacing w:before="40" w:line="278" w:lineRule="auto"/>
      <w:jc w:val="both"/>
      <w:outlineLvl w:val="5"/>
    </w:pPr>
    <w:rPr>
      <w:rFonts w:ascii="David" w:eastAsiaTheme="majorEastAsia" w:hAnsi="David"/>
      <w:bCs/>
      <w:i/>
      <w:iCs/>
      <w:kern w:val="2"/>
      <w:sz w:val="24"/>
      <w:szCs w:val="24"/>
      <w:lang w:eastAsia="en-US"/>
      <w14:ligatures w14:val="standardContextual"/>
    </w:rPr>
  </w:style>
  <w:style w:type="paragraph" w:styleId="7">
    <w:name w:val="heading 7"/>
    <w:basedOn w:val="a"/>
    <w:next w:val="a"/>
    <w:link w:val="70"/>
    <w:uiPriority w:val="9"/>
    <w:semiHidden/>
    <w:unhideWhenUsed/>
    <w:qFormat/>
    <w:rsid w:val="00C9121E"/>
    <w:pPr>
      <w:keepNext/>
      <w:keepLines/>
      <w:spacing w:before="40" w:line="278" w:lineRule="auto"/>
      <w:jc w:val="both"/>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C9121E"/>
    <w:pPr>
      <w:keepNext/>
      <w:keepLines/>
      <w:spacing w:line="278" w:lineRule="auto"/>
      <w:jc w:val="both"/>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C9121E"/>
    <w:pPr>
      <w:keepNext/>
      <w:keepLines/>
      <w:spacing w:line="278" w:lineRule="auto"/>
      <w:jc w:val="both"/>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E25ED2"/>
    <w:rPr>
      <w:rFonts w:asciiTheme="majorHAnsi" w:eastAsiaTheme="majorEastAsia" w:hAnsiTheme="majorHAnsi" w:cs="David"/>
      <w:bCs/>
      <w:sz w:val="40"/>
      <w:szCs w:val="36"/>
    </w:rPr>
  </w:style>
  <w:style w:type="character" w:customStyle="1" w:styleId="20">
    <w:name w:val="כותרת 2 תו"/>
    <w:basedOn w:val="a0"/>
    <w:link w:val="2"/>
    <w:uiPriority w:val="9"/>
    <w:semiHidden/>
    <w:rsid w:val="00E25ED2"/>
    <w:rPr>
      <w:rFonts w:asciiTheme="majorHAnsi" w:eastAsiaTheme="majorEastAsia" w:hAnsiTheme="majorHAnsi" w:cs="David"/>
      <w:bCs/>
      <w:sz w:val="32"/>
      <w:szCs w:val="32"/>
    </w:rPr>
  </w:style>
  <w:style w:type="paragraph" w:styleId="a3">
    <w:name w:val="Title"/>
    <w:basedOn w:val="a"/>
    <w:next w:val="a"/>
    <w:link w:val="a4"/>
    <w:uiPriority w:val="10"/>
    <w:qFormat/>
    <w:rsid w:val="00E25ED2"/>
    <w:pPr>
      <w:spacing w:after="80"/>
      <w:contextualSpacing/>
      <w:jc w:val="center"/>
    </w:pPr>
    <w:rPr>
      <w:rFonts w:asciiTheme="majorHAnsi" w:eastAsiaTheme="majorEastAsia" w:hAnsiTheme="majorHAnsi"/>
      <w:bCs/>
      <w:spacing w:val="-10"/>
      <w:kern w:val="28"/>
      <w:sz w:val="56"/>
      <w:szCs w:val="40"/>
      <w:lang w:eastAsia="en-US"/>
      <w14:ligatures w14:val="standardContextual"/>
    </w:rPr>
  </w:style>
  <w:style w:type="character" w:customStyle="1" w:styleId="a4">
    <w:name w:val="כותרת טקסט תו"/>
    <w:basedOn w:val="a0"/>
    <w:link w:val="a3"/>
    <w:uiPriority w:val="10"/>
    <w:rsid w:val="00E25ED2"/>
    <w:rPr>
      <w:rFonts w:asciiTheme="majorHAnsi" w:eastAsiaTheme="majorEastAsia" w:hAnsiTheme="majorHAnsi" w:cs="David"/>
      <w:bCs/>
      <w:spacing w:val="-10"/>
      <w:kern w:val="28"/>
      <w:sz w:val="56"/>
      <w:szCs w:val="40"/>
    </w:rPr>
  </w:style>
  <w:style w:type="character" w:customStyle="1" w:styleId="30">
    <w:name w:val="כותרת 3 תו"/>
    <w:basedOn w:val="a0"/>
    <w:link w:val="3"/>
    <w:uiPriority w:val="9"/>
    <w:semiHidden/>
    <w:rsid w:val="00E25ED2"/>
    <w:rPr>
      <w:rFonts w:ascii="David" w:eastAsiaTheme="majorEastAsia" w:hAnsi="David" w:cs="David"/>
      <w:bCs/>
      <w:sz w:val="28"/>
      <w:szCs w:val="28"/>
    </w:rPr>
  </w:style>
  <w:style w:type="character" w:customStyle="1" w:styleId="40">
    <w:name w:val="כותרת 4 תו"/>
    <w:basedOn w:val="a0"/>
    <w:link w:val="4"/>
    <w:uiPriority w:val="9"/>
    <w:semiHidden/>
    <w:rsid w:val="00E25ED2"/>
    <w:rPr>
      <w:rFonts w:ascii="David" w:eastAsiaTheme="majorEastAsia" w:hAnsi="David" w:cs="David"/>
      <w:bCs/>
      <w:i/>
      <w:szCs w:val="26"/>
    </w:rPr>
  </w:style>
  <w:style w:type="character" w:customStyle="1" w:styleId="50">
    <w:name w:val="כותרת 5 תו"/>
    <w:basedOn w:val="a0"/>
    <w:link w:val="5"/>
    <w:uiPriority w:val="9"/>
    <w:rsid w:val="00E25ED2"/>
    <w:rPr>
      <w:rFonts w:ascii="David" w:eastAsiaTheme="majorEastAsia" w:hAnsi="David" w:cs="David"/>
      <w:bCs/>
    </w:rPr>
  </w:style>
  <w:style w:type="character" w:customStyle="1" w:styleId="60">
    <w:name w:val="כותרת 6 תו"/>
    <w:basedOn w:val="a0"/>
    <w:link w:val="6"/>
    <w:uiPriority w:val="9"/>
    <w:semiHidden/>
    <w:rsid w:val="00E25ED2"/>
    <w:rPr>
      <w:rFonts w:ascii="David" w:eastAsiaTheme="majorEastAsia" w:hAnsi="David" w:cs="David"/>
      <w:bCs/>
      <w:i/>
      <w:iCs/>
    </w:rPr>
  </w:style>
  <w:style w:type="character" w:customStyle="1" w:styleId="70">
    <w:name w:val="כותרת 7 תו"/>
    <w:basedOn w:val="a0"/>
    <w:link w:val="7"/>
    <w:uiPriority w:val="9"/>
    <w:semiHidden/>
    <w:rsid w:val="00C9121E"/>
    <w:rPr>
      <w:rFonts w:eastAsiaTheme="majorEastAsia" w:cstheme="majorBidi"/>
      <w:color w:val="595959" w:themeColor="text1" w:themeTint="A6"/>
    </w:rPr>
  </w:style>
  <w:style w:type="character" w:customStyle="1" w:styleId="80">
    <w:name w:val="כותרת 8 תו"/>
    <w:basedOn w:val="a0"/>
    <w:link w:val="8"/>
    <w:uiPriority w:val="9"/>
    <w:semiHidden/>
    <w:rsid w:val="00C9121E"/>
    <w:rPr>
      <w:rFonts w:eastAsiaTheme="majorEastAsia" w:cstheme="majorBidi"/>
      <w:i/>
      <w:iCs/>
      <w:color w:val="272727" w:themeColor="text1" w:themeTint="D8"/>
    </w:rPr>
  </w:style>
  <w:style w:type="character" w:customStyle="1" w:styleId="90">
    <w:name w:val="כותרת 9 תו"/>
    <w:basedOn w:val="a0"/>
    <w:link w:val="9"/>
    <w:uiPriority w:val="9"/>
    <w:semiHidden/>
    <w:rsid w:val="00C9121E"/>
    <w:rPr>
      <w:rFonts w:eastAsiaTheme="majorEastAsia" w:cstheme="majorBidi"/>
      <w:color w:val="272727" w:themeColor="text1" w:themeTint="D8"/>
    </w:rPr>
  </w:style>
  <w:style w:type="paragraph" w:styleId="a5">
    <w:name w:val="Subtitle"/>
    <w:basedOn w:val="a"/>
    <w:next w:val="a"/>
    <w:link w:val="a6"/>
    <w:uiPriority w:val="11"/>
    <w:qFormat/>
    <w:rsid w:val="00C9121E"/>
    <w:pPr>
      <w:numPr>
        <w:ilvl w:val="1"/>
      </w:numPr>
      <w:spacing w:after="160" w:line="278" w:lineRule="auto"/>
      <w:jc w:val="both"/>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כותרת משנה תו"/>
    <w:basedOn w:val="a0"/>
    <w:link w:val="a5"/>
    <w:uiPriority w:val="11"/>
    <w:rsid w:val="00C9121E"/>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C9121E"/>
    <w:pPr>
      <w:spacing w:before="160" w:after="160" w:line="278" w:lineRule="auto"/>
      <w:jc w:val="center"/>
    </w:pPr>
    <w:rPr>
      <w:rFonts w:ascii="David" w:eastAsia="David" w:hAnsi="David"/>
      <w:i/>
      <w:iCs/>
      <w:color w:val="404040" w:themeColor="text1" w:themeTint="BF"/>
      <w:kern w:val="2"/>
      <w:sz w:val="24"/>
      <w:szCs w:val="24"/>
      <w:lang w:eastAsia="en-US"/>
      <w14:ligatures w14:val="standardContextual"/>
    </w:rPr>
  </w:style>
  <w:style w:type="character" w:customStyle="1" w:styleId="a8">
    <w:name w:val="ציטוט תו"/>
    <w:basedOn w:val="a0"/>
    <w:link w:val="a7"/>
    <w:uiPriority w:val="29"/>
    <w:rsid w:val="00C9121E"/>
    <w:rPr>
      <w:rFonts w:ascii="David" w:hAnsi="David" w:cs="David"/>
      <w:i/>
      <w:iCs/>
      <w:color w:val="404040" w:themeColor="text1" w:themeTint="BF"/>
    </w:rPr>
  </w:style>
  <w:style w:type="paragraph" w:styleId="a9">
    <w:name w:val="List Paragraph"/>
    <w:basedOn w:val="a"/>
    <w:uiPriority w:val="34"/>
    <w:qFormat/>
    <w:rsid w:val="00C9121E"/>
    <w:pPr>
      <w:spacing w:after="160" w:line="278" w:lineRule="auto"/>
      <w:ind w:left="720"/>
      <w:contextualSpacing/>
      <w:jc w:val="both"/>
    </w:pPr>
    <w:rPr>
      <w:rFonts w:ascii="David" w:eastAsia="David" w:hAnsi="David"/>
      <w:kern w:val="2"/>
      <w:sz w:val="24"/>
      <w:szCs w:val="24"/>
      <w:lang w:eastAsia="en-US"/>
      <w14:ligatures w14:val="standardContextual"/>
    </w:rPr>
  </w:style>
  <w:style w:type="character" w:styleId="aa">
    <w:name w:val="Intense Emphasis"/>
    <w:basedOn w:val="a0"/>
    <w:uiPriority w:val="21"/>
    <w:qFormat/>
    <w:rsid w:val="00C9121E"/>
    <w:rPr>
      <w:i/>
      <w:iCs/>
      <w:color w:val="0F4761" w:themeColor="accent1" w:themeShade="BF"/>
    </w:rPr>
  </w:style>
  <w:style w:type="paragraph" w:styleId="ab">
    <w:name w:val="Intense Quote"/>
    <w:basedOn w:val="a"/>
    <w:next w:val="a"/>
    <w:link w:val="ac"/>
    <w:uiPriority w:val="30"/>
    <w:qFormat/>
    <w:rsid w:val="00C9121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David" w:eastAsia="David" w:hAnsi="David"/>
      <w:i/>
      <w:iCs/>
      <w:color w:val="0F4761" w:themeColor="accent1" w:themeShade="BF"/>
      <w:kern w:val="2"/>
      <w:sz w:val="24"/>
      <w:szCs w:val="24"/>
      <w:lang w:eastAsia="en-US"/>
      <w14:ligatures w14:val="standardContextual"/>
    </w:rPr>
  </w:style>
  <w:style w:type="character" w:customStyle="1" w:styleId="ac">
    <w:name w:val="ציטוט חזק תו"/>
    <w:basedOn w:val="a0"/>
    <w:link w:val="ab"/>
    <w:uiPriority w:val="30"/>
    <w:rsid w:val="00C9121E"/>
    <w:rPr>
      <w:rFonts w:ascii="David" w:hAnsi="David" w:cs="David"/>
      <w:i/>
      <w:iCs/>
      <w:color w:val="0F4761" w:themeColor="accent1" w:themeShade="BF"/>
    </w:rPr>
  </w:style>
  <w:style w:type="character" w:styleId="ad">
    <w:name w:val="Intense Reference"/>
    <w:basedOn w:val="a0"/>
    <w:uiPriority w:val="32"/>
    <w:qFormat/>
    <w:rsid w:val="00C9121E"/>
    <w:rPr>
      <w:b/>
      <w:bCs/>
      <w:smallCaps/>
      <w:color w:val="0F4761" w:themeColor="accent1" w:themeShade="BF"/>
      <w:spacing w:val="5"/>
    </w:rPr>
  </w:style>
  <w:style w:type="paragraph" w:styleId="ae">
    <w:name w:val="header"/>
    <w:basedOn w:val="a"/>
    <w:link w:val="af"/>
    <w:uiPriority w:val="99"/>
    <w:unhideWhenUsed/>
    <w:rsid w:val="00C9121E"/>
    <w:pPr>
      <w:tabs>
        <w:tab w:val="center" w:pos="4513"/>
        <w:tab w:val="right" w:pos="9026"/>
      </w:tabs>
    </w:pPr>
  </w:style>
  <w:style w:type="character" w:customStyle="1" w:styleId="af">
    <w:name w:val="כותרת עליונה תו"/>
    <w:basedOn w:val="a0"/>
    <w:link w:val="ae"/>
    <w:uiPriority w:val="99"/>
    <w:rsid w:val="00C9121E"/>
    <w:rPr>
      <w:rFonts w:ascii="Times New Roman" w:eastAsia="Times New Roman" w:hAnsi="Times New Roman" w:cs="David"/>
      <w:kern w:val="0"/>
      <w:sz w:val="18"/>
      <w:szCs w:val="26"/>
      <w:lang w:eastAsia="he-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1528</Characters>
  <Application>Microsoft Office Word</Application>
  <DocSecurity>0</DocSecurity>
  <Lines>12</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נדב פסטר בכר</dc:creator>
  <cp:keywords/>
  <dc:description/>
  <cp:lastModifiedBy>נדב פסטר בכר</cp:lastModifiedBy>
  <cp:revision>1</cp:revision>
  <dcterms:created xsi:type="dcterms:W3CDTF">2024-12-30T08:12:00Z</dcterms:created>
  <dcterms:modified xsi:type="dcterms:W3CDTF">2024-12-30T08:13:00Z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5f1d28c,5944f30d,21f2b74a</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2024-12-30T08:13:32Z</vt:lpwstr>
  </property>
  <property fmtid="{D5CDD505-2E9C-101B-9397-08002B2CF9AE}" pid="7" name="MSIP_Label_701b9bfc-c426-492e-a46c-1a922d5fe54b_Method">
    <vt:lpwstr>Standard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c6514a9b-49ef-4ab6-885d-b2017188f92b</vt:lpwstr>
  </property>
  <property fmtid="{D5CDD505-2E9C-101B-9397-08002B2CF9AE}" pid="11" name="MSIP_Label_701b9bfc-c426-492e-a46c-1a922d5fe54b_ContentBits">
    <vt:lpwstr>1</vt:lpwstr>
  </property>
</Properties>
</file>