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DAB" w:rsidRPr="00616DAB" w:rsidRDefault="00616DAB" w:rsidP="00616DAB">
      <w:pPr>
        <w:spacing w:line="480" w:lineRule="auto"/>
        <w:jc w:val="center"/>
        <w:rPr>
          <w:rFonts w:hint="cs"/>
          <w:b/>
          <w:bCs/>
          <w:u w:val="single"/>
          <w:rtl/>
        </w:rPr>
      </w:pPr>
    </w:p>
    <w:p w:rsidR="00616DAB" w:rsidRPr="00616DAB" w:rsidRDefault="00616DAB" w:rsidP="00616DAB">
      <w:pPr>
        <w:spacing w:line="480" w:lineRule="auto"/>
        <w:jc w:val="center"/>
        <w:rPr>
          <w:b/>
          <w:bCs/>
          <w:u w:val="single"/>
          <w:rtl/>
        </w:rPr>
      </w:pPr>
      <w:r w:rsidRPr="00616DAB">
        <w:rPr>
          <w:b/>
          <w:bCs/>
          <w:u w:val="single"/>
          <w:rtl/>
        </w:rPr>
        <w:t>בבית הדין הצבאי לערעורים</w:t>
      </w:r>
    </w:p>
    <w:p w:rsidR="00616DAB" w:rsidRPr="00616DAB" w:rsidRDefault="00616DAB" w:rsidP="00616DAB">
      <w:pPr>
        <w:spacing w:line="480" w:lineRule="auto"/>
        <w:rPr>
          <w:rtl/>
        </w:rPr>
      </w:pPr>
      <w:r w:rsidRPr="00616DAB">
        <w:rPr>
          <w:rtl/>
        </w:rPr>
        <w:t>בפני:</w:t>
      </w:r>
    </w:p>
    <w:tbl>
      <w:tblPr>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94"/>
        <w:gridCol w:w="616"/>
        <w:gridCol w:w="2005"/>
      </w:tblGrid>
      <w:tr w:rsidR="00616DAB" w:rsidRPr="00616DAB" w:rsidTr="006E0F92">
        <w:trPr>
          <w:trHeight w:val="502"/>
          <w:jc w:val="center"/>
        </w:trPr>
        <w:tc>
          <w:tcPr>
            <w:tcW w:w="2394" w:type="dxa"/>
          </w:tcPr>
          <w:p w:rsidR="00616DAB" w:rsidRPr="00616DAB" w:rsidRDefault="00616DAB" w:rsidP="00616DAB">
            <w:pPr>
              <w:tabs>
                <w:tab w:val="right" w:pos="1897"/>
              </w:tabs>
              <w:rPr>
                <w:b/>
                <w:bCs/>
                <w:rtl/>
              </w:rPr>
            </w:pPr>
            <w:r>
              <w:rPr>
                <w:rFonts w:hint="cs"/>
                <w:b/>
                <w:bCs/>
                <w:rtl/>
              </w:rPr>
              <w:t xml:space="preserve">תא"ל  אורלי    מרקמן </w:t>
            </w:r>
          </w:p>
        </w:tc>
        <w:tc>
          <w:tcPr>
            <w:tcW w:w="616" w:type="dxa"/>
          </w:tcPr>
          <w:p w:rsidR="00616DAB" w:rsidRPr="00616DAB" w:rsidRDefault="00616DAB" w:rsidP="00616DAB">
            <w:pPr>
              <w:jc w:val="center"/>
              <w:rPr>
                <w:b/>
                <w:bCs/>
                <w:rtl/>
              </w:rPr>
            </w:pPr>
            <w:r w:rsidRPr="00616DAB">
              <w:rPr>
                <w:rFonts w:hint="cs"/>
                <w:b/>
                <w:bCs/>
                <w:rtl/>
              </w:rPr>
              <w:t>-</w:t>
            </w:r>
          </w:p>
        </w:tc>
        <w:tc>
          <w:tcPr>
            <w:tcW w:w="2005" w:type="dxa"/>
          </w:tcPr>
          <w:p w:rsidR="00616DAB" w:rsidRPr="00616DAB" w:rsidRDefault="00616DAB" w:rsidP="00616DAB">
            <w:pPr>
              <w:rPr>
                <w:rtl/>
              </w:rPr>
            </w:pPr>
            <w:r w:rsidRPr="00616DAB">
              <w:rPr>
                <w:rFonts w:hint="cs"/>
                <w:rtl/>
              </w:rPr>
              <w:t>ה</w:t>
            </w:r>
            <w:r>
              <w:rPr>
                <w:rFonts w:hint="cs"/>
                <w:rtl/>
              </w:rPr>
              <w:t xml:space="preserve">משנה </w:t>
            </w:r>
            <w:r w:rsidRPr="00616DAB">
              <w:rPr>
                <w:rFonts w:hint="cs"/>
                <w:rtl/>
              </w:rPr>
              <w:t>נשיא</w:t>
            </w:r>
          </w:p>
        </w:tc>
      </w:tr>
      <w:tr w:rsidR="00616DAB" w:rsidRPr="00616DAB" w:rsidTr="006E0F92">
        <w:trPr>
          <w:trHeight w:val="1042"/>
          <w:jc w:val="center"/>
        </w:trPr>
        <w:tc>
          <w:tcPr>
            <w:tcW w:w="2394" w:type="dxa"/>
          </w:tcPr>
          <w:p w:rsidR="00616DAB" w:rsidRPr="00616DAB" w:rsidRDefault="00616DAB" w:rsidP="00D53E6C">
            <w:pPr>
              <w:tabs>
                <w:tab w:val="right" w:pos="1897"/>
              </w:tabs>
              <w:spacing w:line="480" w:lineRule="auto"/>
              <w:rPr>
                <w:b/>
                <w:bCs/>
                <w:rtl/>
              </w:rPr>
            </w:pPr>
            <w:r>
              <w:rPr>
                <w:rFonts w:hint="cs"/>
                <w:b/>
                <w:bCs/>
                <w:rtl/>
              </w:rPr>
              <w:t xml:space="preserve">אל"ם  </w:t>
            </w:r>
            <w:r w:rsidR="00D53E6C">
              <w:rPr>
                <w:rFonts w:hint="cs"/>
                <w:b/>
                <w:bCs/>
                <w:rtl/>
              </w:rPr>
              <w:t>פטר</w:t>
            </w:r>
            <w:r>
              <w:rPr>
                <w:rFonts w:hint="cs"/>
                <w:b/>
                <w:bCs/>
                <w:rtl/>
              </w:rPr>
              <w:t xml:space="preserve">      </w:t>
            </w:r>
            <w:r w:rsidR="00D53E6C">
              <w:rPr>
                <w:rFonts w:hint="cs"/>
                <w:b/>
                <w:bCs/>
                <w:rtl/>
              </w:rPr>
              <w:t>סילאגי</w:t>
            </w:r>
            <w:r>
              <w:rPr>
                <w:rFonts w:hint="cs"/>
                <w:b/>
                <w:bCs/>
                <w:rtl/>
              </w:rPr>
              <w:t xml:space="preserve"> </w:t>
            </w:r>
          </w:p>
          <w:p w:rsidR="00616DAB" w:rsidRPr="00616DAB" w:rsidRDefault="00616DAB" w:rsidP="00616DAB">
            <w:pPr>
              <w:spacing w:line="480" w:lineRule="auto"/>
              <w:rPr>
                <w:b/>
                <w:bCs/>
                <w:rtl/>
              </w:rPr>
            </w:pPr>
            <w:r>
              <w:rPr>
                <w:rFonts w:hint="cs"/>
                <w:b/>
                <w:bCs/>
                <w:rtl/>
              </w:rPr>
              <w:t xml:space="preserve">סא"ל   אילן      </w:t>
            </w:r>
            <w:r w:rsidR="00D53E6C">
              <w:rPr>
                <w:rFonts w:hint="cs"/>
                <w:b/>
                <w:bCs/>
                <w:rtl/>
              </w:rPr>
              <w:t>א</w:t>
            </w:r>
            <w:r>
              <w:rPr>
                <w:rFonts w:hint="cs"/>
                <w:b/>
                <w:bCs/>
                <w:rtl/>
              </w:rPr>
              <w:t>יטח</w:t>
            </w:r>
          </w:p>
        </w:tc>
        <w:tc>
          <w:tcPr>
            <w:tcW w:w="616" w:type="dxa"/>
          </w:tcPr>
          <w:p w:rsidR="00616DAB" w:rsidRPr="00616DAB" w:rsidRDefault="00616DAB" w:rsidP="00616DAB">
            <w:pPr>
              <w:spacing w:line="480" w:lineRule="auto"/>
              <w:jc w:val="center"/>
              <w:rPr>
                <w:b/>
                <w:bCs/>
                <w:rtl/>
              </w:rPr>
            </w:pPr>
            <w:r w:rsidRPr="00616DAB">
              <w:rPr>
                <w:rFonts w:hint="cs"/>
                <w:b/>
                <w:bCs/>
                <w:rtl/>
              </w:rPr>
              <w:t>-</w:t>
            </w:r>
          </w:p>
          <w:p w:rsidR="00616DAB" w:rsidRPr="00616DAB" w:rsidRDefault="00616DAB" w:rsidP="00616DAB">
            <w:pPr>
              <w:spacing w:line="480" w:lineRule="auto"/>
              <w:rPr>
                <w:b/>
                <w:bCs/>
                <w:rtl/>
              </w:rPr>
            </w:pPr>
            <w:r w:rsidRPr="00616DAB">
              <w:rPr>
                <w:rFonts w:hint="cs"/>
                <w:rtl/>
              </w:rPr>
              <w:t xml:space="preserve">  </w:t>
            </w:r>
            <w:r w:rsidRPr="00616DAB">
              <w:rPr>
                <w:rFonts w:hint="cs"/>
                <w:b/>
                <w:bCs/>
                <w:rtl/>
              </w:rPr>
              <w:t xml:space="preserve">-      </w:t>
            </w:r>
          </w:p>
        </w:tc>
        <w:tc>
          <w:tcPr>
            <w:tcW w:w="2005" w:type="dxa"/>
          </w:tcPr>
          <w:p w:rsidR="00616DAB" w:rsidRPr="00616DAB" w:rsidRDefault="00D53E6C" w:rsidP="00616DAB">
            <w:pPr>
              <w:spacing w:line="480" w:lineRule="auto"/>
              <w:rPr>
                <w:rtl/>
              </w:rPr>
            </w:pPr>
            <w:r>
              <w:rPr>
                <w:rFonts w:hint="cs"/>
                <w:rtl/>
              </w:rPr>
              <w:t>שופט</w:t>
            </w:r>
          </w:p>
          <w:p w:rsidR="00616DAB" w:rsidRPr="00616DAB" w:rsidRDefault="00616DAB" w:rsidP="00616DAB">
            <w:pPr>
              <w:spacing w:line="480" w:lineRule="auto"/>
              <w:rPr>
                <w:rtl/>
              </w:rPr>
            </w:pPr>
            <w:r w:rsidRPr="00616DAB">
              <w:rPr>
                <w:rFonts w:hint="cs"/>
                <w:rtl/>
              </w:rPr>
              <w:t>שופט</w:t>
            </w:r>
          </w:p>
        </w:tc>
      </w:tr>
    </w:tbl>
    <w:p w:rsidR="00616DAB" w:rsidRPr="00616DAB" w:rsidRDefault="00616DAB" w:rsidP="00616DAB">
      <w:pPr>
        <w:spacing w:before="360" w:line="480" w:lineRule="auto"/>
        <w:rPr>
          <w:rtl/>
        </w:rPr>
      </w:pPr>
      <w:r w:rsidRPr="00616DAB">
        <w:rPr>
          <w:rtl/>
        </w:rPr>
        <w:t>בעניין:</w:t>
      </w:r>
    </w:p>
    <w:p w:rsidR="00D53E6C" w:rsidRDefault="002A4C3D" w:rsidP="00C80BFB">
      <w:pPr>
        <w:tabs>
          <w:tab w:val="left" w:pos="3628"/>
        </w:tabs>
        <w:jc w:val="center"/>
        <w:rPr>
          <w:rtl/>
        </w:rPr>
      </w:pPr>
      <w:r>
        <w:rPr>
          <w:rFonts w:hint="cs"/>
          <w:b/>
          <w:bCs/>
          <w:rtl/>
        </w:rPr>
        <w:t>מ/</w:t>
      </w:r>
      <w:r w:rsidR="008360C7">
        <w:rPr>
          <w:rFonts w:hint="cs"/>
          <w:b/>
          <w:bCs/>
        </w:rPr>
        <w:t xml:space="preserve"> </w:t>
      </w:r>
      <w:r w:rsidR="008360C7">
        <w:rPr>
          <w:b/>
          <w:bCs/>
        </w:rPr>
        <w:t>xxx</w:t>
      </w:r>
      <w:r>
        <w:rPr>
          <w:rFonts w:hint="cs"/>
          <w:b/>
          <w:bCs/>
          <w:rtl/>
        </w:rPr>
        <w:t xml:space="preserve">סמל </w:t>
      </w:r>
      <w:r w:rsidR="00C80BFB">
        <w:rPr>
          <w:rFonts w:hint="cs"/>
          <w:b/>
          <w:bCs/>
          <w:rtl/>
        </w:rPr>
        <w:t>ג' ד'</w:t>
      </w:r>
      <w:r w:rsidR="00616DAB">
        <w:rPr>
          <w:rFonts w:hint="cs"/>
          <w:b/>
          <w:bCs/>
          <w:rtl/>
        </w:rPr>
        <w:t xml:space="preserve"> </w:t>
      </w:r>
      <w:r w:rsidR="00616DAB">
        <w:rPr>
          <w:b/>
          <w:bCs/>
          <w:rtl/>
        </w:rPr>
        <w:t>–</w:t>
      </w:r>
      <w:r w:rsidR="00616DAB" w:rsidRPr="00616DAB">
        <w:rPr>
          <w:rtl/>
        </w:rPr>
        <w:t xml:space="preserve"> המערער (ע"י ב"כ</w:t>
      </w:r>
      <w:r w:rsidR="00616DAB" w:rsidRPr="00616DAB">
        <w:rPr>
          <w:rFonts w:hint="cs"/>
          <w:rtl/>
        </w:rPr>
        <w:t>,</w:t>
      </w:r>
      <w:r w:rsidR="00616DAB">
        <w:rPr>
          <w:rFonts w:hint="cs"/>
          <w:rtl/>
        </w:rPr>
        <w:t xml:space="preserve"> רס"ן חגי בן דב</w:t>
      </w:r>
      <w:r w:rsidR="00D53E6C">
        <w:rPr>
          <w:rFonts w:hint="cs"/>
          <w:rtl/>
        </w:rPr>
        <w:t xml:space="preserve">; סרן איתי </w:t>
      </w:r>
    </w:p>
    <w:p w:rsidR="00616DAB" w:rsidRPr="00616DAB" w:rsidRDefault="00D53E6C" w:rsidP="00D53E6C">
      <w:pPr>
        <w:tabs>
          <w:tab w:val="left" w:pos="3628"/>
        </w:tabs>
        <w:rPr>
          <w:rtl/>
        </w:rPr>
      </w:pPr>
      <w:r>
        <w:rPr>
          <w:rFonts w:hint="cs"/>
          <w:rtl/>
        </w:rPr>
        <w:t xml:space="preserve">                                                         המר</w:t>
      </w:r>
      <w:r w:rsidR="00616DAB" w:rsidRPr="00616DAB">
        <w:rPr>
          <w:rtl/>
        </w:rPr>
        <w:t>)</w:t>
      </w:r>
    </w:p>
    <w:p w:rsidR="00616DAB" w:rsidRPr="00616DAB" w:rsidRDefault="00616DAB" w:rsidP="00616DAB">
      <w:pPr>
        <w:spacing w:before="240" w:after="240"/>
        <w:jc w:val="center"/>
        <w:rPr>
          <w:b/>
          <w:bCs/>
          <w:rtl/>
        </w:rPr>
      </w:pPr>
      <w:r w:rsidRPr="00616DAB">
        <w:rPr>
          <w:b/>
          <w:bCs/>
          <w:rtl/>
        </w:rPr>
        <w:t>נ ג ד</w:t>
      </w:r>
    </w:p>
    <w:p w:rsidR="00616DAB" w:rsidRPr="00616DAB" w:rsidRDefault="00616DAB" w:rsidP="00616DAB">
      <w:pPr>
        <w:jc w:val="center"/>
        <w:rPr>
          <w:rtl/>
        </w:rPr>
      </w:pPr>
      <w:r>
        <w:rPr>
          <w:rFonts w:hint="cs"/>
          <w:b/>
          <w:bCs/>
          <w:rtl/>
        </w:rPr>
        <w:t xml:space="preserve">התובע הצבאי הראשי </w:t>
      </w:r>
      <w:r>
        <w:rPr>
          <w:b/>
          <w:bCs/>
          <w:rtl/>
        </w:rPr>
        <w:t>–</w:t>
      </w:r>
      <w:r w:rsidRPr="00616DAB">
        <w:rPr>
          <w:rtl/>
        </w:rPr>
        <w:t xml:space="preserve"> המש</w:t>
      </w:r>
      <w:r>
        <w:rPr>
          <w:rFonts w:hint="cs"/>
          <w:rtl/>
        </w:rPr>
        <w:t>י</w:t>
      </w:r>
      <w:r w:rsidRPr="00616DAB">
        <w:rPr>
          <w:rtl/>
        </w:rPr>
        <w:t>ב (ע"י ב"כ,</w:t>
      </w:r>
      <w:r>
        <w:rPr>
          <w:rFonts w:hint="cs"/>
          <w:rtl/>
        </w:rPr>
        <w:t xml:space="preserve"> רס"ן גל באומהקר</w:t>
      </w:r>
      <w:r w:rsidRPr="00616DAB">
        <w:rPr>
          <w:rtl/>
        </w:rPr>
        <w:t>)</w:t>
      </w:r>
    </w:p>
    <w:p w:rsidR="00616DAB" w:rsidRPr="00616DAB" w:rsidRDefault="00616DAB" w:rsidP="00CF27DF">
      <w:pPr>
        <w:spacing w:before="600" w:after="480"/>
        <w:rPr>
          <w:rtl/>
        </w:rPr>
      </w:pPr>
      <w:r w:rsidRPr="00616DAB">
        <w:rPr>
          <w:rtl/>
        </w:rPr>
        <w:t>ערעור על פסק</w:t>
      </w:r>
      <w:r w:rsidRPr="00616DAB">
        <w:rPr>
          <w:rFonts w:hint="cs"/>
          <w:rtl/>
        </w:rPr>
        <w:t xml:space="preserve"> </w:t>
      </w:r>
      <w:r w:rsidRPr="00616DAB">
        <w:rPr>
          <w:rtl/>
        </w:rPr>
        <w:t>דין של בית הדין הצבאי המחוזי במחוז שיפוט</w:t>
      </w:r>
      <w:r w:rsidRPr="00616DAB">
        <w:rPr>
          <w:rFonts w:hint="cs"/>
          <w:rtl/>
        </w:rPr>
        <w:t>י</w:t>
      </w:r>
      <w:r w:rsidRPr="00616DAB">
        <w:rPr>
          <w:rtl/>
        </w:rPr>
        <w:t xml:space="preserve"> </w:t>
      </w:r>
      <w:r w:rsidRPr="00616DAB">
        <w:rPr>
          <w:rFonts w:hint="cs"/>
          <w:rtl/>
        </w:rPr>
        <w:t>ה</w:t>
      </w:r>
      <w:r>
        <w:rPr>
          <w:rFonts w:hint="cs"/>
          <w:rtl/>
        </w:rPr>
        <w:t>מרכז</w:t>
      </w:r>
      <w:r w:rsidRPr="00616DAB">
        <w:rPr>
          <w:rFonts w:hint="cs"/>
          <w:rtl/>
        </w:rPr>
        <w:t xml:space="preserve"> </w:t>
      </w:r>
      <w:r w:rsidRPr="00616DAB">
        <w:rPr>
          <w:rtl/>
        </w:rPr>
        <w:t>שניתן בתיק</w:t>
      </w:r>
      <w:r>
        <w:rPr>
          <w:rFonts w:hint="cs"/>
          <w:rtl/>
        </w:rPr>
        <w:t xml:space="preserve"> מרכז (מחוזי) 257/18 </w:t>
      </w:r>
      <w:r w:rsidRPr="00616DAB">
        <w:rPr>
          <w:rFonts w:hint="cs"/>
          <w:rtl/>
        </w:rPr>
        <w:t xml:space="preserve"> </w:t>
      </w:r>
      <w:r w:rsidRPr="00616DAB">
        <w:rPr>
          <w:rtl/>
        </w:rPr>
        <w:t>(</w:t>
      </w:r>
      <w:r w:rsidR="00CF27DF">
        <w:rPr>
          <w:rFonts w:hint="cs"/>
          <w:rtl/>
        </w:rPr>
        <w:t xml:space="preserve">אל"ם כרמל ווהבי </w:t>
      </w:r>
      <w:r w:rsidR="00CF27DF">
        <w:rPr>
          <w:rtl/>
        </w:rPr>
        <w:t>–</w:t>
      </w:r>
      <w:r w:rsidR="00D53E6C">
        <w:rPr>
          <w:rFonts w:hint="cs"/>
          <w:rtl/>
        </w:rPr>
        <w:t xml:space="preserve"> אב"ד; ר</w:t>
      </w:r>
      <w:r w:rsidR="00CF27DF">
        <w:rPr>
          <w:rFonts w:hint="cs"/>
          <w:rtl/>
        </w:rPr>
        <w:t xml:space="preserve">ס"ן טובי הארט </w:t>
      </w:r>
      <w:r w:rsidR="00CF27DF">
        <w:rPr>
          <w:rtl/>
        </w:rPr>
        <w:t>–</w:t>
      </w:r>
      <w:r w:rsidR="00D53E6C">
        <w:rPr>
          <w:rFonts w:hint="cs"/>
          <w:rtl/>
        </w:rPr>
        <w:t xml:space="preserve"> שופט; ר</w:t>
      </w:r>
      <w:r w:rsidR="00CF27DF">
        <w:rPr>
          <w:rFonts w:hint="cs"/>
          <w:rtl/>
        </w:rPr>
        <w:t xml:space="preserve">ס"ן טל בן אלי </w:t>
      </w:r>
      <w:r w:rsidR="00CF27DF">
        <w:rPr>
          <w:rtl/>
        </w:rPr>
        <w:t>–</w:t>
      </w:r>
      <w:r w:rsidR="00CF27DF">
        <w:rPr>
          <w:rFonts w:hint="cs"/>
          <w:rtl/>
        </w:rPr>
        <w:t xml:space="preserve"> שופט</w:t>
      </w:r>
      <w:r w:rsidRPr="00616DAB">
        <w:rPr>
          <w:rtl/>
        </w:rPr>
        <w:t>) ב</w:t>
      </w:r>
      <w:r w:rsidRPr="00616DAB">
        <w:rPr>
          <w:rFonts w:hint="cs"/>
          <w:rtl/>
        </w:rPr>
        <w:t xml:space="preserve">יום </w:t>
      </w:r>
      <w:r w:rsidR="00CF27DF">
        <w:rPr>
          <w:rFonts w:hint="cs"/>
          <w:rtl/>
        </w:rPr>
        <w:t>17.6.2019</w:t>
      </w:r>
      <w:r w:rsidRPr="00616DAB">
        <w:rPr>
          <w:rtl/>
        </w:rPr>
        <w:t>. הערעור (</w:t>
      </w:r>
      <w:r w:rsidR="00D53E6C">
        <w:rPr>
          <w:rFonts w:hint="cs"/>
          <w:rtl/>
        </w:rPr>
        <w:t>הכרעת הדין ו</w:t>
      </w:r>
      <w:r w:rsidR="00CF27DF">
        <w:rPr>
          <w:rFonts w:hint="cs"/>
          <w:rtl/>
        </w:rPr>
        <w:t>חומרת העונש</w:t>
      </w:r>
      <w:r w:rsidRPr="00616DAB">
        <w:rPr>
          <w:rtl/>
        </w:rPr>
        <w:t>)</w:t>
      </w:r>
      <w:r w:rsidR="00CF27DF">
        <w:rPr>
          <w:rFonts w:hint="cs"/>
          <w:rtl/>
        </w:rPr>
        <w:t xml:space="preserve"> </w:t>
      </w:r>
      <w:r w:rsidRPr="00616DAB">
        <w:rPr>
          <w:rFonts w:hint="cs"/>
          <w:rtl/>
        </w:rPr>
        <w:t>נדחה</w:t>
      </w:r>
      <w:r w:rsidRPr="00616DAB">
        <w:rPr>
          <w:rtl/>
        </w:rPr>
        <w:t>.</w:t>
      </w:r>
    </w:p>
    <w:p w:rsidR="00BD0889" w:rsidRDefault="00BD0889" w:rsidP="00BD0889">
      <w:pPr>
        <w:spacing w:line="480" w:lineRule="auto"/>
        <w:jc w:val="center"/>
        <w:rPr>
          <w:b/>
          <w:bCs/>
          <w:u w:val="single"/>
          <w:rtl/>
        </w:rPr>
      </w:pPr>
      <w:r>
        <w:rPr>
          <w:rFonts w:hint="cs"/>
          <w:b/>
          <w:bCs/>
          <w:u w:val="single"/>
          <w:rtl/>
        </w:rPr>
        <w:t>פ ס ק - ד י ן</w:t>
      </w:r>
    </w:p>
    <w:p w:rsidR="009268CB" w:rsidRPr="009268CB" w:rsidRDefault="009268CB" w:rsidP="009268CB">
      <w:pPr>
        <w:pStyle w:val="Heading1"/>
        <w:ind w:left="-58"/>
        <w:rPr>
          <w:rtl/>
        </w:rPr>
      </w:pPr>
      <w:r w:rsidRPr="009268CB">
        <w:rPr>
          <w:rFonts w:hint="cs"/>
          <w:rtl/>
        </w:rPr>
        <w:t>מסגרת ההליכים</w:t>
      </w:r>
    </w:p>
    <w:p w:rsidR="009268CB" w:rsidRDefault="00BD0889" w:rsidP="004A3209">
      <w:pPr>
        <w:numPr>
          <w:ilvl w:val="0"/>
          <w:numId w:val="1"/>
        </w:numPr>
        <w:tabs>
          <w:tab w:val="left" w:pos="226"/>
        </w:tabs>
        <w:ind w:left="0" w:firstLine="0"/>
      </w:pPr>
      <w:r w:rsidRPr="009268CB">
        <w:rPr>
          <w:rFonts w:hint="cs"/>
          <w:b/>
          <w:bCs/>
          <w:rtl/>
        </w:rPr>
        <w:t>המערער</w:t>
      </w:r>
      <w:r>
        <w:rPr>
          <w:rFonts w:hint="cs"/>
          <w:rtl/>
        </w:rPr>
        <w:t xml:space="preserve">, סמל </w:t>
      </w:r>
      <w:r w:rsidR="00C80BFB">
        <w:rPr>
          <w:rFonts w:hint="cs"/>
          <w:rtl/>
        </w:rPr>
        <w:t>ג</w:t>
      </w:r>
      <w:r w:rsidR="00C80BFB">
        <w:rPr>
          <w:rtl/>
        </w:rPr>
        <w:t>'</w:t>
      </w:r>
      <w:r w:rsidR="00C80BFB">
        <w:rPr>
          <w:rFonts w:hint="cs"/>
          <w:rtl/>
        </w:rPr>
        <w:t xml:space="preserve"> ד</w:t>
      </w:r>
      <w:r w:rsidR="00C80BFB">
        <w:rPr>
          <w:rtl/>
        </w:rPr>
        <w:t>'</w:t>
      </w:r>
      <w:r>
        <w:rPr>
          <w:rFonts w:hint="cs"/>
          <w:rtl/>
        </w:rPr>
        <w:t xml:space="preserve">, הורשע בבית הדין המחוזי, לאחר </w:t>
      </w:r>
      <w:r w:rsidR="004A3209">
        <w:rPr>
          <w:rFonts w:hint="cs"/>
          <w:rtl/>
        </w:rPr>
        <w:t>שמיעת ראיות</w:t>
      </w:r>
      <w:r>
        <w:rPr>
          <w:rFonts w:hint="cs"/>
          <w:rtl/>
        </w:rPr>
        <w:t xml:space="preserve">, בעבירות שעניינן </w:t>
      </w:r>
      <w:r w:rsidRPr="009268CB">
        <w:rPr>
          <w:rFonts w:hint="cs"/>
          <w:b/>
          <w:bCs/>
          <w:rtl/>
        </w:rPr>
        <w:t>השמדת רכוש צבאי</w:t>
      </w:r>
      <w:r>
        <w:rPr>
          <w:rFonts w:hint="cs"/>
          <w:rtl/>
        </w:rPr>
        <w:t xml:space="preserve">, לפי סעיף 76(ב) לחוק השיפוט הצבאי, התשט"ו-1955; </w:t>
      </w:r>
      <w:r w:rsidRPr="009268CB">
        <w:rPr>
          <w:rFonts w:hint="cs"/>
          <w:b/>
          <w:bCs/>
          <w:rtl/>
        </w:rPr>
        <w:t>השתמטות מפעולה מסוימת</w:t>
      </w:r>
      <w:r>
        <w:rPr>
          <w:rFonts w:hint="cs"/>
          <w:rtl/>
        </w:rPr>
        <w:t>, לפי סעיף 102 רישא לחוק השיפוט הצבאי ו</w:t>
      </w:r>
      <w:r w:rsidRPr="009268CB">
        <w:rPr>
          <w:rFonts w:hint="cs"/>
          <w:b/>
          <w:bCs/>
          <w:rtl/>
        </w:rPr>
        <w:t>התנהגות שאינה הולמת</w:t>
      </w:r>
      <w:r>
        <w:rPr>
          <w:rFonts w:hint="cs"/>
          <w:rtl/>
        </w:rPr>
        <w:t xml:space="preserve">, לפי סעיף 130 לחוק השיפוט הצבאי. </w:t>
      </w:r>
    </w:p>
    <w:p w:rsidR="009268CB" w:rsidRDefault="009268CB" w:rsidP="004A3209">
      <w:pPr>
        <w:numPr>
          <w:ilvl w:val="0"/>
          <w:numId w:val="1"/>
        </w:numPr>
        <w:tabs>
          <w:tab w:val="left" w:pos="226"/>
        </w:tabs>
        <w:ind w:left="0" w:firstLine="0"/>
      </w:pPr>
      <w:r w:rsidRPr="009268CB">
        <w:rPr>
          <w:rFonts w:hint="cs"/>
          <w:rtl/>
        </w:rPr>
        <w:t>בעקבות הרשעתו</w:t>
      </w:r>
      <w:r>
        <w:rPr>
          <w:rFonts w:hint="cs"/>
          <w:rtl/>
        </w:rPr>
        <w:t>,</w:t>
      </w:r>
      <w:r w:rsidRPr="009268CB">
        <w:rPr>
          <w:rFonts w:hint="cs"/>
          <w:b/>
          <w:bCs/>
          <w:rtl/>
        </w:rPr>
        <w:t xml:space="preserve"> </w:t>
      </w:r>
      <w:r>
        <w:rPr>
          <w:rFonts w:hint="cs"/>
          <w:rtl/>
        </w:rPr>
        <w:t xml:space="preserve">השית בית הדין קמא </w:t>
      </w:r>
      <w:r w:rsidR="00BD0889">
        <w:rPr>
          <w:rFonts w:hint="cs"/>
          <w:rtl/>
        </w:rPr>
        <w:t>על המערער</w:t>
      </w:r>
      <w:r>
        <w:rPr>
          <w:rFonts w:hint="cs"/>
          <w:rtl/>
        </w:rPr>
        <w:t>,</w:t>
      </w:r>
      <w:r w:rsidR="00BD0889">
        <w:rPr>
          <w:rFonts w:hint="cs"/>
          <w:rtl/>
        </w:rPr>
        <w:t xml:space="preserve"> </w:t>
      </w:r>
      <w:r w:rsidR="004A2F76">
        <w:rPr>
          <w:rFonts w:hint="cs"/>
          <w:rtl/>
        </w:rPr>
        <w:t>חמישה חודשי</w:t>
      </w:r>
      <w:r w:rsidR="00BD0889">
        <w:rPr>
          <w:rFonts w:hint="cs"/>
          <w:rtl/>
        </w:rPr>
        <w:t xml:space="preserve"> מאסר בפועל; </w:t>
      </w:r>
      <w:r>
        <w:rPr>
          <w:rFonts w:hint="cs"/>
          <w:rtl/>
        </w:rPr>
        <w:t>ארבעה חודשי מאסר על תנאי למשך שנתיים, לבל יעבור את העבירות שבהן הורשע או עבירות אחרות שיש בהן יסוד של פגיעה ברכוש הזולת</w:t>
      </w:r>
      <w:r w:rsidR="004A2F76">
        <w:rPr>
          <w:rFonts w:hint="cs"/>
          <w:rtl/>
        </w:rPr>
        <w:t xml:space="preserve">; </w:t>
      </w:r>
      <w:r w:rsidR="004A3209">
        <w:rPr>
          <w:rFonts w:hint="cs"/>
          <w:rtl/>
        </w:rPr>
        <w:t xml:space="preserve">שמונה </w:t>
      </w:r>
      <w:r w:rsidR="004A2F76">
        <w:rPr>
          <w:rFonts w:hint="cs"/>
          <w:rtl/>
        </w:rPr>
        <w:t>חודשי פסיל</w:t>
      </w:r>
      <w:r w:rsidR="004A3209">
        <w:rPr>
          <w:rFonts w:hint="cs"/>
          <w:rtl/>
        </w:rPr>
        <w:t xml:space="preserve">ה של </w:t>
      </w:r>
      <w:r w:rsidR="004A2F76">
        <w:rPr>
          <w:rFonts w:hint="cs"/>
          <w:rtl/>
        </w:rPr>
        <w:t>ר</w:t>
      </w:r>
      <w:r w:rsidR="004A3209">
        <w:rPr>
          <w:rFonts w:hint="cs"/>
          <w:rtl/>
        </w:rPr>
        <w:t xml:space="preserve">ישיונות הנהיגה והורדה לדרגת טוראי. כמו כן, הושתו על המערער </w:t>
      </w:r>
      <w:r w:rsidR="004A2F76">
        <w:rPr>
          <w:rFonts w:hint="cs"/>
          <w:rtl/>
        </w:rPr>
        <w:t>פיצויים לטובת צה"ל בסך 2,000 ש"ח.</w:t>
      </w:r>
    </w:p>
    <w:p w:rsidR="009268CB" w:rsidRDefault="009268CB" w:rsidP="009268CB">
      <w:pPr>
        <w:numPr>
          <w:ilvl w:val="0"/>
          <w:numId w:val="1"/>
        </w:numPr>
        <w:tabs>
          <w:tab w:val="left" w:pos="226"/>
        </w:tabs>
        <w:ind w:left="0" w:firstLine="0"/>
      </w:pPr>
      <w:r w:rsidRPr="008C1D50">
        <w:rPr>
          <w:rFonts w:hint="cs"/>
          <w:rtl/>
        </w:rPr>
        <w:lastRenderedPageBreak/>
        <w:t xml:space="preserve">ההגנה לא השלימה עם תוצאות פסק הדין וערערה הן כנגד </w:t>
      </w:r>
      <w:r w:rsidRPr="009268CB">
        <w:rPr>
          <w:rFonts w:hint="cs"/>
          <w:b/>
          <w:bCs/>
          <w:rtl/>
        </w:rPr>
        <w:t xml:space="preserve">הכרעת הדין </w:t>
      </w:r>
      <w:r w:rsidRPr="008C1D50">
        <w:rPr>
          <w:rFonts w:hint="cs"/>
          <w:rtl/>
        </w:rPr>
        <w:t xml:space="preserve">והן כנגד </w:t>
      </w:r>
      <w:r w:rsidRPr="009268CB">
        <w:rPr>
          <w:rFonts w:hint="cs"/>
          <w:b/>
          <w:bCs/>
          <w:rtl/>
        </w:rPr>
        <w:t>חומרת העונש</w:t>
      </w:r>
      <w:r w:rsidRPr="008C1D50">
        <w:rPr>
          <w:rFonts w:hint="cs"/>
          <w:rtl/>
        </w:rPr>
        <w:t xml:space="preserve">. </w:t>
      </w:r>
      <w:r w:rsidRPr="00B07FA5">
        <w:rPr>
          <w:rFonts w:hint="cs"/>
          <w:rtl/>
        </w:rPr>
        <w:t xml:space="preserve">נדון תחילה בערעור ההגנה על הכרעת הדין. </w:t>
      </w:r>
    </w:p>
    <w:p w:rsidR="009268CB" w:rsidRDefault="009268CB" w:rsidP="009268CB">
      <w:pPr>
        <w:tabs>
          <w:tab w:val="left" w:pos="226"/>
        </w:tabs>
        <w:rPr>
          <w:rtl/>
        </w:rPr>
      </w:pPr>
    </w:p>
    <w:p w:rsidR="009268CB" w:rsidRPr="00653277" w:rsidRDefault="009268CB" w:rsidP="009268CB">
      <w:pPr>
        <w:pStyle w:val="Heading1"/>
        <w:ind w:left="-58" w:firstLine="6"/>
        <w:rPr>
          <w:rtl/>
        </w:rPr>
      </w:pPr>
      <w:r w:rsidRPr="00EB043E">
        <w:rPr>
          <w:rFonts w:hint="cs"/>
          <w:rtl/>
        </w:rPr>
        <w:t>הערעור על הכרעת הדין</w:t>
      </w:r>
    </w:p>
    <w:p w:rsidR="00324C1D" w:rsidRPr="00324C1D" w:rsidRDefault="00324C1D" w:rsidP="00324C1D">
      <w:pPr>
        <w:pStyle w:val="Heading1"/>
        <w:ind w:left="-58"/>
        <w:rPr>
          <w:u w:val="none"/>
          <w:rtl/>
        </w:rPr>
      </w:pPr>
      <w:r w:rsidRPr="00324C1D">
        <w:rPr>
          <w:rFonts w:hint="cs"/>
          <w:u w:val="none"/>
          <w:rtl/>
        </w:rPr>
        <w:t xml:space="preserve">ההליכים בבית הדין המחוזי </w:t>
      </w:r>
    </w:p>
    <w:p w:rsidR="00992749" w:rsidRDefault="009268CB" w:rsidP="00C80BFB">
      <w:pPr>
        <w:numPr>
          <w:ilvl w:val="0"/>
          <w:numId w:val="1"/>
        </w:numPr>
        <w:tabs>
          <w:tab w:val="left" w:pos="229"/>
        </w:tabs>
        <w:ind w:left="0" w:firstLine="0"/>
      </w:pPr>
      <w:r w:rsidRPr="00B07FA5">
        <w:rPr>
          <w:rFonts w:hint="cs"/>
          <w:rtl/>
        </w:rPr>
        <w:t xml:space="preserve">ביום </w:t>
      </w:r>
      <w:r>
        <w:rPr>
          <w:rFonts w:hint="cs"/>
          <w:rtl/>
        </w:rPr>
        <w:t>2</w:t>
      </w:r>
      <w:r w:rsidRPr="00B07FA5">
        <w:rPr>
          <w:rFonts w:hint="cs"/>
          <w:rtl/>
        </w:rPr>
        <w:t>.</w:t>
      </w:r>
      <w:r>
        <w:rPr>
          <w:rFonts w:hint="cs"/>
          <w:rtl/>
        </w:rPr>
        <w:t>8</w:t>
      </w:r>
      <w:r w:rsidRPr="00B07FA5">
        <w:rPr>
          <w:rFonts w:hint="cs"/>
          <w:rtl/>
        </w:rPr>
        <w:t>.</w:t>
      </w:r>
      <w:r>
        <w:rPr>
          <w:rFonts w:hint="cs"/>
          <w:rtl/>
        </w:rPr>
        <w:t>2018</w:t>
      </w:r>
      <w:r w:rsidRPr="00B07FA5">
        <w:rPr>
          <w:rFonts w:hint="cs"/>
          <w:rtl/>
        </w:rPr>
        <w:t xml:space="preserve"> הוגש כנגד המערער כתב האישום, בעבירות כמפורט לעיל. בכתב האישום נטען,</w:t>
      </w:r>
      <w:r>
        <w:rPr>
          <w:rFonts w:hint="cs"/>
          <w:rtl/>
        </w:rPr>
        <w:t xml:space="preserve"> כי</w:t>
      </w:r>
      <w:r w:rsidR="00CC1B76">
        <w:rPr>
          <w:rFonts w:hint="cs"/>
          <w:rtl/>
        </w:rPr>
        <w:t xml:space="preserve"> בעת שנהג ברכב צבאי מסוג </w:t>
      </w:r>
      <w:r w:rsidR="00943D49">
        <w:rPr>
          <w:rFonts w:hint="cs"/>
          <w:rtl/>
        </w:rPr>
        <w:t>"</w:t>
      </w:r>
      <w:r w:rsidR="00CC1B76">
        <w:rPr>
          <w:rFonts w:hint="cs"/>
          <w:rtl/>
        </w:rPr>
        <w:t>דוד</w:t>
      </w:r>
      <w:r w:rsidR="00943D49">
        <w:rPr>
          <w:rFonts w:hint="cs"/>
          <w:rtl/>
        </w:rPr>
        <w:t>"</w:t>
      </w:r>
      <w:r w:rsidR="00CC1B76">
        <w:rPr>
          <w:rFonts w:hint="cs"/>
          <w:rtl/>
        </w:rPr>
        <w:t>, במסגרת סיורים באזור יהודה ושומרון, גרם המערער לנזקים שהביאו להשבתת הרכב, וזאת בחמש הזדמנויות במהלך חודש מ</w:t>
      </w:r>
      <w:r w:rsidR="004E3439">
        <w:rPr>
          <w:rFonts w:hint="cs"/>
          <w:rtl/>
        </w:rPr>
        <w:t>א</w:t>
      </w:r>
      <w:r w:rsidR="00CC1B76">
        <w:rPr>
          <w:rFonts w:hint="cs"/>
          <w:rtl/>
        </w:rPr>
        <w:t>ר</w:t>
      </w:r>
      <w:r w:rsidR="004E3439">
        <w:rPr>
          <w:rFonts w:hint="cs"/>
          <w:rtl/>
        </w:rPr>
        <w:t>ס</w:t>
      </w:r>
      <w:r w:rsidR="00CC1B76">
        <w:rPr>
          <w:rFonts w:hint="cs"/>
          <w:rtl/>
        </w:rPr>
        <w:t xml:space="preserve"> 2018 או במועדים סמוכים לכך: </w:t>
      </w:r>
      <w:r w:rsidR="00BE46F6">
        <w:rPr>
          <w:rFonts w:hint="cs"/>
          <w:rtl/>
        </w:rPr>
        <w:t>ב-5.3.2018 ובהזדמנות נוספת חיבל</w:t>
      </w:r>
      <w:r w:rsidR="00CC1B76">
        <w:rPr>
          <w:rFonts w:hint="cs"/>
          <w:rtl/>
        </w:rPr>
        <w:t xml:space="preserve"> בנתיך; ב-22.3.2018 ובהזדמנות נוספת חיבל במצמד הרכב, ובהזדמנות אח</w:t>
      </w:r>
      <w:r w:rsidR="00A202DF">
        <w:rPr>
          <w:rFonts w:hint="cs"/>
          <w:rtl/>
        </w:rPr>
        <w:t>ר</w:t>
      </w:r>
      <w:r w:rsidR="00CC1B76">
        <w:rPr>
          <w:rFonts w:hint="cs"/>
          <w:rtl/>
        </w:rPr>
        <w:t>ת חיבל במתג המזגן.</w:t>
      </w:r>
      <w:r w:rsidR="00D53E6C">
        <w:rPr>
          <w:rFonts w:hint="cs"/>
          <w:rtl/>
        </w:rPr>
        <w:t xml:space="preserve"> על-</w:t>
      </w:r>
      <w:r w:rsidR="00BE46F6">
        <w:rPr>
          <w:rFonts w:hint="cs"/>
          <w:rtl/>
        </w:rPr>
        <w:t xml:space="preserve">פי הנטען, המערער ביצע את המעשים המתוארים לעיל על מנת להימנע מלהמשיך במשימה שהוטלה עליו </w:t>
      </w:r>
      <w:r w:rsidR="00BE46F6">
        <w:rPr>
          <w:rtl/>
        </w:rPr>
        <w:t>–</w:t>
      </w:r>
      <w:r w:rsidR="00BE46F6">
        <w:rPr>
          <w:rFonts w:hint="cs"/>
          <w:rtl/>
        </w:rPr>
        <w:t xml:space="preserve"> לשמש כנהג בסיורים בגזרת </w:t>
      </w:r>
      <w:r w:rsidR="004E3439">
        <w:rPr>
          <w:rFonts w:hint="cs"/>
          <w:rtl/>
        </w:rPr>
        <w:t>יהודה ושומרון</w:t>
      </w:r>
      <w:r w:rsidR="00BE46F6">
        <w:rPr>
          <w:rFonts w:hint="cs"/>
          <w:rtl/>
        </w:rPr>
        <w:t xml:space="preserve">, שנועדו לשמור על ביטחון היישובים באזור ותושביהם. כתוצאה מהמעשים, בוטלו הסיורים, והדבר גרם לפגיעה בכוננות היחידה ולפגיעה בביטחון האזור ותושביו. כן נטען, כי המערער </w:t>
      </w:r>
      <w:r w:rsidR="004E3439">
        <w:rPr>
          <w:rFonts w:hint="cs"/>
          <w:rtl/>
        </w:rPr>
        <w:t>הוא ש</w:t>
      </w:r>
      <w:r w:rsidR="00BE46F6">
        <w:rPr>
          <w:rFonts w:hint="cs"/>
          <w:rtl/>
        </w:rPr>
        <w:t>הגה את הרעיון להשבית כלי רכב צבאיים על מנת לגרום לביטול סיורים, ו</w:t>
      </w:r>
      <w:r w:rsidR="004E3439">
        <w:rPr>
          <w:rFonts w:hint="cs"/>
          <w:rtl/>
        </w:rPr>
        <w:t xml:space="preserve">כי </w:t>
      </w:r>
      <w:r w:rsidR="00BE46F6">
        <w:rPr>
          <w:rFonts w:hint="cs"/>
          <w:rtl/>
        </w:rPr>
        <w:t xml:space="preserve">הפיץ את הרעיון </w:t>
      </w:r>
      <w:r w:rsidR="004E3439">
        <w:rPr>
          <w:rFonts w:hint="cs"/>
          <w:rtl/>
        </w:rPr>
        <w:t xml:space="preserve">בקרב </w:t>
      </w:r>
      <w:r w:rsidR="00BE46F6">
        <w:rPr>
          <w:rFonts w:hint="cs"/>
          <w:rtl/>
        </w:rPr>
        <w:t xml:space="preserve">נהגי בטחון שוטף (בט"ש) </w:t>
      </w:r>
      <w:r w:rsidR="004E3439">
        <w:rPr>
          <w:rFonts w:hint="cs"/>
          <w:rtl/>
        </w:rPr>
        <w:t>אחרים</w:t>
      </w:r>
      <w:r w:rsidR="00BE46F6">
        <w:rPr>
          <w:rFonts w:hint="cs"/>
          <w:rtl/>
        </w:rPr>
        <w:t xml:space="preserve">, ביניהם סמל אברהם ורב"ט </w:t>
      </w:r>
      <w:bookmarkStart w:id="0" w:name="_GoBack"/>
      <w:bookmarkEnd w:id="0"/>
      <w:r w:rsidR="00BE46F6">
        <w:rPr>
          <w:rFonts w:hint="cs"/>
          <w:rtl/>
        </w:rPr>
        <w:t>אדרי.</w:t>
      </w:r>
      <w:r w:rsidR="00407D6C" w:rsidRPr="00407D6C">
        <w:rPr>
          <w:rFonts w:hint="cs"/>
          <w:rtl/>
        </w:rPr>
        <w:t xml:space="preserve"> </w:t>
      </w:r>
    </w:p>
    <w:p w:rsidR="00992749" w:rsidRDefault="00407D6C" w:rsidP="009F26F6">
      <w:pPr>
        <w:numPr>
          <w:ilvl w:val="0"/>
          <w:numId w:val="1"/>
        </w:numPr>
        <w:tabs>
          <w:tab w:val="left" w:pos="229"/>
        </w:tabs>
        <w:ind w:left="0" w:firstLine="0"/>
        <w:rPr>
          <w:rtl/>
        </w:rPr>
      </w:pPr>
      <w:r w:rsidRPr="00B07FA5">
        <w:rPr>
          <w:rFonts w:hint="cs"/>
          <w:rtl/>
        </w:rPr>
        <w:t xml:space="preserve">המערער </w:t>
      </w:r>
      <w:r w:rsidR="004E3439">
        <w:rPr>
          <w:rFonts w:hint="cs"/>
          <w:rtl/>
        </w:rPr>
        <w:t xml:space="preserve">כפר באשמות שיוחסו לו. במסגרת מסמך לתיאור </w:t>
      </w:r>
      <w:r w:rsidR="00992749">
        <w:rPr>
          <w:rFonts w:hint="cs"/>
          <w:rtl/>
        </w:rPr>
        <w:t>גדר כפירה פ</w:t>
      </w:r>
      <w:r w:rsidR="004E3439">
        <w:rPr>
          <w:rFonts w:hint="cs"/>
          <w:rtl/>
        </w:rPr>
        <w:t>י</w:t>
      </w:r>
      <w:r w:rsidR="00992749">
        <w:rPr>
          <w:rFonts w:hint="cs"/>
          <w:rtl/>
        </w:rPr>
        <w:t xml:space="preserve">רט, </w:t>
      </w:r>
      <w:r w:rsidR="004E3439">
        <w:rPr>
          <w:rFonts w:hint="cs"/>
          <w:rtl/>
        </w:rPr>
        <w:t>כי הוא מאשר ש</w:t>
      </w:r>
      <w:r w:rsidR="00992749">
        <w:rPr>
          <w:rFonts w:hint="cs"/>
          <w:rtl/>
        </w:rPr>
        <w:t>ש</w:t>
      </w:r>
      <w:r w:rsidR="004E3439">
        <w:rPr>
          <w:rFonts w:hint="cs"/>
          <w:rtl/>
        </w:rPr>
        <w:t>י</w:t>
      </w:r>
      <w:r w:rsidR="00992749">
        <w:rPr>
          <w:rFonts w:hint="cs"/>
          <w:rtl/>
        </w:rPr>
        <w:t>רת כנה</w:t>
      </w:r>
      <w:r w:rsidR="00E42184">
        <w:rPr>
          <w:rFonts w:hint="cs"/>
          <w:rtl/>
        </w:rPr>
        <w:t>ג בצה"ל, לרבות בחודש מ</w:t>
      </w:r>
      <w:r w:rsidR="004E3439">
        <w:rPr>
          <w:rFonts w:hint="cs"/>
          <w:rtl/>
        </w:rPr>
        <w:t>ארס</w:t>
      </w:r>
      <w:r w:rsidR="00E42184">
        <w:rPr>
          <w:rFonts w:hint="cs"/>
          <w:rtl/>
        </w:rPr>
        <w:t xml:space="preserve"> 2018, </w:t>
      </w:r>
      <w:r w:rsidR="004E3439">
        <w:rPr>
          <w:rFonts w:hint="cs"/>
          <w:rtl/>
        </w:rPr>
        <w:t>ו</w:t>
      </w:r>
      <w:r w:rsidR="00992749">
        <w:rPr>
          <w:rFonts w:hint="cs"/>
          <w:rtl/>
        </w:rPr>
        <w:t xml:space="preserve">כי במסגרת תפקידו נהג בכלי רכב </w:t>
      </w:r>
      <w:r w:rsidR="00E42184">
        <w:rPr>
          <w:rFonts w:hint="cs"/>
          <w:rtl/>
        </w:rPr>
        <w:t xml:space="preserve">צבאיים, ובכלל זה ברכב מסוג </w:t>
      </w:r>
      <w:r w:rsidR="00943D49">
        <w:rPr>
          <w:rFonts w:hint="cs"/>
          <w:rtl/>
        </w:rPr>
        <w:t>"</w:t>
      </w:r>
      <w:r w:rsidR="00E42184">
        <w:rPr>
          <w:rFonts w:hint="cs"/>
          <w:rtl/>
        </w:rPr>
        <w:t>דוד</w:t>
      </w:r>
      <w:r w:rsidR="00943D49">
        <w:rPr>
          <w:rFonts w:hint="cs"/>
          <w:rtl/>
        </w:rPr>
        <w:t>"</w:t>
      </w:r>
      <w:r w:rsidR="00E42184">
        <w:rPr>
          <w:rFonts w:hint="cs"/>
          <w:rtl/>
        </w:rPr>
        <w:t xml:space="preserve">, אולם </w:t>
      </w:r>
      <w:r w:rsidR="004E3439">
        <w:rPr>
          <w:rFonts w:hint="cs"/>
          <w:rtl/>
        </w:rPr>
        <w:t xml:space="preserve">מכחיש את יתר </w:t>
      </w:r>
      <w:r w:rsidR="00992749">
        <w:rPr>
          <w:rFonts w:hint="cs"/>
          <w:rtl/>
        </w:rPr>
        <w:t>העובדות ש</w:t>
      </w:r>
      <w:r w:rsidR="004E3439">
        <w:rPr>
          <w:rFonts w:hint="cs"/>
          <w:rtl/>
        </w:rPr>
        <w:t xml:space="preserve">צוינו </w:t>
      </w:r>
      <w:r w:rsidR="00992749">
        <w:rPr>
          <w:rFonts w:hint="cs"/>
          <w:rtl/>
        </w:rPr>
        <w:t>בסעיפי האישום. עם זאת, במהלך עדותו בבית הדין קמא</w:t>
      </w:r>
      <w:r w:rsidR="004E3439">
        <w:rPr>
          <w:rFonts w:hint="cs"/>
          <w:rtl/>
        </w:rPr>
        <w:t>,</w:t>
      </w:r>
      <w:r w:rsidR="00992749">
        <w:rPr>
          <w:rFonts w:hint="cs"/>
          <w:rtl/>
        </w:rPr>
        <w:t xml:space="preserve"> השתנ</w:t>
      </w:r>
      <w:r w:rsidR="004E3439">
        <w:rPr>
          <w:rFonts w:hint="cs"/>
          <w:rtl/>
        </w:rPr>
        <w:t>ת</w:t>
      </w:r>
      <w:r w:rsidR="00992749">
        <w:rPr>
          <w:rFonts w:hint="cs"/>
          <w:rtl/>
        </w:rPr>
        <w:t xml:space="preserve">ה </w:t>
      </w:r>
      <w:r w:rsidR="004E3439">
        <w:rPr>
          <w:rFonts w:hint="cs"/>
          <w:rtl/>
        </w:rPr>
        <w:t>עמדתו של המערער בנוגע לכתב האישום בעניינו</w:t>
      </w:r>
      <w:r w:rsidR="00992749">
        <w:rPr>
          <w:rFonts w:hint="cs"/>
          <w:rtl/>
        </w:rPr>
        <w:t xml:space="preserve"> באורח מהותי </w:t>
      </w:r>
      <w:r w:rsidR="004E3439">
        <w:rPr>
          <w:rFonts w:hint="cs"/>
          <w:rtl/>
        </w:rPr>
        <w:t>ו</w:t>
      </w:r>
      <w:r w:rsidR="00992749">
        <w:rPr>
          <w:rFonts w:hint="cs"/>
          <w:rtl/>
        </w:rPr>
        <w:t xml:space="preserve">המערער הודה בחלק ניכר מן העובדות </w:t>
      </w:r>
      <w:r w:rsidR="004E3439">
        <w:rPr>
          <w:rFonts w:hint="cs"/>
          <w:rtl/>
        </w:rPr>
        <w:t>ש</w:t>
      </w:r>
      <w:r w:rsidR="00992749">
        <w:rPr>
          <w:rFonts w:hint="cs"/>
          <w:rtl/>
        </w:rPr>
        <w:t>יוחסו</w:t>
      </w:r>
      <w:r w:rsidR="00E42184">
        <w:rPr>
          <w:rFonts w:hint="cs"/>
          <w:rtl/>
        </w:rPr>
        <w:t xml:space="preserve"> לו</w:t>
      </w:r>
      <w:r w:rsidR="004E3439">
        <w:rPr>
          <w:rFonts w:hint="cs"/>
          <w:rtl/>
        </w:rPr>
        <w:t>, כאמור</w:t>
      </w:r>
      <w:r w:rsidR="00E42184">
        <w:rPr>
          <w:rFonts w:hint="cs"/>
          <w:rtl/>
        </w:rPr>
        <w:t xml:space="preserve">. </w:t>
      </w:r>
      <w:r w:rsidR="00102C75">
        <w:rPr>
          <w:rFonts w:hint="cs"/>
          <w:rtl/>
        </w:rPr>
        <w:t>כך למשל, אישר המערער כי ביצע פעולה במצמד בשתי הזדמנויות, תוך שסבר כי הדבר מוביל לפגיעה במצמד; המערער אישר, כי פגע בנתיך ובעקבות כך נעצר הסיור; וכן אישר כי גרם לשבר במתג המזגן, אם כי לדבריו, ה</w:t>
      </w:r>
      <w:r w:rsidR="004E3439">
        <w:rPr>
          <w:rFonts w:hint="cs"/>
          <w:rtl/>
        </w:rPr>
        <w:t>נזק</w:t>
      </w:r>
      <w:r w:rsidR="00102C75">
        <w:rPr>
          <w:rFonts w:hint="cs"/>
          <w:rtl/>
        </w:rPr>
        <w:t xml:space="preserve"> לא הוביל להפסקת הסיור. </w:t>
      </w:r>
      <w:r w:rsidR="009F26F6">
        <w:rPr>
          <w:rFonts w:hint="cs"/>
          <w:rtl/>
        </w:rPr>
        <w:t xml:space="preserve">בד בבד, נטען על-ידי ההגנה כי לא הוכח שפעולותיו של המערער ביחס למצמד גרמו לנזק המתואר. </w:t>
      </w:r>
      <w:r w:rsidR="00102C75">
        <w:rPr>
          <w:rFonts w:hint="cs"/>
          <w:rtl/>
        </w:rPr>
        <w:t xml:space="preserve">המערער אישר, </w:t>
      </w:r>
      <w:r w:rsidR="009F26F6">
        <w:rPr>
          <w:rFonts w:hint="cs"/>
          <w:rtl/>
        </w:rPr>
        <w:t xml:space="preserve">עם זאת, </w:t>
      </w:r>
      <w:r w:rsidR="00102C75">
        <w:rPr>
          <w:rFonts w:hint="cs"/>
          <w:rtl/>
        </w:rPr>
        <w:t xml:space="preserve">כי </w:t>
      </w:r>
      <w:r w:rsidR="009F26F6">
        <w:rPr>
          <w:rFonts w:hint="cs"/>
          <w:rtl/>
        </w:rPr>
        <w:t xml:space="preserve">כלל </w:t>
      </w:r>
      <w:r w:rsidR="00102C75">
        <w:rPr>
          <w:rFonts w:hint="cs"/>
          <w:rtl/>
        </w:rPr>
        <w:t>מעשי</w:t>
      </w:r>
      <w:r w:rsidR="009F26F6">
        <w:rPr>
          <w:rFonts w:hint="cs"/>
          <w:rtl/>
        </w:rPr>
        <w:t>ו בוצעו ב</w:t>
      </w:r>
      <w:r w:rsidR="00102C75">
        <w:rPr>
          <w:rFonts w:hint="cs"/>
          <w:rtl/>
        </w:rPr>
        <w:t>כוונ</w:t>
      </w:r>
      <w:r w:rsidR="009F26F6">
        <w:rPr>
          <w:rFonts w:hint="cs"/>
          <w:rtl/>
        </w:rPr>
        <w:t xml:space="preserve">ה לגרום </w:t>
      </w:r>
      <w:r w:rsidR="00060D3F">
        <w:rPr>
          <w:rFonts w:hint="cs"/>
          <w:rtl/>
        </w:rPr>
        <w:t xml:space="preserve">נזק </w:t>
      </w:r>
      <w:r w:rsidR="004E3439">
        <w:rPr>
          <w:rFonts w:hint="cs"/>
          <w:rtl/>
        </w:rPr>
        <w:t>ל</w:t>
      </w:r>
      <w:r w:rsidR="00102C75">
        <w:rPr>
          <w:rFonts w:hint="cs"/>
          <w:rtl/>
        </w:rPr>
        <w:t xml:space="preserve">רכב. </w:t>
      </w:r>
      <w:r w:rsidR="00E42184">
        <w:rPr>
          <w:rFonts w:hint="cs"/>
          <w:rtl/>
        </w:rPr>
        <w:t xml:space="preserve">לאור גרסה זו, </w:t>
      </w:r>
      <w:r w:rsidR="004E3439">
        <w:rPr>
          <w:rFonts w:hint="cs"/>
          <w:rtl/>
        </w:rPr>
        <w:t xml:space="preserve">במסגרת סיכומי הצדדים להכרעת הדין, </w:t>
      </w:r>
      <w:r w:rsidR="00E42184">
        <w:rPr>
          <w:rFonts w:hint="cs"/>
          <w:rtl/>
        </w:rPr>
        <w:t>ה</w:t>
      </w:r>
      <w:r w:rsidR="004E3439">
        <w:rPr>
          <w:rFonts w:hint="cs"/>
          <w:rtl/>
        </w:rPr>
        <w:t xml:space="preserve">ביעה ההגנה את הסכמתה </w:t>
      </w:r>
      <w:r w:rsidR="00E42184">
        <w:rPr>
          <w:rFonts w:hint="cs"/>
          <w:rtl/>
        </w:rPr>
        <w:t>להרשעתו של המערער בעבירה של השמדת רכוש</w:t>
      </w:r>
      <w:r w:rsidR="00060D3F">
        <w:rPr>
          <w:rFonts w:hint="cs"/>
          <w:rtl/>
        </w:rPr>
        <w:t>,</w:t>
      </w:r>
      <w:r w:rsidR="00E42184">
        <w:rPr>
          <w:rFonts w:hint="cs"/>
          <w:rtl/>
        </w:rPr>
        <w:t xml:space="preserve"> בגין הפגיעה בנתיך ובמזגן, וביקשה כי המערער יורשע בניסיון להשמדת רכוש בגין שתי הפגיעות במצמד. </w:t>
      </w:r>
      <w:r w:rsidR="009F26F6">
        <w:rPr>
          <w:rFonts w:hint="cs"/>
          <w:rtl/>
        </w:rPr>
        <w:t xml:space="preserve">ההגנה לא הסתייגה מהרשעתו של </w:t>
      </w:r>
      <w:r w:rsidR="00E42184">
        <w:rPr>
          <w:rFonts w:hint="cs"/>
          <w:rtl/>
        </w:rPr>
        <w:t>המערער בעבירה של התנהגות שאינה הולמת.</w:t>
      </w:r>
    </w:p>
    <w:p w:rsidR="00992749" w:rsidRDefault="00992749" w:rsidP="00C15111">
      <w:pPr>
        <w:numPr>
          <w:ilvl w:val="0"/>
          <w:numId w:val="1"/>
        </w:numPr>
        <w:tabs>
          <w:tab w:val="left" w:pos="229"/>
        </w:tabs>
        <w:ind w:left="0" w:firstLine="0"/>
        <w:rPr>
          <w:rtl/>
        </w:rPr>
      </w:pPr>
      <w:r w:rsidRPr="00B07FA5">
        <w:rPr>
          <w:rFonts w:hint="cs"/>
          <w:rtl/>
        </w:rPr>
        <w:lastRenderedPageBreak/>
        <w:t xml:space="preserve">המחלוקת העובדתית בין הצדדים </w:t>
      </w:r>
      <w:r w:rsidR="00C15111">
        <w:rPr>
          <w:rFonts w:hint="cs"/>
          <w:rtl/>
        </w:rPr>
        <w:t xml:space="preserve">בבית הדין קמא </w:t>
      </w:r>
      <w:r>
        <w:rPr>
          <w:rFonts w:hint="cs"/>
          <w:rtl/>
        </w:rPr>
        <w:t>הצטמצמה</w:t>
      </w:r>
      <w:r w:rsidR="00E42184">
        <w:rPr>
          <w:rFonts w:hint="cs"/>
          <w:rtl/>
        </w:rPr>
        <w:t xml:space="preserve">, </w:t>
      </w:r>
      <w:r w:rsidR="009F26F6">
        <w:rPr>
          <w:rFonts w:hint="cs"/>
          <w:rtl/>
        </w:rPr>
        <w:t>אפוא</w:t>
      </w:r>
      <w:r w:rsidR="00E42184">
        <w:rPr>
          <w:rFonts w:hint="cs"/>
          <w:rtl/>
        </w:rPr>
        <w:t xml:space="preserve">, </w:t>
      </w:r>
      <w:r>
        <w:rPr>
          <w:rFonts w:hint="cs"/>
          <w:rtl/>
        </w:rPr>
        <w:t>לשתי סוגיות מרכזיות</w:t>
      </w:r>
      <w:r w:rsidR="00E42184">
        <w:rPr>
          <w:rFonts w:hint="cs"/>
          <w:rtl/>
        </w:rPr>
        <w:t xml:space="preserve">: האחת, האם </w:t>
      </w:r>
      <w:r w:rsidR="00C15111">
        <w:rPr>
          <w:rFonts w:hint="cs"/>
          <w:rtl/>
        </w:rPr>
        <w:t xml:space="preserve">המערער </w:t>
      </w:r>
      <w:r w:rsidR="00E42184">
        <w:rPr>
          <w:rFonts w:hint="cs"/>
          <w:rtl/>
        </w:rPr>
        <w:t xml:space="preserve">ביצע במצמד </w:t>
      </w:r>
      <w:r w:rsidR="00C15111">
        <w:rPr>
          <w:rFonts w:hint="cs"/>
          <w:rtl/>
        </w:rPr>
        <w:t>אך ו</w:t>
      </w:r>
      <w:r w:rsidR="00E42184">
        <w:rPr>
          <w:rFonts w:hint="cs"/>
          <w:rtl/>
        </w:rPr>
        <w:t>רק את הפעולות שתיאר ב</w:t>
      </w:r>
      <w:r w:rsidR="00C15111">
        <w:rPr>
          <w:rFonts w:hint="cs"/>
          <w:rtl/>
        </w:rPr>
        <w:t>עדותו</w:t>
      </w:r>
      <w:r w:rsidR="00E42184">
        <w:rPr>
          <w:rFonts w:hint="cs"/>
          <w:rtl/>
        </w:rPr>
        <w:t xml:space="preserve">, אשר </w:t>
      </w:r>
      <w:r w:rsidR="00C15111">
        <w:rPr>
          <w:rFonts w:hint="cs"/>
          <w:rtl/>
        </w:rPr>
        <w:t xml:space="preserve">לדידה של ההגנה לא היה </w:t>
      </w:r>
      <w:r w:rsidR="00E42184">
        <w:rPr>
          <w:rFonts w:hint="cs"/>
          <w:rtl/>
        </w:rPr>
        <w:t>בכוחן לגרום נזק לרכב, ו</w:t>
      </w:r>
      <w:r w:rsidR="00C15111">
        <w:rPr>
          <w:rFonts w:hint="cs"/>
          <w:rtl/>
        </w:rPr>
        <w:t xml:space="preserve">כן האם </w:t>
      </w:r>
      <w:r w:rsidR="00E42184">
        <w:rPr>
          <w:rFonts w:hint="cs"/>
          <w:rtl/>
        </w:rPr>
        <w:t xml:space="preserve">הנזק </w:t>
      </w:r>
      <w:r w:rsidR="00102C75">
        <w:rPr>
          <w:rFonts w:hint="cs"/>
          <w:rtl/>
        </w:rPr>
        <w:t>ב</w:t>
      </w:r>
      <w:r w:rsidR="00E42184">
        <w:rPr>
          <w:rFonts w:hint="cs"/>
          <w:rtl/>
        </w:rPr>
        <w:t>מזגן הוביל להפסקת הסיור</w:t>
      </w:r>
      <w:r w:rsidR="00C15111">
        <w:rPr>
          <w:rFonts w:hint="cs"/>
          <w:rtl/>
        </w:rPr>
        <w:t>;</w:t>
      </w:r>
      <w:r w:rsidR="00E42184">
        <w:rPr>
          <w:rFonts w:hint="cs"/>
          <w:rtl/>
        </w:rPr>
        <w:t xml:space="preserve"> השנייה, </w:t>
      </w:r>
      <w:r w:rsidR="00EC12AF">
        <w:rPr>
          <w:rFonts w:hint="cs"/>
          <w:rtl/>
        </w:rPr>
        <w:t>נגעה</w:t>
      </w:r>
      <w:r w:rsidR="00E42184">
        <w:rPr>
          <w:rFonts w:hint="cs"/>
          <w:rtl/>
        </w:rPr>
        <w:t xml:space="preserve"> לשאלת הרשעת</w:t>
      </w:r>
      <w:r w:rsidR="00C15111">
        <w:rPr>
          <w:rFonts w:hint="cs"/>
          <w:rtl/>
        </w:rPr>
        <w:t xml:space="preserve">ו של </w:t>
      </w:r>
      <w:r w:rsidR="00E42184">
        <w:rPr>
          <w:rFonts w:hint="cs"/>
          <w:rtl/>
        </w:rPr>
        <w:t xml:space="preserve">המערער בפרט האישום השני, דהיינו האם הוכח היסוד העובדתי </w:t>
      </w:r>
      <w:r w:rsidR="00102C75">
        <w:rPr>
          <w:rFonts w:hint="cs"/>
          <w:rtl/>
        </w:rPr>
        <w:t xml:space="preserve">של העבירה </w:t>
      </w:r>
      <w:r w:rsidR="00C15111">
        <w:rPr>
          <w:rFonts w:hint="cs"/>
          <w:rtl/>
        </w:rPr>
        <w:t xml:space="preserve">(השתמטות מפעולה מסויימת) </w:t>
      </w:r>
      <w:r w:rsidR="00E42184">
        <w:rPr>
          <w:rFonts w:hint="cs"/>
          <w:rtl/>
        </w:rPr>
        <w:t xml:space="preserve">והאם המערער ביצע את המיוחס לו "כדי להשתמט מפעולה". המערער </w:t>
      </w:r>
      <w:r w:rsidR="00102C75">
        <w:rPr>
          <w:rFonts w:hint="cs"/>
          <w:rtl/>
        </w:rPr>
        <w:t>הוסיף ל</w:t>
      </w:r>
      <w:r w:rsidR="00C15111">
        <w:rPr>
          <w:rFonts w:hint="cs"/>
          <w:rtl/>
        </w:rPr>
        <w:t>הכחיש את ה</w:t>
      </w:r>
      <w:r w:rsidR="00E42184">
        <w:rPr>
          <w:rFonts w:hint="cs"/>
          <w:rtl/>
        </w:rPr>
        <w:t xml:space="preserve">טענה </w:t>
      </w:r>
      <w:r w:rsidR="00C15111">
        <w:rPr>
          <w:rFonts w:hint="cs"/>
          <w:rtl/>
        </w:rPr>
        <w:t xml:space="preserve">כי יזם </w:t>
      </w:r>
      <w:r w:rsidR="00E42184">
        <w:rPr>
          <w:rFonts w:hint="cs"/>
          <w:rtl/>
        </w:rPr>
        <w:t xml:space="preserve">את הרעיון </w:t>
      </w:r>
      <w:r w:rsidR="00102C75">
        <w:rPr>
          <w:rFonts w:hint="cs"/>
          <w:rtl/>
        </w:rPr>
        <w:t>ל</w:t>
      </w:r>
      <w:r w:rsidR="00E42184">
        <w:rPr>
          <w:rFonts w:hint="cs"/>
          <w:rtl/>
        </w:rPr>
        <w:t>השבית כלי רכב ו</w:t>
      </w:r>
      <w:r w:rsidR="00C15111">
        <w:rPr>
          <w:rFonts w:hint="cs"/>
          <w:rtl/>
        </w:rPr>
        <w:t xml:space="preserve">כי </w:t>
      </w:r>
      <w:r w:rsidR="00E42184">
        <w:rPr>
          <w:rFonts w:hint="cs"/>
          <w:rtl/>
        </w:rPr>
        <w:t>הפי</w:t>
      </w:r>
      <w:r w:rsidR="00C15111">
        <w:rPr>
          <w:rFonts w:hint="cs"/>
          <w:rtl/>
        </w:rPr>
        <w:t>צו</w:t>
      </w:r>
      <w:r w:rsidR="00D53E6C">
        <w:rPr>
          <w:rFonts w:hint="cs"/>
          <w:rtl/>
        </w:rPr>
        <w:t>ֹ</w:t>
      </w:r>
      <w:r w:rsidR="00C15111">
        <w:rPr>
          <w:rFonts w:hint="cs"/>
          <w:rtl/>
        </w:rPr>
        <w:t xml:space="preserve"> בקרב </w:t>
      </w:r>
      <w:r w:rsidR="00E42184">
        <w:rPr>
          <w:rFonts w:hint="cs"/>
          <w:rtl/>
        </w:rPr>
        <w:t xml:space="preserve">נהגים </w:t>
      </w:r>
      <w:r w:rsidR="00C15111">
        <w:rPr>
          <w:rFonts w:hint="cs"/>
          <w:rtl/>
        </w:rPr>
        <w:t>אחרים</w:t>
      </w:r>
      <w:r w:rsidR="00E42184">
        <w:rPr>
          <w:rFonts w:hint="cs"/>
          <w:rtl/>
        </w:rPr>
        <w:t>.</w:t>
      </w:r>
    </w:p>
    <w:p w:rsidR="00102C75" w:rsidRDefault="00102C75" w:rsidP="00102C75">
      <w:pPr>
        <w:numPr>
          <w:ilvl w:val="0"/>
          <w:numId w:val="1"/>
        </w:numPr>
        <w:tabs>
          <w:tab w:val="left" w:pos="229"/>
        </w:tabs>
        <w:ind w:left="0" w:firstLine="0"/>
      </w:pPr>
      <w:r w:rsidRPr="008C1D50">
        <w:rPr>
          <w:rFonts w:hint="cs"/>
          <w:rtl/>
        </w:rPr>
        <w:t>לאחר בחינת סיכומי הצדדים, החליט בית הדין קמא הנכבד להרשיע את המערער בעבירות שיוחסו לו בכתב האישום, כמפורט לעיל.</w:t>
      </w:r>
    </w:p>
    <w:p w:rsidR="00EC12AF" w:rsidRPr="008C1D50" w:rsidRDefault="00EC12AF" w:rsidP="00EC12AF">
      <w:pPr>
        <w:tabs>
          <w:tab w:val="left" w:pos="229"/>
        </w:tabs>
      </w:pPr>
    </w:p>
    <w:p w:rsidR="009268CB" w:rsidRPr="009E7426" w:rsidRDefault="0038513F" w:rsidP="00AF73E6">
      <w:pPr>
        <w:pStyle w:val="Heading1"/>
        <w:spacing w:before="0"/>
        <w:ind w:left="-58"/>
        <w:rPr>
          <w:u w:val="none"/>
          <w:rtl/>
        </w:rPr>
      </w:pPr>
      <w:r w:rsidRPr="009E7426">
        <w:rPr>
          <w:rFonts w:hint="cs"/>
          <w:u w:val="none"/>
          <w:rtl/>
        </w:rPr>
        <w:t xml:space="preserve">עיקרי הכרעת הדין </w:t>
      </w:r>
    </w:p>
    <w:p w:rsidR="00DA3097" w:rsidRDefault="00AF73E6" w:rsidP="00060D3F">
      <w:pPr>
        <w:numPr>
          <w:ilvl w:val="0"/>
          <w:numId w:val="1"/>
        </w:numPr>
        <w:tabs>
          <w:tab w:val="left" w:pos="229"/>
        </w:tabs>
        <w:ind w:left="0" w:firstLine="0"/>
      </w:pPr>
      <w:r w:rsidRPr="008C1D50">
        <w:rPr>
          <w:rFonts w:hint="cs"/>
          <w:rtl/>
        </w:rPr>
        <w:t>בפתח הכרעת הדין סקר בית הדין קמא בהרחבה</w:t>
      </w:r>
      <w:r w:rsidR="00203DD6">
        <w:rPr>
          <w:rFonts w:hint="cs"/>
          <w:rtl/>
        </w:rPr>
        <w:t xml:space="preserve"> את כלל הראיות שהובאו לפניו. </w:t>
      </w:r>
      <w:r w:rsidR="00794911">
        <w:rPr>
          <w:rFonts w:hint="cs"/>
          <w:rtl/>
        </w:rPr>
        <w:t>בין היתר,</w:t>
      </w:r>
      <w:r w:rsidRPr="008C1D50">
        <w:rPr>
          <w:rFonts w:hint="cs"/>
          <w:rtl/>
        </w:rPr>
        <w:t xml:space="preserve"> </w:t>
      </w:r>
      <w:r w:rsidR="00203DD6">
        <w:rPr>
          <w:rFonts w:hint="cs"/>
          <w:rtl/>
        </w:rPr>
        <w:t xml:space="preserve">עמד בית הדין על </w:t>
      </w:r>
      <w:r w:rsidR="00DA3097">
        <w:rPr>
          <w:rFonts w:hint="cs"/>
          <w:rtl/>
        </w:rPr>
        <w:t>עדויות</w:t>
      </w:r>
      <w:r w:rsidR="00203DD6">
        <w:rPr>
          <w:rFonts w:hint="cs"/>
          <w:rtl/>
        </w:rPr>
        <w:t xml:space="preserve">יהם של </w:t>
      </w:r>
      <w:r w:rsidR="00DA3097">
        <w:rPr>
          <w:rFonts w:hint="cs"/>
          <w:rtl/>
        </w:rPr>
        <w:t>עדי התביעה</w:t>
      </w:r>
      <w:r w:rsidR="00203DD6">
        <w:rPr>
          <w:rFonts w:hint="cs"/>
          <w:rtl/>
        </w:rPr>
        <w:t xml:space="preserve"> ובהם, </w:t>
      </w:r>
      <w:r w:rsidR="00CD58F8">
        <w:rPr>
          <w:rFonts w:hint="cs"/>
          <w:rtl/>
        </w:rPr>
        <w:t xml:space="preserve">קצינים ונגדים מן היחידה, </w:t>
      </w:r>
      <w:r w:rsidR="00203DD6">
        <w:rPr>
          <w:rFonts w:hint="cs"/>
          <w:rtl/>
        </w:rPr>
        <w:t>ו</w:t>
      </w:r>
      <w:r w:rsidR="00CD58F8">
        <w:rPr>
          <w:rFonts w:hint="cs"/>
          <w:rtl/>
        </w:rPr>
        <w:t xml:space="preserve">על </w:t>
      </w:r>
      <w:r w:rsidR="00203DD6">
        <w:rPr>
          <w:rFonts w:hint="cs"/>
          <w:rtl/>
        </w:rPr>
        <w:t>דבריו של המערער ב</w:t>
      </w:r>
      <w:r w:rsidR="00D30A4D">
        <w:rPr>
          <w:rFonts w:hint="cs"/>
          <w:rtl/>
        </w:rPr>
        <w:t>אמרתו</w:t>
      </w:r>
      <w:r w:rsidRPr="008C1D50">
        <w:rPr>
          <w:rFonts w:hint="cs"/>
          <w:rtl/>
        </w:rPr>
        <w:t xml:space="preserve"> במצ"ח ו</w:t>
      </w:r>
      <w:r w:rsidR="00CD58F8">
        <w:rPr>
          <w:rFonts w:hint="cs"/>
          <w:rtl/>
        </w:rPr>
        <w:t>בע</w:t>
      </w:r>
      <w:r w:rsidRPr="008C1D50">
        <w:rPr>
          <w:rFonts w:hint="cs"/>
          <w:rtl/>
        </w:rPr>
        <w:t xml:space="preserve">דותו בבית הדין. בהמשך, דן </w:t>
      </w:r>
      <w:r w:rsidR="00BE78BF">
        <w:rPr>
          <w:rFonts w:hint="cs"/>
          <w:rtl/>
        </w:rPr>
        <w:t xml:space="preserve">בית הדין </w:t>
      </w:r>
      <w:r w:rsidRPr="008C1D50">
        <w:rPr>
          <w:rFonts w:hint="cs"/>
          <w:rtl/>
        </w:rPr>
        <w:t>בפירוט רב</w:t>
      </w:r>
      <w:r w:rsidR="00BE78BF">
        <w:rPr>
          <w:rFonts w:hint="cs"/>
          <w:rtl/>
        </w:rPr>
        <w:t>,</w:t>
      </w:r>
      <w:r w:rsidRPr="008C1D50">
        <w:rPr>
          <w:rFonts w:hint="cs"/>
          <w:rtl/>
        </w:rPr>
        <w:t xml:space="preserve"> בממצאי המהימנות ביחס לעדים השונים ונימק את קביעותיו בעניין.</w:t>
      </w:r>
      <w:r w:rsidR="00DA3097">
        <w:rPr>
          <w:rFonts w:hint="cs"/>
          <w:rtl/>
        </w:rPr>
        <w:t xml:space="preserve"> </w:t>
      </w:r>
      <w:r w:rsidR="00BE78BF">
        <w:rPr>
          <w:rFonts w:hint="cs"/>
          <w:rtl/>
        </w:rPr>
        <w:t xml:space="preserve">הוטעם, </w:t>
      </w:r>
      <w:r w:rsidR="00DA3097">
        <w:rPr>
          <w:rFonts w:hint="cs"/>
          <w:rtl/>
        </w:rPr>
        <w:t xml:space="preserve">כי כלל המפקדים ובעלי התפקידים </w:t>
      </w:r>
      <w:r w:rsidR="00BE78BF">
        <w:rPr>
          <w:rFonts w:hint="cs"/>
          <w:rtl/>
        </w:rPr>
        <w:t xml:space="preserve">ביחידתו של המערער, </w:t>
      </w:r>
      <w:r w:rsidR="00DA3097">
        <w:rPr>
          <w:rFonts w:hint="cs"/>
          <w:rtl/>
        </w:rPr>
        <w:t xml:space="preserve">שהעידו </w:t>
      </w:r>
      <w:r w:rsidR="00BE78BF">
        <w:rPr>
          <w:rFonts w:hint="cs"/>
          <w:rtl/>
        </w:rPr>
        <w:t xml:space="preserve">בבית הדין </w:t>
      </w:r>
      <w:r w:rsidR="00DA3097">
        <w:rPr>
          <w:rFonts w:hint="cs"/>
          <w:rtl/>
        </w:rPr>
        <w:t>הותירו רושם מהימן</w:t>
      </w:r>
      <w:r w:rsidR="00BE78BF">
        <w:rPr>
          <w:rFonts w:hint="cs"/>
          <w:rtl/>
        </w:rPr>
        <w:t xml:space="preserve"> וכי עדויותיהם היו ענייניות ומדוייקות. </w:t>
      </w:r>
      <w:r w:rsidR="00DA3097">
        <w:rPr>
          <w:rFonts w:hint="cs"/>
          <w:rtl/>
        </w:rPr>
        <w:t xml:space="preserve">לעומת זאת, עדויותיהם של </w:t>
      </w:r>
      <w:r w:rsidR="00060D3F">
        <w:rPr>
          <w:rFonts w:hint="cs"/>
          <w:rtl/>
        </w:rPr>
        <w:t xml:space="preserve">חלק מן </w:t>
      </w:r>
      <w:r w:rsidR="00DA3097">
        <w:rPr>
          <w:rFonts w:hint="cs"/>
          <w:rtl/>
        </w:rPr>
        <w:t xml:space="preserve">הנהגים, </w:t>
      </w:r>
      <w:r w:rsidR="00060D3F">
        <w:rPr>
          <w:rFonts w:hint="cs"/>
          <w:rtl/>
        </w:rPr>
        <w:t xml:space="preserve">ובהם </w:t>
      </w:r>
      <w:r w:rsidR="00DA3097">
        <w:rPr>
          <w:rFonts w:hint="cs"/>
          <w:rtl/>
        </w:rPr>
        <w:t xml:space="preserve">רב"ט אדרי, הותירו רושם שלילי, ומשכך </w:t>
      </w:r>
      <w:r w:rsidR="00D30A4D">
        <w:rPr>
          <w:rFonts w:hint="cs"/>
          <w:rtl/>
        </w:rPr>
        <w:t xml:space="preserve">נקבע כי </w:t>
      </w:r>
      <w:r w:rsidR="00DA3097">
        <w:rPr>
          <w:rFonts w:hint="cs"/>
          <w:rtl/>
        </w:rPr>
        <w:t>אין לתת בהם אמון.</w:t>
      </w:r>
    </w:p>
    <w:p w:rsidR="00DA3097" w:rsidRDefault="00DA3097" w:rsidP="00DA3097">
      <w:pPr>
        <w:numPr>
          <w:ilvl w:val="0"/>
          <w:numId w:val="1"/>
        </w:numPr>
        <w:tabs>
          <w:tab w:val="left" w:pos="229"/>
        </w:tabs>
        <w:ind w:left="0" w:firstLine="0"/>
      </w:pPr>
      <w:r w:rsidRPr="008C1D50">
        <w:rPr>
          <w:rFonts w:hint="cs"/>
          <w:rtl/>
        </w:rPr>
        <w:t xml:space="preserve">בכל הנוגע לעדות </w:t>
      </w:r>
      <w:r>
        <w:rPr>
          <w:rFonts w:hint="cs"/>
          <w:b/>
          <w:bCs/>
          <w:rtl/>
        </w:rPr>
        <w:t>המערער</w:t>
      </w:r>
      <w:r w:rsidR="00BE78BF">
        <w:rPr>
          <w:rFonts w:hint="cs"/>
          <w:rtl/>
        </w:rPr>
        <w:t xml:space="preserve"> בבית הדין</w:t>
      </w:r>
      <w:r w:rsidRPr="008C1D50">
        <w:rPr>
          <w:rFonts w:hint="cs"/>
          <w:rtl/>
        </w:rPr>
        <w:t xml:space="preserve">, נקבע כי: </w:t>
      </w:r>
    </w:p>
    <w:p w:rsidR="00A50A25" w:rsidRDefault="00A50A25" w:rsidP="00D30A4D">
      <w:pPr>
        <w:tabs>
          <w:tab w:val="left" w:pos="229"/>
        </w:tabs>
        <w:spacing w:line="240" w:lineRule="auto"/>
        <w:ind w:left="1076" w:right="1985"/>
      </w:pPr>
      <w:r>
        <w:rPr>
          <w:rFonts w:hint="cs"/>
          <w:rtl/>
        </w:rPr>
        <w:t>"הנאשם עצמו הותיר רושם שלילי בחלקים ניכרים מעדותו...</w:t>
      </w:r>
      <w:r w:rsidR="00D30A4D">
        <w:rPr>
          <w:rFonts w:hint="cs"/>
          <w:rtl/>
        </w:rPr>
        <w:t xml:space="preserve"> </w:t>
      </w:r>
      <w:r>
        <w:rPr>
          <w:rFonts w:hint="cs"/>
          <w:rtl/>
        </w:rPr>
        <w:t>היה לנאשם אינטרס מובהק להרחיק עצמו מהדברים שמסר במצ"ח ומהראיות שלא תאמו את גרסתו, והתרשמנו כי הנאשם עשה כל שביכולתו כדי לנסות להסביר ראיות שלא היו נוחות לו באופן שאינו מפליל, גם אם הסבריו היו דחוקים ביותר ונעדרו היגיון פנימי.</w:t>
      </w:r>
      <w:r w:rsidR="00D30A4D">
        <w:rPr>
          <w:rFonts w:hint="cs"/>
          <w:rtl/>
        </w:rPr>
        <w:t xml:space="preserve"> </w:t>
      </w:r>
      <w:r>
        <w:rPr>
          <w:rFonts w:hint="cs"/>
          <w:rtl/>
        </w:rPr>
        <w:t xml:space="preserve">... ניסיונותיו של הנאשם לספק הסברים תמימים אף הובילו אותו לא אחת לסתירות פנימיות בגרסאותיו... בעניינים אחרים </w:t>
      </w:r>
      <w:r w:rsidR="00D30A4D">
        <w:rPr>
          <w:rFonts w:hint="cs"/>
          <w:rtl/>
        </w:rPr>
        <w:t>ל</w:t>
      </w:r>
      <w:r>
        <w:rPr>
          <w:rFonts w:hint="cs"/>
          <w:rtl/>
        </w:rPr>
        <w:t>א עלה בידי הנאשם לספק הסבר של ממש לקשיים בגרסתו</w:t>
      </w:r>
      <w:r w:rsidR="003459E5">
        <w:rPr>
          <w:rFonts w:hint="cs"/>
          <w:rtl/>
        </w:rPr>
        <w:t>"</w:t>
      </w:r>
      <w:r>
        <w:rPr>
          <w:rFonts w:hint="cs"/>
          <w:rtl/>
        </w:rPr>
        <w:t>.</w:t>
      </w:r>
    </w:p>
    <w:p w:rsidR="00D30A4D" w:rsidRPr="008C1D50" w:rsidRDefault="00D30A4D" w:rsidP="00D30A4D">
      <w:pPr>
        <w:tabs>
          <w:tab w:val="left" w:pos="229"/>
        </w:tabs>
      </w:pPr>
    </w:p>
    <w:p w:rsidR="00794911" w:rsidRDefault="00A50A25" w:rsidP="00FB5A7D">
      <w:pPr>
        <w:tabs>
          <w:tab w:val="left" w:pos="226"/>
        </w:tabs>
        <w:rPr>
          <w:rtl/>
        </w:rPr>
      </w:pPr>
      <w:r>
        <w:rPr>
          <w:rFonts w:hint="cs"/>
          <w:rtl/>
        </w:rPr>
        <w:t>נוכח האמור, קבע בית הדין קמא</w:t>
      </w:r>
      <w:r w:rsidR="003459E5">
        <w:rPr>
          <w:rFonts w:hint="cs"/>
          <w:rtl/>
        </w:rPr>
        <w:t>,</w:t>
      </w:r>
      <w:r>
        <w:rPr>
          <w:rFonts w:hint="cs"/>
          <w:rtl/>
        </w:rPr>
        <w:t xml:space="preserve"> כי </w:t>
      </w:r>
      <w:r w:rsidR="00D30A4D">
        <w:rPr>
          <w:rFonts w:hint="cs"/>
          <w:rtl/>
        </w:rPr>
        <w:t>אין</w:t>
      </w:r>
      <w:r>
        <w:rPr>
          <w:rFonts w:hint="cs"/>
          <w:rtl/>
        </w:rPr>
        <w:t xml:space="preserve"> </w:t>
      </w:r>
      <w:r w:rsidR="00350CC2">
        <w:rPr>
          <w:rFonts w:hint="cs"/>
          <w:rtl/>
        </w:rPr>
        <w:t>ל</w:t>
      </w:r>
      <w:r w:rsidR="00D30A4D">
        <w:rPr>
          <w:rFonts w:hint="cs"/>
          <w:rtl/>
        </w:rPr>
        <w:t>יתן</w:t>
      </w:r>
      <w:r>
        <w:rPr>
          <w:rFonts w:hint="cs"/>
          <w:rtl/>
        </w:rPr>
        <w:t xml:space="preserve"> אמון בעדותו של המערער בסוגיות המרכזיות שהיו שנויות במחלוקת.</w:t>
      </w:r>
      <w:r w:rsidR="00794911">
        <w:rPr>
          <w:rFonts w:hint="cs"/>
          <w:rtl/>
        </w:rPr>
        <w:t xml:space="preserve"> מנגד, מצא בית הדין קמא הנכבד להעניק משקל גבו</w:t>
      </w:r>
      <w:r w:rsidR="00D30A4D">
        <w:rPr>
          <w:rFonts w:hint="cs"/>
          <w:rtl/>
        </w:rPr>
        <w:t>ה מאוד ל</w:t>
      </w:r>
      <w:r w:rsidR="00BE78BF">
        <w:rPr>
          <w:rFonts w:hint="cs"/>
          <w:rtl/>
        </w:rPr>
        <w:t xml:space="preserve">הודייה שמסר </w:t>
      </w:r>
      <w:r w:rsidR="00D30A4D">
        <w:rPr>
          <w:rFonts w:hint="cs"/>
          <w:rtl/>
        </w:rPr>
        <w:t>המערער במצ"ח, ו</w:t>
      </w:r>
      <w:r w:rsidR="00794911">
        <w:rPr>
          <w:rFonts w:hint="cs"/>
          <w:rtl/>
        </w:rPr>
        <w:t xml:space="preserve">מצא כי </w:t>
      </w:r>
      <w:r w:rsidR="00BE78BF">
        <w:rPr>
          <w:rFonts w:hint="cs"/>
          <w:rtl/>
        </w:rPr>
        <w:t xml:space="preserve">קיימים לה </w:t>
      </w:r>
      <w:r w:rsidR="00794911">
        <w:rPr>
          <w:rFonts w:hint="cs"/>
          <w:rtl/>
        </w:rPr>
        <w:t>תימוכין משמעותיים מ</w:t>
      </w:r>
      <w:r w:rsidR="00350CC2">
        <w:rPr>
          <w:rFonts w:hint="cs"/>
          <w:rtl/>
        </w:rPr>
        <w:t xml:space="preserve">אוד בכל הסוגיות השנויות במחלוקת </w:t>
      </w:r>
      <w:r w:rsidR="00350CC2">
        <w:rPr>
          <w:rtl/>
        </w:rPr>
        <w:t>–</w:t>
      </w:r>
      <w:r w:rsidR="00350CC2">
        <w:rPr>
          <w:rFonts w:hint="cs"/>
          <w:rtl/>
        </w:rPr>
        <w:t xml:space="preserve"> כך למשל, </w:t>
      </w:r>
      <w:r w:rsidR="00BE78BF">
        <w:rPr>
          <w:rFonts w:hint="cs"/>
          <w:rtl/>
        </w:rPr>
        <w:t xml:space="preserve">דבריו של המערער </w:t>
      </w:r>
      <w:r w:rsidR="00BE78BF">
        <w:rPr>
          <w:rFonts w:hint="cs"/>
          <w:rtl/>
        </w:rPr>
        <w:lastRenderedPageBreak/>
        <w:t xml:space="preserve">במצ"ח </w:t>
      </w:r>
      <w:r w:rsidR="00350CC2">
        <w:rPr>
          <w:rFonts w:hint="cs"/>
          <w:rtl/>
        </w:rPr>
        <w:t>השתלב</w:t>
      </w:r>
      <w:r w:rsidR="00BE78BF">
        <w:rPr>
          <w:rFonts w:hint="cs"/>
          <w:rtl/>
        </w:rPr>
        <w:t xml:space="preserve">ו </w:t>
      </w:r>
      <w:r w:rsidR="00350CC2">
        <w:rPr>
          <w:rFonts w:hint="cs"/>
          <w:rtl/>
        </w:rPr>
        <w:t xml:space="preserve">היטב בתכתובות </w:t>
      </w:r>
      <w:r w:rsidR="00FB5A7D">
        <w:rPr>
          <w:rFonts w:hint="cs"/>
          <w:rtl/>
        </w:rPr>
        <w:t xml:space="preserve">שהועברו </w:t>
      </w:r>
      <w:r w:rsidR="00350CC2">
        <w:rPr>
          <w:rFonts w:hint="cs"/>
          <w:rtl/>
        </w:rPr>
        <w:t xml:space="preserve">בינו לבין חבריו ב"זמן אמת", אשר עסקו בהשבתת הרכב; </w:t>
      </w:r>
      <w:r w:rsidR="00FB5A7D">
        <w:rPr>
          <w:rFonts w:hint="cs"/>
          <w:rtl/>
        </w:rPr>
        <w:t xml:space="preserve">ובדבריו של </w:t>
      </w:r>
      <w:r w:rsidR="00350CC2">
        <w:rPr>
          <w:rFonts w:hint="cs"/>
          <w:rtl/>
        </w:rPr>
        <w:t>רב"ט אדרי</w:t>
      </w:r>
      <w:r w:rsidR="00FB5A7D">
        <w:rPr>
          <w:rFonts w:hint="cs"/>
          <w:rtl/>
        </w:rPr>
        <w:t xml:space="preserve"> באמרתו בחקירה (שהתקבלה כראיה), אשר תיאר </w:t>
      </w:r>
      <w:r w:rsidR="00350CC2">
        <w:rPr>
          <w:rFonts w:hint="cs"/>
          <w:rtl/>
        </w:rPr>
        <w:t xml:space="preserve">כי </w:t>
      </w:r>
      <w:r w:rsidR="00FB5A7D">
        <w:rPr>
          <w:rFonts w:hint="cs"/>
          <w:rtl/>
        </w:rPr>
        <w:t xml:space="preserve">המערער </w:t>
      </w:r>
      <w:r w:rsidR="00350CC2">
        <w:rPr>
          <w:rFonts w:hint="cs"/>
          <w:rtl/>
        </w:rPr>
        <w:t>הוא שיזם את הרעיון של פגיעה במצמד.</w:t>
      </w:r>
    </w:p>
    <w:p w:rsidR="00794911" w:rsidRDefault="00794911" w:rsidP="00794911">
      <w:pPr>
        <w:numPr>
          <w:ilvl w:val="0"/>
          <w:numId w:val="1"/>
        </w:numPr>
        <w:tabs>
          <w:tab w:val="left" w:pos="226"/>
          <w:tab w:val="left" w:pos="368"/>
        </w:tabs>
        <w:ind w:left="0" w:firstLine="0"/>
      </w:pPr>
      <w:r>
        <w:rPr>
          <w:rFonts w:hint="cs"/>
          <w:rtl/>
        </w:rPr>
        <w:t xml:space="preserve"> משכך </w:t>
      </w:r>
      <w:r w:rsidRPr="00B07FA5">
        <w:rPr>
          <w:rFonts w:hint="cs"/>
          <w:rtl/>
        </w:rPr>
        <w:t xml:space="preserve">קבע בית הדין קמא, כי הוכחו לפניו, למעלה מכל ספק סביר, העובדות הבאות: </w:t>
      </w:r>
    </w:p>
    <w:p w:rsidR="00794911" w:rsidRDefault="00794911" w:rsidP="00D30A4D">
      <w:pPr>
        <w:tabs>
          <w:tab w:val="left" w:pos="226"/>
        </w:tabs>
        <w:spacing w:line="240" w:lineRule="auto"/>
        <w:ind w:left="1076" w:right="1985"/>
        <w:rPr>
          <w:rtl/>
        </w:rPr>
      </w:pPr>
      <w:r>
        <w:rPr>
          <w:rFonts w:hint="cs"/>
          <w:rtl/>
        </w:rPr>
        <w:t>"הוכח בפנינו שהנאש</w:t>
      </w:r>
      <w:r w:rsidR="00D30A4D">
        <w:rPr>
          <w:rFonts w:hint="cs"/>
          <w:rtl/>
        </w:rPr>
        <w:t>ם</w:t>
      </w:r>
      <w:r>
        <w:rPr>
          <w:rFonts w:hint="cs"/>
          <w:rtl/>
        </w:rPr>
        <w:t xml:space="preserve"> גרם בפועל לקלקול של רכב דוד ששימש באותה עת לעריכת הסיורים, וזאת בארבע הזדמנויות כפי שיוחס לו בכתב האישום...</w:t>
      </w:r>
    </w:p>
    <w:p w:rsidR="00794911" w:rsidRDefault="00794911" w:rsidP="00D30A4D">
      <w:pPr>
        <w:tabs>
          <w:tab w:val="left" w:pos="226"/>
        </w:tabs>
        <w:spacing w:line="240" w:lineRule="auto"/>
        <w:ind w:left="1076" w:right="1985"/>
        <w:rPr>
          <w:rtl/>
        </w:rPr>
      </w:pPr>
      <w:r>
        <w:rPr>
          <w:rFonts w:hint="cs"/>
          <w:rtl/>
        </w:rPr>
        <w:t>עוד הוכח בפנינו כי מעשים אלה הובילו בפועל להשבתת הרכב</w:t>
      </w:r>
      <w:r w:rsidR="00833998">
        <w:rPr>
          <w:rFonts w:hint="cs"/>
          <w:rtl/>
        </w:rPr>
        <w:t>...</w:t>
      </w:r>
    </w:p>
    <w:p w:rsidR="00833998" w:rsidRDefault="00833998" w:rsidP="00D30A4D">
      <w:pPr>
        <w:tabs>
          <w:tab w:val="left" w:pos="226"/>
        </w:tabs>
        <w:spacing w:line="240" w:lineRule="auto"/>
        <w:ind w:left="1076" w:right="1985"/>
        <w:rPr>
          <w:rtl/>
        </w:rPr>
      </w:pPr>
      <w:r>
        <w:rPr>
          <w:rFonts w:hint="cs"/>
          <w:rtl/>
        </w:rPr>
        <w:t>כמו-כן, הוכח בפנינו כי הנאשם פעל בכוונה לגרום לנזק, תוך שהיה מודע באופן מלא לכך שמעשיו יגרמו להשבתת הסיור בפועל וחפץ בכך שההשבתה תמשך פרק זמן ארוך ככל הניתן; וכי הנאשם הוא שיזם את הפגיעה המכוונת בכלי הרכב בכלל, ובמצמד הרכב בפרט, ושיתף בכך את חבריו הנהגים".</w:t>
      </w:r>
    </w:p>
    <w:p w:rsidR="00D30A4D" w:rsidRDefault="00D30A4D" w:rsidP="00D30A4D">
      <w:pPr>
        <w:tabs>
          <w:tab w:val="left" w:pos="226"/>
        </w:tabs>
        <w:spacing w:line="240" w:lineRule="auto"/>
        <w:ind w:left="1076" w:right="1985"/>
        <w:rPr>
          <w:rtl/>
        </w:rPr>
      </w:pPr>
    </w:p>
    <w:p w:rsidR="00833998" w:rsidRDefault="00833998" w:rsidP="00FB5A7D">
      <w:pPr>
        <w:numPr>
          <w:ilvl w:val="0"/>
          <w:numId w:val="1"/>
        </w:numPr>
        <w:tabs>
          <w:tab w:val="left" w:pos="226"/>
          <w:tab w:val="left" w:pos="368"/>
        </w:tabs>
        <w:ind w:left="0" w:firstLine="0"/>
        <w:rPr>
          <w:rtl/>
        </w:rPr>
      </w:pPr>
      <w:r>
        <w:rPr>
          <w:rFonts w:hint="cs"/>
          <w:rtl/>
        </w:rPr>
        <w:t xml:space="preserve">בהמשך פנה בית הדין קמא לניתוח המשפטי של העבירות המיוחסות למערער. בהתאם לממצאים העובדתיים </w:t>
      </w:r>
      <w:r w:rsidR="00D30A4D">
        <w:rPr>
          <w:rFonts w:hint="cs"/>
          <w:rtl/>
        </w:rPr>
        <w:t>שנקבעו, ו</w:t>
      </w:r>
      <w:r w:rsidR="00FB5A7D">
        <w:rPr>
          <w:rFonts w:hint="cs"/>
          <w:rtl/>
        </w:rPr>
        <w:t xml:space="preserve">אף </w:t>
      </w:r>
      <w:r w:rsidR="00D30A4D">
        <w:rPr>
          <w:rFonts w:hint="cs"/>
          <w:rtl/>
        </w:rPr>
        <w:t>לאור הסכמת ההגנה להרשעת</w:t>
      </w:r>
      <w:r>
        <w:rPr>
          <w:rFonts w:hint="cs"/>
          <w:rtl/>
        </w:rPr>
        <w:t xml:space="preserve"> </w:t>
      </w:r>
      <w:r w:rsidR="009E7426">
        <w:rPr>
          <w:rFonts w:hint="cs"/>
          <w:rtl/>
        </w:rPr>
        <w:t>המערער</w:t>
      </w:r>
      <w:r>
        <w:rPr>
          <w:rFonts w:hint="cs"/>
          <w:rtl/>
        </w:rPr>
        <w:t xml:space="preserve"> בעביר</w:t>
      </w:r>
      <w:r w:rsidR="00FB5A7D">
        <w:rPr>
          <w:rFonts w:hint="cs"/>
          <w:rtl/>
        </w:rPr>
        <w:t xml:space="preserve">ות </w:t>
      </w:r>
      <w:r>
        <w:rPr>
          <w:rFonts w:hint="cs"/>
          <w:rtl/>
        </w:rPr>
        <w:t>של השמדת רכוש</w:t>
      </w:r>
      <w:r w:rsidR="00FB5A7D">
        <w:rPr>
          <w:rFonts w:hint="cs"/>
          <w:rtl/>
        </w:rPr>
        <w:t xml:space="preserve"> והתנהגות שאינה הולמת,</w:t>
      </w:r>
      <w:r>
        <w:rPr>
          <w:rFonts w:hint="cs"/>
          <w:rtl/>
        </w:rPr>
        <w:t xml:space="preserve"> קבע בית </w:t>
      </w:r>
      <w:r w:rsidR="00D30A4D">
        <w:rPr>
          <w:rFonts w:hint="cs"/>
          <w:rtl/>
        </w:rPr>
        <w:t>הדין</w:t>
      </w:r>
      <w:r>
        <w:rPr>
          <w:rFonts w:hint="cs"/>
          <w:rtl/>
        </w:rPr>
        <w:t xml:space="preserve"> קמא</w:t>
      </w:r>
      <w:r w:rsidR="00D30A4D">
        <w:rPr>
          <w:rFonts w:hint="cs"/>
          <w:rtl/>
        </w:rPr>
        <w:t>,</w:t>
      </w:r>
      <w:r>
        <w:rPr>
          <w:rFonts w:hint="cs"/>
          <w:rtl/>
        </w:rPr>
        <w:t xml:space="preserve"> כי בוססה הרשעתו בעביר</w:t>
      </w:r>
      <w:r w:rsidR="00FB5A7D">
        <w:rPr>
          <w:rFonts w:hint="cs"/>
          <w:rtl/>
        </w:rPr>
        <w:t>ות אלו</w:t>
      </w:r>
      <w:r>
        <w:rPr>
          <w:rFonts w:hint="cs"/>
          <w:rtl/>
        </w:rPr>
        <w:t>.</w:t>
      </w:r>
    </w:p>
    <w:p w:rsidR="00324C1D" w:rsidRDefault="00D30A4D" w:rsidP="00F250DF">
      <w:pPr>
        <w:numPr>
          <w:ilvl w:val="0"/>
          <w:numId w:val="1"/>
        </w:numPr>
        <w:tabs>
          <w:tab w:val="left" w:pos="226"/>
          <w:tab w:val="left" w:pos="368"/>
        </w:tabs>
        <w:ind w:left="0" w:firstLine="0"/>
        <w:rPr>
          <w:rtl/>
        </w:rPr>
      </w:pPr>
      <w:r>
        <w:rPr>
          <w:rFonts w:hint="cs"/>
          <w:rtl/>
        </w:rPr>
        <w:t>בית הדין קמא הוסיף ובחן את יסודות ה</w:t>
      </w:r>
      <w:r w:rsidR="00833998">
        <w:rPr>
          <w:rFonts w:hint="cs"/>
          <w:rtl/>
        </w:rPr>
        <w:t>עבירה</w:t>
      </w:r>
      <w:r w:rsidR="009E7426">
        <w:rPr>
          <w:rFonts w:hint="cs"/>
          <w:rtl/>
        </w:rPr>
        <w:t xml:space="preserve"> של</w:t>
      </w:r>
      <w:r w:rsidR="00833998">
        <w:rPr>
          <w:rFonts w:hint="cs"/>
          <w:rtl/>
        </w:rPr>
        <w:t xml:space="preserve"> השתמטות מפעולה מסויימת, </w:t>
      </w:r>
      <w:r>
        <w:rPr>
          <w:rFonts w:hint="cs"/>
          <w:rtl/>
        </w:rPr>
        <w:t>ל</w:t>
      </w:r>
      <w:r w:rsidR="00833998">
        <w:rPr>
          <w:rFonts w:hint="cs"/>
          <w:rtl/>
        </w:rPr>
        <w:t>פי סעיף 102 רישא לח</w:t>
      </w:r>
      <w:r w:rsidR="00FB5A7D">
        <w:rPr>
          <w:rFonts w:hint="cs"/>
          <w:rtl/>
        </w:rPr>
        <w:t>וק השיפוט הצבאי</w:t>
      </w:r>
      <w:r w:rsidR="00833998">
        <w:rPr>
          <w:rFonts w:hint="cs"/>
          <w:rtl/>
        </w:rPr>
        <w:t xml:space="preserve">. </w:t>
      </w:r>
      <w:r w:rsidR="00FB5A7D">
        <w:rPr>
          <w:rFonts w:hint="cs"/>
          <w:rtl/>
        </w:rPr>
        <w:t xml:space="preserve">בנתחו את היסוד העובדתי בעבירה </w:t>
      </w:r>
      <w:r w:rsidR="00324C1D">
        <w:rPr>
          <w:rFonts w:hint="cs"/>
          <w:rtl/>
        </w:rPr>
        <w:t xml:space="preserve">דחה </w:t>
      </w:r>
      <w:r w:rsidR="00151619">
        <w:rPr>
          <w:rFonts w:hint="cs"/>
          <w:rtl/>
        </w:rPr>
        <w:t xml:space="preserve">בית הדין </w:t>
      </w:r>
      <w:r w:rsidR="00324C1D">
        <w:rPr>
          <w:rFonts w:hint="cs"/>
          <w:rtl/>
        </w:rPr>
        <w:t>את טענת התביעה, אשר ביקשה ל</w:t>
      </w:r>
      <w:r w:rsidR="00151619">
        <w:rPr>
          <w:rFonts w:hint="cs"/>
          <w:rtl/>
        </w:rPr>
        <w:t>הרשיע את המערער בהתאם לחלופה של השתמטות מפעולה על דרך של הטלת מום, תוך הפני</w:t>
      </w:r>
      <w:r w:rsidR="00D53E6C">
        <w:rPr>
          <w:rFonts w:hint="cs"/>
          <w:rtl/>
        </w:rPr>
        <w:t>י</w:t>
      </w:r>
      <w:r w:rsidR="00151619">
        <w:rPr>
          <w:rFonts w:hint="cs"/>
          <w:rtl/>
        </w:rPr>
        <w:t xml:space="preserve">ה לסעיף 100 לחוק השיפוט הצבאי. נקבע, כי אין להשוות בין </w:t>
      </w:r>
      <w:r w:rsidR="00324C1D">
        <w:rPr>
          <w:rFonts w:hint="cs"/>
          <w:rtl/>
        </w:rPr>
        <w:t>פגיעה עצמית</w:t>
      </w:r>
      <w:r w:rsidR="00151619">
        <w:rPr>
          <w:rFonts w:hint="cs"/>
          <w:rtl/>
        </w:rPr>
        <w:t xml:space="preserve"> (</w:t>
      </w:r>
      <w:r w:rsidR="00324C1D">
        <w:rPr>
          <w:rFonts w:hint="cs"/>
          <w:rtl/>
        </w:rPr>
        <w:t>הטלת מום</w:t>
      </w:r>
      <w:r w:rsidR="00151619">
        <w:rPr>
          <w:rFonts w:hint="cs"/>
          <w:rtl/>
        </w:rPr>
        <w:t>)</w:t>
      </w:r>
      <w:r w:rsidR="00324C1D">
        <w:rPr>
          <w:rFonts w:hint="cs"/>
          <w:rtl/>
        </w:rPr>
        <w:t xml:space="preserve"> לבין הפגיעה ברכב ה</w:t>
      </w:r>
      <w:r w:rsidR="00943D49">
        <w:rPr>
          <w:rFonts w:hint="cs"/>
          <w:rtl/>
        </w:rPr>
        <w:t>"</w:t>
      </w:r>
      <w:r w:rsidR="00324C1D">
        <w:rPr>
          <w:rFonts w:hint="cs"/>
          <w:rtl/>
        </w:rPr>
        <w:t>דוד</w:t>
      </w:r>
      <w:r w:rsidR="00943D49">
        <w:rPr>
          <w:rFonts w:hint="cs"/>
          <w:rtl/>
        </w:rPr>
        <w:t>"</w:t>
      </w:r>
      <w:r w:rsidR="00324C1D">
        <w:rPr>
          <w:rFonts w:hint="cs"/>
          <w:rtl/>
        </w:rPr>
        <w:t xml:space="preserve">. </w:t>
      </w:r>
      <w:r w:rsidR="00F250DF">
        <w:rPr>
          <w:rFonts w:hint="cs"/>
          <w:rtl/>
        </w:rPr>
        <w:t xml:space="preserve">עם זאת, </w:t>
      </w:r>
      <w:r w:rsidR="00324C1D">
        <w:rPr>
          <w:rFonts w:hint="cs"/>
          <w:rtl/>
        </w:rPr>
        <w:t xml:space="preserve">נקבע, כי </w:t>
      </w:r>
      <w:r w:rsidR="00F250DF">
        <w:rPr>
          <w:rFonts w:hint="cs"/>
          <w:rtl/>
        </w:rPr>
        <w:t xml:space="preserve">מעשיו של המערער נופלים תחת ההגדרה של </w:t>
      </w:r>
      <w:r w:rsidR="00324C1D">
        <w:rPr>
          <w:rFonts w:hint="cs"/>
          <w:rtl/>
        </w:rPr>
        <w:t>"אמצעי הונאה אחרים"</w:t>
      </w:r>
      <w:r w:rsidR="00F250DF">
        <w:rPr>
          <w:rFonts w:hint="cs"/>
          <w:rtl/>
        </w:rPr>
        <w:t>, הכלולה בסעיף העבירה ולפיכך, מקיימים את היסוד העובדתי שבה. בית הדין ציין, כי המדובר ב</w:t>
      </w:r>
      <w:r w:rsidR="00324C1D">
        <w:rPr>
          <w:rFonts w:hint="cs"/>
          <w:rtl/>
        </w:rPr>
        <w:t>מונח ש</w:t>
      </w:r>
      <w:r w:rsidR="00F250DF">
        <w:rPr>
          <w:rFonts w:hint="cs"/>
          <w:rtl/>
        </w:rPr>
        <w:t>מופיע במספר סעיפי עבירות בחוק השיפוט הצבאי</w:t>
      </w:r>
      <w:r w:rsidR="00324C1D">
        <w:rPr>
          <w:rFonts w:hint="cs"/>
          <w:rtl/>
        </w:rPr>
        <w:t xml:space="preserve">, כאשר המשותף </w:t>
      </w:r>
      <w:r w:rsidR="00F250DF">
        <w:rPr>
          <w:rFonts w:hint="cs"/>
          <w:rtl/>
        </w:rPr>
        <w:t>ל</w:t>
      </w:r>
      <w:r w:rsidR="00324C1D">
        <w:rPr>
          <w:rFonts w:hint="cs"/>
          <w:rtl/>
        </w:rPr>
        <w:t xml:space="preserve">כולם הוא שהפרט אינו חושף את רצונו האמיתי, אלא נוקט דרכי מרמה </w:t>
      </w:r>
      <w:r w:rsidR="00F250DF">
        <w:rPr>
          <w:rFonts w:hint="cs"/>
          <w:rtl/>
        </w:rPr>
        <w:t>על מנת להגשים את מטרתו הפסולה</w:t>
      </w:r>
      <w:r w:rsidR="00324C1D">
        <w:rPr>
          <w:rFonts w:hint="cs"/>
          <w:rtl/>
        </w:rPr>
        <w:t>. לפיכך נקבע, כי:</w:t>
      </w:r>
    </w:p>
    <w:p w:rsidR="00324C1D" w:rsidRDefault="00324C1D" w:rsidP="00F250DF">
      <w:pPr>
        <w:tabs>
          <w:tab w:val="left" w:pos="226"/>
        </w:tabs>
        <w:spacing w:line="240" w:lineRule="auto"/>
        <w:ind w:left="1076" w:right="1985"/>
        <w:rPr>
          <w:rtl/>
        </w:rPr>
      </w:pPr>
      <w:r>
        <w:rPr>
          <w:rFonts w:hint="cs"/>
          <w:rtl/>
        </w:rPr>
        <w:t>"את המילה 'אחרים' יש לפרש כפשוטה, דהיינו, כמתייחסות לשימוש באמצעי הונאה אחרים מלבד טענות שווא. העובדה שסעיף 102 לחש"ץ מתייחס גם להיעדרות מן השירות שלא ברשות או להטלת מום אין פירושה שאלה דוגמאות ל'אמצעי הונאה', כי אם הרחבה של היסוד העובדתי האפשרי לביסוס העבירה, מעבר לשימוש בטענות שווא או באמצעי הונאה אחרים...".</w:t>
      </w:r>
    </w:p>
    <w:p w:rsidR="00324C1D" w:rsidRDefault="00324C1D" w:rsidP="00324C1D">
      <w:pPr>
        <w:tabs>
          <w:tab w:val="left" w:pos="226"/>
        </w:tabs>
        <w:spacing w:line="240" w:lineRule="auto"/>
        <w:ind w:left="1076" w:right="1985"/>
        <w:rPr>
          <w:rtl/>
        </w:rPr>
      </w:pPr>
    </w:p>
    <w:p w:rsidR="00F250DF" w:rsidRDefault="00324C1D" w:rsidP="00E3357E">
      <w:pPr>
        <w:tabs>
          <w:tab w:val="left" w:pos="226"/>
          <w:tab w:val="left" w:pos="368"/>
        </w:tabs>
        <w:rPr>
          <w:rtl/>
        </w:rPr>
      </w:pPr>
      <w:r>
        <w:rPr>
          <w:rFonts w:hint="cs"/>
          <w:rtl/>
        </w:rPr>
        <w:t xml:space="preserve">אשר לענייננו, </w:t>
      </w:r>
      <w:r w:rsidR="00833998">
        <w:rPr>
          <w:rFonts w:hint="cs"/>
          <w:rtl/>
        </w:rPr>
        <w:t>נקבע</w:t>
      </w:r>
      <w:r w:rsidR="00D30A4D">
        <w:rPr>
          <w:rFonts w:hint="cs"/>
          <w:rtl/>
        </w:rPr>
        <w:t xml:space="preserve">, במישור </w:t>
      </w:r>
      <w:r w:rsidR="00F250DF">
        <w:rPr>
          <w:rFonts w:hint="cs"/>
          <w:rtl/>
        </w:rPr>
        <w:t xml:space="preserve">היסוד </w:t>
      </w:r>
      <w:r w:rsidR="00D30A4D">
        <w:rPr>
          <w:rFonts w:hint="cs"/>
          <w:rtl/>
        </w:rPr>
        <w:t>העובדתי</w:t>
      </w:r>
      <w:r w:rsidR="00833998">
        <w:rPr>
          <w:rFonts w:hint="cs"/>
          <w:rtl/>
        </w:rPr>
        <w:t>, כי המערער נקט אמצעי הונאה</w:t>
      </w:r>
      <w:r w:rsidR="009E7426">
        <w:rPr>
          <w:rFonts w:hint="cs"/>
          <w:rtl/>
        </w:rPr>
        <w:t>, כדרישת הסעיף,</w:t>
      </w:r>
      <w:r w:rsidR="00833998">
        <w:rPr>
          <w:rFonts w:hint="cs"/>
          <w:rtl/>
        </w:rPr>
        <w:t xml:space="preserve"> </w:t>
      </w:r>
      <w:r w:rsidR="00F250DF">
        <w:rPr>
          <w:rFonts w:hint="cs"/>
          <w:rtl/>
        </w:rPr>
        <w:t>במטרה</w:t>
      </w:r>
      <w:r w:rsidR="00833998">
        <w:rPr>
          <w:rFonts w:hint="cs"/>
          <w:rtl/>
        </w:rPr>
        <w:t xml:space="preserve"> להסוות את מעשיו ואת מעשי חבריו, ולגרום לכך שיחזו כת</w:t>
      </w:r>
      <w:r w:rsidR="00D30A4D">
        <w:rPr>
          <w:rFonts w:hint="cs"/>
          <w:rtl/>
        </w:rPr>
        <w:t>קלות מכ</w:t>
      </w:r>
      <w:r w:rsidR="00F250DF">
        <w:rPr>
          <w:rFonts w:hint="cs"/>
          <w:rtl/>
        </w:rPr>
        <w:t>א</w:t>
      </w:r>
      <w:r w:rsidR="00D30A4D">
        <w:rPr>
          <w:rFonts w:hint="cs"/>
          <w:rtl/>
        </w:rPr>
        <w:t xml:space="preserve">ניות אקראיות, </w:t>
      </w:r>
      <w:r w:rsidR="00F250DF">
        <w:rPr>
          <w:rFonts w:hint="cs"/>
          <w:rtl/>
        </w:rPr>
        <w:t xml:space="preserve">והכל (במישור היסוד הנפשי), על מנת </w:t>
      </w:r>
      <w:r w:rsidR="00D30A4D">
        <w:rPr>
          <w:rFonts w:hint="cs"/>
          <w:rtl/>
        </w:rPr>
        <w:t>שמפ</w:t>
      </w:r>
      <w:r w:rsidR="00833998">
        <w:rPr>
          <w:rFonts w:hint="cs"/>
          <w:rtl/>
        </w:rPr>
        <w:t>קדיו יפעלו ל</w:t>
      </w:r>
      <w:r w:rsidR="00F250DF">
        <w:rPr>
          <w:rFonts w:hint="cs"/>
          <w:rtl/>
        </w:rPr>
        <w:t xml:space="preserve">העברת </w:t>
      </w:r>
      <w:r w:rsidR="00833998">
        <w:rPr>
          <w:rFonts w:hint="cs"/>
          <w:rtl/>
        </w:rPr>
        <w:t>הרכב למוסך ו</w:t>
      </w:r>
      <w:r w:rsidR="00F250DF">
        <w:rPr>
          <w:rFonts w:hint="cs"/>
          <w:rtl/>
        </w:rPr>
        <w:t xml:space="preserve">בתוך כך להפסקת </w:t>
      </w:r>
      <w:r w:rsidR="00833998">
        <w:rPr>
          <w:rFonts w:hint="cs"/>
          <w:rtl/>
        </w:rPr>
        <w:t>הסי</w:t>
      </w:r>
      <w:r w:rsidR="00D30A4D">
        <w:rPr>
          <w:rFonts w:hint="cs"/>
          <w:rtl/>
        </w:rPr>
        <w:t>ור לפרק זמן ארוך ככל האפשר</w:t>
      </w:r>
      <w:r w:rsidR="00F250DF">
        <w:rPr>
          <w:rFonts w:hint="cs"/>
          <w:rtl/>
        </w:rPr>
        <w:t xml:space="preserve">. </w:t>
      </w:r>
      <w:r w:rsidR="00833998">
        <w:rPr>
          <w:rFonts w:hint="cs"/>
          <w:rtl/>
        </w:rPr>
        <w:t xml:space="preserve">כך, </w:t>
      </w:r>
      <w:r w:rsidR="00F250DF">
        <w:rPr>
          <w:rFonts w:hint="cs"/>
          <w:rtl/>
        </w:rPr>
        <w:t xml:space="preserve">נמצא כי </w:t>
      </w:r>
      <w:r w:rsidR="00833998">
        <w:rPr>
          <w:rFonts w:hint="cs"/>
          <w:rtl/>
        </w:rPr>
        <w:t>בתכתובת עם נהג אחר</w:t>
      </w:r>
      <w:r w:rsidR="00F250DF">
        <w:rPr>
          <w:rFonts w:hint="cs"/>
          <w:rtl/>
        </w:rPr>
        <w:t>,</w:t>
      </w:r>
      <w:r w:rsidR="00833998">
        <w:rPr>
          <w:rFonts w:hint="cs"/>
          <w:rtl/>
        </w:rPr>
        <w:t xml:space="preserve"> כתב המערער</w:t>
      </w:r>
      <w:r w:rsidR="00D30A4D">
        <w:rPr>
          <w:rFonts w:hint="cs"/>
          <w:rtl/>
        </w:rPr>
        <w:t>,</w:t>
      </w:r>
      <w:r w:rsidR="00833998">
        <w:rPr>
          <w:rFonts w:hint="cs"/>
          <w:rtl/>
        </w:rPr>
        <w:t xml:space="preserve"> כי מצא דרך להשבית את הרכב שיתרונה בכך ש"אף אחד לא יכול לגלות", והוסיף כי </w:t>
      </w:r>
      <w:r w:rsidR="00D30A4D">
        <w:rPr>
          <w:rFonts w:hint="cs"/>
          <w:rtl/>
        </w:rPr>
        <w:t>ל</w:t>
      </w:r>
      <w:r w:rsidR="00833998">
        <w:rPr>
          <w:rFonts w:hint="cs"/>
          <w:rtl/>
        </w:rPr>
        <w:t>א יצליחו "לעל</w:t>
      </w:r>
      <w:r w:rsidR="00D30A4D">
        <w:rPr>
          <w:rFonts w:hint="cs"/>
          <w:rtl/>
        </w:rPr>
        <w:t>ו</w:t>
      </w:r>
      <w:r w:rsidR="00833998">
        <w:rPr>
          <w:rFonts w:hint="cs"/>
          <w:rtl/>
        </w:rPr>
        <w:t xml:space="preserve">ת" על מקור התקלה מכיוון ש"יש לי ידע ברכבים ואני יודע לערבב אנשים". </w:t>
      </w:r>
      <w:r w:rsidR="005A0AFB">
        <w:rPr>
          <w:rFonts w:hint="cs"/>
          <w:rtl/>
        </w:rPr>
        <w:t>המערער אף הבי</w:t>
      </w:r>
      <w:r w:rsidR="00D30A4D">
        <w:rPr>
          <w:rFonts w:hint="cs"/>
          <w:rtl/>
        </w:rPr>
        <w:t>ע</w:t>
      </w:r>
      <w:r w:rsidR="005A0AFB">
        <w:rPr>
          <w:rFonts w:hint="cs"/>
          <w:rtl/>
        </w:rPr>
        <w:t xml:space="preserve"> חוסר שביעות רצון מכך ש</w:t>
      </w:r>
      <w:r w:rsidR="00D30A4D">
        <w:rPr>
          <w:rFonts w:hint="cs"/>
          <w:rtl/>
        </w:rPr>
        <w:t>ל</w:t>
      </w:r>
      <w:r w:rsidR="005A0AFB">
        <w:rPr>
          <w:rFonts w:hint="cs"/>
          <w:rtl/>
        </w:rPr>
        <w:t>א ני</w:t>
      </w:r>
      <w:r w:rsidR="00D30A4D">
        <w:rPr>
          <w:rFonts w:hint="cs"/>
          <w:rtl/>
        </w:rPr>
        <w:t>ת</w:t>
      </w:r>
      <w:r w:rsidR="005A0AFB">
        <w:rPr>
          <w:rFonts w:hint="cs"/>
          <w:rtl/>
        </w:rPr>
        <w:t xml:space="preserve">ן היה לפגוע פעם נוספת במצמד ולפיכך "צריך למצוא משהו אחר", </w:t>
      </w:r>
      <w:r w:rsidR="00F250DF">
        <w:rPr>
          <w:rFonts w:hint="cs"/>
          <w:rtl/>
        </w:rPr>
        <w:t>ו</w:t>
      </w:r>
      <w:r w:rsidR="005A0AFB">
        <w:rPr>
          <w:rFonts w:hint="cs"/>
          <w:rtl/>
        </w:rPr>
        <w:t xml:space="preserve">פעל "לגוון" את אופי התקלות, </w:t>
      </w:r>
      <w:r w:rsidR="00D30A4D">
        <w:rPr>
          <w:rFonts w:hint="cs"/>
          <w:rtl/>
        </w:rPr>
        <w:t>ו</w:t>
      </w:r>
      <w:r w:rsidR="00F250DF">
        <w:rPr>
          <w:rFonts w:hint="cs"/>
          <w:rtl/>
        </w:rPr>
        <w:t xml:space="preserve">אף </w:t>
      </w:r>
      <w:r w:rsidR="00D30A4D">
        <w:rPr>
          <w:rFonts w:hint="cs"/>
          <w:rtl/>
        </w:rPr>
        <w:t>לכך שהתקלות ל</w:t>
      </w:r>
      <w:r w:rsidR="005A0AFB">
        <w:rPr>
          <w:rFonts w:hint="cs"/>
          <w:rtl/>
        </w:rPr>
        <w:t>א י</w:t>
      </w:r>
      <w:r w:rsidR="00F250DF">
        <w:rPr>
          <w:rFonts w:hint="cs"/>
          <w:rtl/>
        </w:rPr>
        <w:t xml:space="preserve">תרחשו </w:t>
      </w:r>
      <w:r w:rsidR="005A0AFB">
        <w:rPr>
          <w:rFonts w:hint="cs"/>
          <w:rtl/>
        </w:rPr>
        <w:t>בסיורים שלו</w:t>
      </w:r>
      <w:r w:rsidR="00F250DF">
        <w:rPr>
          <w:rFonts w:hint="cs"/>
          <w:rtl/>
        </w:rPr>
        <w:t>, כנהג, בלבד</w:t>
      </w:r>
      <w:r w:rsidR="005A0AFB">
        <w:rPr>
          <w:rFonts w:hint="cs"/>
          <w:rtl/>
        </w:rPr>
        <w:t xml:space="preserve">. </w:t>
      </w:r>
    </w:p>
    <w:p w:rsidR="00833998" w:rsidRPr="00B07FA5" w:rsidRDefault="005A0AFB" w:rsidP="00D53E6C">
      <w:pPr>
        <w:tabs>
          <w:tab w:val="left" w:pos="226"/>
          <w:tab w:val="left" w:pos="368"/>
        </w:tabs>
      </w:pPr>
      <w:r>
        <w:rPr>
          <w:rFonts w:hint="cs"/>
          <w:rtl/>
        </w:rPr>
        <w:t xml:space="preserve">ביחס ליסוד הנפשי, </w:t>
      </w:r>
      <w:r w:rsidR="00D30A4D">
        <w:rPr>
          <w:rFonts w:hint="cs"/>
          <w:rtl/>
        </w:rPr>
        <w:t>נקבע, כאמור, כי הוכח שהמערער פע</w:t>
      </w:r>
      <w:r>
        <w:rPr>
          <w:rFonts w:hint="cs"/>
          <w:rtl/>
        </w:rPr>
        <w:t xml:space="preserve">ל בכוונה לגרום לנזק, תוך שהיה מודע </w:t>
      </w:r>
      <w:r w:rsidR="00D30A4D">
        <w:rPr>
          <w:rFonts w:hint="cs"/>
          <w:rtl/>
        </w:rPr>
        <w:t>באופן מלא לכ</w:t>
      </w:r>
      <w:r>
        <w:rPr>
          <w:rFonts w:hint="cs"/>
          <w:rtl/>
        </w:rPr>
        <w:t xml:space="preserve">ך שמעשיו יגרמו </w:t>
      </w:r>
      <w:r w:rsidR="00F250DF">
        <w:rPr>
          <w:rFonts w:hint="cs"/>
          <w:rtl/>
        </w:rPr>
        <w:t>ל</w:t>
      </w:r>
      <w:r>
        <w:rPr>
          <w:rFonts w:hint="cs"/>
          <w:rtl/>
        </w:rPr>
        <w:t>השבתה בפועל של הסיור וחפץ בכך שההשבתה תימשך זמן רב ככל הניתן. למעלה מן הצורך צוין, כי אף הלכת הצפיות מוליכה למסקנה דומה</w:t>
      </w:r>
      <w:r w:rsidR="00D30A4D">
        <w:rPr>
          <w:rFonts w:hint="cs"/>
          <w:rtl/>
        </w:rPr>
        <w:t xml:space="preserve"> </w:t>
      </w:r>
      <w:r w:rsidR="00D53E6C">
        <w:rPr>
          <w:rFonts w:hint="cs"/>
          <w:rtl/>
        </w:rPr>
        <w:t xml:space="preserve">– </w:t>
      </w:r>
      <w:r>
        <w:rPr>
          <w:rFonts w:hint="cs"/>
          <w:rtl/>
        </w:rPr>
        <w:t>"התקלות להן גרם הנאשם מובילות בהכרח להפסקת הסיור לפרק זמן משמעותי... עובדה זו הייתה ידועה היטב לנאשם בעת שגרם לתקלה והוא צ</w:t>
      </w:r>
      <w:r w:rsidR="00D30A4D">
        <w:rPr>
          <w:rFonts w:hint="cs"/>
          <w:rtl/>
        </w:rPr>
        <w:t>פ</w:t>
      </w:r>
      <w:r>
        <w:rPr>
          <w:rFonts w:hint="cs"/>
          <w:rtl/>
        </w:rPr>
        <w:t>ה שכך בהכרח יקרה".</w:t>
      </w:r>
    </w:p>
    <w:p w:rsidR="00D30A4D" w:rsidRDefault="00D30A4D" w:rsidP="00D30A4D">
      <w:pPr>
        <w:numPr>
          <w:ilvl w:val="0"/>
          <w:numId w:val="1"/>
        </w:numPr>
        <w:tabs>
          <w:tab w:val="left" w:pos="229"/>
          <w:tab w:val="left" w:pos="368"/>
        </w:tabs>
        <w:ind w:left="0" w:firstLine="0"/>
      </w:pPr>
      <w:r w:rsidRPr="008C1D50">
        <w:rPr>
          <w:rFonts w:hint="cs"/>
          <w:rtl/>
        </w:rPr>
        <w:t xml:space="preserve">בהתאם, נקבע, כי יסודות העבירות שיוחסו למערער בכתב האישום הוכחו, למעלה מכל ספק סביר ולפיכך, יש להרשיעו במיוחס לו. </w:t>
      </w:r>
    </w:p>
    <w:p w:rsidR="00D30A4D" w:rsidRDefault="00D30A4D" w:rsidP="00D30A4D">
      <w:pPr>
        <w:tabs>
          <w:tab w:val="left" w:pos="229"/>
          <w:tab w:val="left" w:pos="368"/>
        </w:tabs>
        <w:rPr>
          <w:rtl/>
        </w:rPr>
      </w:pPr>
    </w:p>
    <w:p w:rsidR="009E7426" w:rsidRDefault="000A0CD0" w:rsidP="000A0CD0">
      <w:pPr>
        <w:pStyle w:val="Heading1"/>
        <w:spacing w:before="0"/>
        <w:ind w:left="-58"/>
        <w:rPr>
          <w:u w:val="none"/>
          <w:rtl/>
        </w:rPr>
      </w:pPr>
      <w:r>
        <w:rPr>
          <w:rFonts w:hint="cs"/>
          <w:u w:val="none"/>
          <w:rtl/>
        </w:rPr>
        <w:t xml:space="preserve">טענות </w:t>
      </w:r>
      <w:r w:rsidR="009E7426">
        <w:rPr>
          <w:rFonts w:hint="cs"/>
          <w:u w:val="none"/>
          <w:rtl/>
        </w:rPr>
        <w:t>ההגנה</w:t>
      </w:r>
      <w:r w:rsidR="009E7426" w:rsidRPr="009E7426">
        <w:rPr>
          <w:rFonts w:hint="cs"/>
          <w:u w:val="none"/>
          <w:rtl/>
        </w:rPr>
        <w:t xml:space="preserve"> </w:t>
      </w:r>
    </w:p>
    <w:p w:rsidR="009E7426" w:rsidRDefault="00867110" w:rsidP="00060D3F">
      <w:pPr>
        <w:numPr>
          <w:ilvl w:val="0"/>
          <w:numId w:val="1"/>
        </w:numPr>
        <w:tabs>
          <w:tab w:val="left" w:pos="229"/>
          <w:tab w:val="left" w:pos="368"/>
        </w:tabs>
        <w:ind w:left="0" w:firstLine="0"/>
      </w:pPr>
      <w:r>
        <w:rPr>
          <w:rFonts w:hint="cs"/>
          <w:rtl/>
        </w:rPr>
        <w:t>ערעור ההגנה כנגד הכרעת הדין נסוב סביב שאלה אחת</w:t>
      </w:r>
      <w:r w:rsidR="00590A84">
        <w:rPr>
          <w:rFonts w:hint="cs"/>
          <w:rtl/>
        </w:rPr>
        <w:t>,</w:t>
      </w:r>
      <w:r>
        <w:rPr>
          <w:rFonts w:hint="cs"/>
          <w:rtl/>
        </w:rPr>
        <w:t xml:space="preserve"> והיא האם העובדות שהוכחו לפני בית הדין קמא מקימות את יסודות העבירה, שעניינה השתמטות מפעולה מסויימת. לשיטת ההגנה, סעיף 102 לח</w:t>
      </w:r>
      <w:r w:rsidR="00986C63">
        <w:rPr>
          <w:rFonts w:hint="cs"/>
          <w:rtl/>
        </w:rPr>
        <w:t>וק השיפוט הצבאי, ה</w:t>
      </w:r>
      <w:r>
        <w:rPr>
          <w:rFonts w:hint="cs"/>
          <w:rtl/>
        </w:rPr>
        <w:t xml:space="preserve">נוקט מספר </w:t>
      </w:r>
      <w:r w:rsidR="00060D3F">
        <w:rPr>
          <w:rFonts w:hint="cs"/>
          <w:rtl/>
        </w:rPr>
        <w:t>חלופות</w:t>
      </w:r>
      <w:r>
        <w:rPr>
          <w:rFonts w:hint="cs"/>
          <w:rtl/>
        </w:rPr>
        <w:t>, אשר מקימות, כל אחת כשלעצמה, את היסוד העובדתי של העבירה</w:t>
      </w:r>
      <w:r w:rsidR="00986C63">
        <w:rPr>
          <w:rFonts w:hint="cs"/>
          <w:rtl/>
        </w:rPr>
        <w:t xml:space="preserve"> </w:t>
      </w:r>
      <w:r w:rsidR="00986C63">
        <w:rPr>
          <w:rtl/>
        </w:rPr>
        <w:t>–</w:t>
      </w:r>
      <w:r w:rsidR="00986C63">
        <w:rPr>
          <w:rFonts w:hint="cs"/>
          <w:rtl/>
        </w:rPr>
        <w:t xml:space="preserve"> אינו חל על מעשיו של המערער במקרה דנן</w:t>
      </w:r>
      <w:r>
        <w:rPr>
          <w:rFonts w:hint="cs"/>
          <w:rtl/>
        </w:rPr>
        <w:t xml:space="preserve">. </w:t>
      </w:r>
      <w:r w:rsidR="00986C63">
        <w:rPr>
          <w:rFonts w:hint="cs"/>
          <w:rtl/>
        </w:rPr>
        <w:t xml:space="preserve">נטען, כי אמנם, </w:t>
      </w:r>
      <w:r>
        <w:rPr>
          <w:rFonts w:hint="cs"/>
          <w:rtl/>
        </w:rPr>
        <w:t>על מנת לאפשר הרשעה בעבירה זו, גם כאשר המעשים שנעשו אינם</w:t>
      </w:r>
      <w:r w:rsidR="00986C63">
        <w:rPr>
          <w:rFonts w:hint="cs"/>
          <w:rtl/>
        </w:rPr>
        <w:t>, כשלעצמם,</w:t>
      </w:r>
      <w:r>
        <w:rPr>
          <w:rFonts w:hint="cs"/>
          <w:rtl/>
        </w:rPr>
        <w:t xml:space="preserve"> </w:t>
      </w:r>
      <w:r w:rsidR="00986C63">
        <w:rPr>
          <w:rFonts w:hint="cs"/>
          <w:rtl/>
        </w:rPr>
        <w:t>"</w:t>
      </w:r>
      <w:r>
        <w:rPr>
          <w:rFonts w:hint="cs"/>
          <w:rtl/>
        </w:rPr>
        <w:t>אמצעי הונאה</w:t>
      </w:r>
      <w:r w:rsidR="00986C63">
        <w:rPr>
          <w:rFonts w:hint="cs"/>
          <w:rtl/>
        </w:rPr>
        <w:t>"</w:t>
      </w:r>
      <w:r>
        <w:rPr>
          <w:rFonts w:hint="cs"/>
          <w:rtl/>
        </w:rPr>
        <w:t xml:space="preserve">, הרחיב המחוקק את קשת המעשים וכלל מפורשות אף את </w:t>
      </w:r>
      <w:r w:rsidR="00986C63">
        <w:rPr>
          <w:rFonts w:hint="cs"/>
          <w:rtl/>
        </w:rPr>
        <w:t xml:space="preserve">אלה </w:t>
      </w:r>
      <w:r>
        <w:rPr>
          <w:rFonts w:hint="cs"/>
          <w:rtl/>
        </w:rPr>
        <w:t xml:space="preserve">המפורטים בסעיפים 94 </w:t>
      </w:r>
      <w:r w:rsidR="00986C63">
        <w:rPr>
          <w:rFonts w:hint="cs"/>
          <w:rtl/>
        </w:rPr>
        <w:t xml:space="preserve">(היעדר מן השירות הצבאי) </w:t>
      </w:r>
      <w:r>
        <w:rPr>
          <w:rFonts w:hint="cs"/>
          <w:rtl/>
        </w:rPr>
        <w:t xml:space="preserve">ו-100 </w:t>
      </w:r>
      <w:r w:rsidR="00986C63">
        <w:rPr>
          <w:rFonts w:hint="cs"/>
          <w:rtl/>
        </w:rPr>
        <w:t xml:space="preserve">(הטלת מום) </w:t>
      </w:r>
      <w:r>
        <w:rPr>
          <w:rFonts w:hint="cs"/>
          <w:rtl/>
        </w:rPr>
        <w:t>לח</w:t>
      </w:r>
      <w:r w:rsidR="00986C63">
        <w:rPr>
          <w:rFonts w:hint="cs"/>
          <w:rtl/>
        </w:rPr>
        <w:t xml:space="preserve">וק השיפוט הצבאי </w:t>
      </w:r>
      <w:r w:rsidR="00986C63">
        <w:rPr>
          <w:rtl/>
        </w:rPr>
        <w:t>–</w:t>
      </w:r>
      <w:r w:rsidR="00986C63">
        <w:rPr>
          <w:rFonts w:hint="cs"/>
          <w:rtl/>
        </w:rPr>
        <w:t xml:space="preserve"> אך את אלה בלבד, וכי אין להוסיף עליהם מעשים, אשר עונים על הגדרתה של עבירה אחרת בחוק השיפוט הצבאי (כדוגמת העבירה של השמדת רכוש, לפי סעיף 76 לחוק השיפוט הצבאי), שאינם נמנים מפורשות עם הגדרת היסוד העובדתי בעבירה. </w:t>
      </w:r>
      <w:r>
        <w:rPr>
          <w:rFonts w:hint="cs"/>
          <w:rtl/>
        </w:rPr>
        <w:t>לעמדת ההגנה, משבחר המחוקק שלא להתייחס למעשים המפורטים בסעיף 76 לח</w:t>
      </w:r>
      <w:r w:rsidR="00986C63">
        <w:rPr>
          <w:rFonts w:hint="cs"/>
          <w:rtl/>
        </w:rPr>
        <w:t>וק השיפוט הצבאי</w:t>
      </w:r>
      <w:r>
        <w:rPr>
          <w:rFonts w:hint="cs"/>
          <w:rtl/>
        </w:rPr>
        <w:t xml:space="preserve">, שעניינו </w:t>
      </w:r>
      <w:r>
        <w:rPr>
          <w:rFonts w:hint="cs"/>
          <w:rtl/>
        </w:rPr>
        <w:lastRenderedPageBreak/>
        <w:t xml:space="preserve">השמדת רכוש, </w:t>
      </w:r>
      <w:r w:rsidR="00986C63">
        <w:rPr>
          <w:rFonts w:hint="cs"/>
          <w:rtl/>
        </w:rPr>
        <w:t xml:space="preserve">להבדיל ממעשים המקימים עבירות אחרות בחוק השיפוט הצבאי ("היעדר מן השירות", סעיף 94 ו"הטלת מום", סעיף 100), גילה המחוקק </w:t>
      </w:r>
      <w:r>
        <w:rPr>
          <w:rFonts w:hint="cs"/>
          <w:rtl/>
        </w:rPr>
        <w:t>דעתו</w:t>
      </w:r>
      <w:r w:rsidR="00986C63">
        <w:rPr>
          <w:rFonts w:hint="cs"/>
          <w:rtl/>
        </w:rPr>
        <w:t xml:space="preserve">, כי </w:t>
      </w:r>
      <w:r>
        <w:rPr>
          <w:rFonts w:hint="cs"/>
          <w:rtl/>
        </w:rPr>
        <w:t>מעשים אלו אינם מקימים עבירה של השתמטות מפעולה מסוימת, לפי סעיף 102 לח</w:t>
      </w:r>
      <w:r w:rsidR="00986C63">
        <w:rPr>
          <w:rFonts w:hint="cs"/>
          <w:rtl/>
        </w:rPr>
        <w:t>וק השיפוט הצבאי.</w:t>
      </w:r>
    </w:p>
    <w:p w:rsidR="00E727F0" w:rsidRDefault="00986C63" w:rsidP="000660A4">
      <w:pPr>
        <w:numPr>
          <w:ilvl w:val="0"/>
          <w:numId w:val="1"/>
        </w:numPr>
        <w:tabs>
          <w:tab w:val="left" w:pos="229"/>
          <w:tab w:val="left" w:pos="368"/>
        </w:tabs>
        <w:ind w:left="0" w:firstLine="0"/>
      </w:pPr>
      <w:r>
        <w:rPr>
          <w:rFonts w:hint="cs"/>
          <w:rtl/>
        </w:rPr>
        <w:t xml:space="preserve">עוד נטען, כי </w:t>
      </w:r>
      <w:r w:rsidR="00075898">
        <w:rPr>
          <w:rFonts w:hint="cs"/>
          <w:rtl/>
        </w:rPr>
        <w:t>שגה בית הדין קמא</w:t>
      </w:r>
      <w:r w:rsidR="00590A84">
        <w:rPr>
          <w:rFonts w:hint="cs"/>
          <w:rtl/>
        </w:rPr>
        <w:t>,</w:t>
      </w:r>
      <w:r w:rsidR="00075898">
        <w:rPr>
          <w:rFonts w:hint="cs"/>
          <w:rtl/>
        </w:rPr>
        <w:t xml:space="preserve"> עת קבע שהמערער נקט אמצעי הונאה על מנת להסוות את מעשיו, ולגרום לכך שהתקלות ברכב יחזו כתקלות ספונטניות רגילות,</w:t>
      </w:r>
      <w:r>
        <w:rPr>
          <w:rFonts w:hint="cs"/>
          <w:rtl/>
        </w:rPr>
        <w:t xml:space="preserve"> וכי מעשים אלה מבססים את הרשעתו בעבירה לפי סעיף 102 לחוק השיפוט הצבאי, שכן לא ניתנה למערער </w:t>
      </w:r>
      <w:r w:rsidR="00075898">
        <w:rPr>
          <w:rFonts w:hint="cs"/>
          <w:rtl/>
        </w:rPr>
        <w:t>אפשרות סבירה להתגונן כנגד קביע</w:t>
      </w:r>
      <w:r>
        <w:rPr>
          <w:rFonts w:hint="cs"/>
          <w:rtl/>
        </w:rPr>
        <w:t>ות אלו</w:t>
      </w:r>
      <w:r w:rsidR="00075898">
        <w:rPr>
          <w:rFonts w:hint="cs"/>
          <w:rtl/>
        </w:rPr>
        <w:t>. צוין, כי על-פי נוסח כתב האישום ועל-פי עמדת</w:t>
      </w:r>
      <w:r w:rsidR="000660A4">
        <w:rPr>
          <w:rFonts w:hint="cs"/>
          <w:rtl/>
        </w:rPr>
        <w:t xml:space="preserve">ה של </w:t>
      </w:r>
      <w:r w:rsidR="00075898">
        <w:rPr>
          <w:rFonts w:hint="cs"/>
          <w:rtl/>
        </w:rPr>
        <w:t>התביעה</w:t>
      </w:r>
      <w:r w:rsidR="000660A4">
        <w:rPr>
          <w:rFonts w:hint="cs"/>
          <w:rtl/>
        </w:rPr>
        <w:t xml:space="preserve"> לאורך ההליך</w:t>
      </w:r>
      <w:r w:rsidR="00075898">
        <w:rPr>
          <w:rFonts w:hint="cs"/>
          <w:rtl/>
        </w:rPr>
        <w:t>, המעשים שבגינם יוחסה למערער עבירה של השתמטות מפעולה מסוימת, הם מעשי הפגיעה ברכב</w:t>
      </w:r>
      <w:r w:rsidR="000660A4">
        <w:rPr>
          <w:rFonts w:hint="cs"/>
          <w:rtl/>
        </w:rPr>
        <w:t>, מבלי להידרש לשאלת ההונאה והמרמה שנלוו אליהם</w:t>
      </w:r>
      <w:r w:rsidR="00075898">
        <w:rPr>
          <w:rFonts w:hint="cs"/>
          <w:rtl/>
        </w:rPr>
        <w:t xml:space="preserve">. </w:t>
      </w:r>
      <w:r w:rsidR="000660A4">
        <w:rPr>
          <w:rFonts w:hint="cs"/>
          <w:rtl/>
        </w:rPr>
        <w:t xml:space="preserve">נטען, כי </w:t>
      </w:r>
      <w:r w:rsidR="00075898">
        <w:rPr>
          <w:rFonts w:hint="cs"/>
          <w:rtl/>
        </w:rPr>
        <w:t>התביעה הצבאית לא ייחסה למערער כל עבירה בגין התבטאויותיו</w:t>
      </w:r>
      <w:r w:rsidR="00590A84">
        <w:rPr>
          <w:rFonts w:hint="cs"/>
          <w:rtl/>
        </w:rPr>
        <w:t>,</w:t>
      </w:r>
      <w:r w:rsidR="00075898">
        <w:rPr>
          <w:rFonts w:hint="cs"/>
          <w:rtl/>
        </w:rPr>
        <w:t xml:space="preserve"> אשר לימדו על הסוואת מעשי הקלקול </w:t>
      </w:r>
      <w:r w:rsidR="000660A4">
        <w:rPr>
          <w:rFonts w:hint="cs"/>
          <w:rtl/>
        </w:rPr>
        <w:t>ב</w:t>
      </w:r>
      <w:r w:rsidR="00075898">
        <w:rPr>
          <w:rFonts w:hint="cs"/>
          <w:rtl/>
        </w:rPr>
        <w:t>רכב, ועל כן המערער לא יכול היה לצפות כי הוא נדרש להתגונן מפני ראיות כגון תכתוב</w:t>
      </w:r>
      <w:r w:rsidR="00590A84">
        <w:rPr>
          <w:rFonts w:hint="cs"/>
          <w:rtl/>
        </w:rPr>
        <w:t>ו</w:t>
      </w:r>
      <w:r w:rsidR="00075898">
        <w:rPr>
          <w:rFonts w:hint="cs"/>
          <w:rtl/>
        </w:rPr>
        <w:t>ת ממכשיר הטלפון הנייד שלו, שביססו</w:t>
      </w:r>
      <w:r w:rsidR="00590A84">
        <w:rPr>
          <w:rFonts w:hint="cs"/>
          <w:rtl/>
        </w:rPr>
        <w:t>,</w:t>
      </w:r>
      <w:r w:rsidR="00075898">
        <w:rPr>
          <w:rFonts w:hint="cs"/>
          <w:rtl/>
        </w:rPr>
        <w:t xml:space="preserve"> לפי קביעת בית הדין קמא</w:t>
      </w:r>
      <w:r w:rsidR="00590A84">
        <w:rPr>
          <w:rFonts w:hint="cs"/>
          <w:rtl/>
        </w:rPr>
        <w:t>,</w:t>
      </w:r>
      <w:r w:rsidR="00075898">
        <w:rPr>
          <w:rFonts w:hint="cs"/>
          <w:rtl/>
        </w:rPr>
        <w:t xml:space="preserve"> את </w:t>
      </w:r>
      <w:r w:rsidR="000660A4">
        <w:rPr>
          <w:rFonts w:hint="cs"/>
          <w:rtl/>
        </w:rPr>
        <w:t xml:space="preserve">הוכחתם של </w:t>
      </w:r>
      <w:r w:rsidR="00075898">
        <w:rPr>
          <w:rFonts w:hint="cs"/>
          <w:rtl/>
        </w:rPr>
        <w:t xml:space="preserve">אמצעי ההונאה שנקט המערער. </w:t>
      </w:r>
      <w:r w:rsidR="000660A4">
        <w:rPr>
          <w:rFonts w:hint="cs"/>
          <w:rtl/>
        </w:rPr>
        <w:t xml:space="preserve">ההגנה סבורה כי יש להבחין בין מעשי הפגיעה ברכב, שהובילו, כשלעצמם, לתקלות ברכב ולהפסקת הסיורים, לבין מעשי הונאה והסוואה, שנועדו להסתיר את מעורבותו של המערער בהם. נטען, כי </w:t>
      </w:r>
      <w:r w:rsidR="00590A84">
        <w:rPr>
          <w:rFonts w:hint="cs"/>
          <w:rtl/>
        </w:rPr>
        <w:t>מעשי ההסוואה</w:t>
      </w:r>
      <w:r w:rsidR="00075898">
        <w:rPr>
          <w:rFonts w:hint="cs"/>
          <w:rtl/>
        </w:rPr>
        <w:t xml:space="preserve"> של המערער לא </w:t>
      </w:r>
      <w:r w:rsidR="00590A84">
        <w:rPr>
          <w:rFonts w:hint="cs"/>
          <w:rtl/>
        </w:rPr>
        <w:t>הם</w:t>
      </w:r>
      <w:r w:rsidR="00075898">
        <w:rPr>
          <w:rFonts w:hint="cs"/>
          <w:rtl/>
        </w:rPr>
        <w:t xml:space="preserve"> שהובילו להשתמטות מהפעולה</w:t>
      </w:r>
      <w:r w:rsidR="000660A4">
        <w:rPr>
          <w:rFonts w:hint="cs"/>
          <w:rtl/>
        </w:rPr>
        <w:t xml:space="preserve"> </w:t>
      </w:r>
      <w:r w:rsidR="000660A4">
        <w:rPr>
          <w:rtl/>
        </w:rPr>
        <w:t>–</w:t>
      </w:r>
      <w:r w:rsidR="000660A4">
        <w:rPr>
          <w:rFonts w:hint="cs"/>
          <w:rtl/>
        </w:rPr>
        <w:t xml:space="preserve"> סיור הבט"ש באמצעות הרכב</w:t>
      </w:r>
      <w:r w:rsidR="00075898">
        <w:rPr>
          <w:rFonts w:hint="cs"/>
          <w:rtl/>
        </w:rPr>
        <w:t xml:space="preserve">. </w:t>
      </w:r>
    </w:p>
    <w:p w:rsidR="000660A4" w:rsidRDefault="000660A4" w:rsidP="000660A4">
      <w:pPr>
        <w:numPr>
          <w:ilvl w:val="0"/>
          <w:numId w:val="1"/>
        </w:numPr>
        <w:tabs>
          <w:tab w:val="left" w:pos="229"/>
          <w:tab w:val="left" w:pos="368"/>
        </w:tabs>
        <w:ind w:left="0" w:firstLine="0"/>
      </w:pPr>
      <w:r>
        <w:rPr>
          <w:rFonts w:hint="cs"/>
          <w:rtl/>
        </w:rPr>
        <w:t xml:space="preserve">זאת ועוד, לדידה של ההגנה, יש לבטל את הרשעתו של המערער בעבירה של השתמטות מפעולה אף מטעמים של צדק, נוכח טענה לאכיפה בררנית. נטען, כי </w:t>
      </w:r>
      <w:r w:rsidR="00E727F0">
        <w:rPr>
          <w:rFonts w:hint="cs"/>
          <w:rtl/>
        </w:rPr>
        <w:t>במקרים דומים ואף חמורים יותר</w:t>
      </w:r>
      <w:r>
        <w:rPr>
          <w:rFonts w:hint="cs"/>
          <w:rtl/>
        </w:rPr>
        <w:t>,</w:t>
      </w:r>
      <w:r w:rsidR="00E727F0">
        <w:rPr>
          <w:rFonts w:hint="cs"/>
          <w:rtl/>
        </w:rPr>
        <w:t xml:space="preserve"> </w:t>
      </w:r>
      <w:r w:rsidR="00C32F3D">
        <w:rPr>
          <w:rFonts w:hint="cs"/>
          <w:rtl/>
        </w:rPr>
        <w:t>נמנעה התביעה הצבאית מלייחס לנאשמים עבירה של השתמטות מפעולה מסויימת</w:t>
      </w:r>
      <w:r>
        <w:rPr>
          <w:rFonts w:hint="cs"/>
          <w:rtl/>
        </w:rPr>
        <w:t>. בעניין זה, הפנתה ההגנה ל -</w:t>
      </w:r>
      <w:r w:rsidR="00C32F3D">
        <w:rPr>
          <w:rFonts w:hint="cs"/>
          <w:rtl/>
        </w:rPr>
        <w:t xml:space="preserve"> צפון (מחוזי) 407/11 </w:t>
      </w:r>
      <w:r w:rsidR="00C32F3D" w:rsidRPr="00C32F3D">
        <w:rPr>
          <w:rFonts w:hint="cs"/>
          <w:b/>
          <w:bCs/>
          <w:rtl/>
        </w:rPr>
        <w:t>התובע הצבאי נ' רב"ט י' פ'</w:t>
      </w:r>
      <w:r w:rsidR="00C32F3D">
        <w:rPr>
          <w:rFonts w:hint="cs"/>
          <w:rtl/>
        </w:rPr>
        <w:t xml:space="preserve"> (2011)</w:t>
      </w:r>
      <w:r>
        <w:rPr>
          <w:rFonts w:hint="cs"/>
          <w:rtl/>
        </w:rPr>
        <w:t xml:space="preserve">, </w:t>
      </w:r>
      <w:r w:rsidR="00C32F3D">
        <w:rPr>
          <w:rFonts w:hint="cs"/>
          <w:rtl/>
        </w:rPr>
        <w:t xml:space="preserve">צפון (מחוזי) 409/11 </w:t>
      </w:r>
      <w:r w:rsidR="00C32F3D" w:rsidRPr="00C32F3D">
        <w:rPr>
          <w:rFonts w:hint="cs"/>
          <w:b/>
          <w:bCs/>
          <w:rtl/>
        </w:rPr>
        <w:t>התובע הצבאי נ' רב"ט ס' י'</w:t>
      </w:r>
      <w:r w:rsidR="00C32F3D">
        <w:rPr>
          <w:rFonts w:hint="cs"/>
          <w:rtl/>
        </w:rPr>
        <w:t xml:space="preserve"> (2011)</w:t>
      </w:r>
      <w:r>
        <w:rPr>
          <w:rFonts w:hint="cs"/>
          <w:rtl/>
        </w:rPr>
        <w:t>;</w:t>
      </w:r>
      <w:r w:rsidR="00C32F3D">
        <w:rPr>
          <w:rFonts w:hint="cs"/>
          <w:rtl/>
        </w:rPr>
        <w:t xml:space="preserve"> </w:t>
      </w:r>
      <w:r>
        <w:rPr>
          <w:rFonts w:hint="cs"/>
          <w:rtl/>
        </w:rPr>
        <w:t xml:space="preserve">ע/98/04 </w:t>
      </w:r>
      <w:r w:rsidRPr="000660A4">
        <w:rPr>
          <w:rFonts w:hint="cs"/>
          <w:b/>
          <w:bCs/>
          <w:rtl/>
        </w:rPr>
        <w:t>רב"ט קיילקוב נ' התובע הצבאי הראשי</w:t>
      </w:r>
      <w:r>
        <w:rPr>
          <w:rFonts w:hint="cs"/>
          <w:rtl/>
        </w:rPr>
        <w:t xml:space="preserve"> </w:t>
      </w:r>
      <w:r w:rsidRPr="000660A4">
        <w:rPr>
          <w:rFonts w:hint="cs"/>
          <w:rtl/>
        </w:rPr>
        <w:t xml:space="preserve">(2005); ע/47/09 </w:t>
      </w:r>
      <w:r w:rsidRPr="000660A4">
        <w:rPr>
          <w:rFonts w:hint="cs"/>
          <w:b/>
          <w:bCs/>
          <w:rtl/>
        </w:rPr>
        <w:t xml:space="preserve">רב"ט קייסרמן נ' התובע הצבאי הראשי </w:t>
      </w:r>
      <w:r w:rsidRPr="000660A4">
        <w:rPr>
          <w:rFonts w:hint="cs"/>
          <w:rtl/>
        </w:rPr>
        <w:t>(2009)</w:t>
      </w:r>
      <w:r w:rsidR="000A2D79">
        <w:rPr>
          <w:rFonts w:hint="cs"/>
          <w:rtl/>
        </w:rPr>
        <w:t xml:space="preserve">; ע/146/88, 156 </w:t>
      </w:r>
      <w:r w:rsidR="000A2D79" w:rsidRPr="000A2D79">
        <w:rPr>
          <w:rFonts w:hint="cs"/>
          <w:b/>
          <w:bCs/>
          <w:rtl/>
        </w:rPr>
        <w:t>סמל ציפורי ורב"ט משעלי</w:t>
      </w:r>
      <w:r w:rsidR="000A2D79">
        <w:rPr>
          <w:rFonts w:hint="cs"/>
          <w:rtl/>
        </w:rPr>
        <w:t xml:space="preserve"> (1988)</w:t>
      </w:r>
      <w:r w:rsidRPr="000660A4">
        <w:rPr>
          <w:rFonts w:hint="cs"/>
          <w:rtl/>
        </w:rPr>
        <w:t xml:space="preserve">. </w:t>
      </w:r>
    </w:p>
    <w:p w:rsidR="00075898" w:rsidRPr="009E7426" w:rsidRDefault="00075898" w:rsidP="000660A4">
      <w:pPr>
        <w:numPr>
          <w:ilvl w:val="0"/>
          <w:numId w:val="1"/>
        </w:numPr>
        <w:tabs>
          <w:tab w:val="left" w:pos="229"/>
          <w:tab w:val="left" w:pos="368"/>
        </w:tabs>
        <w:ind w:left="0" w:firstLine="0"/>
        <w:rPr>
          <w:rtl/>
        </w:rPr>
      </w:pPr>
      <w:r>
        <w:rPr>
          <w:rFonts w:hint="cs"/>
          <w:rtl/>
        </w:rPr>
        <w:t>משכך</w:t>
      </w:r>
      <w:r w:rsidR="000660A4">
        <w:rPr>
          <w:rFonts w:hint="cs"/>
          <w:rtl/>
        </w:rPr>
        <w:t>,</w:t>
      </w:r>
      <w:r>
        <w:rPr>
          <w:rFonts w:hint="cs"/>
          <w:rtl/>
        </w:rPr>
        <w:t xml:space="preserve"> עתרה ההגנה לזכות את המערער מפרט האישום השני, שעניינו, כאמור, השתמטות מפעולה מסוימת.</w:t>
      </w:r>
    </w:p>
    <w:p w:rsidR="009E7426" w:rsidRPr="008C1D50" w:rsidRDefault="009E7426" w:rsidP="00D30A4D">
      <w:pPr>
        <w:tabs>
          <w:tab w:val="left" w:pos="229"/>
          <w:tab w:val="left" w:pos="368"/>
        </w:tabs>
        <w:rPr>
          <w:rtl/>
        </w:rPr>
      </w:pPr>
    </w:p>
    <w:p w:rsidR="009E7426" w:rsidRDefault="009E7426" w:rsidP="009E7426">
      <w:pPr>
        <w:pStyle w:val="Heading1"/>
        <w:spacing w:before="0"/>
        <w:ind w:left="-58"/>
        <w:rPr>
          <w:u w:val="none"/>
          <w:rtl/>
        </w:rPr>
      </w:pPr>
      <w:r>
        <w:rPr>
          <w:rFonts w:hint="cs"/>
          <w:u w:val="none"/>
          <w:rtl/>
        </w:rPr>
        <w:lastRenderedPageBreak/>
        <w:t>תשובת התביעה</w:t>
      </w:r>
    </w:p>
    <w:p w:rsidR="00F04EE7" w:rsidRDefault="00E727F0" w:rsidP="00F04EE7">
      <w:pPr>
        <w:numPr>
          <w:ilvl w:val="0"/>
          <w:numId w:val="1"/>
        </w:numPr>
        <w:tabs>
          <w:tab w:val="left" w:pos="229"/>
          <w:tab w:val="left" w:pos="368"/>
        </w:tabs>
        <w:ind w:left="0" w:firstLine="0"/>
      </w:pPr>
      <w:r>
        <w:rPr>
          <w:rFonts w:hint="cs"/>
          <w:rtl/>
        </w:rPr>
        <w:t xml:space="preserve">התביעה עתרה לדחות את ערעור ההגנה. </w:t>
      </w:r>
      <w:r w:rsidR="00C32F3D">
        <w:rPr>
          <w:rFonts w:hint="cs"/>
          <w:rtl/>
        </w:rPr>
        <w:t>ראשית נטען, כי למערער ניתנה האפשרות להתגונן מפני הרשעתו בעבירה זו</w:t>
      </w:r>
      <w:r w:rsidR="00F04EE7">
        <w:rPr>
          <w:rFonts w:hint="cs"/>
          <w:rtl/>
        </w:rPr>
        <w:t>, אף לפי החלופה של שימוש "באמצעי הונאה אחרים"</w:t>
      </w:r>
      <w:r w:rsidR="00C32F3D">
        <w:rPr>
          <w:rFonts w:hint="cs"/>
          <w:rtl/>
        </w:rPr>
        <w:t>.</w:t>
      </w:r>
      <w:r w:rsidR="004762DF">
        <w:rPr>
          <w:rFonts w:hint="cs"/>
          <w:rtl/>
        </w:rPr>
        <w:t xml:space="preserve"> בהקשר זה הפנה התובע להתייחסות התביעה לאמצעי ההסוואה </w:t>
      </w:r>
      <w:r w:rsidR="00F04EE7">
        <w:rPr>
          <w:rFonts w:hint="cs"/>
          <w:rtl/>
        </w:rPr>
        <w:t xml:space="preserve">שנקט המערער </w:t>
      </w:r>
      <w:r w:rsidR="004762DF">
        <w:rPr>
          <w:rFonts w:hint="cs"/>
          <w:rtl/>
        </w:rPr>
        <w:t>במסגרת סיכומיה</w:t>
      </w:r>
      <w:r w:rsidR="00F04EE7">
        <w:rPr>
          <w:rFonts w:hint="cs"/>
          <w:rtl/>
        </w:rPr>
        <w:t xml:space="preserve"> ואף לפרוטוקול עדותו של המערער בבית הדין</w:t>
      </w:r>
      <w:r w:rsidR="004762DF">
        <w:rPr>
          <w:rFonts w:hint="cs"/>
          <w:rtl/>
        </w:rPr>
        <w:t xml:space="preserve">. צוין </w:t>
      </w:r>
      <w:r w:rsidR="00F04EE7">
        <w:rPr>
          <w:rFonts w:hint="cs"/>
          <w:rtl/>
        </w:rPr>
        <w:t>כי עוד בחקירה ראשית, הציג לו סנגורו את ה</w:t>
      </w:r>
      <w:r w:rsidR="004762DF">
        <w:rPr>
          <w:rFonts w:hint="cs"/>
          <w:rtl/>
        </w:rPr>
        <w:t>תכתובות ממכשיר הטלפון הנייד של המערער, ה</w:t>
      </w:r>
      <w:r w:rsidR="00F04EE7">
        <w:rPr>
          <w:rFonts w:hint="cs"/>
          <w:rtl/>
        </w:rPr>
        <w:t>עוסקות בסוגיה זו והוא התבקש ל</w:t>
      </w:r>
      <w:r w:rsidR="004762DF">
        <w:rPr>
          <w:rFonts w:hint="cs"/>
          <w:rtl/>
        </w:rPr>
        <w:t>התייחס אליהן</w:t>
      </w:r>
      <w:r w:rsidR="00F04EE7">
        <w:rPr>
          <w:rFonts w:hint="cs"/>
          <w:rtl/>
        </w:rPr>
        <w:t>, ואף עשה כן</w:t>
      </w:r>
      <w:r w:rsidR="004762DF">
        <w:rPr>
          <w:rFonts w:hint="cs"/>
          <w:rtl/>
        </w:rPr>
        <w:t xml:space="preserve">. משכך נטען, כי ניתנה למערער הזדמנות </w:t>
      </w:r>
      <w:r w:rsidR="00F04EE7">
        <w:rPr>
          <w:rFonts w:hint="cs"/>
          <w:rtl/>
        </w:rPr>
        <w:t xml:space="preserve">ראויה </w:t>
      </w:r>
      <w:r w:rsidR="004762DF">
        <w:rPr>
          <w:rFonts w:hint="cs"/>
          <w:rtl/>
        </w:rPr>
        <w:t>להתגונן מפני קביע</w:t>
      </w:r>
      <w:r w:rsidR="00F04EE7">
        <w:rPr>
          <w:rFonts w:hint="cs"/>
          <w:rtl/>
        </w:rPr>
        <w:t>ו</w:t>
      </w:r>
      <w:r w:rsidR="004762DF">
        <w:rPr>
          <w:rFonts w:hint="cs"/>
          <w:rtl/>
        </w:rPr>
        <w:t>ת בית הדין קמא</w:t>
      </w:r>
      <w:r w:rsidR="00F04EE7">
        <w:rPr>
          <w:rFonts w:hint="cs"/>
          <w:rtl/>
        </w:rPr>
        <w:t xml:space="preserve"> בהקשר זה</w:t>
      </w:r>
      <w:r w:rsidR="004762DF">
        <w:rPr>
          <w:rFonts w:hint="cs"/>
          <w:rtl/>
        </w:rPr>
        <w:t xml:space="preserve">. </w:t>
      </w:r>
    </w:p>
    <w:p w:rsidR="00F04EE7" w:rsidRDefault="00F04EE7" w:rsidP="00060D3F">
      <w:pPr>
        <w:numPr>
          <w:ilvl w:val="0"/>
          <w:numId w:val="1"/>
        </w:numPr>
        <w:tabs>
          <w:tab w:val="left" w:pos="229"/>
          <w:tab w:val="left" w:pos="368"/>
        </w:tabs>
        <w:ind w:left="0" w:firstLine="0"/>
      </w:pPr>
      <w:r>
        <w:rPr>
          <w:rFonts w:hint="cs"/>
          <w:rtl/>
        </w:rPr>
        <w:t>אשר לטענתה המשפטית של ההגנה על אופן פרשנותו של הסעיף, נטען, כי</w:t>
      </w:r>
      <w:r w:rsidR="004762DF">
        <w:rPr>
          <w:rFonts w:hint="cs"/>
          <w:rtl/>
        </w:rPr>
        <w:t xml:space="preserve"> ההגנה </w:t>
      </w:r>
      <w:r>
        <w:rPr>
          <w:rFonts w:hint="cs"/>
          <w:rtl/>
        </w:rPr>
        <w:t>כלל לא העלתה את ה</w:t>
      </w:r>
      <w:r w:rsidR="004762DF">
        <w:rPr>
          <w:rFonts w:hint="cs"/>
          <w:rtl/>
        </w:rPr>
        <w:t>טענה ב</w:t>
      </w:r>
      <w:r>
        <w:rPr>
          <w:rFonts w:hint="cs"/>
          <w:rtl/>
        </w:rPr>
        <w:t xml:space="preserve">בית הדין קמא ומכל מקום, לטעמה של התביעה, </w:t>
      </w:r>
      <w:r w:rsidR="00EE79AD">
        <w:rPr>
          <w:rFonts w:hint="cs"/>
          <w:rtl/>
        </w:rPr>
        <w:t>ההפרדה ש</w:t>
      </w:r>
      <w:r>
        <w:rPr>
          <w:rFonts w:hint="cs"/>
          <w:rtl/>
        </w:rPr>
        <w:t xml:space="preserve">מבקשת </w:t>
      </w:r>
      <w:r w:rsidR="00EE79AD">
        <w:rPr>
          <w:rFonts w:hint="cs"/>
          <w:rtl/>
        </w:rPr>
        <w:t>ההגנה</w:t>
      </w:r>
      <w:r w:rsidR="00C32F3D">
        <w:rPr>
          <w:rFonts w:hint="cs"/>
          <w:rtl/>
        </w:rPr>
        <w:t xml:space="preserve"> </w:t>
      </w:r>
      <w:r>
        <w:rPr>
          <w:rFonts w:hint="cs"/>
          <w:rtl/>
        </w:rPr>
        <w:t>לערו</w:t>
      </w:r>
      <w:r w:rsidR="00060D3F">
        <w:rPr>
          <w:rFonts w:hint="cs"/>
          <w:rtl/>
        </w:rPr>
        <w:t>ך</w:t>
      </w:r>
      <w:r>
        <w:rPr>
          <w:rFonts w:hint="cs"/>
          <w:rtl/>
        </w:rPr>
        <w:t xml:space="preserve"> </w:t>
      </w:r>
      <w:r w:rsidR="00C32F3D">
        <w:rPr>
          <w:rFonts w:hint="cs"/>
          <w:rtl/>
        </w:rPr>
        <w:t xml:space="preserve">בין מעשי החבלה ברכב </w:t>
      </w:r>
      <w:r w:rsidR="004762DF">
        <w:rPr>
          <w:rFonts w:hint="cs"/>
          <w:rtl/>
        </w:rPr>
        <w:t>ל</w:t>
      </w:r>
      <w:r w:rsidR="00C32F3D">
        <w:rPr>
          <w:rFonts w:hint="cs"/>
          <w:rtl/>
        </w:rPr>
        <w:t xml:space="preserve">בין מעשי ההסוואה </w:t>
      </w:r>
      <w:r>
        <w:rPr>
          <w:rFonts w:hint="cs"/>
          <w:rtl/>
        </w:rPr>
        <w:t xml:space="preserve">שנקט המערער אגב כך, אינה, אלא, </w:t>
      </w:r>
      <w:r w:rsidR="00C32F3D">
        <w:rPr>
          <w:rFonts w:hint="cs"/>
          <w:rtl/>
        </w:rPr>
        <w:t>הפרדה מלאכותית</w:t>
      </w:r>
      <w:r>
        <w:rPr>
          <w:rFonts w:hint="cs"/>
          <w:rtl/>
        </w:rPr>
        <w:t xml:space="preserve">. נטען, כי לפנינו </w:t>
      </w:r>
      <w:r w:rsidR="00C32F3D">
        <w:rPr>
          <w:rFonts w:hint="cs"/>
          <w:rtl/>
        </w:rPr>
        <w:t xml:space="preserve">פעולות </w:t>
      </w:r>
      <w:r>
        <w:rPr>
          <w:rFonts w:hint="cs"/>
          <w:rtl/>
        </w:rPr>
        <w:t xml:space="preserve">שהן מקשה אחת וכי </w:t>
      </w:r>
      <w:r w:rsidR="00FC1FC0">
        <w:rPr>
          <w:rFonts w:hint="cs"/>
          <w:rtl/>
        </w:rPr>
        <w:t xml:space="preserve">אמצעי </w:t>
      </w:r>
      <w:r w:rsidR="004762DF">
        <w:rPr>
          <w:rFonts w:hint="cs"/>
          <w:rtl/>
        </w:rPr>
        <w:t>ההסוואה תרמו</w:t>
      </w:r>
      <w:r w:rsidR="00FC1FC0">
        <w:rPr>
          <w:rFonts w:hint="cs"/>
          <w:rtl/>
        </w:rPr>
        <w:t xml:space="preserve"> להמשך ביצוע </w:t>
      </w:r>
      <w:r w:rsidR="004762DF">
        <w:rPr>
          <w:rFonts w:hint="cs"/>
          <w:rtl/>
        </w:rPr>
        <w:t>העבירה ו</w:t>
      </w:r>
      <w:r>
        <w:rPr>
          <w:rFonts w:hint="cs"/>
          <w:rtl/>
        </w:rPr>
        <w:t xml:space="preserve">אפשרו למערער לחזור על המעשים, לאורך זמן. </w:t>
      </w:r>
    </w:p>
    <w:p w:rsidR="00C32F3D" w:rsidRDefault="004762DF" w:rsidP="00060D3F">
      <w:pPr>
        <w:numPr>
          <w:ilvl w:val="0"/>
          <w:numId w:val="1"/>
        </w:numPr>
        <w:tabs>
          <w:tab w:val="left" w:pos="229"/>
          <w:tab w:val="left" w:pos="368"/>
        </w:tabs>
        <w:ind w:left="0" w:firstLine="0"/>
      </w:pPr>
      <w:r>
        <w:rPr>
          <w:rFonts w:hint="cs"/>
          <w:rtl/>
        </w:rPr>
        <w:t>אשר ל</w:t>
      </w:r>
      <w:r w:rsidR="00F04EE7">
        <w:rPr>
          <w:rFonts w:hint="cs"/>
          <w:rtl/>
        </w:rPr>
        <w:t xml:space="preserve">פסקי הדין </w:t>
      </w:r>
      <w:r>
        <w:rPr>
          <w:rFonts w:hint="cs"/>
          <w:rtl/>
        </w:rPr>
        <w:t xml:space="preserve">שאליהם הפנתה ההגנה, </w:t>
      </w:r>
      <w:r w:rsidR="00F04EE7">
        <w:rPr>
          <w:rFonts w:hint="cs"/>
          <w:rtl/>
        </w:rPr>
        <w:t xml:space="preserve">במסגרת הטענה לאכיפה בררנית, </w:t>
      </w:r>
      <w:r>
        <w:rPr>
          <w:rFonts w:hint="cs"/>
          <w:rtl/>
        </w:rPr>
        <w:t>צוין כי בשניים מהם העובדות היו שונות ו</w:t>
      </w:r>
      <w:r w:rsidR="00F04EE7">
        <w:rPr>
          <w:rFonts w:hint="cs"/>
          <w:rtl/>
        </w:rPr>
        <w:t xml:space="preserve">כלל </w:t>
      </w:r>
      <w:r>
        <w:rPr>
          <w:rFonts w:hint="cs"/>
          <w:rtl/>
        </w:rPr>
        <w:t xml:space="preserve">לא התאימו </w:t>
      </w:r>
      <w:r w:rsidR="00EE79AD">
        <w:rPr>
          <w:rFonts w:hint="cs"/>
          <w:rtl/>
        </w:rPr>
        <w:t>ל</w:t>
      </w:r>
      <w:r w:rsidR="00F04EE7">
        <w:rPr>
          <w:rFonts w:hint="cs"/>
          <w:rtl/>
        </w:rPr>
        <w:t xml:space="preserve">הגדרתה של </w:t>
      </w:r>
      <w:r>
        <w:rPr>
          <w:rFonts w:hint="cs"/>
          <w:rtl/>
        </w:rPr>
        <w:t>עבירה של השתמטות מפעולה מסוימת</w:t>
      </w:r>
      <w:r w:rsidR="00F04EE7">
        <w:rPr>
          <w:rFonts w:hint="cs"/>
          <w:rtl/>
        </w:rPr>
        <w:t xml:space="preserve"> ושני המקרים שנדונו בבתי הדין המחוזיים </w:t>
      </w:r>
      <w:r>
        <w:rPr>
          <w:rFonts w:hint="cs"/>
          <w:rtl/>
        </w:rPr>
        <w:t>הסתיימו בהסדרי טיעון</w:t>
      </w:r>
      <w:r w:rsidR="00F04EE7">
        <w:rPr>
          <w:rFonts w:hint="cs"/>
          <w:rtl/>
        </w:rPr>
        <w:t>, שהטעמים ל</w:t>
      </w:r>
      <w:r w:rsidR="00060D3F">
        <w:rPr>
          <w:rFonts w:hint="cs"/>
          <w:rtl/>
        </w:rPr>
        <w:t>הם</w:t>
      </w:r>
      <w:r w:rsidR="00F04EE7">
        <w:rPr>
          <w:rFonts w:hint="cs"/>
          <w:rtl/>
        </w:rPr>
        <w:t xml:space="preserve"> לא בוארו בפסקי הדין</w:t>
      </w:r>
      <w:r w:rsidR="00EE79AD">
        <w:rPr>
          <w:rFonts w:hint="cs"/>
          <w:rtl/>
        </w:rPr>
        <w:t>.</w:t>
      </w:r>
    </w:p>
    <w:p w:rsidR="00EE79AD" w:rsidRPr="00060D3F" w:rsidRDefault="00EE79AD" w:rsidP="00EE79AD">
      <w:pPr>
        <w:tabs>
          <w:tab w:val="left" w:pos="229"/>
          <w:tab w:val="left" w:pos="368"/>
        </w:tabs>
        <w:rPr>
          <w:rtl/>
        </w:rPr>
      </w:pPr>
    </w:p>
    <w:p w:rsidR="009E7426" w:rsidRDefault="009E7426" w:rsidP="009E7426">
      <w:pPr>
        <w:pStyle w:val="Heading1"/>
        <w:spacing w:before="0"/>
        <w:ind w:left="-58"/>
        <w:rPr>
          <w:u w:val="none"/>
          <w:rtl/>
        </w:rPr>
      </w:pPr>
      <w:r>
        <w:rPr>
          <w:rFonts w:hint="cs"/>
          <w:u w:val="none"/>
          <w:rtl/>
        </w:rPr>
        <w:t>דיון והכרעה</w:t>
      </w:r>
    </w:p>
    <w:p w:rsidR="001119C8" w:rsidRPr="002640CF" w:rsidRDefault="001119C8" w:rsidP="001119C8">
      <w:pPr>
        <w:rPr>
          <w:u w:val="single"/>
          <w:rtl/>
        </w:rPr>
      </w:pPr>
      <w:r w:rsidRPr="002640CF">
        <w:rPr>
          <w:rFonts w:hint="cs"/>
          <w:u w:val="single"/>
          <w:rtl/>
        </w:rPr>
        <w:t>המסגרת הנורמטיבית</w:t>
      </w:r>
    </w:p>
    <w:p w:rsidR="001119C8" w:rsidRDefault="001119C8" w:rsidP="00675F9A">
      <w:pPr>
        <w:numPr>
          <w:ilvl w:val="0"/>
          <w:numId w:val="1"/>
        </w:numPr>
        <w:tabs>
          <w:tab w:val="left" w:pos="229"/>
          <w:tab w:val="left" w:pos="368"/>
        </w:tabs>
        <w:ind w:left="0" w:firstLine="0"/>
      </w:pPr>
      <w:r>
        <w:rPr>
          <w:rFonts w:hint="cs"/>
          <w:rtl/>
        </w:rPr>
        <w:t>סעיף 102 ל</w:t>
      </w:r>
      <w:r>
        <w:rPr>
          <w:rtl/>
        </w:rPr>
        <w:t xml:space="preserve">חוק השיפוט הצבאי, </w:t>
      </w:r>
      <w:r>
        <w:rPr>
          <w:rFonts w:hint="cs"/>
          <w:rtl/>
        </w:rPr>
        <w:t>שכותרתו "</w:t>
      </w:r>
      <w:r>
        <w:rPr>
          <w:rtl/>
        </w:rPr>
        <w:t>השתמטות מפעולה מסויימת</w:t>
      </w:r>
      <w:r>
        <w:rPr>
          <w:rFonts w:hint="cs"/>
          <w:rtl/>
        </w:rPr>
        <w:t xml:space="preserve">", קובע לאמור: </w:t>
      </w:r>
    </w:p>
    <w:p w:rsidR="009E7426" w:rsidRDefault="001119C8" w:rsidP="00D53E6C">
      <w:pPr>
        <w:tabs>
          <w:tab w:val="left" w:pos="229"/>
        </w:tabs>
        <w:spacing w:line="240" w:lineRule="auto"/>
        <w:ind w:left="1076" w:right="1985"/>
        <w:rPr>
          <w:rtl/>
        </w:rPr>
      </w:pPr>
      <w:r>
        <w:rPr>
          <w:rFonts w:hint="cs"/>
          <w:rtl/>
        </w:rPr>
        <w:t>"</w:t>
      </w:r>
      <w:r>
        <w:rPr>
          <w:rtl/>
        </w:rPr>
        <w:t>חייל שעשה אחד המעשים המפורטים בסעיף 94 או בסעיף 100, או השתמש בטענות ש</w:t>
      </w:r>
      <w:r w:rsidR="00DA0919">
        <w:rPr>
          <w:rFonts w:hint="cs"/>
          <w:rtl/>
        </w:rPr>
        <w:t>ו</w:t>
      </w:r>
      <w:r>
        <w:rPr>
          <w:rtl/>
        </w:rPr>
        <w:t xml:space="preserve">וא </w:t>
      </w:r>
      <w:r w:rsidRPr="008872DF">
        <w:rPr>
          <w:b/>
          <w:bCs/>
          <w:rtl/>
        </w:rPr>
        <w:t>או באמצעי הונאה אחרים</w:t>
      </w:r>
      <w:r>
        <w:rPr>
          <w:rtl/>
        </w:rPr>
        <w:t xml:space="preserve"> כדי להשתמט מפעולה, או מהמראה או מהפלגה, או כדי להשתמט משירות מילואים או מחלק ממנו,</w:t>
      </w:r>
      <w:r w:rsidR="00C936E2">
        <w:rPr>
          <w:rFonts w:hint="cs"/>
          <w:rtl/>
        </w:rPr>
        <w:t xml:space="preserve"> </w:t>
      </w:r>
      <w:r>
        <w:rPr>
          <w:rtl/>
        </w:rPr>
        <w:t xml:space="preserve">דינו </w:t>
      </w:r>
      <w:r w:rsidR="00D53E6C">
        <w:rPr>
          <w:rFonts w:hint="cs"/>
          <w:rtl/>
        </w:rPr>
        <w:t>–</w:t>
      </w:r>
      <w:r>
        <w:rPr>
          <w:rtl/>
        </w:rPr>
        <w:t xml:space="preserve"> מאסר ארבע שנים; עשה מעשה כאמור על מנת להשתמט מתפקיד קרבי, דינו </w:t>
      </w:r>
      <w:r w:rsidR="00D53E6C">
        <w:rPr>
          <w:rFonts w:hint="cs"/>
          <w:rtl/>
        </w:rPr>
        <w:t xml:space="preserve">– </w:t>
      </w:r>
      <w:r w:rsidR="00D53E6C">
        <w:rPr>
          <w:rtl/>
        </w:rPr>
        <w:t>מאסר חמש-עשרה שנה</w:t>
      </w:r>
      <w:r>
        <w:rPr>
          <w:rFonts w:hint="cs"/>
          <w:rtl/>
        </w:rPr>
        <w:t>"</w:t>
      </w:r>
      <w:r w:rsidR="008872DF">
        <w:rPr>
          <w:rFonts w:hint="cs"/>
          <w:rtl/>
        </w:rPr>
        <w:t xml:space="preserve"> [הדגשות הוספו]</w:t>
      </w:r>
      <w:r w:rsidR="00D53E6C">
        <w:rPr>
          <w:rFonts w:hint="cs"/>
          <w:rtl/>
        </w:rPr>
        <w:t>.</w:t>
      </w:r>
    </w:p>
    <w:p w:rsidR="009E7426" w:rsidRDefault="009E7426" w:rsidP="009E7426">
      <w:pPr>
        <w:rPr>
          <w:rtl/>
        </w:rPr>
      </w:pPr>
    </w:p>
    <w:p w:rsidR="008872DF" w:rsidRDefault="008872DF" w:rsidP="00060D3F">
      <w:pPr>
        <w:numPr>
          <w:ilvl w:val="0"/>
          <w:numId w:val="1"/>
        </w:numPr>
        <w:tabs>
          <w:tab w:val="left" w:pos="229"/>
          <w:tab w:val="left" w:pos="368"/>
        </w:tabs>
        <w:ind w:left="0" w:firstLine="0"/>
      </w:pPr>
      <w:r>
        <w:rPr>
          <w:rFonts w:hint="cs"/>
          <w:rtl/>
        </w:rPr>
        <w:lastRenderedPageBreak/>
        <w:t>נשאלת השאלה, כיצד יש לפרש את ה</w:t>
      </w:r>
      <w:r w:rsidR="00060D3F">
        <w:rPr>
          <w:rFonts w:hint="cs"/>
          <w:rtl/>
        </w:rPr>
        <w:t>ביטוי</w:t>
      </w:r>
      <w:r>
        <w:rPr>
          <w:rFonts w:hint="cs"/>
          <w:rtl/>
        </w:rPr>
        <w:t xml:space="preserve"> "באמצעי הונאה אחרים", והאם יש לקבל את הפרשנות הצרה שמציעה ההגנה, ככזו שאינה כוללת מעשים שנופלים בגדר עבירה אחרת בחוק השיפוט הצבאי, שאינה מנוייה בסעיף עצמו. </w:t>
      </w:r>
    </w:p>
    <w:p w:rsidR="00204D05" w:rsidRDefault="00204D05" w:rsidP="008872DF">
      <w:pPr>
        <w:numPr>
          <w:ilvl w:val="0"/>
          <w:numId w:val="1"/>
        </w:numPr>
        <w:tabs>
          <w:tab w:val="left" w:pos="229"/>
          <w:tab w:val="left" w:pos="368"/>
        </w:tabs>
        <w:ind w:left="0" w:firstLine="0"/>
      </w:pPr>
      <w:r>
        <w:rPr>
          <w:rFonts w:hint="cs"/>
          <w:rtl/>
        </w:rPr>
        <w:t xml:space="preserve">כידוע, </w:t>
      </w:r>
      <w:r w:rsidRPr="00204D05">
        <w:rPr>
          <w:rFonts w:hint="cs"/>
          <w:rtl/>
        </w:rPr>
        <w:t>העיקרון המנחה בפרשנות בפלילים נקבע בסעיף 34כא לחוק</w:t>
      </w:r>
      <w:r w:rsidRPr="00204D05">
        <w:rPr>
          <w:rtl/>
        </w:rPr>
        <w:t xml:space="preserve"> </w:t>
      </w:r>
      <w:r w:rsidRPr="00204D05">
        <w:rPr>
          <w:rFonts w:hint="cs"/>
          <w:rtl/>
        </w:rPr>
        <w:t>העונשין</w:t>
      </w:r>
      <w:r w:rsidRPr="00204D05">
        <w:rPr>
          <w:rtl/>
        </w:rPr>
        <w:t xml:space="preserve">, </w:t>
      </w:r>
      <w:r w:rsidRPr="00204D05">
        <w:rPr>
          <w:rFonts w:hint="cs"/>
          <w:rtl/>
        </w:rPr>
        <w:t>התשל</w:t>
      </w:r>
      <w:r w:rsidRPr="00204D05">
        <w:rPr>
          <w:rtl/>
        </w:rPr>
        <w:t>"</w:t>
      </w:r>
      <w:r w:rsidRPr="00204D05">
        <w:rPr>
          <w:rFonts w:hint="cs"/>
          <w:rtl/>
        </w:rPr>
        <w:t>ז</w:t>
      </w:r>
      <w:r w:rsidRPr="00204D05">
        <w:rPr>
          <w:rtl/>
        </w:rPr>
        <w:t>-1977</w:t>
      </w:r>
      <w:r w:rsidRPr="00204D05">
        <w:rPr>
          <w:rFonts w:hint="cs"/>
          <w:rtl/>
        </w:rPr>
        <w:t>, ולפיו, כאשר "ניתן</w:t>
      </w:r>
      <w:r w:rsidRPr="00204D05">
        <w:rPr>
          <w:rtl/>
        </w:rPr>
        <w:t xml:space="preserve"> </w:t>
      </w:r>
      <w:r w:rsidRPr="00204D05">
        <w:rPr>
          <w:rFonts w:hint="cs"/>
          <w:rtl/>
        </w:rPr>
        <w:t>דין</w:t>
      </w:r>
      <w:r w:rsidRPr="00204D05">
        <w:rPr>
          <w:rtl/>
        </w:rPr>
        <w:t xml:space="preserve"> </w:t>
      </w:r>
      <w:r w:rsidRPr="00204D05">
        <w:rPr>
          <w:rFonts w:hint="cs"/>
          <w:rtl/>
        </w:rPr>
        <w:t>לפירושים</w:t>
      </w:r>
      <w:r w:rsidRPr="00204D05">
        <w:rPr>
          <w:rtl/>
        </w:rPr>
        <w:t xml:space="preserve"> </w:t>
      </w:r>
      <w:r w:rsidRPr="00204D05">
        <w:rPr>
          <w:rFonts w:hint="cs"/>
          <w:rtl/>
        </w:rPr>
        <w:t>סבירים</w:t>
      </w:r>
      <w:r w:rsidRPr="00204D05">
        <w:rPr>
          <w:rtl/>
        </w:rPr>
        <w:t xml:space="preserve"> </w:t>
      </w:r>
      <w:r w:rsidRPr="00204D05">
        <w:rPr>
          <w:rFonts w:hint="cs"/>
          <w:rtl/>
        </w:rPr>
        <w:t>אחדים</w:t>
      </w:r>
      <w:r w:rsidRPr="00204D05">
        <w:rPr>
          <w:rtl/>
        </w:rPr>
        <w:t xml:space="preserve"> </w:t>
      </w:r>
      <w:r w:rsidRPr="009563D6">
        <w:rPr>
          <w:rFonts w:hint="cs"/>
          <w:b/>
          <w:bCs/>
          <w:rtl/>
        </w:rPr>
        <w:t>לפי</w:t>
      </w:r>
      <w:r w:rsidRPr="009563D6">
        <w:rPr>
          <w:b/>
          <w:bCs/>
          <w:rtl/>
        </w:rPr>
        <w:t xml:space="preserve"> </w:t>
      </w:r>
      <w:r w:rsidRPr="009563D6">
        <w:rPr>
          <w:rFonts w:hint="cs"/>
          <w:b/>
          <w:bCs/>
          <w:rtl/>
        </w:rPr>
        <w:t>תכליתו</w:t>
      </w:r>
      <w:r w:rsidRPr="00204D05">
        <w:rPr>
          <w:rtl/>
        </w:rPr>
        <w:t xml:space="preserve">, </w:t>
      </w:r>
      <w:r w:rsidRPr="00204D05">
        <w:rPr>
          <w:rFonts w:hint="cs"/>
          <w:rtl/>
        </w:rPr>
        <w:t>יוכרע</w:t>
      </w:r>
      <w:r w:rsidRPr="00204D05">
        <w:rPr>
          <w:rtl/>
        </w:rPr>
        <w:t xml:space="preserve"> </w:t>
      </w:r>
      <w:r w:rsidRPr="00204D05">
        <w:rPr>
          <w:rFonts w:hint="cs"/>
          <w:rtl/>
        </w:rPr>
        <w:t>העניין</w:t>
      </w:r>
      <w:r w:rsidRPr="00204D05">
        <w:rPr>
          <w:rtl/>
        </w:rPr>
        <w:t xml:space="preserve"> </w:t>
      </w:r>
      <w:r w:rsidRPr="00204D05">
        <w:rPr>
          <w:rFonts w:hint="cs"/>
          <w:rtl/>
        </w:rPr>
        <w:t>לפי</w:t>
      </w:r>
      <w:r w:rsidRPr="00204D05">
        <w:rPr>
          <w:rtl/>
        </w:rPr>
        <w:t xml:space="preserve"> </w:t>
      </w:r>
      <w:r w:rsidRPr="00204D05">
        <w:rPr>
          <w:rFonts w:hint="cs"/>
          <w:rtl/>
        </w:rPr>
        <w:t>הפירוש</w:t>
      </w:r>
      <w:r w:rsidRPr="00204D05">
        <w:rPr>
          <w:rtl/>
        </w:rPr>
        <w:t xml:space="preserve"> </w:t>
      </w:r>
      <w:r w:rsidRPr="00204D05">
        <w:rPr>
          <w:rFonts w:hint="cs"/>
          <w:rtl/>
        </w:rPr>
        <w:t>המקל</w:t>
      </w:r>
      <w:r w:rsidRPr="00204D05">
        <w:rPr>
          <w:rtl/>
        </w:rPr>
        <w:t xml:space="preserve"> </w:t>
      </w:r>
      <w:r w:rsidRPr="00204D05">
        <w:rPr>
          <w:rFonts w:hint="cs"/>
          <w:rtl/>
        </w:rPr>
        <w:t>ביותר</w:t>
      </w:r>
      <w:r w:rsidRPr="00204D05">
        <w:rPr>
          <w:rtl/>
        </w:rPr>
        <w:t xml:space="preserve"> </w:t>
      </w:r>
      <w:r w:rsidRPr="00204D05">
        <w:rPr>
          <w:rFonts w:hint="cs"/>
          <w:rtl/>
        </w:rPr>
        <w:t>עם</w:t>
      </w:r>
      <w:r w:rsidRPr="00204D05">
        <w:rPr>
          <w:rtl/>
        </w:rPr>
        <w:t xml:space="preserve"> </w:t>
      </w:r>
      <w:r w:rsidRPr="00204D05">
        <w:rPr>
          <w:rFonts w:hint="cs"/>
          <w:rtl/>
        </w:rPr>
        <w:t>מי</w:t>
      </w:r>
      <w:r w:rsidRPr="00204D05">
        <w:rPr>
          <w:rtl/>
        </w:rPr>
        <w:t xml:space="preserve"> </w:t>
      </w:r>
      <w:r w:rsidRPr="00204D05">
        <w:rPr>
          <w:rFonts w:hint="cs"/>
          <w:rtl/>
        </w:rPr>
        <w:t>שאמור</w:t>
      </w:r>
      <w:r w:rsidRPr="00204D05">
        <w:rPr>
          <w:rtl/>
        </w:rPr>
        <w:t xml:space="preserve"> </w:t>
      </w:r>
      <w:r w:rsidRPr="00204D05">
        <w:rPr>
          <w:rFonts w:hint="cs"/>
          <w:rtl/>
        </w:rPr>
        <w:t>לשאת</w:t>
      </w:r>
      <w:r w:rsidRPr="00204D05">
        <w:rPr>
          <w:rtl/>
        </w:rPr>
        <w:t xml:space="preserve"> </w:t>
      </w:r>
      <w:r w:rsidRPr="00204D05">
        <w:rPr>
          <w:rFonts w:hint="cs"/>
          <w:rtl/>
        </w:rPr>
        <w:t>באחריות</w:t>
      </w:r>
      <w:r w:rsidRPr="00204D05">
        <w:rPr>
          <w:rtl/>
        </w:rPr>
        <w:t xml:space="preserve"> </w:t>
      </w:r>
      <w:r w:rsidRPr="00204D05">
        <w:rPr>
          <w:rFonts w:hint="cs"/>
          <w:rtl/>
        </w:rPr>
        <w:t>פלילית</w:t>
      </w:r>
      <w:r w:rsidRPr="00204D05">
        <w:rPr>
          <w:rtl/>
        </w:rPr>
        <w:t xml:space="preserve"> </w:t>
      </w:r>
      <w:r w:rsidRPr="00204D05">
        <w:rPr>
          <w:rFonts w:hint="cs"/>
          <w:rtl/>
        </w:rPr>
        <w:t>לפי</w:t>
      </w:r>
      <w:r w:rsidRPr="00204D05">
        <w:rPr>
          <w:rtl/>
        </w:rPr>
        <w:t xml:space="preserve"> </w:t>
      </w:r>
      <w:r w:rsidRPr="00204D05">
        <w:rPr>
          <w:rFonts w:hint="cs"/>
          <w:rtl/>
        </w:rPr>
        <w:t>אותו</w:t>
      </w:r>
      <w:r w:rsidRPr="00204D05">
        <w:rPr>
          <w:rtl/>
        </w:rPr>
        <w:t xml:space="preserve"> </w:t>
      </w:r>
      <w:r w:rsidRPr="00204D05">
        <w:rPr>
          <w:rFonts w:hint="cs"/>
          <w:rtl/>
        </w:rPr>
        <w:t>דין". מכאן עולה, כי לשון החוק היא נקודת המוצא לפרשנותו</w:t>
      </w:r>
      <w:r>
        <w:rPr>
          <w:rFonts w:hint="cs"/>
          <w:rtl/>
        </w:rPr>
        <w:t xml:space="preserve"> (ראו: </w:t>
      </w:r>
      <w:r w:rsidRPr="00204D05">
        <w:rPr>
          <w:rFonts w:hint="cs"/>
          <w:rtl/>
        </w:rPr>
        <w:t>ע</w:t>
      </w:r>
      <w:r w:rsidRPr="00204D05">
        <w:rPr>
          <w:rtl/>
        </w:rPr>
        <w:t>"</w:t>
      </w:r>
      <w:r w:rsidRPr="00204D05">
        <w:rPr>
          <w:rFonts w:hint="cs"/>
          <w:rtl/>
        </w:rPr>
        <w:t>פ</w:t>
      </w:r>
      <w:r w:rsidRPr="00204D05">
        <w:rPr>
          <w:rtl/>
        </w:rPr>
        <w:t xml:space="preserve"> 2247/10 </w:t>
      </w:r>
      <w:r w:rsidRPr="009563D6">
        <w:rPr>
          <w:rFonts w:hint="cs"/>
          <w:b/>
          <w:bCs/>
          <w:rtl/>
        </w:rPr>
        <w:t>ימיני</w:t>
      </w:r>
      <w:r w:rsidRPr="009563D6">
        <w:rPr>
          <w:b/>
          <w:bCs/>
          <w:rtl/>
        </w:rPr>
        <w:t xml:space="preserve"> </w:t>
      </w:r>
      <w:r w:rsidRPr="009563D6">
        <w:rPr>
          <w:rFonts w:hint="cs"/>
          <w:b/>
          <w:bCs/>
          <w:rtl/>
        </w:rPr>
        <w:t>ואח</w:t>
      </w:r>
      <w:r w:rsidRPr="009563D6">
        <w:rPr>
          <w:b/>
          <w:bCs/>
          <w:rtl/>
        </w:rPr>
        <w:t xml:space="preserve">' </w:t>
      </w:r>
      <w:r w:rsidRPr="009563D6">
        <w:rPr>
          <w:rFonts w:hint="cs"/>
          <w:b/>
          <w:bCs/>
          <w:rtl/>
        </w:rPr>
        <w:t>נ</w:t>
      </w:r>
      <w:r w:rsidRPr="009563D6">
        <w:rPr>
          <w:b/>
          <w:bCs/>
          <w:rtl/>
        </w:rPr>
        <w:t xml:space="preserve">' </w:t>
      </w:r>
      <w:r w:rsidRPr="009563D6">
        <w:rPr>
          <w:rFonts w:hint="cs"/>
          <w:b/>
          <w:bCs/>
          <w:rtl/>
        </w:rPr>
        <w:t>מדינת</w:t>
      </w:r>
      <w:r w:rsidRPr="009563D6">
        <w:rPr>
          <w:b/>
          <w:bCs/>
          <w:rtl/>
        </w:rPr>
        <w:t xml:space="preserve"> </w:t>
      </w:r>
      <w:r w:rsidRPr="009563D6">
        <w:rPr>
          <w:rFonts w:hint="cs"/>
          <w:b/>
          <w:bCs/>
          <w:rtl/>
        </w:rPr>
        <w:t>ישראל</w:t>
      </w:r>
      <w:r w:rsidRPr="00204D05">
        <w:rPr>
          <w:rFonts w:hint="cs"/>
          <w:rtl/>
        </w:rPr>
        <w:t xml:space="preserve"> (</w:t>
      </w:r>
      <w:r w:rsidR="00D53E6C">
        <w:rPr>
          <w:rFonts w:hint="cs"/>
          <w:rtl/>
        </w:rPr>
        <w:t xml:space="preserve">טרם פורסם, </w:t>
      </w:r>
      <w:r w:rsidRPr="00204D05">
        <w:rPr>
          <w:rFonts w:hint="cs"/>
          <w:rtl/>
        </w:rPr>
        <w:t>12.1.2011))</w:t>
      </w:r>
      <w:r>
        <w:rPr>
          <w:rFonts w:hint="cs"/>
          <w:rtl/>
        </w:rPr>
        <w:t>, ועם זאת "</w:t>
      </w:r>
      <w:r w:rsidRPr="00204D05">
        <w:rPr>
          <w:rFonts w:hint="cs"/>
          <w:rtl/>
        </w:rPr>
        <w:t>תפקידנו הוא לתת לדברי חקיקה את הפרשנות המתיישבת בצורה הטובה ביותר עם התכלית החקיקתית האובייקטיבית והעקרונות הכלליים המעצבים את החוק הרלוונטי" (</w:t>
      </w:r>
      <w:r w:rsidR="009563D6">
        <w:rPr>
          <w:rFonts w:hint="cs"/>
          <w:rtl/>
        </w:rPr>
        <w:t xml:space="preserve">פסק דינה של השופטת ברק-ארז, </w:t>
      </w:r>
      <w:r w:rsidR="009563D6" w:rsidRPr="009563D6">
        <w:rPr>
          <w:rFonts w:hint="cs"/>
          <w:rtl/>
        </w:rPr>
        <w:t xml:space="preserve">בג"ץ </w:t>
      </w:r>
      <w:r w:rsidR="009563D6" w:rsidRPr="009563D6">
        <w:rPr>
          <w:rtl/>
        </w:rPr>
        <w:t>6301/18</w:t>
      </w:r>
      <w:r w:rsidR="009563D6" w:rsidRPr="009563D6">
        <w:rPr>
          <w:rFonts w:hint="cs"/>
          <w:rtl/>
        </w:rPr>
        <w:t xml:space="preserve"> </w:t>
      </w:r>
      <w:r w:rsidR="009563D6" w:rsidRPr="009563D6">
        <w:rPr>
          <w:b/>
          <w:bCs/>
          <w:rtl/>
        </w:rPr>
        <w:t>השופטת פוזננסקי כץ נ' שרת המשפטים</w:t>
      </w:r>
      <w:r w:rsidR="009563D6">
        <w:rPr>
          <w:rFonts w:hint="cs"/>
          <w:rtl/>
        </w:rPr>
        <w:t>, עמ' 59</w:t>
      </w:r>
      <w:r w:rsidR="009563D6" w:rsidRPr="009563D6">
        <w:rPr>
          <w:rFonts w:hint="cs"/>
          <w:rtl/>
        </w:rPr>
        <w:t xml:space="preserve"> (</w:t>
      </w:r>
      <w:r w:rsidR="00D53E6C">
        <w:rPr>
          <w:rFonts w:hint="cs"/>
          <w:rtl/>
        </w:rPr>
        <w:t xml:space="preserve">טרם פורסם, </w:t>
      </w:r>
      <w:r w:rsidR="009563D6" w:rsidRPr="009563D6">
        <w:rPr>
          <w:rFonts w:hint="cs"/>
          <w:rtl/>
        </w:rPr>
        <w:t>27.12.2018);</w:t>
      </w:r>
      <w:r w:rsidRPr="00204D05">
        <w:rPr>
          <w:rFonts w:hint="cs"/>
          <w:rtl/>
        </w:rPr>
        <w:t xml:space="preserve"> וכן ראו: </w:t>
      </w:r>
      <w:r w:rsidR="009563D6" w:rsidRPr="009563D6">
        <w:rPr>
          <w:rFonts w:hint="cs"/>
          <w:i/>
          <w:rtl/>
        </w:rPr>
        <w:t xml:space="preserve">ע"ת/31/06 </w:t>
      </w:r>
      <w:r w:rsidR="009563D6" w:rsidRPr="009563D6">
        <w:rPr>
          <w:rFonts w:hint="cs"/>
          <w:b/>
          <w:bCs/>
          <w:i/>
          <w:rtl/>
        </w:rPr>
        <w:t>התובע הצבאי הראשי נ' סא"ל מזור</w:t>
      </w:r>
      <w:r w:rsidR="009563D6" w:rsidRPr="009563D6">
        <w:rPr>
          <w:rFonts w:hint="cs"/>
          <w:i/>
          <w:rtl/>
        </w:rPr>
        <w:t xml:space="preserve"> (2008); </w:t>
      </w:r>
      <w:r w:rsidRPr="00204D05">
        <w:rPr>
          <w:rFonts w:hint="cs"/>
          <w:rtl/>
        </w:rPr>
        <w:t xml:space="preserve">ברק, </w:t>
      </w:r>
      <w:r w:rsidRPr="009563D6">
        <w:rPr>
          <w:rFonts w:hint="cs"/>
          <w:b/>
          <w:bCs/>
          <w:rtl/>
        </w:rPr>
        <w:t xml:space="preserve">פרשנות במשפט, </w:t>
      </w:r>
      <w:r w:rsidRPr="00D53E6C">
        <w:rPr>
          <w:rFonts w:hint="cs"/>
          <w:rtl/>
        </w:rPr>
        <w:t xml:space="preserve">כרך שני </w:t>
      </w:r>
      <w:r w:rsidRPr="00D53E6C">
        <w:rPr>
          <w:rtl/>
        </w:rPr>
        <w:t>–</w:t>
      </w:r>
      <w:r w:rsidRPr="00D53E6C">
        <w:rPr>
          <w:rFonts w:hint="cs"/>
          <w:rtl/>
        </w:rPr>
        <w:t xml:space="preserve"> פרשנות החקיקה,</w:t>
      </w:r>
      <w:r w:rsidRPr="00204D05">
        <w:rPr>
          <w:rFonts w:hint="cs"/>
          <w:rtl/>
        </w:rPr>
        <w:t xml:space="preserve"> עמ' 143 ואילך)</w:t>
      </w:r>
      <w:r w:rsidRPr="00204D05">
        <w:rPr>
          <w:rtl/>
        </w:rPr>
        <w:t>.</w:t>
      </w:r>
    </w:p>
    <w:p w:rsidR="00204D05" w:rsidRPr="00204D05" w:rsidRDefault="009563D6" w:rsidP="009563D6">
      <w:pPr>
        <w:numPr>
          <w:ilvl w:val="0"/>
          <w:numId w:val="1"/>
        </w:numPr>
        <w:tabs>
          <w:tab w:val="left" w:pos="229"/>
          <w:tab w:val="left" w:pos="368"/>
        </w:tabs>
        <w:ind w:left="0" w:firstLine="0"/>
      </w:pPr>
      <w:r>
        <w:rPr>
          <w:rFonts w:hint="cs"/>
          <w:rtl/>
        </w:rPr>
        <w:t xml:space="preserve">על תכלית החוק יש להתחקות בדרך של </w:t>
      </w:r>
      <w:r w:rsidR="00204D05" w:rsidRPr="008872DF">
        <w:rPr>
          <w:rFonts w:hint="cs"/>
          <w:b/>
          <w:bCs/>
          <w:rtl/>
        </w:rPr>
        <w:t>בחינה משולבת</w:t>
      </w:r>
      <w:r w:rsidR="00204D05" w:rsidRPr="00204D05">
        <w:rPr>
          <w:rFonts w:hint="cs"/>
          <w:rtl/>
        </w:rPr>
        <w:t xml:space="preserve"> של "התכלית הסובייקטיבית </w:t>
      </w:r>
      <w:r w:rsidR="00204D05" w:rsidRPr="00204D05">
        <w:rPr>
          <w:rtl/>
        </w:rPr>
        <w:t>–</w:t>
      </w:r>
      <w:r w:rsidR="00204D05" w:rsidRPr="00204D05">
        <w:rPr>
          <w:rFonts w:hint="cs"/>
          <w:rtl/>
        </w:rPr>
        <w:t xml:space="preserve"> היא כוונת המחוקק", ו"התכלית האובייקטיבית", </w:t>
      </w:r>
      <w:r w:rsidR="008872DF">
        <w:rPr>
          <w:rFonts w:hint="cs"/>
          <w:rtl/>
        </w:rPr>
        <w:t>ש</w:t>
      </w:r>
      <w:r w:rsidR="00204D05" w:rsidRPr="00204D05">
        <w:rPr>
          <w:rFonts w:hint="cs"/>
          <w:rtl/>
        </w:rPr>
        <w:t>היא "כוונת השיטה המשפטית"</w:t>
      </w:r>
      <w:r w:rsidR="00D53E6C">
        <w:rPr>
          <w:rFonts w:hint="cs"/>
          <w:rtl/>
        </w:rPr>
        <w:t>:</w:t>
      </w:r>
      <w:r>
        <w:rPr>
          <w:rFonts w:hint="cs"/>
          <w:rtl/>
        </w:rPr>
        <w:t xml:space="preserve"> </w:t>
      </w:r>
    </w:p>
    <w:p w:rsidR="00204D05" w:rsidRDefault="00204D05" w:rsidP="009563D6">
      <w:pPr>
        <w:tabs>
          <w:tab w:val="left" w:pos="229"/>
        </w:tabs>
        <w:spacing w:line="240" w:lineRule="auto"/>
        <w:ind w:left="1076" w:right="1985"/>
        <w:rPr>
          <w:rtl/>
        </w:rPr>
      </w:pPr>
      <w:r w:rsidRPr="00204D05">
        <w:rPr>
          <w:rFonts w:hint="cs"/>
          <w:rtl/>
        </w:rPr>
        <w:t xml:space="preserve">"בעוד שעניינה של הראשונה בניסיון להתחקות אחר כוונתו הממשית של המחוקק בעת שחוקק את ההסדר הנבחן, עניינה של השנייה במטרות, בערכים ובעקרונות שדבר החקיקה שואף להגשים כחלק ממארג החקיקה במדינה דמוקרטית... תכליות אלו מקיימות ביניהן יחסי גומלין ומכוונות את הפרשן אל זיהוי תכליתו הכללית של דבר החקיקה... עוד נזכיר כי המקורות לאיתורן של התכליות הם מגוונים, וכוללים, בין היתר, את לשון החוק ואת היסטוריה החקיקתית, השוואה בין החוק לבין הסדרים קרובים על פי טיבם ומהותם, את הרקע הכללי ואת עקרונות היסוד של השיטה המשפטית." (עניין </w:t>
      </w:r>
      <w:r w:rsidRPr="00204D05">
        <w:rPr>
          <w:rFonts w:hint="cs"/>
          <w:b/>
          <w:bCs/>
          <w:rtl/>
        </w:rPr>
        <w:t>פוזננסקי כץ</w:t>
      </w:r>
      <w:r w:rsidRPr="00204D05">
        <w:rPr>
          <w:rFonts w:hint="cs"/>
          <w:rtl/>
        </w:rPr>
        <w:t xml:space="preserve"> לעיל, פסקה 36; וראו גם: ע"א 8622/07 </w:t>
      </w:r>
      <w:r w:rsidRPr="00204D05">
        <w:rPr>
          <w:rFonts w:hint="eastAsia"/>
          <w:bCs/>
          <w:rtl/>
        </w:rPr>
        <w:t>רוטמן</w:t>
      </w:r>
      <w:r w:rsidRPr="00204D05">
        <w:rPr>
          <w:bCs/>
          <w:rtl/>
        </w:rPr>
        <w:t xml:space="preserve"> </w:t>
      </w:r>
      <w:r w:rsidRPr="00204D05">
        <w:rPr>
          <w:rFonts w:hint="eastAsia"/>
          <w:bCs/>
          <w:rtl/>
        </w:rPr>
        <w:t>נ</w:t>
      </w:r>
      <w:r w:rsidRPr="00204D05">
        <w:rPr>
          <w:bCs/>
          <w:rtl/>
        </w:rPr>
        <w:t xml:space="preserve">' </w:t>
      </w:r>
      <w:r w:rsidRPr="00204D05">
        <w:rPr>
          <w:rFonts w:hint="eastAsia"/>
          <w:bCs/>
          <w:rtl/>
        </w:rPr>
        <w:t>מע</w:t>
      </w:r>
      <w:r w:rsidRPr="00204D05">
        <w:rPr>
          <w:bCs/>
          <w:rtl/>
        </w:rPr>
        <w:t>"</w:t>
      </w:r>
      <w:r w:rsidRPr="00204D05">
        <w:rPr>
          <w:rFonts w:hint="eastAsia"/>
          <w:bCs/>
          <w:rtl/>
        </w:rPr>
        <w:t>צ</w:t>
      </w:r>
      <w:r w:rsidRPr="00204D05">
        <w:rPr>
          <w:bCs/>
          <w:rtl/>
        </w:rPr>
        <w:t xml:space="preserve"> </w:t>
      </w:r>
      <w:r w:rsidRPr="00204D05">
        <w:rPr>
          <w:rFonts w:hint="eastAsia"/>
          <w:bCs/>
          <w:rtl/>
        </w:rPr>
        <w:t>החברה</w:t>
      </w:r>
      <w:r w:rsidRPr="00204D05">
        <w:rPr>
          <w:bCs/>
          <w:rtl/>
        </w:rPr>
        <w:t xml:space="preserve"> </w:t>
      </w:r>
      <w:r w:rsidRPr="00204D05">
        <w:rPr>
          <w:rFonts w:hint="eastAsia"/>
          <w:bCs/>
          <w:rtl/>
        </w:rPr>
        <w:t>הלאומית</w:t>
      </w:r>
      <w:r w:rsidRPr="00204D05">
        <w:rPr>
          <w:bCs/>
          <w:rtl/>
        </w:rPr>
        <w:t xml:space="preserve"> </w:t>
      </w:r>
      <w:r w:rsidRPr="00204D05">
        <w:rPr>
          <w:rFonts w:hint="eastAsia"/>
          <w:bCs/>
          <w:rtl/>
        </w:rPr>
        <w:t>לדרכים</w:t>
      </w:r>
      <w:r w:rsidRPr="00204D05">
        <w:rPr>
          <w:bCs/>
          <w:rtl/>
        </w:rPr>
        <w:t xml:space="preserve"> </w:t>
      </w:r>
      <w:r w:rsidRPr="00204D05">
        <w:rPr>
          <w:rFonts w:hint="eastAsia"/>
          <w:bCs/>
          <w:rtl/>
        </w:rPr>
        <w:t>לישראל</w:t>
      </w:r>
      <w:r w:rsidRPr="00204D05">
        <w:rPr>
          <w:bCs/>
          <w:rtl/>
        </w:rPr>
        <w:t xml:space="preserve"> </w:t>
      </w:r>
      <w:r w:rsidRPr="00204D05">
        <w:rPr>
          <w:rFonts w:hint="eastAsia"/>
          <w:bCs/>
          <w:rtl/>
        </w:rPr>
        <w:t>בע</w:t>
      </w:r>
      <w:r w:rsidRPr="00204D05">
        <w:rPr>
          <w:bCs/>
          <w:rtl/>
        </w:rPr>
        <w:t>"</w:t>
      </w:r>
      <w:r w:rsidRPr="00204D05">
        <w:rPr>
          <w:rFonts w:hint="eastAsia"/>
          <w:bCs/>
          <w:rtl/>
        </w:rPr>
        <w:t>מ</w:t>
      </w:r>
      <w:r w:rsidR="00D53E6C">
        <w:rPr>
          <w:rFonts w:hint="cs"/>
          <w:bCs/>
          <w:rtl/>
        </w:rPr>
        <w:t>,</w:t>
      </w:r>
      <w:r w:rsidRPr="00204D05">
        <w:rPr>
          <w:rtl/>
        </w:rPr>
        <w:t xml:space="preserve"> </w:t>
      </w:r>
      <w:r w:rsidRPr="00204D05">
        <w:rPr>
          <w:rFonts w:hint="eastAsia"/>
          <w:rtl/>
        </w:rPr>
        <w:t>פסקה</w:t>
      </w:r>
      <w:r w:rsidRPr="00204D05">
        <w:rPr>
          <w:rtl/>
        </w:rPr>
        <w:t xml:space="preserve"> 34 (</w:t>
      </w:r>
      <w:r w:rsidR="00D53E6C">
        <w:rPr>
          <w:rFonts w:hint="cs"/>
          <w:rtl/>
        </w:rPr>
        <w:t xml:space="preserve">טרם פורסם, </w:t>
      </w:r>
      <w:r w:rsidRPr="00204D05">
        <w:rPr>
          <w:rtl/>
        </w:rPr>
        <w:t>14.5.2012)</w:t>
      </w:r>
      <w:r w:rsidRPr="00204D05">
        <w:rPr>
          <w:rFonts w:hint="cs"/>
          <w:rtl/>
        </w:rPr>
        <w:t>)</w:t>
      </w:r>
      <w:r w:rsidR="00D53E6C">
        <w:rPr>
          <w:rFonts w:hint="cs"/>
          <w:rtl/>
        </w:rPr>
        <w:t>.</w:t>
      </w:r>
      <w:r w:rsidRPr="00204D05">
        <w:rPr>
          <w:rFonts w:hint="cs"/>
          <w:rtl/>
        </w:rPr>
        <w:t xml:space="preserve"> </w:t>
      </w:r>
    </w:p>
    <w:p w:rsidR="001C0A1A" w:rsidRPr="00204D05" w:rsidRDefault="001C0A1A" w:rsidP="009563D6">
      <w:pPr>
        <w:tabs>
          <w:tab w:val="left" w:pos="229"/>
        </w:tabs>
        <w:spacing w:line="240" w:lineRule="auto"/>
        <w:ind w:left="1076" w:right="1985"/>
        <w:rPr>
          <w:rtl/>
        </w:rPr>
      </w:pPr>
    </w:p>
    <w:p w:rsidR="00204D05" w:rsidRDefault="00204D05" w:rsidP="00675F9A">
      <w:pPr>
        <w:numPr>
          <w:ilvl w:val="0"/>
          <w:numId w:val="1"/>
        </w:numPr>
        <w:tabs>
          <w:tab w:val="left" w:pos="229"/>
          <w:tab w:val="left" w:pos="368"/>
        </w:tabs>
        <w:ind w:left="0" w:firstLine="0"/>
      </w:pPr>
      <w:r w:rsidRPr="00204D05">
        <w:rPr>
          <w:rFonts w:hint="cs"/>
          <w:b/>
          <w:rtl/>
        </w:rPr>
        <w:t>עולה, אפוא, כי בעת בחינת ה"תכלית הסובייקטיבית", יש לעיין בלשון דבר החקיקה, בהוראות הסמוכות לו ו</w:t>
      </w:r>
      <w:r w:rsidR="00E40244">
        <w:rPr>
          <w:rFonts w:hint="cs"/>
          <w:b/>
          <w:rtl/>
        </w:rPr>
        <w:t xml:space="preserve">ככל שניתן, </w:t>
      </w:r>
      <w:r w:rsidRPr="00204D05">
        <w:rPr>
          <w:rFonts w:hint="cs"/>
          <w:b/>
          <w:rtl/>
        </w:rPr>
        <w:t xml:space="preserve">אף בתיעוד על אודות ההיסטוריה החקיקתית שקדמה לו. לאחר </w:t>
      </w:r>
      <w:r w:rsidRPr="001C0A1A">
        <w:rPr>
          <w:rFonts w:hint="cs"/>
          <w:rtl/>
        </w:rPr>
        <w:t>מכן</w:t>
      </w:r>
      <w:r w:rsidRPr="00204D05">
        <w:rPr>
          <w:rFonts w:hint="cs"/>
          <w:b/>
          <w:rtl/>
        </w:rPr>
        <w:t>, יש להמשיך אל בחינת "התכלית האובייקטיבית"</w:t>
      </w:r>
      <w:r w:rsidR="00D53E6C">
        <w:rPr>
          <w:rFonts w:hint="cs"/>
          <w:b/>
          <w:rtl/>
        </w:rPr>
        <w:t>,</w:t>
      </w:r>
      <w:r w:rsidRPr="00204D05">
        <w:rPr>
          <w:rFonts w:hint="cs"/>
          <w:b/>
          <w:rtl/>
        </w:rPr>
        <w:t xml:space="preserve"> ובמסגרתה יש להשיב על השאלה </w:t>
      </w:r>
      <w:r w:rsidRPr="00204D05">
        <w:rPr>
          <w:rFonts w:hint="cs"/>
          <w:rtl/>
        </w:rPr>
        <w:t xml:space="preserve">איזו היא הפרשנות המגשימה את תכליתו של </w:t>
      </w:r>
      <w:r w:rsidRPr="00204D05">
        <w:rPr>
          <w:rFonts w:hint="cs"/>
          <w:rtl/>
        </w:rPr>
        <w:lastRenderedPageBreak/>
        <w:t xml:space="preserve">ההסדר הנורמטיבי, בשים לב לעקרונות ולערכי היסוד של שיטת המשפט בישראל (ראו: עניין </w:t>
      </w:r>
      <w:r w:rsidRPr="00204D05">
        <w:rPr>
          <w:rFonts w:hint="cs"/>
          <w:b/>
          <w:bCs/>
          <w:rtl/>
        </w:rPr>
        <w:t>פוזננסקי כץ</w:t>
      </w:r>
      <w:r w:rsidRPr="00204D05">
        <w:rPr>
          <w:rFonts w:hint="cs"/>
          <w:rtl/>
        </w:rPr>
        <w:t xml:space="preserve"> לעיל, פסקה 75).</w:t>
      </w:r>
    </w:p>
    <w:p w:rsidR="00060D3F" w:rsidRDefault="00060D3F" w:rsidP="00667177">
      <w:pPr>
        <w:numPr>
          <w:ilvl w:val="0"/>
          <w:numId w:val="1"/>
        </w:numPr>
        <w:tabs>
          <w:tab w:val="left" w:pos="229"/>
          <w:tab w:val="left" w:pos="368"/>
        </w:tabs>
        <w:ind w:left="0" w:firstLine="0"/>
      </w:pPr>
      <w:r>
        <w:rPr>
          <w:rFonts w:hint="cs"/>
          <w:rtl/>
        </w:rPr>
        <w:t xml:space="preserve">כבר בפתח הדיון הפרשני, על פני הדברים, ניתן לציין כי לשון החוק אינה תומכת בפרשנות שמציעה ההגנה, נהפוך הוא. הסעיף נוקט מספר </w:t>
      </w:r>
      <w:r w:rsidRPr="00060D3F">
        <w:rPr>
          <w:rFonts w:hint="cs"/>
          <w:b/>
          <w:bCs/>
          <w:rtl/>
        </w:rPr>
        <w:t>אפשרויות חלופיות</w:t>
      </w:r>
      <w:r w:rsidRPr="00060D3F">
        <w:rPr>
          <w:rFonts w:hint="cs"/>
          <w:rtl/>
        </w:rPr>
        <w:t xml:space="preserve"> לביצוע העבירה </w:t>
      </w:r>
      <w:r>
        <w:rPr>
          <w:rFonts w:hint="cs"/>
          <w:rtl/>
        </w:rPr>
        <w:t>ואינו קושר בין הצירוף "אמצעי הונאה אחרים" לחלופות האחרות בסעיף, אלא באמצעות הכוונה המיוחדת</w:t>
      </w:r>
      <w:r w:rsidRPr="00060D3F">
        <w:rPr>
          <w:rFonts w:hint="cs"/>
          <w:rtl/>
        </w:rPr>
        <w:t>.</w:t>
      </w:r>
      <w:r w:rsidRPr="00060D3F">
        <w:rPr>
          <w:rFonts w:hint="cs"/>
          <w:b/>
          <w:bCs/>
          <w:rtl/>
        </w:rPr>
        <w:t xml:space="preserve"> </w:t>
      </w:r>
      <w:r>
        <w:rPr>
          <w:rFonts w:hint="cs"/>
          <w:rtl/>
        </w:rPr>
        <w:t xml:space="preserve">כפי שנראה להלן, מסקנה זו מתיישבת אף עם פרשנותו התכליתית של סעיף העבירה. </w:t>
      </w:r>
    </w:p>
    <w:p w:rsidR="001C0A1A" w:rsidRDefault="001C0A1A" w:rsidP="00990C7A">
      <w:pPr>
        <w:numPr>
          <w:ilvl w:val="0"/>
          <w:numId w:val="1"/>
        </w:numPr>
        <w:tabs>
          <w:tab w:val="left" w:pos="229"/>
          <w:tab w:val="left" w:pos="368"/>
        </w:tabs>
        <w:ind w:left="0" w:firstLine="0"/>
      </w:pPr>
      <w:r>
        <w:rPr>
          <w:rFonts w:hint="cs"/>
          <w:rtl/>
        </w:rPr>
        <w:t>העבירה של "השתמטות מפעולה מסויימת", כאמור בסעיף 102, היא עבירה צבאית ייחודית, ה</w:t>
      </w:r>
      <w:r w:rsidR="008872DF">
        <w:rPr>
          <w:rFonts w:hint="cs"/>
          <w:rtl/>
        </w:rPr>
        <w:t xml:space="preserve">שוכנת </w:t>
      </w:r>
      <w:r>
        <w:rPr>
          <w:rFonts w:hint="cs"/>
          <w:rtl/>
        </w:rPr>
        <w:t>בפרק השלישי לחוק השיפוט הצבאי, הוא פרק "העבירות"</w:t>
      </w:r>
      <w:r w:rsidR="00E40244">
        <w:rPr>
          <w:rFonts w:hint="cs"/>
          <w:rtl/>
        </w:rPr>
        <w:t xml:space="preserve"> הצבאיות</w:t>
      </w:r>
      <w:r>
        <w:rPr>
          <w:rFonts w:hint="cs"/>
          <w:rtl/>
        </w:rPr>
        <w:t xml:space="preserve">. </w:t>
      </w:r>
      <w:r w:rsidR="008872DF">
        <w:rPr>
          <w:rFonts w:hint="cs"/>
          <w:rtl/>
        </w:rPr>
        <w:t xml:space="preserve">סעיף </w:t>
      </w:r>
      <w:r>
        <w:rPr>
          <w:rFonts w:hint="cs"/>
          <w:rtl/>
        </w:rPr>
        <w:t>העבירה ממוק</w:t>
      </w:r>
      <w:r w:rsidR="008872DF">
        <w:rPr>
          <w:rFonts w:hint="cs"/>
          <w:rtl/>
        </w:rPr>
        <w:t xml:space="preserve">ם </w:t>
      </w:r>
      <w:r>
        <w:rPr>
          <w:rFonts w:hint="cs"/>
          <w:rtl/>
        </w:rPr>
        <w:t xml:space="preserve">לאחר </w:t>
      </w:r>
      <w:r w:rsidR="008872DF">
        <w:rPr>
          <w:rFonts w:hint="cs"/>
          <w:rtl/>
        </w:rPr>
        <w:t xml:space="preserve">רצף של </w:t>
      </w:r>
      <w:r>
        <w:rPr>
          <w:rFonts w:hint="cs"/>
          <w:rtl/>
        </w:rPr>
        <w:t>עבירות שונות, שכולן עוסקות ב"מרמה" ובכולן נעשה שימוש ב</w:t>
      </w:r>
      <w:r w:rsidR="00990C7A">
        <w:rPr>
          <w:rFonts w:hint="cs"/>
          <w:rtl/>
        </w:rPr>
        <w:t>צירוף</w:t>
      </w:r>
      <w:r>
        <w:rPr>
          <w:rFonts w:hint="cs"/>
          <w:rtl/>
        </w:rPr>
        <w:t xml:space="preserve"> "אמצעי הונאה אחרים" </w:t>
      </w:r>
      <w:r>
        <w:rPr>
          <w:rtl/>
        </w:rPr>
        <w:t>–</w:t>
      </w:r>
      <w:r>
        <w:rPr>
          <w:rFonts w:hint="cs"/>
          <w:rtl/>
        </w:rPr>
        <w:t xml:space="preserve"> "התגייסות במרמה" (סעיף 96), "קבלת תפקיד במרמה" (סעיף 97), "שחרור במרמה" (סעיף 98), </w:t>
      </w:r>
      <w:r w:rsidR="008872DF">
        <w:rPr>
          <w:rFonts w:hint="cs"/>
          <w:rtl/>
        </w:rPr>
        <w:t>ו</w:t>
      </w:r>
      <w:r>
        <w:rPr>
          <w:rFonts w:hint="cs"/>
          <w:rtl/>
        </w:rPr>
        <w:t>"פטור משירות ביטחון במרמה" (סעיף 99). בכל אותם סעיפים, בדומה לסעיף 102</w:t>
      </w:r>
      <w:r w:rsidR="008872DF">
        <w:rPr>
          <w:rFonts w:hint="cs"/>
          <w:rtl/>
        </w:rPr>
        <w:t xml:space="preserve"> לחוק</w:t>
      </w:r>
      <w:r>
        <w:rPr>
          <w:rFonts w:hint="cs"/>
          <w:rtl/>
        </w:rPr>
        <w:t xml:space="preserve">, הוגדר היסוד העובדתי בדרך מסויימת (למשל: "בטענות שווא"), ולאחריו, </w:t>
      </w:r>
      <w:r w:rsidRPr="00060D3F">
        <w:rPr>
          <w:rFonts w:hint="cs"/>
          <w:b/>
          <w:bCs/>
          <w:rtl/>
        </w:rPr>
        <w:t>כאפשרות חלופ</w:t>
      </w:r>
      <w:r w:rsidR="00675F9A" w:rsidRPr="00060D3F">
        <w:rPr>
          <w:rFonts w:hint="cs"/>
          <w:b/>
          <w:bCs/>
          <w:rtl/>
        </w:rPr>
        <w:t>ית</w:t>
      </w:r>
      <w:r w:rsidR="00675F9A">
        <w:rPr>
          <w:rFonts w:hint="cs"/>
          <w:rtl/>
        </w:rPr>
        <w:t xml:space="preserve"> </w:t>
      </w:r>
      <w:r w:rsidR="00675F9A">
        <w:rPr>
          <w:rtl/>
        </w:rPr>
        <w:t>–</w:t>
      </w:r>
      <w:r w:rsidR="00675F9A">
        <w:rPr>
          <w:rFonts w:hint="cs"/>
          <w:rtl/>
        </w:rPr>
        <w:t xml:space="preserve"> התיבה של "אמצעי הונאה אחרים". </w:t>
      </w:r>
    </w:p>
    <w:p w:rsidR="00675F9A" w:rsidRDefault="008872DF" w:rsidP="00D53E6C">
      <w:pPr>
        <w:numPr>
          <w:ilvl w:val="0"/>
          <w:numId w:val="1"/>
        </w:numPr>
        <w:tabs>
          <w:tab w:val="left" w:pos="229"/>
          <w:tab w:val="left" w:pos="368"/>
        </w:tabs>
        <w:ind w:left="0" w:firstLine="0"/>
      </w:pPr>
      <w:r>
        <w:rPr>
          <w:rFonts w:hint="cs"/>
          <w:rtl/>
        </w:rPr>
        <w:t xml:space="preserve">עיון בחוק השיפוט הצבאי מעלה, כי, </w:t>
      </w:r>
      <w:r w:rsidR="00675F9A">
        <w:rPr>
          <w:rFonts w:hint="cs"/>
          <w:rtl/>
        </w:rPr>
        <w:t xml:space="preserve">למעשה, סעיפים 102-92 לחוק </w:t>
      </w:r>
      <w:r w:rsidR="00F949B0">
        <w:rPr>
          <w:rFonts w:hint="cs"/>
          <w:rtl/>
        </w:rPr>
        <w:t xml:space="preserve">נועדו </w:t>
      </w:r>
      <w:r>
        <w:rPr>
          <w:rFonts w:hint="cs"/>
          <w:rtl/>
        </w:rPr>
        <w:t>ל</w:t>
      </w:r>
      <w:r w:rsidR="00675F9A">
        <w:rPr>
          <w:rFonts w:hint="cs"/>
          <w:rtl/>
        </w:rPr>
        <w:t xml:space="preserve">ספק מענה </w:t>
      </w:r>
      <w:r w:rsidR="00675F9A" w:rsidRPr="00F949B0">
        <w:rPr>
          <w:rFonts w:hint="cs"/>
          <w:b/>
          <w:bCs/>
          <w:rtl/>
        </w:rPr>
        <w:t>מ</w:t>
      </w:r>
      <w:r w:rsidR="00F949B0" w:rsidRPr="00F949B0">
        <w:rPr>
          <w:rFonts w:hint="cs"/>
          <w:b/>
          <w:bCs/>
          <w:rtl/>
        </w:rPr>
        <w:t xml:space="preserve">קיף </w:t>
      </w:r>
      <w:r w:rsidR="00124A51" w:rsidRPr="00F949B0">
        <w:rPr>
          <w:rFonts w:hint="cs"/>
          <w:b/>
          <w:bCs/>
          <w:rtl/>
        </w:rPr>
        <w:t>ומלא</w:t>
      </w:r>
      <w:r w:rsidR="00E40244">
        <w:rPr>
          <w:rFonts w:hint="cs"/>
          <w:rtl/>
        </w:rPr>
        <w:t xml:space="preserve"> </w:t>
      </w:r>
      <w:r w:rsidR="00E40244" w:rsidRPr="00E40244">
        <w:rPr>
          <w:rFonts w:hint="cs"/>
          <w:b/>
          <w:bCs/>
          <w:rtl/>
        </w:rPr>
        <w:t xml:space="preserve">ולהוות </w:t>
      </w:r>
      <w:r w:rsidR="00675F9A" w:rsidRPr="00E40244">
        <w:rPr>
          <w:rFonts w:hint="cs"/>
          <w:b/>
          <w:bCs/>
          <w:rtl/>
        </w:rPr>
        <w:t xml:space="preserve">הסדר חקיקתי </w:t>
      </w:r>
      <w:r w:rsidR="00675F9A" w:rsidRPr="00F949B0">
        <w:rPr>
          <w:rFonts w:hint="cs"/>
          <w:b/>
          <w:bCs/>
          <w:rtl/>
        </w:rPr>
        <w:t>כולל</w:t>
      </w:r>
      <w:r w:rsidR="00E40244">
        <w:rPr>
          <w:rFonts w:hint="cs"/>
          <w:b/>
          <w:bCs/>
          <w:rtl/>
        </w:rPr>
        <w:t>,</w:t>
      </w:r>
      <w:r w:rsidR="00675F9A">
        <w:rPr>
          <w:rFonts w:hint="cs"/>
          <w:rtl/>
        </w:rPr>
        <w:t xml:space="preserve"> </w:t>
      </w:r>
      <w:r w:rsidR="00675F9A" w:rsidRPr="00F949B0">
        <w:rPr>
          <w:rFonts w:hint="cs"/>
          <w:b/>
          <w:bCs/>
          <w:rtl/>
        </w:rPr>
        <w:t>ש</w:t>
      </w:r>
      <w:r w:rsidR="00F949B0" w:rsidRPr="00F949B0">
        <w:rPr>
          <w:rFonts w:hint="cs"/>
          <w:b/>
          <w:bCs/>
          <w:rtl/>
        </w:rPr>
        <w:t xml:space="preserve">תכליתו </w:t>
      </w:r>
      <w:r w:rsidR="00675F9A" w:rsidRPr="00F949B0">
        <w:rPr>
          <w:rFonts w:hint="cs"/>
          <w:b/>
          <w:bCs/>
          <w:rtl/>
        </w:rPr>
        <w:t>ל</w:t>
      </w:r>
      <w:r w:rsidR="00F949B0" w:rsidRPr="00F949B0">
        <w:rPr>
          <w:rFonts w:hint="cs"/>
          <w:b/>
          <w:bCs/>
          <w:rtl/>
        </w:rPr>
        <w:t>אכוף את הדין ע</w:t>
      </w:r>
      <w:r w:rsidR="00F949B0">
        <w:rPr>
          <w:rFonts w:hint="cs"/>
          <w:b/>
          <w:bCs/>
          <w:rtl/>
        </w:rPr>
        <w:t>ל</w:t>
      </w:r>
      <w:r w:rsidR="00F949B0" w:rsidRPr="00F949B0">
        <w:rPr>
          <w:rFonts w:hint="cs"/>
          <w:b/>
          <w:bCs/>
          <w:rtl/>
        </w:rPr>
        <w:t xml:space="preserve"> </w:t>
      </w:r>
      <w:r w:rsidR="00675F9A" w:rsidRPr="00F949B0">
        <w:rPr>
          <w:rFonts w:hint="cs"/>
          <w:b/>
          <w:bCs/>
          <w:rtl/>
        </w:rPr>
        <w:t xml:space="preserve">אלה המבקשים להתחמק משירות צבאי, מתפקיד או ממשימה </w:t>
      </w:r>
      <w:r w:rsidR="00675F9A">
        <w:rPr>
          <w:rFonts w:hint="cs"/>
          <w:rtl/>
        </w:rPr>
        <w:t xml:space="preserve">(ואף ההיפך </w:t>
      </w:r>
      <w:r w:rsidR="00D53E6C">
        <w:rPr>
          <w:rFonts w:hint="cs"/>
          <w:rtl/>
        </w:rPr>
        <w:t>–</w:t>
      </w:r>
      <w:r w:rsidR="00675F9A">
        <w:rPr>
          <w:rFonts w:hint="cs"/>
          <w:rtl/>
        </w:rPr>
        <w:t xml:space="preserve"> להתגייס במרמה), בין בדרך של היעדר מן השירות, בין בדרך של פגיעה עצמית והטלת מום ובין בדרך של טענות שווא או דרכי מרמה אחרות. </w:t>
      </w:r>
      <w:r w:rsidR="00E40244">
        <w:rPr>
          <w:rFonts w:hint="cs"/>
          <w:rtl/>
        </w:rPr>
        <w:t xml:space="preserve">בחינת </w:t>
      </w:r>
      <w:r w:rsidR="00675F9A" w:rsidRPr="00124A51">
        <w:rPr>
          <w:rFonts w:hint="cs"/>
          <w:b/>
          <w:bCs/>
          <w:rtl/>
        </w:rPr>
        <w:t xml:space="preserve">כלל הסעיפים, על רקע מיקומם בחקיקה </w:t>
      </w:r>
      <w:r w:rsidR="00F949B0">
        <w:rPr>
          <w:rFonts w:hint="cs"/>
          <w:b/>
          <w:bCs/>
          <w:rtl/>
        </w:rPr>
        <w:t>ה</w:t>
      </w:r>
      <w:r w:rsidR="00675F9A" w:rsidRPr="00124A51">
        <w:rPr>
          <w:rFonts w:hint="cs"/>
          <w:b/>
          <w:bCs/>
          <w:rtl/>
        </w:rPr>
        <w:t>ייחודית, שנועדה להבטיח את בטחון המדינה על-ידי שמירה על כוננות הצבא ו</w:t>
      </w:r>
      <w:r w:rsidR="00F949B0">
        <w:rPr>
          <w:rFonts w:hint="cs"/>
          <w:b/>
          <w:bCs/>
          <w:rtl/>
        </w:rPr>
        <w:t xml:space="preserve">הקפדה על </w:t>
      </w:r>
      <w:r w:rsidR="00675F9A" w:rsidRPr="00124A51">
        <w:rPr>
          <w:rFonts w:hint="cs"/>
          <w:b/>
          <w:bCs/>
          <w:rtl/>
        </w:rPr>
        <w:t xml:space="preserve">המשמעת שבו </w:t>
      </w:r>
      <w:r w:rsidR="00675F9A" w:rsidRPr="00124A51">
        <w:rPr>
          <w:b/>
          <w:bCs/>
          <w:rtl/>
        </w:rPr>
        <w:t>–</w:t>
      </w:r>
      <w:r w:rsidR="00675F9A" w:rsidRPr="00124A51">
        <w:rPr>
          <w:rFonts w:hint="cs"/>
          <w:b/>
          <w:bCs/>
          <w:rtl/>
        </w:rPr>
        <w:t xml:space="preserve"> </w:t>
      </w:r>
      <w:r w:rsidR="00675F9A" w:rsidRPr="00E40244">
        <w:rPr>
          <w:rFonts w:hint="cs"/>
          <w:rtl/>
        </w:rPr>
        <w:t>מלמד</w:t>
      </w:r>
      <w:r w:rsidR="00E40244" w:rsidRPr="00E40244">
        <w:rPr>
          <w:rFonts w:hint="cs"/>
          <w:rtl/>
        </w:rPr>
        <w:t>ת</w:t>
      </w:r>
      <w:r w:rsidR="00675F9A" w:rsidRPr="00E40244">
        <w:rPr>
          <w:rFonts w:hint="cs"/>
          <w:rtl/>
        </w:rPr>
        <w:t xml:space="preserve"> על </w:t>
      </w:r>
      <w:r w:rsidR="00F949B0">
        <w:rPr>
          <w:rFonts w:hint="cs"/>
          <w:b/>
          <w:bCs/>
          <w:rtl/>
        </w:rPr>
        <w:t>הצורך ב</w:t>
      </w:r>
      <w:r w:rsidR="00124A51" w:rsidRPr="00124A51">
        <w:rPr>
          <w:rFonts w:hint="cs"/>
          <w:b/>
          <w:bCs/>
          <w:rtl/>
        </w:rPr>
        <w:t xml:space="preserve">הגדרה רחבה של </w:t>
      </w:r>
      <w:r w:rsidR="00F949B0">
        <w:rPr>
          <w:rFonts w:hint="cs"/>
          <w:b/>
          <w:bCs/>
          <w:rtl/>
        </w:rPr>
        <w:t xml:space="preserve">אותן </w:t>
      </w:r>
      <w:r w:rsidR="00124A51" w:rsidRPr="00124A51">
        <w:rPr>
          <w:rFonts w:hint="cs"/>
          <w:b/>
          <w:bCs/>
          <w:rtl/>
        </w:rPr>
        <w:t xml:space="preserve">עבירות, באופן שיבטיח את תכליתן </w:t>
      </w:r>
      <w:r w:rsidR="00124A51" w:rsidRPr="00124A51">
        <w:rPr>
          <w:b/>
          <w:bCs/>
          <w:rtl/>
        </w:rPr>
        <w:t>–</w:t>
      </w:r>
      <w:r w:rsidR="00124A51" w:rsidRPr="00124A51">
        <w:rPr>
          <w:rFonts w:hint="cs"/>
          <w:b/>
          <w:bCs/>
          <w:rtl/>
        </w:rPr>
        <w:t xml:space="preserve"> ביצור מעמד</w:t>
      </w:r>
      <w:r w:rsidR="00990C7A">
        <w:rPr>
          <w:rFonts w:hint="cs"/>
          <w:b/>
          <w:bCs/>
          <w:rtl/>
        </w:rPr>
        <w:t xml:space="preserve">ן </w:t>
      </w:r>
      <w:r w:rsidR="00124A51" w:rsidRPr="00124A51">
        <w:rPr>
          <w:rFonts w:hint="cs"/>
          <w:b/>
          <w:bCs/>
          <w:rtl/>
        </w:rPr>
        <w:t>של החובה לשרת בצבא</w:t>
      </w:r>
      <w:r w:rsidR="00990C7A">
        <w:rPr>
          <w:rFonts w:hint="cs"/>
          <w:b/>
          <w:bCs/>
          <w:rtl/>
        </w:rPr>
        <w:t xml:space="preserve"> והחובה למלא את משימותיו</w:t>
      </w:r>
      <w:r w:rsidR="00124A51" w:rsidRPr="00124A51">
        <w:rPr>
          <w:rFonts w:hint="cs"/>
          <w:b/>
          <w:bCs/>
          <w:rtl/>
        </w:rPr>
        <w:t>, בהתאם לצורכי הצבא</w:t>
      </w:r>
      <w:r w:rsidR="00F949B0">
        <w:rPr>
          <w:rFonts w:hint="cs"/>
          <w:b/>
          <w:bCs/>
          <w:rtl/>
        </w:rPr>
        <w:t xml:space="preserve"> ובראי תפקידו </w:t>
      </w:r>
      <w:r w:rsidR="00F949B0">
        <w:rPr>
          <w:b/>
          <w:bCs/>
          <w:rtl/>
        </w:rPr>
        <w:t>–</w:t>
      </w:r>
      <w:r w:rsidR="00F949B0">
        <w:rPr>
          <w:rFonts w:hint="cs"/>
          <w:b/>
          <w:bCs/>
          <w:rtl/>
        </w:rPr>
        <w:t xml:space="preserve"> להגן על בטחון המדינה</w:t>
      </w:r>
      <w:r w:rsidR="00124A51" w:rsidRPr="00124A51">
        <w:rPr>
          <w:rFonts w:hint="cs"/>
          <w:b/>
          <w:bCs/>
          <w:rtl/>
        </w:rPr>
        <w:t xml:space="preserve">. </w:t>
      </w:r>
      <w:r w:rsidR="00675F9A">
        <w:rPr>
          <w:rFonts w:hint="cs"/>
          <w:rtl/>
        </w:rPr>
        <w:t xml:space="preserve">   </w:t>
      </w:r>
    </w:p>
    <w:p w:rsidR="00D516DF" w:rsidRDefault="00F949B0" w:rsidP="00D53E6C">
      <w:pPr>
        <w:numPr>
          <w:ilvl w:val="0"/>
          <w:numId w:val="1"/>
        </w:numPr>
        <w:tabs>
          <w:tab w:val="left" w:pos="229"/>
          <w:tab w:val="left" w:pos="368"/>
        </w:tabs>
        <w:ind w:left="0" w:firstLine="0"/>
      </w:pPr>
      <w:r>
        <w:rPr>
          <w:rFonts w:hint="cs"/>
          <w:rtl/>
        </w:rPr>
        <w:t xml:space="preserve">עוד יש לציין, כי </w:t>
      </w:r>
      <w:r w:rsidR="00D516DF">
        <w:rPr>
          <w:rFonts w:hint="cs"/>
          <w:rtl/>
        </w:rPr>
        <w:t xml:space="preserve">הגדרתו הרחבה של היסוד העובדתי בעבירה באה </w:t>
      </w:r>
      <w:r w:rsidR="00E40244">
        <w:rPr>
          <w:rFonts w:hint="cs"/>
          <w:rtl/>
        </w:rPr>
        <w:t>בצמידות ל</w:t>
      </w:r>
      <w:r w:rsidR="00D516DF">
        <w:rPr>
          <w:rtl/>
        </w:rPr>
        <w:t>דריש</w:t>
      </w:r>
      <w:r w:rsidR="00D516DF">
        <w:rPr>
          <w:rFonts w:hint="cs"/>
          <w:rtl/>
        </w:rPr>
        <w:t xml:space="preserve">ה </w:t>
      </w:r>
      <w:r w:rsidR="008E44A6">
        <w:rPr>
          <w:rFonts w:hint="cs"/>
          <w:rtl/>
        </w:rPr>
        <w:t>הייחודית</w:t>
      </w:r>
      <w:r>
        <w:rPr>
          <w:rFonts w:hint="cs"/>
          <w:rtl/>
        </w:rPr>
        <w:t>, המחמירה,</w:t>
      </w:r>
      <w:r w:rsidR="008E44A6">
        <w:rPr>
          <w:rFonts w:hint="cs"/>
          <w:rtl/>
        </w:rPr>
        <w:t xml:space="preserve"> </w:t>
      </w:r>
      <w:r w:rsidR="00D516DF">
        <w:rPr>
          <w:rFonts w:hint="cs"/>
          <w:rtl/>
        </w:rPr>
        <w:t>להוכיח "</w:t>
      </w:r>
      <w:r w:rsidR="00D516DF">
        <w:rPr>
          <w:rtl/>
        </w:rPr>
        <w:t>כוונה מיוחדת</w:t>
      </w:r>
      <w:r w:rsidR="00D516DF">
        <w:rPr>
          <w:rFonts w:hint="cs"/>
          <w:rtl/>
        </w:rPr>
        <w:t>" במישור היסוד הנפשי</w:t>
      </w:r>
      <w:r w:rsidR="00CA1931">
        <w:rPr>
          <w:rFonts w:hint="cs"/>
          <w:rtl/>
        </w:rPr>
        <w:t xml:space="preserve"> שבה</w:t>
      </w:r>
      <w:r w:rsidR="00D516DF">
        <w:rPr>
          <w:rtl/>
        </w:rPr>
        <w:t xml:space="preserve"> </w:t>
      </w:r>
      <w:r w:rsidR="00D516DF">
        <w:rPr>
          <w:rFonts w:hint="cs"/>
          <w:rtl/>
        </w:rPr>
        <w:t>(</w:t>
      </w:r>
      <w:r w:rsidR="008E44A6">
        <w:rPr>
          <w:rFonts w:hint="cs"/>
          <w:rtl/>
        </w:rPr>
        <w:t>לניתוח היסוד הנפשי בעביר</w:t>
      </w:r>
      <w:r w:rsidR="00CA1931">
        <w:rPr>
          <w:rFonts w:hint="cs"/>
          <w:rtl/>
        </w:rPr>
        <w:t>ה של השתמטות מפעולה</w:t>
      </w:r>
      <w:r w:rsidR="008E44A6">
        <w:rPr>
          <w:rFonts w:hint="cs"/>
          <w:rtl/>
        </w:rPr>
        <w:t xml:space="preserve"> ראו פסיקתו רבת </w:t>
      </w:r>
      <w:r w:rsidR="008E44A6" w:rsidRPr="008E44A6">
        <w:rPr>
          <w:rFonts w:hint="cs"/>
          <w:rtl/>
        </w:rPr>
        <w:t xml:space="preserve">השנים של בית דין זה בע/4/64 </w:t>
      </w:r>
      <w:r w:rsidR="008E44A6" w:rsidRPr="008E44A6">
        <w:rPr>
          <w:b/>
          <w:bCs/>
          <w:rtl/>
        </w:rPr>
        <w:t xml:space="preserve">טור' </w:t>
      </w:r>
      <w:r w:rsidR="008E44A6" w:rsidRPr="008E44A6">
        <w:rPr>
          <w:rFonts w:hint="cs"/>
          <w:b/>
          <w:bCs/>
          <w:rtl/>
        </w:rPr>
        <w:t xml:space="preserve">לוי </w:t>
      </w:r>
      <w:r w:rsidR="008E44A6" w:rsidRPr="008E44A6">
        <w:rPr>
          <w:b/>
          <w:bCs/>
          <w:rtl/>
        </w:rPr>
        <w:t>נ' הת</w:t>
      </w:r>
      <w:r w:rsidR="008E44A6" w:rsidRPr="008E44A6">
        <w:rPr>
          <w:rFonts w:hint="cs"/>
          <w:b/>
          <w:bCs/>
          <w:rtl/>
        </w:rPr>
        <w:t>ובע הצבאי הראשי</w:t>
      </w:r>
      <w:r w:rsidR="008E44A6" w:rsidRPr="008E44A6">
        <w:rPr>
          <w:rtl/>
        </w:rPr>
        <w:t xml:space="preserve"> </w:t>
      </w:r>
      <w:r w:rsidR="00D53E6C">
        <w:rPr>
          <w:rFonts w:hint="cs"/>
          <w:rtl/>
        </w:rPr>
        <w:t>(</w:t>
      </w:r>
      <w:r w:rsidR="008E44A6" w:rsidRPr="008E44A6">
        <w:rPr>
          <w:rtl/>
        </w:rPr>
        <w:t>1964</w:t>
      </w:r>
      <w:r w:rsidR="00D53E6C">
        <w:rPr>
          <w:rFonts w:hint="cs"/>
          <w:rtl/>
        </w:rPr>
        <w:t>)</w:t>
      </w:r>
      <w:r w:rsidR="008E44A6" w:rsidRPr="008E44A6">
        <w:rPr>
          <w:rtl/>
        </w:rPr>
        <w:t xml:space="preserve">, </w:t>
      </w:r>
      <w:r w:rsidR="00D53E6C">
        <w:rPr>
          <w:rFonts w:hint="cs"/>
          <w:rtl/>
        </w:rPr>
        <w:t xml:space="preserve">עמ' </w:t>
      </w:r>
      <w:r w:rsidR="008E44A6" w:rsidRPr="008E44A6">
        <w:rPr>
          <w:rtl/>
        </w:rPr>
        <w:t>29</w:t>
      </w:r>
      <w:r w:rsidR="008E44A6">
        <w:rPr>
          <w:rFonts w:hint="cs"/>
          <w:rtl/>
        </w:rPr>
        <w:t xml:space="preserve">; </w:t>
      </w:r>
      <w:r w:rsidR="00CA1931">
        <w:rPr>
          <w:rFonts w:hint="cs"/>
          <w:rtl/>
        </w:rPr>
        <w:t>ו</w:t>
      </w:r>
      <w:r w:rsidR="008E44A6">
        <w:rPr>
          <w:rFonts w:hint="cs"/>
          <w:rtl/>
        </w:rPr>
        <w:t xml:space="preserve">ע/109/74 </w:t>
      </w:r>
      <w:r w:rsidR="008E44A6" w:rsidRPr="008E44A6">
        <w:rPr>
          <w:b/>
          <w:bCs/>
          <w:rtl/>
        </w:rPr>
        <w:t>הת</w:t>
      </w:r>
      <w:r w:rsidR="008E44A6" w:rsidRPr="008E44A6">
        <w:rPr>
          <w:rFonts w:hint="cs"/>
          <w:b/>
          <w:bCs/>
          <w:rtl/>
        </w:rPr>
        <w:t xml:space="preserve">ובע הצבאי הראשי </w:t>
      </w:r>
      <w:r w:rsidR="008E44A6" w:rsidRPr="008E44A6">
        <w:rPr>
          <w:b/>
          <w:bCs/>
          <w:rtl/>
        </w:rPr>
        <w:t>נ' טור' הדס</w:t>
      </w:r>
      <w:r w:rsidR="008E44A6" w:rsidRPr="008E44A6">
        <w:rPr>
          <w:rtl/>
        </w:rPr>
        <w:t xml:space="preserve">, </w:t>
      </w:r>
      <w:r w:rsidR="00D53E6C">
        <w:rPr>
          <w:rFonts w:hint="cs"/>
          <w:rtl/>
        </w:rPr>
        <w:t>(</w:t>
      </w:r>
      <w:r w:rsidR="008E44A6" w:rsidRPr="008E44A6">
        <w:rPr>
          <w:rtl/>
        </w:rPr>
        <w:t>1974</w:t>
      </w:r>
      <w:r w:rsidR="00D53E6C">
        <w:rPr>
          <w:rFonts w:hint="cs"/>
          <w:rtl/>
        </w:rPr>
        <w:t>), עמ'</w:t>
      </w:r>
      <w:r w:rsidR="008E44A6" w:rsidRPr="008E44A6">
        <w:rPr>
          <w:rtl/>
        </w:rPr>
        <w:t xml:space="preserve"> 80</w:t>
      </w:r>
      <w:r w:rsidR="008E44A6">
        <w:rPr>
          <w:rFonts w:hint="cs"/>
          <w:rtl/>
        </w:rPr>
        <w:t xml:space="preserve">). </w:t>
      </w:r>
      <w:r w:rsidR="00D516DF">
        <w:rPr>
          <w:rtl/>
        </w:rPr>
        <w:t>סעיף 20 לחוק העונשין מ</w:t>
      </w:r>
      <w:r w:rsidR="00CA1931">
        <w:rPr>
          <w:rFonts w:hint="cs"/>
          <w:rtl/>
        </w:rPr>
        <w:t xml:space="preserve">בהיר כי ב"עבירת התנהגות", שאליה נלווית גם "כוונה מיוחדת", אין די בהוכחת המודעות לקיומם של רכיבי היסוד העובדתי ויש להראות גם </w:t>
      </w:r>
      <w:r w:rsidR="00D516DF">
        <w:rPr>
          <w:rtl/>
        </w:rPr>
        <w:t>"מטרה לגרום לאותן תוצאות" הנמנות "עם פרטי העבירה"</w:t>
      </w:r>
      <w:r w:rsidR="00CA1931">
        <w:rPr>
          <w:rFonts w:hint="cs"/>
          <w:rtl/>
        </w:rPr>
        <w:t>, ובהתאם ל</w:t>
      </w:r>
      <w:r w:rsidR="00D516DF">
        <w:rPr>
          <w:rtl/>
        </w:rPr>
        <w:t xml:space="preserve">סעיף 90א לחוק העונשין, </w:t>
      </w:r>
      <w:r w:rsidR="00CA1931">
        <w:rPr>
          <w:rFonts w:hint="cs"/>
          <w:rtl/>
        </w:rPr>
        <w:t>יש להראות "</w:t>
      </w:r>
      <w:r w:rsidR="00D516DF">
        <w:rPr>
          <w:rtl/>
        </w:rPr>
        <w:t xml:space="preserve">מטרה </w:t>
      </w:r>
      <w:r w:rsidR="00D516DF">
        <w:rPr>
          <w:rtl/>
        </w:rPr>
        <w:lastRenderedPageBreak/>
        <w:t>להשיג יעד כפי שנקבע בעבירה, לפי ההקשר"</w:t>
      </w:r>
      <w:r w:rsidR="008E44A6">
        <w:rPr>
          <w:rFonts w:hint="cs"/>
          <w:rtl/>
        </w:rPr>
        <w:t xml:space="preserve"> (ראו גם: ע/21/13 </w:t>
      </w:r>
      <w:r w:rsidR="008E44A6" w:rsidRPr="008E44A6">
        <w:rPr>
          <w:rFonts w:hint="cs"/>
          <w:b/>
          <w:bCs/>
          <w:rtl/>
        </w:rPr>
        <w:t>התובע הצבאי הראשי נ' טור' דהן</w:t>
      </w:r>
      <w:r w:rsidR="008E44A6">
        <w:rPr>
          <w:rFonts w:hint="cs"/>
          <w:rtl/>
        </w:rPr>
        <w:t xml:space="preserve"> (2013))</w:t>
      </w:r>
      <w:r w:rsidR="00D516DF">
        <w:rPr>
          <w:rtl/>
        </w:rPr>
        <w:t>.</w:t>
      </w:r>
      <w:r w:rsidR="008E44A6">
        <w:rPr>
          <w:rFonts w:hint="cs"/>
          <w:rtl/>
        </w:rPr>
        <w:t xml:space="preserve"> </w:t>
      </w:r>
      <w:r w:rsidR="00881E96">
        <w:rPr>
          <w:rFonts w:hint="cs"/>
          <w:rtl/>
        </w:rPr>
        <w:t xml:space="preserve">ובענייננו, </w:t>
      </w:r>
      <w:r w:rsidR="00E40244">
        <w:rPr>
          <w:rFonts w:hint="cs"/>
          <w:rtl/>
        </w:rPr>
        <w:t xml:space="preserve">הדרישה להוכיח </w:t>
      </w:r>
      <w:r w:rsidR="00CA1931">
        <w:rPr>
          <w:rFonts w:hint="cs"/>
          <w:rtl/>
        </w:rPr>
        <w:t xml:space="preserve">כוונה מיוחדת להשתמט מפעולה צבאית </w:t>
      </w:r>
      <w:r w:rsidR="00E40244">
        <w:rPr>
          <w:rFonts w:hint="cs"/>
          <w:rtl/>
        </w:rPr>
        <w:t>היא הביטוי ל</w:t>
      </w:r>
      <w:r w:rsidR="00CA1931">
        <w:rPr>
          <w:rFonts w:hint="cs"/>
          <w:rtl/>
        </w:rPr>
        <w:t xml:space="preserve">אינטרס הציבורי המובהק, </w:t>
      </w:r>
      <w:r w:rsidR="00881E96">
        <w:rPr>
          <w:rFonts w:hint="cs"/>
          <w:rtl/>
        </w:rPr>
        <w:t xml:space="preserve">אשר בבסיס העבירה </w:t>
      </w:r>
      <w:r w:rsidR="00D53E6C">
        <w:rPr>
          <w:rFonts w:hint="cs"/>
          <w:rtl/>
        </w:rPr>
        <w:t>–</w:t>
      </w:r>
      <w:r w:rsidR="00881E96">
        <w:rPr>
          <w:rFonts w:hint="cs"/>
          <w:rtl/>
        </w:rPr>
        <w:t xml:space="preserve"> </w:t>
      </w:r>
      <w:r w:rsidR="00CA1931">
        <w:rPr>
          <w:rFonts w:hint="cs"/>
          <w:rtl/>
        </w:rPr>
        <w:t>להגן על בטחון המדינה באמצעות צבא חזק</w:t>
      </w:r>
      <w:r w:rsidR="00990C7A">
        <w:rPr>
          <w:rFonts w:hint="cs"/>
          <w:rtl/>
        </w:rPr>
        <w:t xml:space="preserve">, ממושמע </w:t>
      </w:r>
      <w:r w:rsidR="00CA1931">
        <w:rPr>
          <w:rFonts w:hint="cs"/>
          <w:rtl/>
        </w:rPr>
        <w:t>ויעיל</w:t>
      </w:r>
      <w:r w:rsidR="00881E96">
        <w:rPr>
          <w:rFonts w:hint="cs"/>
          <w:rtl/>
        </w:rPr>
        <w:t xml:space="preserve">. </w:t>
      </w:r>
      <w:r w:rsidR="00CA1931">
        <w:rPr>
          <w:rFonts w:hint="cs"/>
          <w:rtl/>
        </w:rPr>
        <w:t xml:space="preserve">טיבו של האינטרס הציבורי המוגן בעבירה, כאמור, הוא שמחייב </w:t>
      </w:r>
      <w:r w:rsidR="008E44A6">
        <w:rPr>
          <w:rFonts w:hint="cs"/>
          <w:rtl/>
        </w:rPr>
        <w:t xml:space="preserve">לאכוף את הדין </w:t>
      </w:r>
      <w:r w:rsidR="00CA1931">
        <w:rPr>
          <w:rFonts w:hint="cs"/>
          <w:rtl/>
        </w:rPr>
        <w:t xml:space="preserve">בדווקנות </w:t>
      </w:r>
      <w:r w:rsidR="008E44A6">
        <w:rPr>
          <w:rFonts w:hint="cs"/>
          <w:rtl/>
        </w:rPr>
        <w:t>ולמנוע</w:t>
      </w:r>
      <w:r w:rsidR="00D516DF">
        <w:rPr>
          <w:rtl/>
        </w:rPr>
        <w:t xml:space="preserve"> </w:t>
      </w:r>
      <w:r w:rsidR="008E44A6">
        <w:rPr>
          <w:rFonts w:hint="cs"/>
          <w:rtl/>
        </w:rPr>
        <w:t xml:space="preserve">השתמטות מפעולות </w:t>
      </w:r>
      <w:r w:rsidR="00CA1931">
        <w:rPr>
          <w:rFonts w:hint="cs"/>
          <w:rtl/>
        </w:rPr>
        <w:t xml:space="preserve">ומשימות </w:t>
      </w:r>
      <w:r w:rsidR="008E44A6">
        <w:rPr>
          <w:rFonts w:hint="cs"/>
          <w:rtl/>
        </w:rPr>
        <w:t xml:space="preserve">צבאיות, </w:t>
      </w:r>
      <w:r w:rsidR="00CA1931">
        <w:rPr>
          <w:rFonts w:hint="cs"/>
          <w:rtl/>
        </w:rPr>
        <w:t>ו</w:t>
      </w:r>
      <w:r w:rsidR="008E44A6">
        <w:rPr>
          <w:rFonts w:hint="cs"/>
          <w:rtl/>
        </w:rPr>
        <w:t xml:space="preserve">הוא הוא אשר מבסס את </w:t>
      </w:r>
      <w:r w:rsidR="00881E96">
        <w:rPr>
          <w:rFonts w:hint="cs"/>
          <w:rtl/>
        </w:rPr>
        <w:t xml:space="preserve">הצורך במתן </w:t>
      </w:r>
      <w:r w:rsidR="008E44A6">
        <w:rPr>
          <w:rFonts w:hint="cs"/>
          <w:rtl/>
        </w:rPr>
        <w:t>פרשנות רחבה להגדרת היסוד העובדתי</w:t>
      </w:r>
      <w:r w:rsidR="009B0D37">
        <w:rPr>
          <w:rFonts w:hint="cs"/>
          <w:rtl/>
        </w:rPr>
        <w:t xml:space="preserve"> </w:t>
      </w:r>
      <w:r w:rsidR="00881E96">
        <w:rPr>
          <w:rFonts w:hint="cs"/>
          <w:rtl/>
        </w:rPr>
        <w:t xml:space="preserve">שבה </w:t>
      </w:r>
      <w:r w:rsidR="009B0D37">
        <w:rPr>
          <w:rFonts w:hint="cs"/>
          <w:rtl/>
        </w:rPr>
        <w:t xml:space="preserve">(על הזיקה שבין הגדרה רחבה ליסוד העובדתי בעבירה התנהגותית לבין יסוד נפשי של כוונה מיוחדת או מניע, ראו: ע"פ 5169/16 </w:t>
      </w:r>
      <w:r w:rsidR="009B0D37" w:rsidRPr="009B0D37">
        <w:rPr>
          <w:rFonts w:hint="cs"/>
          <w:b/>
          <w:bCs/>
          <w:rtl/>
        </w:rPr>
        <w:t>שרייבר נ' מדינת ישראל</w:t>
      </w:r>
      <w:r w:rsidR="009B0D37">
        <w:rPr>
          <w:rFonts w:hint="cs"/>
          <w:rtl/>
        </w:rPr>
        <w:t>, פסקה 12 (</w:t>
      </w:r>
      <w:r w:rsidR="00D53E6C">
        <w:rPr>
          <w:rFonts w:hint="cs"/>
          <w:rtl/>
        </w:rPr>
        <w:t xml:space="preserve">טרם פורסם, </w:t>
      </w:r>
      <w:r w:rsidR="009B0D37">
        <w:rPr>
          <w:rFonts w:hint="cs"/>
          <w:rtl/>
        </w:rPr>
        <w:t>4.9.2012))</w:t>
      </w:r>
      <w:r w:rsidR="008E44A6">
        <w:rPr>
          <w:rFonts w:hint="cs"/>
          <w:rtl/>
        </w:rPr>
        <w:t xml:space="preserve">. </w:t>
      </w:r>
    </w:p>
    <w:p w:rsidR="008E44A6" w:rsidRDefault="008E44A6" w:rsidP="00D53E6C">
      <w:pPr>
        <w:numPr>
          <w:ilvl w:val="0"/>
          <w:numId w:val="1"/>
        </w:numPr>
        <w:tabs>
          <w:tab w:val="left" w:pos="229"/>
          <w:tab w:val="left" w:pos="368"/>
        </w:tabs>
        <w:ind w:left="0" w:firstLine="0"/>
      </w:pPr>
      <w:r>
        <w:rPr>
          <w:rFonts w:hint="cs"/>
          <w:rtl/>
        </w:rPr>
        <w:t xml:space="preserve">אשר על כן, יש לדחות את טענות ההגנה בסוגיית פרשנותו של סעיף 102 ולקבוע, כי סעיף זה משתרע על אמצעי הונאה שונים ומגוונים, לרבות אלה, </w:t>
      </w:r>
      <w:r w:rsidR="00F65590">
        <w:rPr>
          <w:rFonts w:hint="cs"/>
          <w:rtl/>
        </w:rPr>
        <w:t xml:space="preserve">אשר עשויים לגבש, במקביל, את יסודותיה של </w:t>
      </w:r>
      <w:r>
        <w:rPr>
          <w:rFonts w:hint="cs"/>
          <w:rtl/>
        </w:rPr>
        <w:t xml:space="preserve">עבירה נפרדת </w:t>
      </w:r>
      <w:r w:rsidR="00F65590">
        <w:rPr>
          <w:rFonts w:hint="cs"/>
          <w:rtl/>
        </w:rPr>
        <w:t>(</w:t>
      </w:r>
      <w:r>
        <w:rPr>
          <w:rFonts w:hint="cs"/>
          <w:rtl/>
        </w:rPr>
        <w:t>כדוגמת סעיף 76 לחוק השיפוט הצבאי</w:t>
      </w:r>
      <w:r w:rsidR="00F65590">
        <w:rPr>
          <w:rFonts w:hint="cs"/>
          <w:rtl/>
        </w:rPr>
        <w:t xml:space="preserve">, אשר תכליתו שונה </w:t>
      </w:r>
      <w:r w:rsidR="00D53E6C">
        <w:rPr>
          <w:rFonts w:hint="cs"/>
          <w:rtl/>
        </w:rPr>
        <w:t>–</w:t>
      </w:r>
      <w:r w:rsidR="00F65590">
        <w:rPr>
          <w:rFonts w:hint="cs"/>
          <w:rtl/>
        </w:rPr>
        <w:t xml:space="preserve"> להגן על רכוש הצבא, החיוני למימוש תפקידיו</w:t>
      </w:r>
      <w:r>
        <w:rPr>
          <w:rFonts w:hint="cs"/>
          <w:rtl/>
        </w:rPr>
        <w:t xml:space="preserve">), ובלבד, שננקטו מתוך כוונה מיוחדת </w:t>
      </w:r>
      <w:r>
        <w:rPr>
          <w:rtl/>
        </w:rPr>
        <w:t>–</w:t>
      </w:r>
      <w:r>
        <w:rPr>
          <w:rFonts w:hint="cs"/>
          <w:rtl/>
        </w:rPr>
        <w:t xml:space="preserve"> "כדי להשתמט מפעולה"</w:t>
      </w:r>
      <w:r w:rsidR="00881E96">
        <w:rPr>
          <w:rFonts w:hint="cs"/>
          <w:rtl/>
        </w:rPr>
        <w:t xml:space="preserve"> צבאית</w:t>
      </w:r>
      <w:r>
        <w:rPr>
          <w:rFonts w:hint="cs"/>
          <w:rtl/>
        </w:rPr>
        <w:t xml:space="preserve">. </w:t>
      </w:r>
    </w:p>
    <w:p w:rsidR="00A81B5D" w:rsidRDefault="008E44A6" w:rsidP="00D53E6C">
      <w:pPr>
        <w:numPr>
          <w:ilvl w:val="0"/>
          <w:numId w:val="1"/>
        </w:numPr>
        <w:tabs>
          <w:tab w:val="left" w:pos="229"/>
          <w:tab w:val="left" w:pos="368"/>
        </w:tabs>
        <w:ind w:left="0" w:firstLine="0"/>
      </w:pPr>
      <w:r>
        <w:rPr>
          <w:rFonts w:hint="cs"/>
          <w:rtl/>
        </w:rPr>
        <w:t xml:space="preserve">ודוקו: </w:t>
      </w:r>
      <w:r w:rsidR="00A81B5D">
        <w:rPr>
          <w:rFonts w:hint="cs"/>
          <w:rtl/>
        </w:rPr>
        <w:t xml:space="preserve">מן הראוי להזכיר את הכלל שלפיו ניתן להרשיע נאשם בכל אחת מן העבירות שאשמתו </w:t>
      </w:r>
      <w:r w:rsidR="00990C7A">
        <w:rPr>
          <w:rFonts w:hint="cs"/>
          <w:rtl/>
        </w:rPr>
        <w:t xml:space="preserve">בהן </w:t>
      </w:r>
      <w:r w:rsidR="00A81B5D">
        <w:rPr>
          <w:rFonts w:hint="cs"/>
          <w:rtl/>
        </w:rPr>
        <w:t>נתגלתה מן העובדות שהוכחו (</w:t>
      </w:r>
      <w:r>
        <w:rPr>
          <w:rtl/>
        </w:rPr>
        <w:t>סעיף 186 לחוק סדר הדין הפלילי [נוסח משולב], התשמ"ב-1982</w:t>
      </w:r>
      <w:r w:rsidR="00A81B5D">
        <w:rPr>
          <w:rFonts w:hint="cs"/>
          <w:rtl/>
        </w:rPr>
        <w:t xml:space="preserve">), </w:t>
      </w:r>
      <w:r w:rsidR="00F65590">
        <w:rPr>
          <w:rFonts w:hint="cs"/>
          <w:rtl/>
        </w:rPr>
        <w:t xml:space="preserve">מקום שבו </w:t>
      </w:r>
      <w:r w:rsidR="00990C7A">
        <w:rPr>
          <w:rFonts w:hint="cs"/>
          <w:rtl/>
        </w:rPr>
        <w:t xml:space="preserve">ריבוי </w:t>
      </w:r>
      <w:r w:rsidR="00F65590">
        <w:rPr>
          <w:rFonts w:hint="cs"/>
          <w:rtl/>
        </w:rPr>
        <w:t xml:space="preserve">האישומים </w:t>
      </w:r>
      <w:r w:rsidR="00F65590" w:rsidRPr="00F65590">
        <w:rPr>
          <w:rFonts w:hint="cs"/>
          <w:rtl/>
        </w:rPr>
        <w:t xml:space="preserve">נחוץ על מנת להציג את מלוא התמונה הנורמטיבית והערכית של התשתית העובדתית (ראו: </w:t>
      </w:r>
      <w:r w:rsidR="00F65590" w:rsidRPr="00F65590">
        <w:rPr>
          <w:rtl/>
        </w:rPr>
        <w:t xml:space="preserve">ע"פ 3506/13 </w:t>
      </w:r>
      <w:r w:rsidR="00F65590" w:rsidRPr="00F65590">
        <w:rPr>
          <w:rFonts w:hint="cs"/>
          <w:b/>
          <w:bCs/>
          <w:rtl/>
        </w:rPr>
        <w:t xml:space="preserve">הבי </w:t>
      </w:r>
      <w:r w:rsidR="00F65590" w:rsidRPr="00F65590">
        <w:rPr>
          <w:b/>
          <w:bCs/>
          <w:rtl/>
        </w:rPr>
        <w:t xml:space="preserve">נ' </w:t>
      </w:r>
      <w:r w:rsidR="00F65590" w:rsidRPr="00F65590">
        <w:rPr>
          <w:rFonts w:hint="cs"/>
          <w:b/>
          <w:bCs/>
          <w:rtl/>
        </w:rPr>
        <w:t>מדינת ישראל</w:t>
      </w:r>
      <w:r w:rsidR="00F65590" w:rsidRPr="00F65590">
        <w:rPr>
          <w:rFonts w:hint="cs"/>
          <w:rtl/>
        </w:rPr>
        <w:t>, בפסקה 365 (</w:t>
      </w:r>
      <w:r w:rsidR="00D53E6C">
        <w:rPr>
          <w:rFonts w:hint="cs"/>
          <w:rtl/>
        </w:rPr>
        <w:t>טרם פורסם,</w:t>
      </w:r>
      <w:r w:rsidR="00D53E6C" w:rsidRPr="00F65590">
        <w:rPr>
          <w:rFonts w:hint="cs"/>
          <w:rtl/>
        </w:rPr>
        <w:t xml:space="preserve"> </w:t>
      </w:r>
      <w:r w:rsidR="00D53E6C">
        <w:rPr>
          <w:rFonts w:hint="cs"/>
          <w:rtl/>
        </w:rPr>
        <w:t>12.1.2016); ע/180,181/01</w:t>
      </w:r>
      <w:r w:rsidR="00F65590" w:rsidRPr="00F65590">
        <w:rPr>
          <w:rFonts w:hint="cs"/>
          <w:rtl/>
        </w:rPr>
        <w:t xml:space="preserve"> </w:t>
      </w:r>
      <w:r w:rsidR="00F65590" w:rsidRPr="00F65590">
        <w:rPr>
          <w:rFonts w:hint="cs"/>
          <w:b/>
          <w:bCs/>
          <w:rtl/>
        </w:rPr>
        <w:t>התובע הצבאי הראשי נ' סמל כספי  וערעור שכנגד</w:t>
      </w:r>
      <w:r w:rsidR="00F65590" w:rsidRPr="00F65590">
        <w:rPr>
          <w:rFonts w:hint="cs"/>
          <w:rtl/>
        </w:rPr>
        <w:t xml:space="preserve"> (2002), בפסקה 15). </w:t>
      </w:r>
      <w:r w:rsidR="00F65590">
        <w:rPr>
          <w:rFonts w:hint="cs"/>
          <w:rtl/>
        </w:rPr>
        <w:t xml:space="preserve">עם זאת, ברי כי </w:t>
      </w:r>
      <w:r w:rsidR="00A81B5D">
        <w:rPr>
          <w:rFonts w:hint="cs"/>
          <w:rtl/>
        </w:rPr>
        <w:t xml:space="preserve">אין להענישו </w:t>
      </w:r>
      <w:r w:rsidR="00F65590">
        <w:rPr>
          <w:rFonts w:hint="cs"/>
          <w:rtl/>
        </w:rPr>
        <w:t xml:space="preserve">בגין אותם מעשים </w:t>
      </w:r>
      <w:r w:rsidR="00A81B5D">
        <w:rPr>
          <w:rFonts w:hint="cs"/>
          <w:rtl/>
        </w:rPr>
        <w:t>יותר מפעם אחת (</w:t>
      </w:r>
      <w:r w:rsidR="00F65590">
        <w:rPr>
          <w:rFonts w:hint="cs"/>
          <w:rtl/>
        </w:rPr>
        <w:t xml:space="preserve">סעיף 186 הנ"ל וכן </w:t>
      </w:r>
      <w:r w:rsidR="00A81B5D" w:rsidRPr="00A81B5D">
        <w:rPr>
          <w:rFonts w:hint="cs"/>
          <w:rtl/>
        </w:rPr>
        <w:t>ראו</w:t>
      </w:r>
      <w:r w:rsidR="00F65590">
        <w:rPr>
          <w:rFonts w:hint="cs"/>
          <w:rtl/>
        </w:rPr>
        <w:t>:</w:t>
      </w:r>
      <w:r w:rsidR="00A81B5D" w:rsidRPr="00A81B5D">
        <w:rPr>
          <w:rFonts w:hint="cs"/>
          <w:rtl/>
        </w:rPr>
        <w:t xml:space="preserve"> </w:t>
      </w:r>
      <w:r w:rsidR="00A81B5D" w:rsidRPr="00A81B5D">
        <w:rPr>
          <w:rtl/>
        </w:rPr>
        <w:t xml:space="preserve">רע"פ 5096/11 </w:t>
      </w:r>
      <w:r w:rsidR="00A81B5D" w:rsidRPr="00A81B5D">
        <w:rPr>
          <w:b/>
          <w:bCs/>
          <w:rtl/>
        </w:rPr>
        <w:t>עו"ד ויסולי נ' מדינת ישראל</w:t>
      </w:r>
      <w:r w:rsidR="00A81B5D" w:rsidRPr="00A81B5D">
        <w:rPr>
          <w:rFonts w:hint="cs"/>
          <w:b/>
          <w:bCs/>
          <w:rtl/>
        </w:rPr>
        <w:t xml:space="preserve"> </w:t>
      </w:r>
      <w:r w:rsidR="00A81B5D" w:rsidRPr="00A81B5D">
        <w:rPr>
          <w:rFonts w:hint="cs"/>
          <w:rtl/>
        </w:rPr>
        <w:t>(</w:t>
      </w:r>
      <w:r w:rsidR="00D53E6C">
        <w:rPr>
          <w:rFonts w:hint="cs"/>
          <w:rtl/>
        </w:rPr>
        <w:t>טרם פורסם,</w:t>
      </w:r>
      <w:r w:rsidR="00D53E6C" w:rsidRPr="00A81B5D">
        <w:rPr>
          <w:rFonts w:hint="cs"/>
          <w:rtl/>
        </w:rPr>
        <w:t xml:space="preserve"> </w:t>
      </w:r>
      <w:r w:rsidR="00A81B5D" w:rsidRPr="00A81B5D">
        <w:rPr>
          <w:rFonts w:hint="cs"/>
          <w:rtl/>
        </w:rPr>
        <w:t>19.9.2011)</w:t>
      </w:r>
      <w:r w:rsidR="00A81B5D">
        <w:rPr>
          <w:rFonts w:hint="cs"/>
          <w:rtl/>
        </w:rPr>
        <w:t xml:space="preserve">; ע/40/17 </w:t>
      </w:r>
      <w:r w:rsidR="00A81B5D" w:rsidRPr="00A81B5D">
        <w:rPr>
          <w:rFonts w:hint="cs"/>
          <w:b/>
          <w:bCs/>
          <w:rtl/>
        </w:rPr>
        <w:t xml:space="preserve">סגן שרון נ' התובע הצבאי הראשי </w:t>
      </w:r>
      <w:r w:rsidR="00A81B5D">
        <w:rPr>
          <w:rFonts w:hint="cs"/>
          <w:rtl/>
        </w:rPr>
        <w:t xml:space="preserve">(2017)). </w:t>
      </w:r>
    </w:p>
    <w:p w:rsidR="00962C11" w:rsidRDefault="003510FE" w:rsidP="00D53E6C">
      <w:pPr>
        <w:numPr>
          <w:ilvl w:val="0"/>
          <w:numId w:val="1"/>
        </w:numPr>
        <w:tabs>
          <w:tab w:val="left" w:pos="229"/>
          <w:tab w:val="left" w:pos="368"/>
        </w:tabs>
        <w:ind w:left="0" w:firstLine="0"/>
      </w:pPr>
      <w:r>
        <w:rPr>
          <w:rFonts w:hint="cs"/>
          <w:rtl/>
        </w:rPr>
        <w:t>אשר ל</w:t>
      </w:r>
      <w:r w:rsidR="00881E96">
        <w:rPr>
          <w:rFonts w:hint="cs"/>
          <w:rtl/>
        </w:rPr>
        <w:t>נסיבות ה</w:t>
      </w:r>
      <w:r>
        <w:rPr>
          <w:rFonts w:hint="cs"/>
          <w:rtl/>
        </w:rPr>
        <w:t>מקרה דנן</w:t>
      </w:r>
      <w:r w:rsidR="00962C11">
        <w:rPr>
          <w:rFonts w:hint="cs"/>
          <w:rtl/>
        </w:rPr>
        <w:t xml:space="preserve">, כעולה מקביעותיו העובדתיות של בית הדין קמא, </w:t>
      </w:r>
      <w:r>
        <w:rPr>
          <w:rFonts w:hint="cs"/>
          <w:rtl/>
        </w:rPr>
        <w:t xml:space="preserve">התמונה </w:t>
      </w:r>
      <w:r w:rsidR="002B0244">
        <w:rPr>
          <w:rFonts w:hint="cs"/>
          <w:rtl/>
        </w:rPr>
        <w:t>הראי</w:t>
      </w:r>
      <w:r>
        <w:rPr>
          <w:rFonts w:hint="cs"/>
          <w:rtl/>
        </w:rPr>
        <w:t xml:space="preserve">יתית </w:t>
      </w:r>
      <w:r w:rsidR="00881E96">
        <w:rPr>
          <w:rFonts w:hint="cs"/>
          <w:rtl/>
        </w:rPr>
        <w:t xml:space="preserve">הכוללת </w:t>
      </w:r>
      <w:r>
        <w:rPr>
          <w:rFonts w:hint="cs"/>
          <w:rtl/>
        </w:rPr>
        <w:t xml:space="preserve">שנפרסה לפניו, בהתאם לממצאי המהימנות שנקבעו </w:t>
      </w:r>
      <w:r w:rsidR="00881E96">
        <w:rPr>
          <w:rFonts w:hint="cs"/>
          <w:rtl/>
        </w:rPr>
        <w:t xml:space="preserve">על-ידיו, </w:t>
      </w:r>
      <w:r w:rsidR="002B0244">
        <w:rPr>
          <w:rFonts w:hint="cs"/>
          <w:rtl/>
        </w:rPr>
        <w:t>וב</w:t>
      </w:r>
      <w:r w:rsidR="00881E96">
        <w:rPr>
          <w:rFonts w:hint="cs"/>
          <w:rtl/>
        </w:rPr>
        <w:t xml:space="preserve">תוך כך </w:t>
      </w:r>
      <w:r w:rsidR="00D53E6C">
        <w:rPr>
          <w:rFonts w:hint="cs"/>
          <w:rtl/>
        </w:rPr>
        <w:t>–</w:t>
      </w:r>
      <w:r w:rsidR="00881E96">
        <w:rPr>
          <w:rFonts w:hint="cs"/>
          <w:rtl/>
        </w:rPr>
        <w:t xml:space="preserve"> </w:t>
      </w:r>
      <w:r w:rsidR="002B0244">
        <w:rPr>
          <w:rFonts w:hint="cs"/>
          <w:rtl/>
        </w:rPr>
        <w:t xml:space="preserve">התכתובות </w:t>
      </w:r>
      <w:r w:rsidR="00881E96">
        <w:rPr>
          <w:rFonts w:hint="cs"/>
          <w:rtl/>
        </w:rPr>
        <w:t xml:space="preserve">שהוחלפו </w:t>
      </w:r>
      <w:r w:rsidR="002B0244">
        <w:rPr>
          <w:rFonts w:hint="cs"/>
          <w:rtl/>
        </w:rPr>
        <w:t>בין המערער ל</w:t>
      </w:r>
      <w:r w:rsidR="00881E96">
        <w:rPr>
          <w:rFonts w:hint="cs"/>
          <w:rtl/>
        </w:rPr>
        <w:t xml:space="preserve">בין </w:t>
      </w:r>
      <w:r w:rsidR="002B0244">
        <w:rPr>
          <w:rFonts w:hint="cs"/>
          <w:rtl/>
        </w:rPr>
        <w:t xml:space="preserve">חבריו הנהגים </w:t>
      </w:r>
      <w:r w:rsidR="00881E96">
        <w:rPr>
          <w:rFonts w:hint="cs"/>
          <w:rtl/>
        </w:rPr>
        <w:t xml:space="preserve">בטלפונים הניידים </w:t>
      </w:r>
      <w:r w:rsidR="002B0244">
        <w:rPr>
          <w:rFonts w:hint="cs"/>
          <w:rtl/>
        </w:rPr>
        <w:t xml:space="preserve">ואף העובדה כי הפגיעות ברכב </w:t>
      </w:r>
      <w:r>
        <w:rPr>
          <w:rFonts w:hint="cs"/>
          <w:rtl/>
        </w:rPr>
        <w:t>היו מגוונות ו</w:t>
      </w:r>
      <w:r w:rsidR="002B0244">
        <w:rPr>
          <w:rFonts w:hint="cs"/>
          <w:rtl/>
        </w:rPr>
        <w:t>נעשו במהלך הסיור ולא לאחריו</w:t>
      </w:r>
      <w:r>
        <w:rPr>
          <w:rFonts w:hint="cs"/>
          <w:rtl/>
        </w:rPr>
        <w:t xml:space="preserve"> </w:t>
      </w:r>
      <w:r w:rsidR="00D53E6C">
        <w:rPr>
          <w:rFonts w:hint="cs"/>
          <w:rtl/>
        </w:rPr>
        <w:t>–</w:t>
      </w:r>
      <w:r>
        <w:rPr>
          <w:rFonts w:hint="cs"/>
          <w:rtl/>
        </w:rPr>
        <w:t xml:space="preserve"> </w:t>
      </w:r>
      <w:r w:rsidR="002B0244">
        <w:rPr>
          <w:rFonts w:hint="cs"/>
          <w:rtl/>
        </w:rPr>
        <w:t xml:space="preserve">הצביעו על כך שעל-פי רוב, האופן שבו פעל המערער גרם להפסקה בסיור ולעיתים אף </w:t>
      </w:r>
      <w:r w:rsidR="00962C11">
        <w:rPr>
          <w:rFonts w:hint="cs"/>
          <w:rtl/>
        </w:rPr>
        <w:t>להשבתת</w:t>
      </w:r>
      <w:r w:rsidR="002B0244">
        <w:rPr>
          <w:rFonts w:hint="cs"/>
          <w:rtl/>
        </w:rPr>
        <w:t xml:space="preserve">ו. </w:t>
      </w:r>
      <w:r w:rsidR="00881E96">
        <w:rPr>
          <w:rFonts w:hint="cs"/>
          <w:rtl/>
        </w:rPr>
        <w:t xml:space="preserve">מן הראיות עלה, כי מעשיו של המערער </w:t>
      </w:r>
      <w:r w:rsidR="00962C11">
        <w:rPr>
          <w:rFonts w:hint="cs"/>
          <w:rtl/>
        </w:rPr>
        <w:t>נעשו ב</w:t>
      </w:r>
      <w:r w:rsidR="000F362D">
        <w:rPr>
          <w:rFonts w:hint="cs"/>
          <w:rtl/>
        </w:rPr>
        <w:t>סתר</w:t>
      </w:r>
      <w:r w:rsidR="002E3442">
        <w:rPr>
          <w:rFonts w:hint="cs"/>
          <w:rtl/>
        </w:rPr>
        <w:t>,</w:t>
      </w:r>
      <w:r w:rsidR="000F362D">
        <w:rPr>
          <w:rFonts w:hint="cs"/>
          <w:rtl/>
        </w:rPr>
        <w:t xml:space="preserve"> כך שהנזקים </w:t>
      </w:r>
      <w:r w:rsidR="00881E96">
        <w:rPr>
          <w:rFonts w:hint="cs"/>
          <w:rtl/>
        </w:rPr>
        <w:t xml:space="preserve">שגרם לרכב </w:t>
      </w:r>
      <w:r w:rsidR="000F362D">
        <w:rPr>
          <w:rFonts w:hint="cs"/>
          <w:rtl/>
        </w:rPr>
        <w:t xml:space="preserve">ייחזו </w:t>
      </w:r>
      <w:r w:rsidR="00962C11">
        <w:rPr>
          <w:rFonts w:hint="cs"/>
          <w:rtl/>
        </w:rPr>
        <w:t>כתקלות שמקורן בבלאי טבעי</w:t>
      </w:r>
      <w:r w:rsidR="00881E96">
        <w:rPr>
          <w:rFonts w:hint="cs"/>
          <w:rtl/>
        </w:rPr>
        <w:t>-שגרתי</w:t>
      </w:r>
      <w:r w:rsidR="00962C11">
        <w:rPr>
          <w:rFonts w:hint="cs"/>
          <w:rtl/>
        </w:rPr>
        <w:t xml:space="preserve">. המערער פעל בדרך שתסווה את מעורבותו במעשים </w:t>
      </w:r>
      <w:r w:rsidR="00EB6626">
        <w:rPr>
          <w:rFonts w:hint="cs"/>
          <w:rtl/>
        </w:rPr>
        <w:t xml:space="preserve">ואת המקור לתקלות </w:t>
      </w:r>
      <w:r w:rsidR="00962C11">
        <w:rPr>
          <w:rFonts w:hint="cs"/>
          <w:rtl/>
        </w:rPr>
        <w:t>ותרם בכך</w:t>
      </w:r>
      <w:r w:rsidR="002B0244">
        <w:rPr>
          <w:rFonts w:hint="cs"/>
          <w:rtl/>
        </w:rPr>
        <w:t>,</w:t>
      </w:r>
      <w:r w:rsidR="00962C11">
        <w:rPr>
          <w:rFonts w:hint="cs"/>
          <w:rtl/>
        </w:rPr>
        <w:t xml:space="preserve"> </w:t>
      </w:r>
      <w:r w:rsidR="002B0244">
        <w:rPr>
          <w:rFonts w:hint="cs"/>
          <w:rtl/>
        </w:rPr>
        <w:t xml:space="preserve">על-פי רוב, </w:t>
      </w:r>
      <w:r w:rsidR="00962C11">
        <w:rPr>
          <w:rFonts w:hint="cs"/>
          <w:rtl/>
        </w:rPr>
        <w:t>להתארכות פרק הזמן הנדרש לתיקון, להכבדה על אפשרויות הטיפול ב</w:t>
      </w:r>
      <w:r w:rsidR="000F362D">
        <w:rPr>
          <w:rFonts w:hint="cs"/>
          <w:rtl/>
        </w:rPr>
        <w:t>רכב</w:t>
      </w:r>
      <w:r w:rsidR="00962C11">
        <w:rPr>
          <w:rFonts w:hint="cs"/>
          <w:rtl/>
        </w:rPr>
        <w:t xml:space="preserve"> ובתוך כך, כפי שחפץ </w:t>
      </w:r>
      <w:r w:rsidR="00962C11">
        <w:rPr>
          <w:rtl/>
        </w:rPr>
        <w:t>–</w:t>
      </w:r>
      <w:r w:rsidR="000F362D">
        <w:rPr>
          <w:rFonts w:hint="cs"/>
          <w:rtl/>
        </w:rPr>
        <w:t xml:space="preserve"> </w:t>
      </w:r>
      <w:r w:rsidR="00962C11">
        <w:rPr>
          <w:rFonts w:hint="cs"/>
          <w:rtl/>
        </w:rPr>
        <w:t xml:space="preserve">להפסקת </w:t>
      </w:r>
      <w:r w:rsidR="00EB6626">
        <w:rPr>
          <w:rFonts w:hint="cs"/>
          <w:rtl/>
        </w:rPr>
        <w:t xml:space="preserve">חלק מן </w:t>
      </w:r>
      <w:r w:rsidR="00962C11">
        <w:rPr>
          <w:rFonts w:hint="cs"/>
          <w:rtl/>
        </w:rPr>
        <w:t>הסיורים</w:t>
      </w:r>
      <w:r w:rsidR="002B0244">
        <w:rPr>
          <w:rFonts w:hint="cs"/>
          <w:rtl/>
        </w:rPr>
        <w:t xml:space="preserve"> ואף לאפשרות לחזור על המעשים, מבלי להיתפס</w:t>
      </w:r>
      <w:r w:rsidR="00962C11">
        <w:rPr>
          <w:rFonts w:hint="cs"/>
          <w:rtl/>
        </w:rPr>
        <w:t xml:space="preserve"> </w:t>
      </w:r>
      <w:r w:rsidR="00962C11">
        <w:rPr>
          <w:rFonts w:hint="cs"/>
          <w:rtl/>
        </w:rPr>
        <w:lastRenderedPageBreak/>
        <w:t>(</w:t>
      </w:r>
      <w:r w:rsidR="00D90131">
        <w:rPr>
          <w:rFonts w:hint="cs"/>
          <w:rtl/>
        </w:rPr>
        <w:t xml:space="preserve">פסקאות </w:t>
      </w:r>
      <w:r w:rsidR="00D53E6C">
        <w:rPr>
          <w:rFonts w:hint="cs"/>
          <w:rtl/>
        </w:rPr>
        <w:t>201-197</w:t>
      </w:r>
      <w:r w:rsidR="00D90131">
        <w:rPr>
          <w:rFonts w:hint="cs"/>
          <w:rtl/>
        </w:rPr>
        <w:t xml:space="preserve"> ו-כן 218</w:t>
      </w:r>
      <w:r w:rsidR="00D53E6C">
        <w:rPr>
          <w:rFonts w:hint="cs"/>
          <w:rtl/>
        </w:rPr>
        <w:t>-215</w:t>
      </w:r>
      <w:r w:rsidR="00D90131">
        <w:rPr>
          <w:rFonts w:hint="cs"/>
          <w:rtl/>
        </w:rPr>
        <w:t xml:space="preserve"> </w:t>
      </w:r>
      <w:r w:rsidR="002B0244">
        <w:rPr>
          <w:rFonts w:hint="cs"/>
          <w:rtl/>
        </w:rPr>
        <w:t>להכרעת הדין)</w:t>
      </w:r>
      <w:r w:rsidR="00962C11">
        <w:rPr>
          <w:rFonts w:hint="cs"/>
          <w:rtl/>
        </w:rPr>
        <w:t xml:space="preserve">. </w:t>
      </w:r>
      <w:r w:rsidR="002B0244">
        <w:rPr>
          <w:rFonts w:hint="cs"/>
          <w:rtl/>
        </w:rPr>
        <w:t xml:space="preserve">בכך, כפי שפירט בית הדין קמא הנכבד, נקט המערער "אמצעי הונאה" שנועדו לסייע בידיו להשתמט מפעולה מסויימת </w:t>
      </w:r>
      <w:r w:rsidR="002B0244">
        <w:rPr>
          <w:rtl/>
        </w:rPr>
        <w:t>–</w:t>
      </w:r>
      <w:r w:rsidR="002B0244">
        <w:rPr>
          <w:rFonts w:hint="cs"/>
          <w:rtl/>
        </w:rPr>
        <w:t xml:space="preserve"> סיור בט"ש באמצעות רכב מבצעי</w:t>
      </w:r>
      <w:r w:rsidR="000F362D">
        <w:rPr>
          <w:rFonts w:hint="cs"/>
          <w:rtl/>
        </w:rPr>
        <w:t>,</w:t>
      </w:r>
      <w:r w:rsidR="002B0244">
        <w:rPr>
          <w:rFonts w:hint="cs"/>
          <w:rtl/>
        </w:rPr>
        <w:t xml:space="preserve"> </w:t>
      </w:r>
      <w:r w:rsidR="000F362D">
        <w:rPr>
          <w:rFonts w:hint="cs"/>
          <w:rtl/>
        </w:rPr>
        <w:t xml:space="preserve">אשר נועד </w:t>
      </w:r>
      <w:r w:rsidR="002B0244">
        <w:rPr>
          <w:rFonts w:hint="cs"/>
          <w:rtl/>
        </w:rPr>
        <w:t xml:space="preserve">לכך. </w:t>
      </w:r>
    </w:p>
    <w:p w:rsidR="003510FE" w:rsidRDefault="003510FE" w:rsidP="000F362D">
      <w:pPr>
        <w:numPr>
          <w:ilvl w:val="0"/>
          <w:numId w:val="1"/>
        </w:numPr>
        <w:tabs>
          <w:tab w:val="left" w:pos="229"/>
          <w:tab w:val="left" w:pos="368"/>
        </w:tabs>
        <w:ind w:left="0" w:firstLine="0"/>
      </w:pPr>
      <w:r>
        <w:rPr>
          <w:rFonts w:hint="cs"/>
          <w:rtl/>
        </w:rPr>
        <w:t>אשר על כן, ו</w:t>
      </w:r>
      <w:r w:rsidR="000F362D">
        <w:rPr>
          <w:rFonts w:hint="cs"/>
          <w:rtl/>
        </w:rPr>
        <w:t xml:space="preserve">נוכח </w:t>
      </w:r>
      <w:r>
        <w:rPr>
          <w:rFonts w:hint="cs"/>
          <w:rtl/>
        </w:rPr>
        <w:t xml:space="preserve">קביעותיו העובדתיות של בית הדין קמא הנכבד בנוגע להוכחת היסוד הנפשי בעבירה, קביעות שעליהן לא חלקה ההגנה </w:t>
      </w:r>
      <w:r>
        <w:rPr>
          <w:rtl/>
        </w:rPr>
        <w:t>–</w:t>
      </w:r>
      <w:r>
        <w:rPr>
          <w:rFonts w:hint="cs"/>
          <w:rtl/>
        </w:rPr>
        <w:t xml:space="preserve"> יש לקבוע כי אשמתו של המערער בעבירה הוכחה כנדרש. </w:t>
      </w:r>
    </w:p>
    <w:p w:rsidR="00D516DF" w:rsidRDefault="00D516DF" w:rsidP="002640CF"/>
    <w:p w:rsidR="00124A51" w:rsidRDefault="00DA0919" w:rsidP="002640CF">
      <w:pPr>
        <w:rPr>
          <w:rtl/>
        </w:rPr>
      </w:pPr>
      <w:r w:rsidRPr="002640CF">
        <w:rPr>
          <w:rFonts w:hint="cs"/>
          <w:u w:val="single"/>
          <w:rtl/>
        </w:rPr>
        <w:t>אכיפה בררנית</w:t>
      </w:r>
      <w:r>
        <w:rPr>
          <w:rFonts w:hint="cs"/>
          <w:rtl/>
        </w:rPr>
        <w:t xml:space="preserve">  </w:t>
      </w:r>
    </w:p>
    <w:p w:rsidR="006B5C17" w:rsidRDefault="006B5C17" w:rsidP="006B5C17">
      <w:pPr>
        <w:numPr>
          <w:ilvl w:val="0"/>
          <w:numId w:val="1"/>
        </w:numPr>
        <w:tabs>
          <w:tab w:val="left" w:pos="229"/>
          <w:tab w:val="left" w:pos="368"/>
        </w:tabs>
        <w:ind w:left="0" w:firstLine="0"/>
      </w:pPr>
      <w:r>
        <w:rPr>
          <w:rFonts w:hint="cs"/>
          <w:rtl/>
        </w:rPr>
        <w:t>כאמור, ההגנה הציגה מספר מקרים מן הפסיקה הצבאית, אשר לשיטתה, מצביעים על אפלייתו של המערער אל מול קבוצת שוויון רחבה (שלא במסגרת אותה פרשה), בכל הנוגע להחלטת התביעה הצבאית להעמידו לדין בעבירה של השתמטות מפעולה מסויימת. כידוע, הלכה פסוקה היא, כי:</w:t>
      </w:r>
      <w:r w:rsidR="00CA5DF2">
        <w:rPr>
          <w:rFonts w:ascii="Arial" w:hAnsi="Arial" w:hint="cs"/>
          <w:rtl/>
        </w:rPr>
        <w:t xml:space="preserve"> </w:t>
      </w:r>
    </w:p>
    <w:p w:rsidR="006B5C17" w:rsidRPr="006B5C17" w:rsidRDefault="006B5C17" w:rsidP="006B5C17">
      <w:pPr>
        <w:tabs>
          <w:tab w:val="left" w:pos="229"/>
        </w:tabs>
        <w:spacing w:line="240" w:lineRule="auto"/>
        <w:ind w:left="1076" w:right="1985"/>
        <w:rPr>
          <w:rtl/>
        </w:rPr>
      </w:pPr>
      <w:r w:rsidRPr="006B5C17">
        <w:rPr>
          <w:rFonts w:hint="cs"/>
          <w:rtl/>
        </w:rPr>
        <w:t>"על</w:t>
      </w:r>
      <w:r w:rsidRPr="006B5C17">
        <w:rPr>
          <w:rtl/>
        </w:rPr>
        <w:t xml:space="preserve"> </w:t>
      </w:r>
      <w:r w:rsidRPr="006B5C17">
        <w:rPr>
          <w:rFonts w:hint="cs"/>
          <w:rtl/>
        </w:rPr>
        <w:t>מנת</w:t>
      </w:r>
      <w:r w:rsidRPr="006B5C17">
        <w:rPr>
          <w:rtl/>
        </w:rPr>
        <w:t xml:space="preserve"> </w:t>
      </w:r>
      <w:r w:rsidRPr="006B5C17">
        <w:rPr>
          <w:rFonts w:hint="cs"/>
          <w:rtl/>
        </w:rPr>
        <w:t>להצליח</w:t>
      </w:r>
      <w:r w:rsidRPr="006B5C17">
        <w:rPr>
          <w:rtl/>
        </w:rPr>
        <w:t xml:space="preserve"> </w:t>
      </w:r>
      <w:r w:rsidRPr="006B5C17">
        <w:rPr>
          <w:rFonts w:hint="cs"/>
          <w:rtl/>
        </w:rPr>
        <w:t>בטענה</w:t>
      </w:r>
      <w:r w:rsidRPr="006B5C17">
        <w:rPr>
          <w:rtl/>
        </w:rPr>
        <w:t xml:space="preserve"> </w:t>
      </w:r>
      <w:r w:rsidRPr="006B5C17">
        <w:rPr>
          <w:rFonts w:hint="cs"/>
          <w:rtl/>
        </w:rPr>
        <w:t>של</w:t>
      </w:r>
      <w:r w:rsidRPr="006B5C17">
        <w:rPr>
          <w:rtl/>
        </w:rPr>
        <w:t xml:space="preserve"> </w:t>
      </w:r>
      <w:r w:rsidRPr="006B5C17">
        <w:rPr>
          <w:rFonts w:hint="cs"/>
          <w:rtl/>
        </w:rPr>
        <w:t>אכיפה</w:t>
      </w:r>
      <w:r w:rsidRPr="006B5C17">
        <w:rPr>
          <w:rtl/>
        </w:rPr>
        <w:t xml:space="preserve"> </w:t>
      </w:r>
      <w:r w:rsidRPr="006B5C17">
        <w:rPr>
          <w:rFonts w:hint="cs"/>
          <w:rtl/>
        </w:rPr>
        <w:t>בררנית</w:t>
      </w:r>
      <w:r w:rsidRPr="006B5C17">
        <w:rPr>
          <w:rtl/>
        </w:rPr>
        <w:t xml:space="preserve">, </w:t>
      </w:r>
      <w:r w:rsidRPr="006B5C17">
        <w:rPr>
          <w:rFonts w:hint="cs"/>
          <w:rtl/>
        </w:rPr>
        <w:t>אין</w:t>
      </w:r>
      <w:r w:rsidRPr="006B5C17">
        <w:rPr>
          <w:rtl/>
        </w:rPr>
        <w:t xml:space="preserve"> </w:t>
      </w:r>
      <w:r w:rsidRPr="006B5C17">
        <w:rPr>
          <w:rFonts w:hint="cs"/>
          <w:rtl/>
        </w:rPr>
        <w:t>די</w:t>
      </w:r>
      <w:r w:rsidRPr="006B5C17">
        <w:rPr>
          <w:rtl/>
        </w:rPr>
        <w:t xml:space="preserve"> </w:t>
      </w:r>
      <w:r w:rsidRPr="006B5C17">
        <w:rPr>
          <w:rFonts w:hint="cs"/>
          <w:rtl/>
        </w:rPr>
        <w:t>להראות</w:t>
      </w:r>
      <w:r w:rsidRPr="006B5C17">
        <w:rPr>
          <w:rtl/>
        </w:rPr>
        <w:t xml:space="preserve"> </w:t>
      </w:r>
      <w:r w:rsidRPr="006B5C17">
        <w:rPr>
          <w:rFonts w:hint="cs"/>
          <w:rtl/>
        </w:rPr>
        <w:t>כי</w:t>
      </w:r>
      <w:r w:rsidRPr="006B5C17">
        <w:rPr>
          <w:rtl/>
        </w:rPr>
        <w:t xml:space="preserve"> </w:t>
      </w:r>
      <w:r w:rsidRPr="006B5C17">
        <w:rPr>
          <w:rFonts w:hint="cs"/>
          <w:rtl/>
        </w:rPr>
        <w:t>קיימים</w:t>
      </w:r>
      <w:r w:rsidRPr="006B5C17">
        <w:rPr>
          <w:rtl/>
        </w:rPr>
        <w:t xml:space="preserve"> </w:t>
      </w:r>
      <w:r w:rsidRPr="006B5C17">
        <w:rPr>
          <w:rFonts w:hint="cs"/>
          <w:rtl/>
        </w:rPr>
        <w:t>מקרים</w:t>
      </w:r>
      <w:r w:rsidRPr="006B5C17">
        <w:rPr>
          <w:rtl/>
        </w:rPr>
        <w:t xml:space="preserve"> </w:t>
      </w:r>
      <w:r w:rsidRPr="006B5C17">
        <w:rPr>
          <w:rFonts w:hint="cs"/>
          <w:rtl/>
        </w:rPr>
        <w:t>דומים</w:t>
      </w:r>
      <w:r w:rsidRPr="006B5C17">
        <w:rPr>
          <w:rtl/>
        </w:rPr>
        <w:t xml:space="preserve"> </w:t>
      </w:r>
      <w:r w:rsidRPr="006B5C17">
        <w:rPr>
          <w:rFonts w:hint="cs"/>
          <w:rtl/>
        </w:rPr>
        <w:t>אחרים</w:t>
      </w:r>
      <w:r w:rsidRPr="006B5C17">
        <w:rPr>
          <w:rtl/>
        </w:rPr>
        <w:t xml:space="preserve"> </w:t>
      </w:r>
      <w:r w:rsidRPr="006B5C17">
        <w:rPr>
          <w:rFonts w:hint="cs"/>
          <w:rtl/>
        </w:rPr>
        <w:t>שבהם</w:t>
      </w:r>
      <w:r w:rsidRPr="006B5C17">
        <w:rPr>
          <w:rtl/>
        </w:rPr>
        <w:t xml:space="preserve"> </w:t>
      </w:r>
      <w:r w:rsidRPr="006B5C17">
        <w:rPr>
          <w:rFonts w:hint="cs"/>
          <w:rtl/>
        </w:rPr>
        <w:t>לא</w:t>
      </w:r>
      <w:r w:rsidRPr="006B5C17">
        <w:rPr>
          <w:rtl/>
        </w:rPr>
        <w:t xml:space="preserve"> </w:t>
      </w:r>
      <w:r w:rsidRPr="006B5C17">
        <w:rPr>
          <w:rFonts w:hint="cs"/>
          <w:rtl/>
        </w:rPr>
        <w:t>הועמדו</w:t>
      </w:r>
      <w:r w:rsidRPr="006B5C17">
        <w:rPr>
          <w:rtl/>
        </w:rPr>
        <w:t xml:space="preserve"> </w:t>
      </w:r>
      <w:r w:rsidRPr="006B5C17">
        <w:rPr>
          <w:rFonts w:hint="cs"/>
          <w:rtl/>
        </w:rPr>
        <w:t>חשודים</w:t>
      </w:r>
      <w:r w:rsidRPr="006B5C17">
        <w:rPr>
          <w:rtl/>
        </w:rPr>
        <w:t xml:space="preserve"> </w:t>
      </w:r>
      <w:r w:rsidRPr="006B5C17">
        <w:rPr>
          <w:rFonts w:hint="cs"/>
          <w:rtl/>
        </w:rPr>
        <w:t>לדין</w:t>
      </w:r>
      <w:r w:rsidRPr="006B5C17">
        <w:rPr>
          <w:rtl/>
        </w:rPr>
        <w:t xml:space="preserve">. </w:t>
      </w:r>
      <w:r w:rsidRPr="006B5C17">
        <w:rPr>
          <w:rFonts w:hint="cs"/>
          <w:rtl/>
        </w:rPr>
        <w:t>אכיפה</w:t>
      </w:r>
      <w:r w:rsidRPr="006B5C17">
        <w:rPr>
          <w:rtl/>
        </w:rPr>
        <w:t xml:space="preserve"> </w:t>
      </w:r>
      <w:r w:rsidRPr="006B5C17">
        <w:rPr>
          <w:rFonts w:hint="cs"/>
          <w:rtl/>
        </w:rPr>
        <w:t>היא</w:t>
      </w:r>
      <w:r w:rsidRPr="006B5C17">
        <w:rPr>
          <w:rtl/>
        </w:rPr>
        <w:t xml:space="preserve"> </w:t>
      </w:r>
      <w:r w:rsidRPr="006B5C17">
        <w:rPr>
          <w:rFonts w:hint="cs"/>
          <w:rtl/>
        </w:rPr>
        <w:t>בררנית</w:t>
      </w:r>
      <w:r w:rsidRPr="006B5C17">
        <w:rPr>
          <w:rtl/>
        </w:rPr>
        <w:t xml:space="preserve">, </w:t>
      </w:r>
      <w:r w:rsidRPr="006B5C17">
        <w:rPr>
          <w:rFonts w:hint="cs"/>
          <w:rtl/>
        </w:rPr>
        <w:t>להבדיל</w:t>
      </w:r>
      <w:r w:rsidRPr="006B5C17">
        <w:rPr>
          <w:rtl/>
        </w:rPr>
        <w:t xml:space="preserve"> </w:t>
      </w:r>
      <w:r w:rsidRPr="006B5C17">
        <w:rPr>
          <w:rFonts w:hint="cs"/>
          <w:rtl/>
        </w:rPr>
        <w:t>מאכיפה</w:t>
      </w:r>
      <w:r w:rsidRPr="006B5C17">
        <w:rPr>
          <w:rtl/>
        </w:rPr>
        <w:t xml:space="preserve"> </w:t>
      </w:r>
      <w:r w:rsidRPr="006B5C17">
        <w:rPr>
          <w:rFonts w:hint="cs"/>
          <w:rtl/>
        </w:rPr>
        <w:t>סלקטיבית</w:t>
      </w:r>
      <w:r w:rsidRPr="006B5C17">
        <w:rPr>
          <w:rtl/>
        </w:rPr>
        <w:t xml:space="preserve"> </w:t>
      </w:r>
      <w:r w:rsidRPr="006B5C17">
        <w:rPr>
          <w:rFonts w:hint="cs"/>
          <w:rtl/>
        </w:rPr>
        <w:t>או</w:t>
      </w:r>
      <w:r w:rsidRPr="006B5C17">
        <w:rPr>
          <w:rtl/>
        </w:rPr>
        <w:t xml:space="preserve"> </w:t>
      </w:r>
      <w:r w:rsidRPr="006B5C17">
        <w:rPr>
          <w:rFonts w:hint="cs"/>
          <w:rtl/>
        </w:rPr>
        <w:t>חלקית</w:t>
      </w:r>
      <w:r w:rsidRPr="006B5C17">
        <w:rPr>
          <w:rtl/>
        </w:rPr>
        <w:t xml:space="preserve">, </w:t>
      </w:r>
      <w:r w:rsidRPr="006B5C17">
        <w:rPr>
          <w:rFonts w:hint="cs"/>
          <w:rtl/>
        </w:rPr>
        <w:t>רק</w:t>
      </w:r>
      <w:r w:rsidRPr="006B5C17">
        <w:rPr>
          <w:rtl/>
        </w:rPr>
        <w:t xml:space="preserve"> </w:t>
      </w:r>
      <w:r w:rsidRPr="006B5C17">
        <w:rPr>
          <w:rFonts w:hint="cs"/>
          <w:rtl/>
        </w:rPr>
        <w:t>אם</w:t>
      </w:r>
      <w:r w:rsidRPr="006B5C17">
        <w:rPr>
          <w:rtl/>
        </w:rPr>
        <w:t xml:space="preserve"> </w:t>
      </w:r>
      <w:r w:rsidRPr="006B5C17">
        <w:rPr>
          <w:rFonts w:hint="cs"/>
          <w:rtl/>
        </w:rPr>
        <w:t>ההבחנה</w:t>
      </w:r>
      <w:r w:rsidRPr="006B5C17">
        <w:rPr>
          <w:rtl/>
        </w:rPr>
        <w:t xml:space="preserve"> </w:t>
      </w:r>
      <w:r w:rsidRPr="006B5C17">
        <w:rPr>
          <w:rFonts w:hint="cs"/>
          <w:rtl/>
        </w:rPr>
        <w:t>היא</w:t>
      </w:r>
      <w:r w:rsidRPr="006B5C17">
        <w:rPr>
          <w:rtl/>
        </w:rPr>
        <w:t xml:space="preserve"> </w:t>
      </w:r>
      <w:r w:rsidRPr="006B5C17">
        <w:rPr>
          <w:rFonts w:hint="cs"/>
          <w:rtl/>
        </w:rPr>
        <w:t>שרירותית</w:t>
      </w:r>
      <w:r w:rsidRPr="006B5C17">
        <w:rPr>
          <w:rtl/>
        </w:rPr>
        <w:t xml:space="preserve"> </w:t>
      </w:r>
      <w:r w:rsidRPr="006B5C17">
        <w:rPr>
          <w:rFonts w:hint="cs"/>
          <w:rtl/>
        </w:rPr>
        <w:t>וחסרת</w:t>
      </w:r>
      <w:r w:rsidRPr="006B5C17">
        <w:rPr>
          <w:rtl/>
        </w:rPr>
        <w:t xml:space="preserve"> </w:t>
      </w:r>
      <w:r w:rsidRPr="006B5C17">
        <w:rPr>
          <w:rFonts w:hint="cs"/>
          <w:rtl/>
        </w:rPr>
        <w:t>הצדקה...</w:t>
      </w:r>
      <w:r w:rsidRPr="006B5C17">
        <w:rPr>
          <w:rtl/>
        </w:rPr>
        <w:t xml:space="preserve"> </w:t>
      </w:r>
      <w:r w:rsidRPr="006B5C17">
        <w:rPr>
          <w:rFonts w:hint="cs"/>
          <w:rtl/>
        </w:rPr>
        <w:t>העלאת</w:t>
      </w:r>
      <w:r w:rsidRPr="006B5C17">
        <w:rPr>
          <w:rtl/>
        </w:rPr>
        <w:t xml:space="preserve"> </w:t>
      </w:r>
      <w:r w:rsidRPr="006B5C17">
        <w:rPr>
          <w:rFonts w:hint="cs"/>
          <w:rtl/>
        </w:rPr>
        <w:t>טענה</w:t>
      </w:r>
      <w:r w:rsidRPr="006B5C17">
        <w:rPr>
          <w:rtl/>
        </w:rPr>
        <w:t xml:space="preserve"> </w:t>
      </w:r>
      <w:r w:rsidRPr="006B5C17">
        <w:rPr>
          <w:rFonts w:hint="cs"/>
          <w:rtl/>
        </w:rPr>
        <w:t>של</w:t>
      </w:r>
      <w:r w:rsidRPr="006B5C17">
        <w:rPr>
          <w:rtl/>
        </w:rPr>
        <w:t xml:space="preserve"> </w:t>
      </w:r>
      <w:r w:rsidRPr="006B5C17">
        <w:rPr>
          <w:rFonts w:hint="cs"/>
          <w:rtl/>
        </w:rPr>
        <w:t>אכיפה</w:t>
      </w:r>
      <w:r w:rsidRPr="006B5C17">
        <w:rPr>
          <w:rtl/>
        </w:rPr>
        <w:t xml:space="preserve"> </w:t>
      </w:r>
      <w:r w:rsidRPr="006B5C17">
        <w:rPr>
          <w:rFonts w:hint="cs"/>
          <w:rtl/>
        </w:rPr>
        <w:t>בררנית</w:t>
      </w:r>
      <w:r w:rsidRPr="006B5C17">
        <w:rPr>
          <w:rtl/>
        </w:rPr>
        <w:t xml:space="preserve">, </w:t>
      </w:r>
      <w:r w:rsidRPr="006B5C17">
        <w:rPr>
          <w:rFonts w:hint="cs"/>
          <w:rtl/>
        </w:rPr>
        <w:t>מחייבת</w:t>
      </w:r>
      <w:r w:rsidRPr="006B5C17">
        <w:rPr>
          <w:rtl/>
        </w:rPr>
        <w:t xml:space="preserve"> </w:t>
      </w:r>
      <w:r w:rsidRPr="006B5C17">
        <w:rPr>
          <w:rFonts w:hint="cs"/>
          <w:rtl/>
        </w:rPr>
        <w:t>את</w:t>
      </w:r>
      <w:r w:rsidRPr="006B5C17">
        <w:rPr>
          <w:rtl/>
        </w:rPr>
        <w:t xml:space="preserve"> </w:t>
      </w:r>
      <w:r w:rsidRPr="006B5C17">
        <w:rPr>
          <w:rFonts w:hint="cs"/>
          <w:rtl/>
        </w:rPr>
        <w:t>הנאשם</w:t>
      </w:r>
      <w:r w:rsidRPr="006B5C17">
        <w:rPr>
          <w:rtl/>
        </w:rPr>
        <w:t xml:space="preserve"> </w:t>
      </w:r>
      <w:r w:rsidRPr="006B5C17">
        <w:rPr>
          <w:rFonts w:hint="cs"/>
          <w:rtl/>
        </w:rPr>
        <w:t>להוכיח</w:t>
      </w:r>
      <w:r w:rsidRPr="006B5C17">
        <w:rPr>
          <w:rtl/>
        </w:rPr>
        <w:t xml:space="preserve"> </w:t>
      </w:r>
      <w:r w:rsidRPr="006B5C17">
        <w:rPr>
          <w:rFonts w:hint="cs"/>
          <w:rtl/>
        </w:rPr>
        <w:t>כי</w:t>
      </w:r>
      <w:r w:rsidRPr="006B5C17">
        <w:rPr>
          <w:rtl/>
        </w:rPr>
        <w:t xml:space="preserve"> </w:t>
      </w:r>
      <w:r w:rsidRPr="006B5C17">
        <w:rPr>
          <w:rFonts w:hint="cs"/>
          <w:rtl/>
        </w:rPr>
        <w:t>ההבחנה</w:t>
      </w:r>
      <w:r w:rsidRPr="006B5C17">
        <w:rPr>
          <w:rtl/>
        </w:rPr>
        <w:t xml:space="preserve"> </w:t>
      </w:r>
      <w:r w:rsidRPr="006B5C17">
        <w:rPr>
          <w:rFonts w:hint="cs"/>
          <w:rtl/>
        </w:rPr>
        <w:t>שערכה</w:t>
      </w:r>
      <w:r w:rsidRPr="006B5C17">
        <w:rPr>
          <w:rtl/>
        </w:rPr>
        <w:t xml:space="preserve"> </w:t>
      </w:r>
      <w:r w:rsidRPr="006B5C17">
        <w:rPr>
          <w:rFonts w:hint="cs"/>
          <w:rtl/>
        </w:rPr>
        <w:t>התביעה</w:t>
      </w:r>
      <w:r w:rsidRPr="006B5C17">
        <w:rPr>
          <w:rtl/>
        </w:rPr>
        <w:t xml:space="preserve"> </w:t>
      </w:r>
      <w:r w:rsidRPr="006B5C17">
        <w:rPr>
          <w:rFonts w:hint="cs"/>
          <w:rtl/>
        </w:rPr>
        <w:t>בינו</w:t>
      </w:r>
      <w:r w:rsidRPr="006B5C17">
        <w:rPr>
          <w:rtl/>
        </w:rPr>
        <w:t xml:space="preserve"> </w:t>
      </w:r>
      <w:r w:rsidRPr="006B5C17">
        <w:rPr>
          <w:rFonts w:hint="cs"/>
          <w:rtl/>
        </w:rPr>
        <w:t>לבין</w:t>
      </w:r>
      <w:r w:rsidRPr="006B5C17">
        <w:rPr>
          <w:rtl/>
        </w:rPr>
        <w:t xml:space="preserve"> </w:t>
      </w:r>
      <w:r w:rsidRPr="006B5C17">
        <w:rPr>
          <w:rFonts w:hint="cs"/>
          <w:rtl/>
        </w:rPr>
        <w:t>נאשמים</w:t>
      </w:r>
      <w:r w:rsidRPr="006B5C17">
        <w:rPr>
          <w:rtl/>
        </w:rPr>
        <w:t xml:space="preserve"> </w:t>
      </w:r>
      <w:r w:rsidRPr="006B5C17">
        <w:rPr>
          <w:rFonts w:hint="cs"/>
          <w:rtl/>
        </w:rPr>
        <w:t>או</w:t>
      </w:r>
      <w:r w:rsidRPr="006B5C17">
        <w:rPr>
          <w:rtl/>
        </w:rPr>
        <w:t xml:space="preserve"> </w:t>
      </w:r>
      <w:r w:rsidRPr="006B5C17">
        <w:rPr>
          <w:rFonts w:hint="cs"/>
          <w:rtl/>
        </w:rPr>
        <w:t>חשודים</w:t>
      </w:r>
      <w:r w:rsidRPr="006B5C17">
        <w:rPr>
          <w:rtl/>
        </w:rPr>
        <w:t xml:space="preserve"> </w:t>
      </w:r>
      <w:r w:rsidRPr="006B5C17">
        <w:rPr>
          <w:rFonts w:hint="cs"/>
          <w:rtl/>
        </w:rPr>
        <w:t>אחרים</w:t>
      </w:r>
      <w:r w:rsidRPr="006B5C17">
        <w:rPr>
          <w:rtl/>
        </w:rPr>
        <w:t xml:space="preserve"> </w:t>
      </w:r>
      <w:r w:rsidRPr="006B5C17">
        <w:rPr>
          <w:rFonts w:hint="cs"/>
          <w:rtl/>
        </w:rPr>
        <w:t>הנמנים</w:t>
      </w:r>
      <w:r w:rsidRPr="006B5C17">
        <w:rPr>
          <w:rtl/>
        </w:rPr>
        <w:t xml:space="preserve"> </w:t>
      </w:r>
      <w:r w:rsidRPr="006B5C17">
        <w:rPr>
          <w:rFonts w:hint="cs"/>
          <w:rtl/>
        </w:rPr>
        <w:t>עם</w:t>
      </w:r>
      <w:r w:rsidRPr="006B5C17">
        <w:rPr>
          <w:rtl/>
        </w:rPr>
        <w:t xml:space="preserve"> </w:t>
      </w:r>
      <w:r w:rsidRPr="006B5C17">
        <w:rPr>
          <w:rFonts w:hint="cs"/>
          <w:rtl/>
        </w:rPr>
        <w:t>אותה</w:t>
      </w:r>
      <w:r w:rsidRPr="006B5C17">
        <w:rPr>
          <w:rtl/>
        </w:rPr>
        <w:t xml:space="preserve"> </w:t>
      </w:r>
      <w:r w:rsidRPr="006B5C17">
        <w:rPr>
          <w:rFonts w:hint="cs"/>
          <w:rtl/>
        </w:rPr>
        <w:t>קבוצת</w:t>
      </w:r>
      <w:r w:rsidRPr="006B5C17">
        <w:rPr>
          <w:rtl/>
        </w:rPr>
        <w:t xml:space="preserve"> </w:t>
      </w:r>
      <w:r w:rsidRPr="006B5C17">
        <w:rPr>
          <w:rFonts w:hint="cs"/>
          <w:rtl/>
        </w:rPr>
        <w:t>השוויון</w:t>
      </w:r>
      <w:r w:rsidRPr="006B5C17">
        <w:rPr>
          <w:rtl/>
        </w:rPr>
        <w:t xml:space="preserve"> </w:t>
      </w:r>
      <w:r w:rsidRPr="006B5C17">
        <w:rPr>
          <w:rFonts w:hint="cs"/>
          <w:rtl/>
        </w:rPr>
        <w:t>הינה</w:t>
      </w:r>
      <w:r w:rsidRPr="006B5C17">
        <w:rPr>
          <w:rtl/>
        </w:rPr>
        <w:t xml:space="preserve"> </w:t>
      </w:r>
      <w:r w:rsidRPr="006B5C17">
        <w:rPr>
          <w:rFonts w:hint="cs"/>
          <w:rtl/>
        </w:rPr>
        <w:t>שרירותית</w:t>
      </w:r>
      <w:r w:rsidRPr="006B5C17">
        <w:rPr>
          <w:rtl/>
        </w:rPr>
        <w:t xml:space="preserve">, </w:t>
      </w:r>
      <w:r w:rsidRPr="006B5C17">
        <w:rPr>
          <w:rFonts w:hint="cs"/>
          <w:rtl/>
        </w:rPr>
        <w:t>מפלה</w:t>
      </w:r>
      <w:r w:rsidRPr="006B5C17">
        <w:rPr>
          <w:rtl/>
        </w:rPr>
        <w:t xml:space="preserve"> </w:t>
      </w:r>
      <w:r w:rsidRPr="006B5C17">
        <w:rPr>
          <w:rFonts w:hint="cs"/>
          <w:rtl/>
        </w:rPr>
        <w:t>או</w:t>
      </w:r>
      <w:r w:rsidRPr="006B5C17">
        <w:rPr>
          <w:rtl/>
        </w:rPr>
        <w:t xml:space="preserve"> </w:t>
      </w:r>
      <w:r w:rsidRPr="006B5C17">
        <w:rPr>
          <w:rFonts w:hint="cs"/>
          <w:rtl/>
        </w:rPr>
        <w:t>שביסודה</w:t>
      </w:r>
      <w:r w:rsidRPr="006B5C17">
        <w:rPr>
          <w:rtl/>
        </w:rPr>
        <w:t xml:space="preserve"> </w:t>
      </w:r>
      <w:r w:rsidRPr="006B5C17">
        <w:rPr>
          <w:rFonts w:hint="cs"/>
          <w:rtl/>
        </w:rPr>
        <w:t>שיקולים</w:t>
      </w:r>
      <w:r w:rsidRPr="006B5C17">
        <w:rPr>
          <w:rtl/>
        </w:rPr>
        <w:t xml:space="preserve"> </w:t>
      </w:r>
      <w:r w:rsidRPr="006B5C17">
        <w:rPr>
          <w:rFonts w:hint="cs"/>
          <w:rtl/>
        </w:rPr>
        <w:t>זרים</w:t>
      </w:r>
      <w:r w:rsidRPr="006B5C17">
        <w:rPr>
          <w:rtl/>
        </w:rPr>
        <w:t xml:space="preserve">. </w:t>
      </w:r>
      <w:r w:rsidRPr="006B5C17">
        <w:rPr>
          <w:rFonts w:hint="cs"/>
          <w:rtl/>
        </w:rPr>
        <w:t>לא</w:t>
      </w:r>
      <w:r w:rsidRPr="006B5C17">
        <w:rPr>
          <w:rtl/>
        </w:rPr>
        <w:t xml:space="preserve"> </w:t>
      </w:r>
      <w:r w:rsidRPr="006B5C17">
        <w:rPr>
          <w:rFonts w:hint="cs"/>
          <w:rtl/>
        </w:rPr>
        <w:t>כל</w:t>
      </w:r>
      <w:r w:rsidRPr="006B5C17">
        <w:rPr>
          <w:rtl/>
        </w:rPr>
        <w:t xml:space="preserve"> </w:t>
      </w:r>
      <w:r w:rsidRPr="006B5C17">
        <w:rPr>
          <w:rFonts w:hint="cs"/>
          <w:rtl/>
        </w:rPr>
        <w:t>אכיפה</w:t>
      </w:r>
      <w:r w:rsidRPr="006B5C17">
        <w:rPr>
          <w:rtl/>
        </w:rPr>
        <w:t xml:space="preserve"> </w:t>
      </w:r>
      <w:r w:rsidRPr="006B5C17">
        <w:rPr>
          <w:rFonts w:hint="cs"/>
          <w:rtl/>
        </w:rPr>
        <w:t>חלקית</w:t>
      </w:r>
      <w:r w:rsidRPr="006B5C17">
        <w:rPr>
          <w:rtl/>
        </w:rPr>
        <w:t xml:space="preserve"> </w:t>
      </w:r>
      <w:r w:rsidRPr="006B5C17">
        <w:rPr>
          <w:rFonts w:hint="cs"/>
          <w:rtl/>
        </w:rPr>
        <w:t>הינה</w:t>
      </w:r>
      <w:r w:rsidRPr="006B5C17">
        <w:rPr>
          <w:rtl/>
        </w:rPr>
        <w:t xml:space="preserve"> </w:t>
      </w:r>
      <w:r w:rsidRPr="006B5C17">
        <w:rPr>
          <w:rFonts w:hint="cs"/>
          <w:rtl/>
        </w:rPr>
        <w:t>אכיפה</w:t>
      </w:r>
      <w:r w:rsidRPr="006B5C17">
        <w:rPr>
          <w:rtl/>
        </w:rPr>
        <w:t xml:space="preserve"> </w:t>
      </w:r>
      <w:r w:rsidRPr="006B5C17">
        <w:rPr>
          <w:rFonts w:hint="cs"/>
          <w:rtl/>
        </w:rPr>
        <w:t>בררנית</w:t>
      </w:r>
      <w:r w:rsidRPr="006B5C17">
        <w:rPr>
          <w:rtl/>
        </w:rPr>
        <w:t xml:space="preserve">, </w:t>
      </w:r>
      <w:r w:rsidRPr="006B5C17">
        <w:rPr>
          <w:rFonts w:hint="cs"/>
          <w:rtl/>
        </w:rPr>
        <w:t>ויש</w:t>
      </w:r>
      <w:r w:rsidRPr="006B5C17">
        <w:rPr>
          <w:rtl/>
        </w:rPr>
        <w:t xml:space="preserve"> </w:t>
      </w:r>
      <w:r w:rsidRPr="006B5C17">
        <w:rPr>
          <w:rFonts w:hint="cs"/>
          <w:rtl/>
        </w:rPr>
        <w:t>בידי</w:t>
      </w:r>
      <w:r w:rsidRPr="006B5C17">
        <w:rPr>
          <w:rtl/>
        </w:rPr>
        <w:t xml:space="preserve"> </w:t>
      </w:r>
      <w:r w:rsidRPr="006B5C17">
        <w:rPr>
          <w:rFonts w:hint="cs"/>
          <w:rtl/>
        </w:rPr>
        <w:t>התביעה</w:t>
      </w:r>
      <w:r w:rsidRPr="006B5C17">
        <w:rPr>
          <w:rtl/>
        </w:rPr>
        <w:t xml:space="preserve"> </w:t>
      </w:r>
      <w:r w:rsidRPr="006B5C17">
        <w:rPr>
          <w:rFonts w:hint="cs"/>
          <w:rtl/>
        </w:rPr>
        <w:t>מתחם</w:t>
      </w:r>
      <w:r w:rsidRPr="006B5C17">
        <w:rPr>
          <w:rtl/>
        </w:rPr>
        <w:t xml:space="preserve"> </w:t>
      </w:r>
      <w:r w:rsidRPr="006B5C17">
        <w:rPr>
          <w:rFonts w:hint="cs"/>
          <w:rtl/>
        </w:rPr>
        <w:t>רב</w:t>
      </w:r>
      <w:r w:rsidRPr="006B5C17">
        <w:rPr>
          <w:rtl/>
        </w:rPr>
        <w:t xml:space="preserve"> </w:t>
      </w:r>
      <w:r w:rsidRPr="006B5C17">
        <w:rPr>
          <w:rFonts w:hint="cs"/>
          <w:rtl/>
        </w:rPr>
        <w:t>של</w:t>
      </w:r>
      <w:r w:rsidRPr="006B5C17">
        <w:rPr>
          <w:rtl/>
        </w:rPr>
        <w:t xml:space="preserve"> </w:t>
      </w:r>
      <w:r w:rsidRPr="006B5C17">
        <w:rPr>
          <w:rFonts w:hint="cs"/>
          <w:rtl/>
        </w:rPr>
        <w:t>שיקול</w:t>
      </w:r>
      <w:r w:rsidRPr="006B5C17">
        <w:rPr>
          <w:rtl/>
        </w:rPr>
        <w:t xml:space="preserve"> </w:t>
      </w:r>
      <w:r w:rsidRPr="006B5C17">
        <w:rPr>
          <w:rFonts w:hint="cs"/>
          <w:rtl/>
        </w:rPr>
        <w:t>דעת</w:t>
      </w:r>
      <w:r w:rsidRPr="006B5C17">
        <w:rPr>
          <w:rtl/>
        </w:rPr>
        <w:t xml:space="preserve"> </w:t>
      </w:r>
      <w:r w:rsidRPr="006B5C17">
        <w:rPr>
          <w:rFonts w:hint="cs"/>
          <w:rtl/>
        </w:rPr>
        <w:t>בקביעת</w:t>
      </w:r>
      <w:r w:rsidRPr="006B5C17">
        <w:rPr>
          <w:rtl/>
        </w:rPr>
        <w:t xml:space="preserve"> </w:t>
      </w:r>
      <w:r w:rsidRPr="006B5C17">
        <w:rPr>
          <w:rFonts w:hint="cs"/>
          <w:rtl/>
        </w:rPr>
        <w:t>סדרי</w:t>
      </w:r>
      <w:r w:rsidRPr="006B5C17">
        <w:rPr>
          <w:rtl/>
        </w:rPr>
        <w:t xml:space="preserve"> </w:t>
      </w:r>
      <w:r w:rsidRPr="006B5C17">
        <w:rPr>
          <w:rFonts w:hint="cs"/>
          <w:rtl/>
        </w:rPr>
        <w:t>העדיפות</w:t>
      </w:r>
      <w:r w:rsidRPr="006B5C17">
        <w:rPr>
          <w:rtl/>
        </w:rPr>
        <w:t xml:space="preserve"> </w:t>
      </w:r>
      <w:r w:rsidRPr="006B5C17">
        <w:rPr>
          <w:rFonts w:hint="cs"/>
          <w:rtl/>
        </w:rPr>
        <w:t>באכיפת</w:t>
      </w:r>
      <w:r w:rsidRPr="006B5C17">
        <w:rPr>
          <w:rtl/>
        </w:rPr>
        <w:t xml:space="preserve"> </w:t>
      </w:r>
      <w:r w:rsidRPr="006B5C17">
        <w:rPr>
          <w:rFonts w:hint="cs"/>
          <w:rtl/>
        </w:rPr>
        <w:t>הדין</w:t>
      </w:r>
      <w:r w:rsidRPr="006B5C17">
        <w:rPr>
          <w:rtl/>
        </w:rPr>
        <w:t xml:space="preserve"> </w:t>
      </w:r>
      <w:r w:rsidRPr="006B5C17">
        <w:rPr>
          <w:rFonts w:hint="cs"/>
          <w:rtl/>
        </w:rPr>
        <w:t>הפלילי" (בש</w:t>
      </w:r>
      <w:r w:rsidRPr="006B5C17">
        <w:rPr>
          <w:rtl/>
        </w:rPr>
        <w:t>"</w:t>
      </w:r>
      <w:r w:rsidRPr="006B5C17">
        <w:rPr>
          <w:rFonts w:hint="cs"/>
          <w:rtl/>
        </w:rPr>
        <w:t>פ</w:t>
      </w:r>
      <w:r w:rsidRPr="006B5C17">
        <w:rPr>
          <w:rtl/>
        </w:rPr>
        <w:t xml:space="preserve"> 7148/12 </w:t>
      </w:r>
      <w:r w:rsidRPr="006B5C17">
        <w:rPr>
          <w:rFonts w:hint="cs"/>
          <w:b/>
          <w:bCs/>
          <w:rtl/>
        </w:rPr>
        <w:t>כנאנה</w:t>
      </w:r>
      <w:r w:rsidRPr="006B5C17">
        <w:rPr>
          <w:b/>
          <w:bCs/>
          <w:rtl/>
        </w:rPr>
        <w:t xml:space="preserve"> </w:t>
      </w:r>
      <w:r w:rsidRPr="006B5C17">
        <w:rPr>
          <w:rFonts w:hint="cs"/>
          <w:b/>
          <w:bCs/>
          <w:rtl/>
        </w:rPr>
        <w:t>נ</w:t>
      </w:r>
      <w:r w:rsidRPr="006B5C17">
        <w:rPr>
          <w:b/>
          <w:bCs/>
          <w:rtl/>
        </w:rPr>
        <w:t xml:space="preserve">' </w:t>
      </w:r>
      <w:r w:rsidRPr="006B5C17">
        <w:rPr>
          <w:rFonts w:hint="cs"/>
          <w:b/>
          <w:bCs/>
          <w:rtl/>
        </w:rPr>
        <w:t>מדינת</w:t>
      </w:r>
      <w:r w:rsidRPr="006B5C17">
        <w:rPr>
          <w:b/>
          <w:bCs/>
          <w:rtl/>
        </w:rPr>
        <w:t xml:space="preserve"> </w:t>
      </w:r>
      <w:r w:rsidRPr="006B5C17">
        <w:rPr>
          <w:rFonts w:hint="cs"/>
          <w:b/>
          <w:bCs/>
          <w:rtl/>
        </w:rPr>
        <w:t>ישראל</w:t>
      </w:r>
      <w:r w:rsidRPr="006B5C17">
        <w:rPr>
          <w:rtl/>
        </w:rPr>
        <w:t xml:space="preserve"> </w:t>
      </w:r>
      <w:r w:rsidRPr="006B5C17">
        <w:rPr>
          <w:rFonts w:hint="cs"/>
          <w:rtl/>
        </w:rPr>
        <w:t>(טרם פורסם, 14.10.2012), פסקה  21).</w:t>
      </w:r>
    </w:p>
    <w:p w:rsidR="00CA5DF2" w:rsidRDefault="00CA5DF2" w:rsidP="00CA5DF2">
      <w:pPr>
        <w:pStyle w:val="2"/>
        <w:numPr>
          <w:ilvl w:val="0"/>
          <w:numId w:val="0"/>
        </w:numPr>
        <w:spacing w:line="240" w:lineRule="auto"/>
        <w:ind w:left="1133" w:right="567"/>
        <w:rPr>
          <w:rtl/>
        </w:rPr>
      </w:pPr>
    </w:p>
    <w:p w:rsidR="00CA5DF2" w:rsidRDefault="00CA5DF2" w:rsidP="006B5C17">
      <w:pPr>
        <w:numPr>
          <w:ilvl w:val="0"/>
          <w:numId w:val="1"/>
        </w:numPr>
        <w:tabs>
          <w:tab w:val="left" w:pos="229"/>
          <w:tab w:val="left" w:pos="368"/>
        </w:tabs>
        <w:ind w:left="0" w:firstLine="0"/>
      </w:pPr>
      <w:r>
        <w:rPr>
          <w:rFonts w:hint="cs"/>
          <w:rtl/>
        </w:rPr>
        <w:t>ברוח זו, פסק בית המשפט העליון, כי אין די להראות "...מקרה</w:t>
      </w:r>
      <w:r>
        <w:rPr>
          <w:rtl/>
        </w:rPr>
        <w:t xml:space="preserve"> </w:t>
      </w:r>
      <w:r>
        <w:rPr>
          <w:rFonts w:hint="cs"/>
          <w:rtl/>
        </w:rPr>
        <w:t>זהה</w:t>
      </w:r>
      <w:r>
        <w:rPr>
          <w:rtl/>
        </w:rPr>
        <w:t xml:space="preserve"> </w:t>
      </w:r>
      <w:r>
        <w:rPr>
          <w:rFonts w:hint="cs"/>
          <w:rtl/>
        </w:rPr>
        <w:t>אחד</w:t>
      </w:r>
      <w:r>
        <w:rPr>
          <w:rtl/>
        </w:rPr>
        <w:t xml:space="preserve"> </w:t>
      </w:r>
      <w:r>
        <w:rPr>
          <w:rFonts w:hint="cs"/>
          <w:rtl/>
        </w:rPr>
        <w:t>ויחיד</w:t>
      </w:r>
      <w:r>
        <w:rPr>
          <w:rtl/>
        </w:rPr>
        <w:t xml:space="preserve"> </w:t>
      </w:r>
      <w:r>
        <w:rPr>
          <w:rFonts w:hint="cs"/>
          <w:rtl/>
        </w:rPr>
        <w:t>בו</w:t>
      </w:r>
      <w:r>
        <w:rPr>
          <w:rtl/>
        </w:rPr>
        <w:t xml:space="preserve"> </w:t>
      </w:r>
      <w:r>
        <w:rPr>
          <w:rFonts w:hint="cs"/>
          <w:rtl/>
        </w:rPr>
        <w:t>פעלו</w:t>
      </w:r>
      <w:r>
        <w:rPr>
          <w:rtl/>
        </w:rPr>
        <w:t xml:space="preserve"> </w:t>
      </w:r>
      <w:r>
        <w:rPr>
          <w:rFonts w:hint="cs"/>
          <w:rtl/>
        </w:rPr>
        <w:t>הרשויות</w:t>
      </w:r>
      <w:r>
        <w:rPr>
          <w:rtl/>
        </w:rPr>
        <w:t xml:space="preserve"> </w:t>
      </w:r>
      <w:r>
        <w:rPr>
          <w:rFonts w:hint="cs"/>
          <w:rtl/>
        </w:rPr>
        <w:t>המינהליות</w:t>
      </w:r>
      <w:r>
        <w:rPr>
          <w:rtl/>
        </w:rPr>
        <w:t xml:space="preserve"> </w:t>
      </w:r>
      <w:r>
        <w:rPr>
          <w:rFonts w:hint="cs"/>
          <w:rtl/>
        </w:rPr>
        <w:t>בעבר</w:t>
      </w:r>
      <w:r>
        <w:rPr>
          <w:rtl/>
        </w:rPr>
        <w:t xml:space="preserve"> </w:t>
      </w:r>
      <w:r>
        <w:rPr>
          <w:rFonts w:hint="cs"/>
          <w:rtl/>
        </w:rPr>
        <w:t>בדרך</w:t>
      </w:r>
      <w:r>
        <w:rPr>
          <w:rtl/>
        </w:rPr>
        <w:t xml:space="preserve"> </w:t>
      </w:r>
      <w:r>
        <w:rPr>
          <w:rFonts w:hint="cs"/>
          <w:rtl/>
        </w:rPr>
        <w:t>שונה</w:t>
      </w:r>
      <w:r>
        <w:rPr>
          <w:rtl/>
        </w:rPr>
        <w:t xml:space="preserve"> </w:t>
      </w:r>
      <w:r>
        <w:rPr>
          <w:rFonts w:hint="cs"/>
          <w:rtl/>
        </w:rPr>
        <w:t>ולא</w:t>
      </w:r>
      <w:r>
        <w:rPr>
          <w:rtl/>
        </w:rPr>
        <w:t xml:space="preserve"> </w:t>
      </w:r>
      <w:r>
        <w:rPr>
          <w:rFonts w:hint="cs"/>
          <w:rtl/>
        </w:rPr>
        <w:t>הגישו</w:t>
      </w:r>
      <w:r>
        <w:rPr>
          <w:rtl/>
        </w:rPr>
        <w:t xml:space="preserve"> </w:t>
      </w:r>
      <w:r>
        <w:rPr>
          <w:rFonts w:hint="cs"/>
          <w:rtl/>
        </w:rPr>
        <w:t>כתב</w:t>
      </w:r>
      <w:r>
        <w:rPr>
          <w:rtl/>
        </w:rPr>
        <w:t xml:space="preserve"> </w:t>
      </w:r>
      <w:r>
        <w:rPr>
          <w:rFonts w:hint="cs"/>
          <w:rtl/>
        </w:rPr>
        <w:t>אישום</w:t>
      </w:r>
      <w:r>
        <w:rPr>
          <w:rtl/>
        </w:rPr>
        <w:t xml:space="preserve">, </w:t>
      </w:r>
      <w:r>
        <w:rPr>
          <w:rFonts w:hint="cs"/>
          <w:rtl/>
        </w:rPr>
        <w:t>כדי</w:t>
      </w:r>
      <w:r>
        <w:rPr>
          <w:rtl/>
        </w:rPr>
        <w:t xml:space="preserve"> </w:t>
      </w:r>
      <w:r>
        <w:rPr>
          <w:rFonts w:hint="cs"/>
          <w:rtl/>
        </w:rPr>
        <w:t>להוביל</w:t>
      </w:r>
      <w:r>
        <w:rPr>
          <w:rtl/>
        </w:rPr>
        <w:t xml:space="preserve"> </w:t>
      </w:r>
      <w:r>
        <w:rPr>
          <w:rFonts w:hint="cs"/>
          <w:rtl/>
        </w:rPr>
        <w:t>בהכרח</w:t>
      </w:r>
      <w:r>
        <w:rPr>
          <w:rtl/>
        </w:rPr>
        <w:t xml:space="preserve"> </w:t>
      </w:r>
      <w:r>
        <w:rPr>
          <w:rFonts w:hint="cs"/>
          <w:rtl/>
        </w:rPr>
        <w:t>לביטולו</w:t>
      </w:r>
      <w:r>
        <w:rPr>
          <w:rtl/>
        </w:rPr>
        <w:t xml:space="preserve"> </w:t>
      </w:r>
      <w:r>
        <w:rPr>
          <w:rFonts w:hint="cs"/>
          <w:rtl/>
        </w:rPr>
        <w:t>של</w:t>
      </w:r>
      <w:r>
        <w:rPr>
          <w:rtl/>
        </w:rPr>
        <w:t xml:space="preserve"> </w:t>
      </w:r>
      <w:r>
        <w:rPr>
          <w:rFonts w:hint="cs"/>
          <w:rtl/>
        </w:rPr>
        <w:t>כתב</w:t>
      </w:r>
      <w:r>
        <w:rPr>
          <w:rtl/>
        </w:rPr>
        <w:t xml:space="preserve"> </w:t>
      </w:r>
      <w:r>
        <w:rPr>
          <w:rFonts w:hint="cs"/>
          <w:rtl/>
        </w:rPr>
        <w:t>אישום</w:t>
      </w:r>
      <w:r>
        <w:rPr>
          <w:rtl/>
        </w:rPr>
        <w:t xml:space="preserve"> </w:t>
      </w:r>
      <w:r>
        <w:rPr>
          <w:rFonts w:hint="cs"/>
          <w:rtl/>
        </w:rPr>
        <w:t>במקרה</w:t>
      </w:r>
      <w:r>
        <w:rPr>
          <w:rtl/>
        </w:rPr>
        <w:t xml:space="preserve"> </w:t>
      </w:r>
      <w:r>
        <w:rPr>
          <w:rFonts w:hint="cs"/>
          <w:rtl/>
        </w:rPr>
        <w:t>דומה</w:t>
      </w:r>
      <w:r>
        <w:rPr>
          <w:rtl/>
        </w:rPr>
        <w:t xml:space="preserve"> </w:t>
      </w:r>
      <w:r>
        <w:rPr>
          <w:rFonts w:hint="cs"/>
          <w:rtl/>
        </w:rPr>
        <w:t>אחר</w:t>
      </w:r>
      <w:r>
        <w:rPr>
          <w:rtl/>
        </w:rPr>
        <w:t xml:space="preserve">. </w:t>
      </w:r>
      <w:r>
        <w:rPr>
          <w:rFonts w:hint="cs"/>
          <w:rtl/>
        </w:rPr>
        <w:t>נראה</w:t>
      </w:r>
      <w:r>
        <w:rPr>
          <w:rtl/>
        </w:rPr>
        <w:t xml:space="preserve">, </w:t>
      </w:r>
      <w:r>
        <w:rPr>
          <w:rFonts w:hint="cs"/>
          <w:rtl/>
        </w:rPr>
        <w:t>כי</w:t>
      </w:r>
      <w:r>
        <w:rPr>
          <w:rtl/>
        </w:rPr>
        <w:t xml:space="preserve"> </w:t>
      </w:r>
      <w:r>
        <w:rPr>
          <w:rFonts w:hint="cs"/>
          <w:rtl/>
        </w:rPr>
        <w:t>על</w:t>
      </w:r>
      <w:r>
        <w:rPr>
          <w:rtl/>
        </w:rPr>
        <w:t xml:space="preserve"> </w:t>
      </w:r>
      <w:r>
        <w:rPr>
          <w:rFonts w:hint="cs"/>
          <w:rtl/>
        </w:rPr>
        <w:t>הנאשם</w:t>
      </w:r>
      <w:r>
        <w:rPr>
          <w:rtl/>
        </w:rPr>
        <w:t xml:space="preserve"> </w:t>
      </w:r>
      <w:r>
        <w:rPr>
          <w:rFonts w:hint="cs"/>
          <w:rtl/>
        </w:rPr>
        <w:t>להראות</w:t>
      </w:r>
      <w:r>
        <w:rPr>
          <w:rtl/>
        </w:rPr>
        <w:t xml:space="preserve">, </w:t>
      </w:r>
      <w:r>
        <w:rPr>
          <w:rFonts w:hint="cs"/>
          <w:rtl/>
        </w:rPr>
        <w:t>כי</w:t>
      </w:r>
      <w:r>
        <w:rPr>
          <w:rtl/>
        </w:rPr>
        <w:t xml:space="preserve"> </w:t>
      </w:r>
      <w:r>
        <w:rPr>
          <w:rFonts w:hint="cs"/>
          <w:rtl/>
        </w:rPr>
        <w:t>לאורך</w:t>
      </w:r>
      <w:r>
        <w:rPr>
          <w:rtl/>
        </w:rPr>
        <w:t xml:space="preserve"> </w:t>
      </w:r>
      <w:r>
        <w:rPr>
          <w:rFonts w:hint="cs"/>
          <w:rtl/>
        </w:rPr>
        <w:t>זמן</w:t>
      </w:r>
      <w:r>
        <w:rPr>
          <w:rtl/>
        </w:rPr>
        <w:t xml:space="preserve"> </w:t>
      </w:r>
      <w:r>
        <w:rPr>
          <w:rFonts w:hint="cs"/>
          <w:rtl/>
        </w:rPr>
        <w:t>ובאופן</w:t>
      </w:r>
      <w:r>
        <w:rPr>
          <w:rtl/>
        </w:rPr>
        <w:t xml:space="preserve"> </w:t>
      </w:r>
      <w:r>
        <w:rPr>
          <w:rFonts w:hint="cs"/>
          <w:rtl/>
        </w:rPr>
        <w:t>שיטתי</w:t>
      </w:r>
      <w:r>
        <w:rPr>
          <w:rtl/>
        </w:rPr>
        <w:t xml:space="preserve"> (</w:t>
      </w:r>
      <w:r>
        <w:rPr>
          <w:rFonts w:hint="cs"/>
          <w:rtl/>
        </w:rPr>
        <w:t>או</w:t>
      </w:r>
      <w:r>
        <w:rPr>
          <w:rtl/>
        </w:rPr>
        <w:t xml:space="preserve"> </w:t>
      </w:r>
      <w:r>
        <w:rPr>
          <w:rFonts w:hint="cs"/>
          <w:rtl/>
        </w:rPr>
        <w:t>קרוב</w:t>
      </w:r>
      <w:r>
        <w:rPr>
          <w:rtl/>
        </w:rPr>
        <w:t xml:space="preserve"> </w:t>
      </w:r>
      <w:r>
        <w:rPr>
          <w:rFonts w:hint="cs"/>
          <w:rtl/>
        </w:rPr>
        <w:t>לכך</w:t>
      </w:r>
      <w:r>
        <w:rPr>
          <w:rtl/>
        </w:rPr>
        <w:t xml:space="preserve">) </w:t>
      </w:r>
      <w:r>
        <w:rPr>
          <w:rFonts w:hint="cs"/>
          <w:rtl/>
        </w:rPr>
        <w:t>קיבלו</w:t>
      </w:r>
      <w:r>
        <w:rPr>
          <w:rtl/>
        </w:rPr>
        <w:t xml:space="preserve"> </w:t>
      </w:r>
      <w:r>
        <w:rPr>
          <w:rFonts w:hint="cs"/>
          <w:rtl/>
        </w:rPr>
        <w:t>הרשויות</w:t>
      </w:r>
      <w:r>
        <w:rPr>
          <w:rtl/>
        </w:rPr>
        <w:t xml:space="preserve"> </w:t>
      </w:r>
      <w:r>
        <w:rPr>
          <w:rFonts w:hint="cs"/>
          <w:rtl/>
        </w:rPr>
        <w:t>המינהליות</w:t>
      </w:r>
      <w:r>
        <w:rPr>
          <w:rtl/>
        </w:rPr>
        <w:t xml:space="preserve"> </w:t>
      </w:r>
      <w:r>
        <w:rPr>
          <w:rFonts w:hint="cs"/>
          <w:rtl/>
        </w:rPr>
        <w:t>במקרים</w:t>
      </w:r>
      <w:r>
        <w:rPr>
          <w:rtl/>
        </w:rPr>
        <w:t xml:space="preserve"> </w:t>
      </w:r>
      <w:r>
        <w:rPr>
          <w:rFonts w:hint="cs"/>
          <w:rtl/>
        </w:rPr>
        <w:t>דומים</w:t>
      </w:r>
      <w:r>
        <w:rPr>
          <w:rtl/>
        </w:rPr>
        <w:t xml:space="preserve"> </w:t>
      </w:r>
      <w:r>
        <w:rPr>
          <w:rFonts w:hint="cs"/>
          <w:rtl/>
        </w:rPr>
        <w:t>החלטות</w:t>
      </w:r>
      <w:r>
        <w:rPr>
          <w:rtl/>
        </w:rPr>
        <w:t xml:space="preserve"> </w:t>
      </w:r>
      <w:r>
        <w:rPr>
          <w:rFonts w:hint="cs"/>
          <w:rtl/>
        </w:rPr>
        <w:t>שונות</w:t>
      </w:r>
      <w:r>
        <w:rPr>
          <w:rtl/>
        </w:rPr>
        <w:t xml:space="preserve"> </w:t>
      </w:r>
      <w:r>
        <w:rPr>
          <w:rFonts w:hint="cs"/>
          <w:rtl/>
        </w:rPr>
        <w:t>מאלה</w:t>
      </w:r>
      <w:r>
        <w:rPr>
          <w:rtl/>
        </w:rPr>
        <w:t xml:space="preserve"> </w:t>
      </w:r>
      <w:r>
        <w:rPr>
          <w:rFonts w:hint="cs"/>
          <w:rtl/>
        </w:rPr>
        <w:t>שנתקבלו</w:t>
      </w:r>
      <w:r>
        <w:rPr>
          <w:rtl/>
        </w:rPr>
        <w:t xml:space="preserve"> </w:t>
      </w:r>
      <w:r>
        <w:rPr>
          <w:rFonts w:hint="cs"/>
          <w:rtl/>
        </w:rPr>
        <w:t>במקרה</w:t>
      </w:r>
      <w:r>
        <w:rPr>
          <w:rtl/>
        </w:rPr>
        <w:t xml:space="preserve"> </w:t>
      </w:r>
      <w:r>
        <w:rPr>
          <w:rFonts w:hint="cs"/>
          <w:rtl/>
        </w:rPr>
        <w:t>שלו" (ראו פסק דינו של הנשיא (כתוארו אז) גרוניס ע</w:t>
      </w:r>
      <w:r>
        <w:rPr>
          <w:rtl/>
        </w:rPr>
        <w:t>"</w:t>
      </w:r>
      <w:r>
        <w:rPr>
          <w:rFonts w:hint="cs"/>
          <w:rtl/>
        </w:rPr>
        <w:t>פ</w:t>
      </w:r>
      <w:r>
        <w:rPr>
          <w:rtl/>
        </w:rPr>
        <w:t xml:space="preserve"> 6328/12 </w:t>
      </w:r>
      <w:r w:rsidRPr="00BC1E83">
        <w:rPr>
          <w:rFonts w:hint="cs"/>
          <w:b/>
          <w:bCs/>
          <w:rtl/>
        </w:rPr>
        <w:t>מדינת</w:t>
      </w:r>
      <w:r w:rsidRPr="00BC1E83">
        <w:rPr>
          <w:b/>
          <w:bCs/>
          <w:rtl/>
        </w:rPr>
        <w:t xml:space="preserve"> </w:t>
      </w:r>
      <w:r w:rsidRPr="00BC1E83">
        <w:rPr>
          <w:rFonts w:hint="cs"/>
          <w:b/>
          <w:bCs/>
          <w:rtl/>
        </w:rPr>
        <w:t>ישראל</w:t>
      </w:r>
      <w:r w:rsidRPr="00BC1E83">
        <w:rPr>
          <w:b/>
          <w:bCs/>
          <w:rtl/>
        </w:rPr>
        <w:t xml:space="preserve"> </w:t>
      </w:r>
      <w:r w:rsidRPr="00BC1E83">
        <w:rPr>
          <w:rFonts w:hint="cs"/>
          <w:b/>
          <w:bCs/>
          <w:rtl/>
        </w:rPr>
        <w:t>נ</w:t>
      </w:r>
      <w:r w:rsidRPr="00BC1E83">
        <w:rPr>
          <w:b/>
          <w:bCs/>
          <w:rtl/>
        </w:rPr>
        <w:t xml:space="preserve">' </w:t>
      </w:r>
      <w:r w:rsidRPr="00BC1E83">
        <w:rPr>
          <w:rFonts w:hint="cs"/>
          <w:b/>
          <w:bCs/>
          <w:rtl/>
        </w:rPr>
        <w:t>פרץ</w:t>
      </w:r>
      <w:r w:rsidRPr="00BC1E83">
        <w:rPr>
          <w:b/>
          <w:bCs/>
          <w:rtl/>
        </w:rPr>
        <w:t xml:space="preserve"> </w:t>
      </w:r>
      <w:r>
        <w:rPr>
          <w:rFonts w:hint="cs"/>
          <w:rtl/>
        </w:rPr>
        <w:t>(טרם פורסם, 10.9.2013) וכן חוות דעתו של השופט ג'ובראן באותה פרשה)</w:t>
      </w:r>
      <w:r>
        <w:rPr>
          <w:rtl/>
        </w:rPr>
        <w:t>.</w:t>
      </w:r>
      <w:r>
        <w:rPr>
          <w:rFonts w:hint="cs"/>
          <w:rtl/>
        </w:rPr>
        <w:t xml:space="preserve"> </w:t>
      </w:r>
    </w:p>
    <w:p w:rsidR="00CA5DF2" w:rsidRDefault="00E44F6E" w:rsidP="00673B91">
      <w:pPr>
        <w:numPr>
          <w:ilvl w:val="0"/>
          <w:numId w:val="1"/>
        </w:numPr>
        <w:tabs>
          <w:tab w:val="left" w:pos="229"/>
          <w:tab w:val="left" w:pos="368"/>
        </w:tabs>
        <w:ind w:left="0" w:firstLine="0"/>
      </w:pPr>
      <w:r>
        <w:rPr>
          <w:rFonts w:hint="cs"/>
          <w:rtl/>
        </w:rPr>
        <w:t xml:space="preserve">פסקי הדין שהציגה ההגנה </w:t>
      </w:r>
      <w:r w:rsidR="00351BC9">
        <w:rPr>
          <w:rFonts w:hint="cs"/>
          <w:rtl/>
        </w:rPr>
        <w:t>כדוגמ</w:t>
      </w:r>
      <w:r w:rsidR="00EB6626">
        <w:rPr>
          <w:rFonts w:hint="cs"/>
          <w:rtl/>
        </w:rPr>
        <w:t>ה</w:t>
      </w:r>
      <w:r w:rsidR="00351BC9">
        <w:rPr>
          <w:rFonts w:hint="cs"/>
          <w:rtl/>
        </w:rPr>
        <w:t xml:space="preserve"> למקרים של גרימת נזק לרכוש צבאי שלא הובילה לאישום בעבירה של השתמטות מפעולה מסויימת, </w:t>
      </w:r>
      <w:r>
        <w:rPr>
          <w:rFonts w:hint="cs"/>
          <w:rtl/>
        </w:rPr>
        <w:t xml:space="preserve">אינם מבססים את טענתה למדיניות שונה של התביעה הצבאית ואינם מלמדים על אכיפה בררנית בעניינו של המערער. כך, בעניינו של </w:t>
      </w:r>
      <w:r w:rsidRPr="00E44F6E">
        <w:rPr>
          <w:rFonts w:hint="cs"/>
          <w:b/>
          <w:bCs/>
          <w:rtl/>
        </w:rPr>
        <w:t>רב"ט קיילקוב</w:t>
      </w:r>
      <w:r w:rsidRPr="00E44F6E">
        <w:rPr>
          <w:rFonts w:hint="cs"/>
          <w:rtl/>
        </w:rPr>
        <w:t xml:space="preserve"> לעיל</w:t>
      </w:r>
      <w:r w:rsidR="00351BC9">
        <w:rPr>
          <w:rFonts w:hint="cs"/>
          <w:rtl/>
        </w:rPr>
        <w:t>,</w:t>
      </w:r>
      <w:r>
        <w:rPr>
          <w:rFonts w:hint="cs"/>
          <w:rtl/>
        </w:rPr>
        <w:t xml:space="preserve"> נדון מקרה של חייל שגרם נזק לרכב </w:t>
      </w:r>
      <w:r>
        <w:rPr>
          <w:rFonts w:hint="cs"/>
          <w:rtl/>
        </w:rPr>
        <w:lastRenderedPageBreak/>
        <w:t>צבאי לאחר שהתנגש בקוביית בטון לנגד עיניהם של מפקדים וחיילים אחרים, ולא נקט כל אמצעי מרמה או הונאה להסוואת מעשיו. בעניינו של</w:t>
      </w:r>
      <w:r w:rsidRPr="00E44F6E">
        <w:rPr>
          <w:rFonts w:hint="cs"/>
          <w:rtl/>
        </w:rPr>
        <w:t xml:space="preserve"> </w:t>
      </w:r>
      <w:r w:rsidRPr="00E44F6E">
        <w:rPr>
          <w:rFonts w:hint="cs"/>
          <w:b/>
          <w:bCs/>
          <w:rtl/>
        </w:rPr>
        <w:t>רב"ט קייסרמן</w:t>
      </w:r>
      <w:r>
        <w:rPr>
          <w:rFonts w:hint="cs"/>
          <w:rtl/>
        </w:rPr>
        <w:t xml:space="preserve"> לעיל, </w:t>
      </w:r>
      <w:r w:rsidR="00351BC9">
        <w:rPr>
          <w:rFonts w:hint="cs"/>
          <w:rtl/>
        </w:rPr>
        <w:t xml:space="preserve">נדון עניינו של </w:t>
      </w:r>
      <w:r>
        <w:rPr>
          <w:rFonts w:hint="cs"/>
          <w:rtl/>
        </w:rPr>
        <w:t>חייל</w:t>
      </w:r>
      <w:r w:rsidR="00351BC9">
        <w:rPr>
          <w:rFonts w:hint="cs"/>
          <w:rtl/>
        </w:rPr>
        <w:t>,</w:t>
      </w:r>
      <w:r>
        <w:rPr>
          <w:rFonts w:hint="cs"/>
          <w:rtl/>
        </w:rPr>
        <w:t xml:space="preserve"> </w:t>
      </w:r>
      <w:r w:rsidR="00351BC9">
        <w:rPr>
          <w:rFonts w:hint="cs"/>
          <w:rtl/>
        </w:rPr>
        <w:t xml:space="preserve">אשר הועמד </w:t>
      </w:r>
      <w:r>
        <w:rPr>
          <w:rFonts w:hint="cs"/>
          <w:rtl/>
        </w:rPr>
        <w:t xml:space="preserve">לדין בגין </w:t>
      </w:r>
      <w:r w:rsidR="000A2D79">
        <w:rPr>
          <w:rFonts w:hint="cs"/>
          <w:rtl/>
        </w:rPr>
        <w:t xml:space="preserve">גרימת נזק למסוק, שלאחריה דיווח על הנזק למפקדיו מתוך רצון לזכות </w:t>
      </w:r>
      <w:r w:rsidRPr="00E44F6E">
        <w:rPr>
          <w:rFonts w:hint="cs"/>
          <w:rtl/>
        </w:rPr>
        <w:t>בהערכתם</w:t>
      </w:r>
      <w:r w:rsidR="000A2D79">
        <w:rPr>
          <w:rFonts w:hint="cs"/>
          <w:rtl/>
        </w:rPr>
        <w:t xml:space="preserve"> ולא על מנת "להשתמט מפעולה מסויימת". שני מקרים אחרים, שעליהם הצביעה ההגנה, אשר נדונו בבית דין </w:t>
      </w:r>
      <w:r w:rsidR="00EB6626">
        <w:rPr>
          <w:rFonts w:hint="cs"/>
          <w:rtl/>
        </w:rPr>
        <w:t xml:space="preserve">הצבאי במחוז שיפוטי </w:t>
      </w:r>
      <w:r w:rsidR="000A2D79">
        <w:rPr>
          <w:rFonts w:hint="cs"/>
          <w:rtl/>
        </w:rPr>
        <w:t>צפון</w:t>
      </w:r>
      <w:r w:rsidR="00EB6626">
        <w:rPr>
          <w:rFonts w:hint="cs"/>
          <w:rtl/>
        </w:rPr>
        <w:t>,</w:t>
      </w:r>
      <w:r w:rsidR="000A2D79">
        <w:rPr>
          <w:rFonts w:hint="cs"/>
          <w:rtl/>
        </w:rPr>
        <w:t xml:space="preserve"> במסגרת פרשה שכונתה "פרשת התצפיתניות", עסקו בחיילות שהועמדו לדין במסגרת הסדר טיעון ולא ניתן ללמוד מפסקי הדין בעניינן מה היו שיקולי הצדדים שהובילו ל</w:t>
      </w:r>
      <w:r w:rsidR="00351BC9">
        <w:rPr>
          <w:rFonts w:hint="cs"/>
          <w:rtl/>
        </w:rPr>
        <w:t>הסכמות שם</w:t>
      </w:r>
      <w:r w:rsidR="000A2D79">
        <w:rPr>
          <w:rFonts w:hint="cs"/>
          <w:rtl/>
        </w:rPr>
        <w:t xml:space="preserve">. ולבסוף, </w:t>
      </w:r>
      <w:r w:rsidR="00351BC9">
        <w:rPr>
          <w:rFonts w:hint="cs"/>
          <w:rtl/>
        </w:rPr>
        <w:t xml:space="preserve">פסק הדין </w:t>
      </w:r>
      <w:r w:rsidR="000A2D79">
        <w:rPr>
          <w:rFonts w:hint="cs"/>
          <w:rtl/>
        </w:rPr>
        <w:t>האחרון שהציגה ההגנה בערעורה (</w:t>
      </w:r>
      <w:r w:rsidR="00BD72BA">
        <w:rPr>
          <w:rFonts w:hint="cs"/>
          <w:rtl/>
        </w:rPr>
        <w:t xml:space="preserve">עניינם של </w:t>
      </w:r>
      <w:r w:rsidR="00BD72BA" w:rsidRPr="00BD72BA">
        <w:rPr>
          <w:rFonts w:hint="cs"/>
          <w:b/>
          <w:bCs/>
          <w:rtl/>
        </w:rPr>
        <w:t>סמל ציפורי ורב"ט משעלי</w:t>
      </w:r>
      <w:r w:rsidR="00BD72BA">
        <w:rPr>
          <w:rFonts w:hint="cs"/>
          <w:rtl/>
        </w:rPr>
        <w:t xml:space="preserve"> לעיל), שאליו הפנה אף בית הדין קמא הנכבד</w:t>
      </w:r>
      <w:r w:rsidR="00673B91">
        <w:rPr>
          <w:rFonts w:hint="cs"/>
          <w:rtl/>
        </w:rPr>
        <w:t xml:space="preserve"> בהכרעת דינו</w:t>
      </w:r>
      <w:r w:rsidR="00BD72BA">
        <w:rPr>
          <w:rFonts w:hint="cs"/>
          <w:rtl/>
        </w:rPr>
        <w:t xml:space="preserve">, </w:t>
      </w:r>
      <w:r w:rsidR="000A2D79">
        <w:rPr>
          <w:rFonts w:hint="cs"/>
          <w:rtl/>
        </w:rPr>
        <w:t xml:space="preserve">מלמד </w:t>
      </w:r>
      <w:r w:rsidR="00BD72BA">
        <w:rPr>
          <w:rFonts w:hint="cs"/>
          <w:rtl/>
        </w:rPr>
        <w:t xml:space="preserve">דווקא </w:t>
      </w:r>
      <w:r w:rsidR="000A2D79">
        <w:rPr>
          <w:rFonts w:hint="cs"/>
          <w:rtl/>
        </w:rPr>
        <w:t>על עקביות במדיניות התביעה להעמדה לדין בעבירה לפי סעיף 102 הנ"ל</w:t>
      </w:r>
      <w:r w:rsidR="00351BC9">
        <w:rPr>
          <w:rFonts w:hint="cs"/>
          <w:rtl/>
        </w:rPr>
        <w:t xml:space="preserve">, במקרים של נזק לרכוש </w:t>
      </w:r>
      <w:r w:rsidR="00673B91">
        <w:rPr>
          <w:rFonts w:hint="cs"/>
          <w:rtl/>
        </w:rPr>
        <w:t xml:space="preserve">צבאי </w:t>
      </w:r>
      <w:r w:rsidR="00351BC9">
        <w:rPr>
          <w:rFonts w:hint="cs"/>
          <w:rtl/>
        </w:rPr>
        <w:t>שנגרם ב</w:t>
      </w:r>
      <w:r w:rsidR="00673B91">
        <w:rPr>
          <w:rFonts w:hint="cs"/>
          <w:rtl/>
        </w:rPr>
        <w:t>סתר</w:t>
      </w:r>
      <w:r w:rsidR="00351BC9">
        <w:rPr>
          <w:rFonts w:hint="cs"/>
          <w:rtl/>
        </w:rPr>
        <w:t>, כדי להשתמט מפעולה צבאית</w:t>
      </w:r>
      <w:r w:rsidR="000A2D79">
        <w:rPr>
          <w:rFonts w:hint="cs"/>
          <w:rtl/>
        </w:rPr>
        <w:t>. באותו מקרה, ה</w:t>
      </w:r>
      <w:r w:rsidR="00BD72BA">
        <w:rPr>
          <w:rFonts w:hint="cs"/>
          <w:rtl/>
        </w:rPr>
        <w:t>ו</w:t>
      </w:r>
      <w:r w:rsidR="000A2D79">
        <w:rPr>
          <w:rFonts w:hint="cs"/>
          <w:rtl/>
        </w:rPr>
        <w:t xml:space="preserve">עמדו </w:t>
      </w:r>
      <w:r w:rsidR="00BD72BA">
        <w:rPr>
          <w:rFonts w:hint="cs"/>
          <w:rtl/>
        </w:rPr>
        <w:t>לדין שני חיילים לאחר שלחצו</w:t>
      </w:r>
      <w:r w:rsidR="00351BC9">
        <w:rPr>
          <w:rFonts w:hint="cs"/>
          <w:rtl/>
        </w:rPr>
        <w:t>,</w:t>
      </w:r>
      <w:r w:rsidR="00BD72BA">
        <w:rPr>
          <w:rFonts w:hint="cs"/>
          <w:rtl/>
        </w:rPr>
        <w:t xml:space="preserve"> כל אחד מהם, לסירוגין, על מתג ההדממה של הטנק, וגרמו לו לתקלה שמנעה את יציאתו למשימה. </w:t>
      </w:r>
      <w:r w:rsidR="00FC281C">
        <w:rPr>
          <w:rFonts w:hint="cs"/>
          <w:rtl/>
        </w:rPr>
        <w:t xml:space="preserve">בואר, כי "סופו של דבר, נואש מפקד הטנק </w:t>
      </w:r>
      <w:r w:rsidR="00FC281C">
        <w:rPr>
          <w:rtl/>
        </w:rPr>
        <w:t>–</w:t>
      </w:r>
      <w:r w:rsidR="00FC281C">
        <w:rPr>
          <w:rFonts w:hint="cs"/>
          <w:rtl/>
        </w:rPr>
        <w:t xml:space="preserve"> </w:t>
      </w:r>
      <w:r w:rsidR="00FC281C" w:rsidRPr="00FC281C">
        <w:rPr>
          <w:rFonts w:hint="cs"/>
          <w:b/>
          <w:bCs/>
          <w:rtl/>
        </w:rPr>
        <w:t>שלא ידע, כמובן, דבר על פועלם של אנשי צוותו</w:t>
      </w:r>
      <w:r w:rsidR="00FC281C">
        <w:rPr>
          <w:rFonts w:hint="cs"/>
          <w:rtl/>
        </w:rPr>
        <w:t xml:space="preserve">, מן האפשרות להסיע את הטנק ליעדו והמשימה בוטלה". השניים הורשעו בעבירה של השתמטות מפעולה מסויימת (על אף שמטרתם המיידית הייתה להתריס כנגד יחסם של המפקדים), ועניינם דומה </w:t>
      </w:r>
      <w:r w:rsidR="00673B91">
        <w:rPr>
          <w:rFonts w:hint="cs"/>
          <w:rtl/>
        </w:rPr>
        <w:t xml:space="preserve">מאד </w:t>
      </w:r>
      <w:r w:rsidR="00FC281C">
        <w:rPr>
          <w:rFonts w:hint="cs"/>
          <w:rtl/>
        </w:rPr>
        <w:t xml:space="preserve">לנסיבותיו של המקרה דנן. </w:t>
      </w:r>
    </w:p>
    <w:p w:rsidR="00FC281C" w:rsidRPr="00204D05" w:rsidRDefault="00FC281C" w:rsidP="00124D06">
      <w:pPr>
        <w:numPr>
          <w:ilvl w:val="0"/>
          <w:numId w:val="1"/>
        </w:numPr>
        <w:tabs>
          <w:tab w:val="left" w:pos="229"/>
          <w:tab w:val="left" w:pos="368"/>
        </w:tabs>
        <w:ind w:left="0" w:firstLine="0"/>
        <w:rPr>
          <w:rtl/>
        </w:rPr>
      </w:pPr>
      <w:r>
        <w:rPr>
          <w:rFonts w:hint="cs"/>
          <w:rtl/>
        </w:rPr>
        <w:t xml:space="preserve">עולה, אפוא, כי יש לדחות את טענת ההגנה לאכיפה בררנית </w:t>
      </w:r>
      <w:r w:rsidR="00124D06">
        <w:rPr>
          <w:rFonts w:hint="cs"/>
          <w:rtl/>
        </w:rPr>
        <w:t>(</w:t>
      </w:r>
      <w:r w:rsidR="00673B91">
        <w:rPr>
          <w:rFonts w:hint="cs"/>
          <w:rtl/>
        </w:rPr>
        <w:t xml:space="preserve">מה עוד </w:t>
      </w:r>
      <w:r w:rsidR="00124D06">
        <w:rPr>
          <w:rFonts w:hint="cs"/>
          <w:rtl/>
        </w:rPr>
        <w:t>שלא הוצגה לפני בית הדין קמא)</w:t>
      </w:r>
      <w:r w:rsidR="00673B91">
        <w:rPr>
          <w:rFonts w:hint="cs"/>
          <w:rtl/>
        </w:rPr>
        <w:t>,</w:t>
      </w:r>
      <w:r w:rsidR="00124D06">
        <w:rPr>
          <w:rFonts w:hint="cs"/>
          <w:rtl/>
        </w:rPr>
        <w:t xml:space="preserve"> </w:t>
      </w:r>
      <w:r>
        <w:rPr>
          <w:rFonts w:hint="cs"/>
          <w:rtl/>
        </w:rPr>
        <w:t xml:space="preserve">ואין לבטל את הרשעתו של המערער בעבירה לפי סעיף 102 הנ"ל, בשל כך.  </w:t>
      </w:r>
    </w:p>
    <w:p w:rsidR="00FC281C" w:rsidRPr="00FC281C" w:rsidRDefault="00FC281C" w:rsidP="009E7426">
      <w:pPr>
        <w:rPr>
          <w:u w:val="single"/>
          <w:rtl/>
        </w:rPr>
      </w:pPr>
    </w:p>
    <w:p w:rsidR="009E7426" w:rsidRPr="00FC281C" w:rsidRDefault="00CA5DF2" w:rsidP="009E7426">
      <w:pPr>
        <w:rPr>
          <w:u w:val="single"/>
          <w:rtl/>
        </w:rPr>
      </w:pPr>
      <w:r w:rsidRPr="00FC281C">
        <w:rPr>
          <w:rFonts w:hint="cs"/>
          <w:u w:val="single"/>
          <w:rtl/>
        </w:rPr>
        <w:t>האפשרות להתגונן</w:t>
      </w:r>
    </w:p>
    <w:p w:rsidR="00072AF4" w:rsidRDefault="00FC281C" w:rsidP="00072AF4">
      <w:pPr>
        <w:numPr>
          <w:ilvl w:val="0"/>
          <w:numId w:val="1"/>
        </w:numPr>
        <w:tabs>
          <w:tab w:val="left" w:pos="229"/>
          <w:tab w:val="left" w:pos="368"/>
        </w:tabs>
        <w:ind w:left="0" w:firstLine="0"/>
      </w:pPr>
      <w:r w:rsidRPr="00FC281C">
        <w:rPr>
          <w:rFonts w:hint="cs"/>
          <w:rtl/>
        </w:rPr>
        <w:t>טענתה הנוספת של ההגנה כנגד הרשעתו של המערער בעבירה לפי סעיף 102</w:t>
      </w:r>
      <w:r w:rsidR="00923FE7">
        <w:rPr>
          <w:rFonts w:hint="cs"/>
          <w:rtl/>
        </w:rPr>
        <w:t xml:space="preserve"> הנ"ל</w:t>
      </w:r>
      <w:r w:rsidRPr="00FC281C">
        <w:rPr>
          <w:rFonts w:hint="cs"/>
          <w:rtl/>
        </w:rPr>
        <w:t xml:space="preserve">,  </w:t>
      </w:r>
      <w:r>
        <w:rPr>
          <w:rFonts w:hint="cs"/>
          <w:rtl/>
        </w:rPr>
        <w:t xml:space="preserve">נסבה </w:t>
      </w:r>
      <w:r w:rsidR="00923FE7">
        <w:rPr>
          <w:rFonts w:hint="cs"/>
          <w:rtl/>
        </w:rPr>
        <w:t>על הוראת סעיף 184 לחוק סדר</w:t>
      </w:r>
      <w:r w:rsidR="00072AF4">
        <w:rPr>
          <w:rFonts w:hint="cs"/>
          <w:rtl/>
        </w:rPr>
        <w:t xml:space="preserve"> הדין הפלילי, שלפיה "</w:t>
      </w:r>
      <w:r w:rsidR="00B03BFC">
        <w:rPr>
          <w:rtl/>
        </w:rPr>
        <w:t>בית המשפט רשאי להרשיע נאשם בעבירה שאשמתו בה נתגלתה מן העובדות שהוכחו לפניו, אף אם עובדות אלה לא נטענו בכתב האישום, ובלבד שניתנה לנאשם הזדמנות סבירה להתגונן</w:t>
      </w:r>
      <w:r w:rsidR="00072AF4">
        <w:rPr>
          <w:rFonts w:hint="cs"/>
          <w:rtl/>
        </w:rPr>
        <w:t xml:space="preserve">..." (ראו והשוו: סעיף 382 לחוק השיפוט הצבאי). נטען על-ידי ההגנה, כאמור, כי בית הדין קמא הרשיע את המערער בעבירה שיוחסה לו בכתב האישום על-פי עובדות שלא נטענו בו, מבלי שניתנה למערער "הזדמנות סבירה להתגונן". </w:t>
      </w:r>
    </w:p>
    <w:p w:rsidR="00072AF4" w:rsidRDefault="00072AF4" w:rsidP="002D1FF1">
      <w:pPr>
        <w:numPr>
          <w:ilvl w:val="0"/>
          <w:numId w:val="1"/>
        </w:numPr>
        <w:tabs>
          <w:tab w:val="left" w:pos="229"/>
          <w:tab w:val="left" w:pos="368"/>
        </w:tabs>
        <w:ind w:left="0" w:firstLine="0"/>
      </w:pPr>
      <w:r>
        <w:rPr>
          <w:rFonts w:hint="cs"/>
          <w:rtl/>
        </w:rPr>
        <w:t xml:space="preserve"> הלכה פסוקה היא, כי סוגיית הרשעה בעובדות שונות ואף בסעיף עבירה אחר עשויה להתעורר ולהיבחן אף בשלב מתקדם במשפט (ראו</w:t>
      </w:r>
      <w:r w:rsidR="002D1FF1">
        <w:rPr>
          <w:rFonts w:hint="cs"/>
          <w:rtl/>
        </w:rPr>
        <w:t xml:space="preserve">: </w:t>
      </w:r>
      <w:r w:rsidRPr="00072AF4">
        <w:rPr>
          <w:rFonts w:hint="cs"/>
          <w:rtl/>
        </w:rPr>
        <w:t xml:space="preserve">ע"פ 8168/05 </w:t>
      </w:r>
      <w:r w:rsidRPr="00072AF4">
        <w:rPr>
          <w:rFonts w:hint="cs"/>
          <w:b/>
          <w:bCs/>
          <w:rtl/>
        </w:rPr>
        <w:t>פלינק נ' מדינת ישראל</w:t>
      </w:r>
      <w:r w:rsidRPr="00072AF4">
        <w:rPr>
          <w:rFonts w:hint="cs"/>
          <w:rtl/>
        </w:rPr>
        <w:t xml:space="preserve"> (</w:t>
      </w:r>
      <w:r w:rsidR="00D53E6C">
        <w:rPr>
          <w:rFonts w:hint="cs"/>
          <w:rtl/>
        </w:rPr>
        <w:t>טרם פורסם,</w:t>
      </w:r>
      <w:r w:rsidR="00D53E6C" w:rsidRPr="00072AF4">
        <w:rPr>
          <w:rFonts w:hint="cs"/>
          <w:rtl/>
        </w:rPr>
        <w:t xml:space="preserve"> </w:t>
      </w:r>
      <w:r w:rsidRPr="00072AF4">
        <w:rPr>
          <w:rFonts w:hint="cs"/>
          <w:rtl/>
        </w:rPr>
        <w:t xml:space="preserve">31.5.2007), שם נעשה שימוש בהוראת סעיף 184 לחוק </w:t>
      </w:r>
      <w:r w:rsidRPr="00072AF4">
        <w:rPr>
          <w:rFonts w:hint="cs"/>
          <w:rtl/>
        </w:rPr>
        <w:lastRenderedPageBreak/>
        <w:t>סדר הדין הפלילי בשלב המשפט החוזר</w:t>
      </w:r>
      <w:r>
        <w:rPr>
          <w:rFonts w:hint="cs"/>
          <w:rtl/>
        </w:rPr>
        <w:t xml:space="preserve">), ובלבד </w:t>
      </w:r>
      <w:r w:rsidR="002D1FF1">
        <w:rPr>
          <w:rFonts w:hint="cs"/>
          <w:rtl/>
        </w:rPr>
        <w:t xml:space="preserve">שניתנה לנאשם </w:t>
      </w:r>
      <w:r w:rsidRPr="00836C82">
        <w:rPr>
          <w:rFonts w:hint="cs"/>
          <w:rtl/>
        </w:rPr>
        <w:t>הזדמנות</w:t>
      </w:r>
      <w:r w:rsidRPr="00836C82">
        <w:rPr>
          <w:rtl/>
        </w:rPr>
        <w:t xml:space="preserve"> </w:t>
      </w:r>
      <w:r w:rsidRPr="00836C82">
        <w:rPr>
          <w:rFonts w:hint="cs"/>
          <w:rtl/>
        </w:rPr>
        <w:t>סבירה</w:t>
      </w:r>
      <w:r w:rsidRPr="00836C82">
        <w:rPr>
          <w:rtl/>
        </w:rPr>
        <w:t xml:space="preserve"> </w:t>
      </w:r>
      <w:r w:rsidRPr="00836C82">
        <w:rPr>
          <w:rFonts w:hint="cs"/>
          <w:rtl/>
        </w:rPr>
        <w:t>להתגונן</w:t>
      </w:r>
      <w:r w:rsidRPr="00836C82">
        <w:rPr>
          <w:rtl/>
        </w:rPr>
        <w:t xml:space="preserve"> (</w:t>
      </w:r>
      <w:r w:rsidRPr="00836C82">
        <w:rPr>
          <w:rFonts w:hint="cs"/>
          <w:rtl/>
        </w:rPr>
        <w:t>ע</w:t>
      </w:r>
      <w:r w:rsidRPr="00836C82">
        <w:rPr>
          <w:rtl/>
        </w:rPr>
        <w:t>"</w:t>
      </w:r>
      <w:r w:rsidRPr="00836C82">
        <w:rPr>
          <w:rFonts w:hint="cs"/>
          <w:rtl/>
        </w:rPr>
        <w:t>פ</w:t>
      </w:r>
      <w:r w:rsidRPr="00836C82">
        <w:rPr>
          <w:rtl/>
        </w:rPr>
        <w:t xml:space="preserve"> 807/99 </w:t>
      </w:r>
      <w:r w:rsidRPr="00BC6D30">
        <w:rPr>
          <w:rFonts w:hint="cs"/>
          <w:b/>
          <w:bCs/>
          <w:rtl/>
        </w:rPr>
        <w:t>מדינת</w:t>
      </w:r>
      <w:r w:rsidRPr="00BC6D30">
        <w:rPr>
          <w:b/>
          <w:bCs/>
          <w:rtl/>
        </w:rPr>
        <w:t xml:space="preserve"> </w:t>
      </w:r>
      <w:r w:rsidRPr="00BC6D30">
        <w:rPr>
          <w:rFonts w:hint="cs"/>
          <w:b/>
          <w:bCs/>
          <w:rtl/>
        </w:rPr>
        <w:t>ישראל</w:t>
      </w:r>
      <w:r w:rsidRPr="00BC6D30">
        <w:rPr>
          <w:b/>
          <w:bCs/>
          <w:rtl/>
        </w:rPr>
        <w:t xml:space="preserve"> </w:t>
      </w:r>
      <w:r w:rsidRPr="00BC6D30">
        <w:rPr>
          <w:rFonts w:hint="cs"/>
          <w:b/>
          <w:bCs/>
          <w:rtl/>
        </w:rPr>
        <w:t>נ</w:t>
      </w:r>
      <w:r w:rsidRPr="00BC6D30">
        <w:rPr>
          <w:b/>
          <w:bCs/>
          <w:rtl/>
        </w:rPr>
        <w:t xml:space="preserve">' </w:t>
      </w:r>
      <w:r w:rsidRPr="00BC6D30">
        <w:rPr>
          <w:rFonts w:hint="cs"/>
          <w:b/>
          <w:bCs/>
          <w:rtl/>
        </w:rPr>
        <w:t>עזיזיאן</w:t>
      </w:r>
      <w:r w:rsidRPr="00836C82">
        <w:rPr>
          <w:rtl/>
        </w:rPr>
        <w:t xml:space="preserve">, </w:t>
      </w:r>
      <w:r w:rsidRPr="00836C82">
        <w:rPr>
          <w:rFonts w:hint="cs"/>
          <w:rtl/>
        </w:rPr>
        <w:t>פ</w:t>
      </w:r>
      <w:r w:rsidRPr="00836C82">
        <w:rPr>
          <w:rtl/>
        </w:rPr>
        <w:t>"</w:t>
      </w:r>
      <w:r w:rsidRPr="00836C82">
        <w:rPr>
          <w:rFonts w:hint="cs"/>
          <w:rtl/>
        </w:rPr>
        <w:t>ד</w:t>
      </w:r>
      <w:r w:rsidRPr="00836C82">
        <w:rPr>
          <w:rtl/>
        </w:rPr>
        <w:t xml:space="preserve"> </w:t>
      </w:r>
      <w:r w:rsidRPr="00836C82">
        <w:rPr>
          <w:rFonts w:hint="cs"/>
          <w:rtl/>
        </w:rPr>
        <w:t>נג</w:t>
      </w:r>
      <w:r w:rsidRPr="00836C82">
        <w:rPr>
          <w:rtl/>
        </w:rPr>
        <w:t>(5) 747, 754 (1999);</w:t>
      </w:r>
      <w:r>
        <w:rPr>
          <w:rFonts w:hint="cs"/>
          <w:rtl/>
        </w:rPr>
        <w:t xml:space="preserve"> </w:t>
      </w:r>
      <w:r w:rsidRPr="00836C82">
        <w:rPr>
          <w:rFonts w:hint="cs"/>
          <w:rtl/>
        </w:rPr>
        <w:t>ע</w:t>
      </w:r>
      <w:r w:rsidRPr="00836C82">
        <w:rPr>
          <w:rtl/>
        </w:rPr>
        <w:t xml:space="preserve">/56,62/08 </w:t>
      </w:r>
      <w:r w:rsidRPr="00BC6D30">
        <w:rPr>
          <w:rFonts w:hint="cs"/>
          <w:b/>
          <w:bCs/>
          <w:rtl/>
        </w:rPr>
        <w:t>טור</w:t>
      </w:r>
      <w:r w:rsidRPr="00BC6D30">
        <w:rPr>
          <w:b/>
          <w:bCs/>
          <w:rtl/>
        </w:rPr>
        <w:t xml:space="preserve">' </w:t>
      </w:r>
      <w:r w:rsidRPr="00BC6D30">
        <w:rPr>
          <w:rFonts w:hint="cs"/>
          <w:b/>
          <w:bCs/>
          <w:rtl/>
        </w:rPr>
        <w:t>מנגד</w:t>
      </w:r>
      <w:r w:rsidRPr="00BC6D30">
        <w:rPr>
          <w:b/>
          <w:bCs/>
          <w:rtl/>
        </w:rPr>
        <w:t xml:space="preserve"> </w:t>
      </w:r>
      <w:r w:rsidRPr="00BC6D30">
        <w:rPr>
          <w:rFonts w:hint="cs"/>
          <w:b/>
          <w:bCs/>
          <w:rtl/>
        </w:rPr>
        <w:t>נ</w:t>
      </w:r>
      <w:r w:rsidRPr="00BC6D30">
        <w:rPr>
          <w:b/>
          <w:bCs/>
          <w:rtl/>
        </w:rPr>
        <w:t xml:space="preserve">' </w:t>
      </w:r>
      <w:r w:rsidRPr="00BC6D30">
        <w:rPr>
          <w:rFonts w:hint="cs"/>
          <w:b/>
          <w:bCs/>
          <w:rtl/>
        </w:rPr>
        <w:t>התובע</w:t>
      </w:r>
      <w:r w:rsidRPr="00BC6D30">
        <w:rPr>
          <w:b/>
          <w:bCs/>
          <w:rtl/>
        </w:rPr>
        <w:t xml:space="preserve"> </w:t>
      </w:r>
      <w:r w:rsidRPr="00BC6D30">
        <w:rPr>
          <w:rFonts w:hint="cs"/>
          <w:b/>
          <w:bCs/>
          <w:rtl/>
        </w:rPr>
        <w:t>הצבאי</w:t>
      </w:r>
      <w:r w:rsidRPr="00836C82">
        <w:rPr>
          <w:rtl/>
        </w:rPr>
        <w:t xml:space="preserve"> (2008)</w:t>
      </w:r>
      <w:r>
        <w:rPr>
          <w:rFonts w:hint="cs"/>
          <w:rtl/>
        </w:rPr>
        <w:t xml:space="preserve">; </w:t>
      </w:r>
      <w:r w:rsidRPr="00EF0C4E">
        <w:rPr>
          <w:rFonts w:hint="cs"/>
          <w:rtl/>
        </w:rPr>
        <w:t>ע/</w:t>
      </w:r>
      <w:r w:rsidRPr="008C5338">
        <w:rPr>
          <w:rtl/>
        </w:rPr>
        <w:t xml:space="preserve">94/11 </w:t>
      </w:r>
      <w:r w:rsidRPr="00BC6D30">
        <w:rPr>
          <w:rFonts w:hint="cs"/>
          <w:b/>
          <w:bCs/>
          <w:rtl/>
        </w:rPr>
        <w:t>סא</w:t>
      </w:r>
      <w:r w:rsidRPr="00BC6D30">
        <w:rPr>
          <w:b/>
          <w:bCs/>
          <w:rtl/>
        </w:rPr>
        <w:t>"</w:t>
      </w:r>
      <w:r w:rsidRPr="00BC6D30">
        <w:rPr>
          <w:rFonts w:hint="cs"/>
          <w:b/>
          <w:bCs/>
          <w:rtl/>
        </w:rPr>
        <w:t>ל</w:t>
      </w:r>
      <w:r w:rsidRPr="00BC6D30">
        <w:rPr>
          <w:b/>
          <w:bCs/>
          <w:rtl/>
        </w:rPr>
        <w:t xml:space="preserve"> </w:t>
      </w:r>
      <w:r w:rsidRPr="00BC6D30">
        <w:rPr>
          <w:rFonts w:hint="cs"/>
          <w:b/>
          <w:bCs/>
          <w:rtl/>
        </w:rPr>
        <w:t>אטיאס</w:t>
      </w:r>
      <w:r w:rsidRPr="00BC6D30">
        <w:rPr>
          <w:b/>
          <w:bCs/>
          <w:rtl/>
        </w:rPr>
        <w:t xml:space="preserve"> </w:t>
      </w:r>
      <w:r w:rsidRPr="00BC6D30">
        <w:rPr>
          <w:rFonts w:hint="cs"/>
          <w:b/>
          <w:bCs/>
          <w:rtl/>
        </w:rPr>
        <w:t>נ</w:t>
      </w:r>
      <w:r w:rsidRPr="00BC6D30">
        <w:rPr>
          <w:b/>
          <w:bCs/>
          <w:rtl/>
        </w:rPr>
        <w:t xml:space="preserve">' </w:t>
      </w:r>
      <w:r w:rsidRPr="00BC6D30">
        <w:rPr>
          <w:rFonts w:hint="cs"/>
          <w:b/>
          <w:bCs/>
          <w:rtl/>
        </w:rPr>
        <w:t>התובע</w:t>
      </w:r>
      <w:r w:rsidRPr="00BC6D30">
        <w:rPr>
          <w:b/>
          <w:bCs/>
          <w:rtl/>
        </w:rPr>
        <w:t xml:space="preserve"> </w:t>
      </w:r>
      <w:r w:rsidRPr="00BC6D30">
        <w:rPr>
          <w:rFonts w:hint="cs"/>
          <w:b/>
          <w:bCs/>
          <w:rtl/>
        </w:rPr>
        <w:t>הצבאי</w:t>
      </w:r>
      <w:r w:rsidRPr="00BC6D30">
        <w:rPr>
          <w:b/>
          <w:bCs/>
          <w:rtl/>
        </w:rPr>
        <w:t xml:space="preserve"> </w:t>
      </w:r>
      <w:r w:rsidRPr="00BC6D30">
        <w:rPr>
          <w:rFonts w:hint="cs"/>
          <w:b/>
          <w:bCs/>
          <w:rtl/>
        </w:rPr>
        <w:t>הראשי</w:t>
      </w:r>
      <w:r w:rsidRPr="009868C7">
        <w:rPr>
          <w:rtl/>
        </w:rPr>
        <w:t xml:space="preserve"> </w:t>
      </w:r>
      <w:r w:rsidRPr="009868C7">
        <w:rPr>
          <w:rFonts w:hint="cs"/>
          <w:rtl/>
        </w:rPr>
        <w:t>(2012)</w:t>
      </w:r>
      <w:r w:rsidR="002D1FF1">
        <w:rPr>
          <w:rFonts w:hint="cs"/>
          <w:rtl/>
        </w:rPr>
        <w:t xml:space="preserve">; ע/9/19 </w:t>
      </w:r>
      <w:r w:rsidR="002D1FF1" w:rsidRPr="002D1FF1">
        <w:rPr>
          <w:rFonts w:hint="cs"/>
          <w:b/>
          <w:bCs/>
          <w:rtl/>
        </w:rPr>
        <w:t>סגן משה נ' התובע הצבאי הראשי</w:t>
      </w:r>
      <w:r w:rsidR="002D1FF1">
        <w:rPr>
          <w:rFonts w:hint="cs"/>
          <w:rtl/>
        </w:rPr>
        <w:t xml:space="preserve"> (2019)</w:t>
      </w:r>
      <w:r w:rsidRPr="009868C7">
        <w:rPr>
          <w:rFonts w:hint="cs"/>
          <w:rtl/>
        </w:rPr>
        <w:t>).</w:t>
      </w:r>
      <w:r>
        <w:rPr>
          <w:rFonts w:hint="cs"/>
          <w:rtl/>
        </w:rPr>
        <w:t xml:space="preserve"> </w:t>
      </w:r>
    </w:p>
    <w:p w:rsidR="002E3442" w:rsidRDefault="002D1FF1" w:rsidP="002D1FF1">
      <w:pPr>
        <w:numPr>
          <w:ilvl w:val="0"/>
          <w:numId w:val="1"/>
        </w:numPr>
        <w:tabs>
          <w:tab w:val="left" w:pos="229"/>
          <w:tab w:val="left" w:pos="368"/>
        </w:tabs>
        <w:ind w:left="0" w:firstLine="0"/>
      </w:pPr>
      <w:r>
        <w:rPr>
          <w:rFonts w:hint="cs"/>
          <w:rtl/>
        </w:rPr>
        <w:t>אשר ליישומו של מבחן "ההזדמנות הסבירה להתגונן", הוטעם כי</w:t>
      </w:r>
      <w:r w:rsidR="002E3442">
        <w:rPr>
          <w:rFonts w:hint="cs"/>
          <w:rtl/>
        </w:rPr>
        <w:t>:</w:t>
      </w:r>
    </w:p>
    <w:p w:rsidR="00B03BFC" w:rsidRDefault="002D1FF1" w:rsidP="002E3442">
      <w:pPr>
        <w:tabs>
          <w:tab w:val="left" w:pos="229"/>
        </w:tabs>
        <w:spacing w:line="240" w:lineRule="auto"/>
        <w:ind w:left="1076" w:right="1985"/>
        <w:rPr>
          <w:rtl/>
        </w:rPr>
      </w:pPr>
      <w:r>
        <w:rPr>
          <w:rFonts w:hint="cs"/>
          <w:rtl/>
        </w:rPr>
        <w:t xml:space="preserve"> </w:t>
      </w:r>
      <w:r w:rsidR="00072AF4">
        <w:rPr>
          <w:rFonts w:hint="cs"/>
          <w:rtl/>
        </w:rPr>
        <w:t>"תנאי</w:t>
      </w:r>
      <w:r w:rsidR="00072AF4">
        <w:rPr>
          <w:rtl/>
        </w:rPr>
        <w:t xml:space="preserve"> </w:t>
      </w:r>
      <w:r w:rsidR="00072AF4">
        <w:rPr>
          <w:rFonts w:hint="cs"/>
          <w:rtl/>
        </w:rPr>
        <w:t>זה</w:t>
      </w:r>
      <w:r w:rsidR="00072AF4">
        <w:rPr>
          <w:rtl/>
        </w:rPr>
        <w:t xml:space="preserve"> </w:t>
      </w:r>
      <w:r w:rsidR="00072AF4">
        <w:rPr>
          <w:rFonts w:hint="cs"/>
          <w:rtl/>
        </w:rPr>
        <w:t>כולל</w:t>
      </w:r>
      <w:r w:rsidR="00072AF4">
        <w:rPr>
          <w:rtl/>
        </w:rPr>
        <w:t xml:space="preserve"> </w:t>
      </w:r>
      <w:r w:rsidR="00072AF4">
        <w:rPr>
          <w:rFonts w:hint="cs"/>
          <w:rtl/>
        </w:rPr>
        <w:t>שני</w:t>
      </w:r>
      <w:r w:rsidR="00072AF4">
        <w:rPr>
          <w:rtl/>
        </w:rPr>
        <w:t xml:space="preserve"> </w:t>
      </w:r>
      <w:r w:rsidR="00072AF4">
        <w:rPr>
          <w:rFonts w:hint="cs"/>
          <w:rtl/>
        </w:rPr>
        <w:t>יסודות</w:t>
      </w:r>
      <w:r w:rsidR="00072AF4">
        <w:rPr>
          <w:rtl/>
        </w:rPr>
        <w:t xml:space="preserve">: </w:t>
      </w:r>
      <w:r w:rsidR="00072AF4">
        <w:rPr>
          <w:rFonts w:hint="cs"/>
          <w:rtl/>
        </w:rPr>
        <w:t>יסוד</w:t>
      </w:r>
      <w:r w:rsidR="00072AF4">
        <w:rPr>
          <w:rtl/>
        </w:rPr>
        <w:t xml:space="preserve"> </w:t>
      </w:r>
      <w:r w:rsidR="00072AF4">
        <w:rPr>
          <w:rFonts w:hint="cs"/>
          <w:rtl/>
        </w:rPr>
        <w:t>טכני</w:t>
      </w:r>
      <w:r w:rsidR="00072AF4">
        <w:rPr>
          <w:rtl/>
        </w:rPr>
        <w:t>-</w:t>
      </w:r>
      <w:r w:rsidR="00072AF4">
        <w:rPr>
          <w:rFonts w:hint="cs"/>
          <w:rtl/>
        </w:rPr>
        <w:t>דיוני</w:t>
      </w:r>
      <w:r w:rsidR="00072AF4">
        <w:rPr>
          <w:rtl/>
        </w:rPr>
        <w:t xml:space="preserve"> </w:t>
      </w:r>
      <w:r w:rsidR="00072AF4">
        <w:rPr>
          <w:rFonts w:hint="cs"/>
          <w:rtl/>
        </w:rPr>
        <w:t>שעניינו</w:t>
      </w:r>
      <w:r w:rsidR="00072AF4">
        <w:rPr>
          <w:rtl/>
        </w:rPr>
        <w:t xml:space="preserve"> </w:t>
      </w:r>
      <w:r w:rsidR="00072AF4">
        <w:rPr>
          <w:rFonts w:hint="cs"/>
          <w:rtl/>
        </w:rPr>
        <w:t>היכולת</w:t>
      </w:r>
      <w:r w:rsidR="00072AF4">
        <w:rPr>
          <w:rtl/>
        </w:rPr>
        <w:t xml:space="preserve"> </w:t>
      </w:r>
      <w:r w:rsidR="00072AF4">
        <w:rPr>
          <w:rFonts w:hint="cs"/>
          <w:rtl/>
        </w:rPr>
        <w:t>להביא</w:t>
      </w:r>
      <w:r w:rsidR="00072AF4">
        <w:rPr>
          <w:rtl/>
        </w:rPr>
        <w:t xml:space="preserve"> </w:t>
      </w:r>
      <w:r w:rsidR="00072AF4">
        <w:rPr>
          <w:rFonts w:hint="cs"/>
          <w:rtl/>
        </w:rPr>
        <w:t>ראיות</w:t>
      </w:r>
      <w:r w:rsidR="00072AF4">
        <w:rPr>
          <w:rtl/>
        </w:rPr>
        <w:t xml:space="preserve"> </w:t>
      </w:r>
      <w:r w:rsidR="00072AF4">
        <w:rPr>
          <w:rFonts w:hint="cs"/>
          <w:rtl/>
        </w:rPr>
        <w:t>ולהעיד</w:t>
      </w:r>
      <w:r w:rsidR="00072AF4">
        <w:rPr>
          <w:rtl/>
        </w:rPr>
        <w:t xml:space="preserve"> </w:t>
      </w:r>
      <w:r w:rsidR="00072AF4">
        <w:rPr>
          <w:rFonts w:hint="cs"/>
          <w:rtl/>
        </w:rPr>
        <w:t>עדים</w:t>
      </w:r>
      <w:r w:rsidR="00072AF4">
        <w:rPr>
          <w:rtl/>
        </w:rPr>
        <w:t xml:space="preserve"> </w:t>
      </w:r>
      <w:r w:rsidR="00072AF4">
        <w:rPr>
          <w:rFonts w:hint="cs"/>
          <w:rtl/>
        </w:rPr>
        <w:t>ביחס</w:t>
      </w:r>
      <w:r w:rsidR="00072AF4">
        <w:rPr>
          <w:rtl/>
        </w:rPr>
        <w:t xml:space="preserve"> </w:t>
      </w:r>
      <w:r w:rsidR="00072AF4">
        <w:rPr>
          <w:rFonts w:hint="cs"/>
          <w:rtl/>
        </w:rPr>
        <w:t>לאותן</w:t>
      </w:r>
      <w:r w:rsidR="00072AF4">
        <w:rPr>
          <w:rtl/>
        </w:rPr>
        <w:t xml:space="preserve"> </w:t>
      </w:r>
      <w:r w:rsidR="00072AF4">
        <w:rPr>
          <w:rFonts w:hint="cs"/>
          <w:rtl/>
        </w:rPr>
        <w:t>עובדות</w:t>
      </w:r>
      <w:r w:rsidR="00072AF4">
        <w:rPr>
          <w:rtl/>
        </w:rPr>
        <w:t xml:space="preserve">; </w:t>
      </w:r>
      <w:r w:rsidR="00072AF4">
        <w:rPr>
          <w:rFonts w:hint="cs"/>
          <w:rtl/>
        </w:rPr>
        <w:t>ויסוד</w:t>
      </w:r>
      <w:r w:rsidR="00072AF4">
        <w:rPr>
          <w:rtl/>
        </w:rPr>
        <w:t xml:space="preserve"> </w:t>
      </w:r>
      <w:r w:rsidR="00072AF4">
        <w:rPr>
          <w:rFonts w:hint="cs"/>
          <w:rtl/>
        </w:rPr>
        <w:t>מהותי</w:t>
      </w:r>
      <w:r w:rsidR="00072AF4">
        <w:rPr>
          <w:rtl/>
        </w:rPr>
        <w:t xml:space="preserve">, </w:t>
      </w:r>
      <w:r w:rsidR="00072AF4">
        <w:rPr>
          <w:rFonts w:hint="cs"/>
          <w:rtl/>
        </w:rPr>
        <w:t>שעניינו</w:t>
      </w:r>
      <w:r w:rsidR="00072AF4">
        <w:rPr>
          <w:rtl/>
        </w:rPr>
        <w:t xml:space="preserve"> </w:t>
      </w:r>
      <w:r w:rsidR="00072AF4">
        <w:rPr>
          <w:rFonts w:hint="cs"/>
          <w:rtl/>
        </w:rPr>
        <w:t>השאלה</w:t>
      </w:r>
      <w:r w:rsidR="00072AF4">
        <w:rPr>
          <w:rtl/>
        </w:rPr>
        <w:t xml:space="preserve"> </w:t>
      </w:r>
      <w:r w:rsidR="00072AF4">
        <w:rPr>
          <w:rFonts w:hint="cs"/>
          <w:rtl/>
        </w:rPr>
        <w:t>האם</w:t>
      </w:r>
      <w:r w:rsidR="00072AF4">
        <w:rPr>
          <w:rtl/>
        </w:rPr>
        <w:t xml:space="preserve"> </w:t>
      </w:r>
      <w:r w:rsidR="00072AF4">
        <w:rPr>
          <w:rFonts w:hint="cs"/>
          <w:rtl/>
        </w:rPr>
        <w:t>עמדה</w:t>
      </w:r>
      <w:r w:rsidR="00072AF4">
        <w:rPr>
          <w:rtl/>
        </w:rPr>
        <w:t xml:space="preserve"> </w:t>
      </w:r>
      <w:r w:rsidR="00072AF4">
        <w:rPr>
          <w:rFonts w:hint="cs"/>
          <w:rtl/>
        </w:rPr>
        <w:t>בפני</w:t>
      </w:r>
      <w:r w:rsidR="00072AF4">
        <w:rPr>
          <w:rtl/>
        </w:rPr>
        <w:t xml:space="preserve"> </w:t>
      </w:r>
      <w:r w:rsidR="00072AF4">
        <w:rPr>
          <w:rFonts w:hint="cs"/>
          <w:rtl/>
        </w:rPr>
        <w:t>הנאשם</w:t>
      </w:r>
      <w:r w:rsidR="00072AF4">
        <w:rPr>
          <w:rtl/>
        </w:rPr>
        <w:t xml:space="preserve"> </w:t>
      </w:r>
      <w:r w:rsidR="00072AF4">
        <w:rPr>
          <w:rFonts w:hint="cs"/>
          <w:rtl/>
        </w:rPr>
        <w:t>האפשרות</w:t>
      </w:r>
      <w:r w:rsidR="00072AF4">
        <w:rPr>
          <w:rtl/>
        </w:rPr>
        <w:t xml:space="preserve"> </w:t>
      </w:r>
      <w:r w:rsidR="00072AF4">
        <w:rPr>
          <w:rFonts w:hint="cs"/>
          <w:rtl/>
        </w:rPr>
        <w:t>להציג</w:t>
      </w:r>
      <w:r w:rsidR="00072AF4">
        <w:rPr>
          <w:rtl/>
        </w:rPr>
        <w:t xml:space="preserve"> </w:t>
      </w:r>
      <w:r w:rsidR="00072AF4">
        <w:rPr>
          <w:rFonts w:hint="cs"/>
          <w:rtl/>
        </w:rPr>
        <w:t>קו</w:t>
      </w:r>
      <w:r w:rsidR="00072AF4">
        <w:rPr>
          <w:rtl/>
        </w:rPr>
        <w:t xml:space="preserve"> </w:t>
      </w:r>
      <w:r w:rsidR="00072AF4">
        <w:rPr>
          <w:rFonts w:hint="cs"/>
          <w:rtl/>
        </w:rPr>
        <w:t>הגנה</w:t>
      </w:r>
      <w:r w:rsidR="00072AF4">
        <w:rPr>
          <w:rtl/>
        </w:rPr>
        <w:t xml:space="preserve"> </w:t>
      </w:r>
      <w:r w:rsidR="00072AF4">
        <w:rPr>
          <w:rFonts w:hint="cs"/>
          <w:rtl/>
        </w:rPr>
        <w:t>תוך</w:t>
      </w:r>
      <w:r w:rsidR="00072AF4">
        <w:rPr>
          <w:rtl/>
        </w:rPr>
        <w:t xml:space="preserve"> </w:t>
      </w:r>
      <w:r w:rsidR="00072AF4">
        <w:rPr>
          <w:rFonts w:hint="cs"/>
          <w:rtl/>
        </w:rPr>
        <w:t>התייחסות</w:t>
      </w:r>
      <w:r w:rsidR="00072AF4">
        <w:rPr>
          <w:rtl/>
        </w:rPr>
        <w:t xml:space="preserve"> </w:t>
      </w:r>
      <w:r w:rsidR="00072AF4">
        <w:rPr>
          <w:rFonts w:hint="cs"/>
          <w:rtl/>
        </w:rPr>
        <w:t>גם</w:t>
      </w:r>
      <w:r w:rsidR="00072AF4">
        <w:rPr>
          <w:rtl/>
        </w:rPr>
        <w:t xml:space="preserve"> </w:t>
      </w:r>
      <w:r w:rsidR="00072AF4">
        <w:rPr>
          <w:rFonts w:hint="cs"/>
          <w:rtl/>
        </w:rPr>
        <w:t>לעובדות</w:t>
      </w:r>
      <w:r w:rsidR="00072AF4">
        <w:rPr>
          <w:rtl/>
        </w:rPr>
        <w:t xml:space="preserve"> </w:t>
      </w:r>
      <w:r w:rsidR="00072AF4">
        <w:rPr>
          <w:rFonts w:hint="cs"/>
          <w:rtl/>
        </w:rPr>
        <w:t>אלו</w:t>
      </w:r>
      <w:r w:rsidR="00072AF4">
        <w:rPr>
          <w:rtl/>
        </w:rPr>
        <w:t xml:space="preserve">. </w:t>
      </w:r>
      <w:r w:rsidR="00072AF4">
        <w:rPr>
          <w:rFonts w:hint="cs"/>
          <w:rtl/>
        </w:rPr>
        <w:t>ככלל</w:t>
      </w:r>
      <w:r w:rsidR="00072AF4">
        <w:rPr>
          <w:rtl/>
        </w:rPr>
        <w:t xml:space="preserve">, </w:t>
      </w:r>
      <w:r w:rsidR="00072AF4">
        <w:rPr>
          <w:rFonts w:hint="cs"/>
          <w:rtl/>
        </w:rPr>
        <w:t>כאשר</w:t>
      </w:r>
      <w:r w:rsidR="00072AF4">
        <w:rPr>
          <w:rtl/>
        </w:rPr>
        <w:t xml:space="preserve"> </w:t>
      </w:r>
      <w:r w:rsidR="00072AF4">
        <w:rPr>
          <w:rFonts w:hint="cs"/>
          <w:rtl/>
        </w:rPr>
        <w:t>קו</w:t>
      </w:r>
      <w:r w:rsidR="00072AF4">
        <w:rPr>
          <w:rtl/>
        </w:rPr>
        <w:t xml:space="preserve"> </w:t>
      </w:r>
      <w:r w:rsidR="00072AF4">
        <w:rPr>
          <w:rFonts w:hint="cs"/>
          <w:rtl/>
        </w:rPr>
        <w:t>ההגנה</w:t>
      </w:r>
      <w:r w:rsidR="00072AF4">
        <w:rPr>
          <w:rtl/>
        </w:rPr>
        <w:t xml:space="preserve"> </w:t>
      </w:r>
      <w:r w:rsidR="00072AF4">
        <w:rPr>
          <w:rFonts w:hint="cs"/>
          <w:rtl/>
        </w:rPr>
        <w:t>שהציב</w:t>
      </w:r>
      <w:r w:rsidR="00072AF4">
        <w:rPr>
          <w:rtl/>
        </w:rPr>
        <w:t xml:space="preserve"> </w:t>
      </w:r>
      <w:r w:rsidR="00072AF4">
        <w:rPr>
          <w:rFonts w:hint="cs"/>
          <w:rtl/>
        </w:rPr>
        <w:t>הנאשם</w:t>
      </w:r>
      <w:r w:rsidR="00072AF4">
        <w:rPr>
          <w:rtl/>
        </w:rPr>
        <w:t xml:space="preserve"> </w:t>
      </w:r>
      <w:r w:rsidR="00072AF4">
        <w:rPr>
          <w:rFonts w:hint="cs"/>
          <w:rtl/>
        </w:rPr>
        <w:t>היה</w:t>
      </w:r>
      <w:r w:rsidR="00072AF4">
        <w:rPr>
          <w:rtl/>
        </w:rPr>
        <w:t xml:space="preserve"> </w:t>
      </w:r>
      <w:r w:rsidR="00072AF4">
        <w:rPr>
          <w:rFonts w:hint="cs"/>
          <w:rtl/>
        </w:rPr>
        <w:t>אותו</w:t>
      </w:r>
      <w:r w:rsidR="00072AF4">
        <w:rPr>
          <w:rtl/>
        </w:rPr>
        <w:t xml:space="preserve"> </w:t>
      </w:r>
      <w:r w:rsidR="00072AF4">
        <w:rPr>
          <w:rFonts w:hint="cs"/>
          <w:rtl/>
        </w:rPr>
        <w:t>קו</w:t>
      </w:r>
      <w:r w:rsidR="00072AF4">
        <w:rPr>
          <w:rtl/>
        </w:rPr>
        <w:t xml:space="preserve"> </w:t>
      </w:r>
      <w:r w:rsidR="00072AF4">
        <w:rPr>
          <w:rFonts w:hint="cs"/>
          <w:rtl/>
        </w:rPr>
        <w:t>הגנה</w:t>
      </w:r>
      <w:r w:rsidR="00072AF4">
        <w:rPr>
          <w:rtl/>
        </w:rPr>
        <w:t xml:space="preserve"> </w:t>
      </w:r>
      <w:r w:rsidR="00072AF4">
        <w:rPr>
          <w:rFonts w:hint="cs"/>
          <w:rtl/>
        </w:rPr>
        <w:t>שהיה</w:t>
      </w:r>
      <w:r w:rsidR="00072AF4">
        <w:rPr>
          <w:rtl/>
        </w:rPr>
        <w:t xml:space="preserve"> </w:t>
      </w:r>
      <w:r w:rsidR="00072AF4">
        <w:rPr>
          <w:rFonts w:hint="cs"/>
          <w:rtl/>
        </w:rPr>
        <w:t>מעמיד</w:t>
      </w:r>
      <w:r w:rsidR="00072AF4">
        <w:rPr>
          <w:rtl/>
        </w:rPr>
        <w:t xml:space="preserve"> </w:t>
      </w:r>
      <w:r w:rsidR="00072AF4">
        <w:rPr>
          <w:rFonts w:hint="cs"/>
          <w:rtl/>
        </w:rPr>
        <w:t>ביחס</w:t>
      </w:r>
      <w:r w:rsidR="00072AF4">
        <w:rPr>
          <w:rtl/>
        </w:rPr>
        <w:t xml:space="preserve"> </w:t>
      </w:r>
      <w:r w:rsidR="00072AF4">
        <w:rPr>
          <w:rFonts w:hint="cs"/>
          <w:rtl/>
        </w:rPr>
        <w:t>לעובדות</w:t>
      </w:r>
      <w:r w:rsidR="00072AF4">
        <w:rPr>
          <w:rtl/>
        </w:rPr>
        <w:t xml:space="preserve"> </w:t>
      </w:r>
      <w:r w:rsidR="00072AF4">
        <w:rPr>
          <w:rFonts w:hint="cs"/>
          <w:rtl/>
        </w:rPr>
        <w:t>שלא</w:t>
      </w:r>
      <w:r w:rsidR="00072AF4">
        <w:rPr>
          <w:rtl/>
        </w:rPr>
        <w:t xml:space="preserve"> </w:t>
      </w:r>
      <w:r w:rsidR="00072AF4">
        <w:rPr>
          <w:rFonts w:hint="cs"/>
          <w:rtl/>
        </w:rPr>
        <w:t>נכללו</w:t>
      </w:r>
      <w:r w:rsidR="00072AF4">
        <w:rPr>
          <w:rtl/>
        </w:rPr>
        <w:t xml:space="preserve"> </w:t>
      </w:r>
      <w:r w:rsidR="00072AF4">
        <w:rPr>
          <w:rFonts w:hint="cs"/>
          <w:rtl/>
        </w:rPr>
        <w:t>בכתב</w:t>
      </w:r>
      <w:r w:rsidR="00072AF4">
        <w:rPr>
          <w:rtl/>
        </w:rPr>
        <w:t xml:space="preserve"> </w:t>
      </w:r>
      <w:r w:rsidR="00072AF4">
        <w:rPr>
          <w:rFonts w:hint="cs"/>
          <w:rtl/>
        </w:rPr>
        <w:t>האישום</w:t>
      </w:r>
      <w:r w:rsidR="00072AF4">
        <w:rPr>
          <w:rtl/>
        </w:rPr>
        <w:t xml:space="preserve">, </w:t>
      </w:r>
      <w:r w:rsidR="00072AF4">
        <w:rPr>
          <w:rFonts w:hint="cs"/>
          <w:rtl/>
        </w:rPr>
        <w:t>אין</w:t>
      </w:r>
      <w:r w:rsidR="00072AF4">
        <w:rPr>
          <w:rtl/>
        </w:rPr>
        <w:t xml:space="preserve"> </w:t>
      </w:r>
      <w:r w:rsidR="00072AF4">
        <w:rPr>
          <w:rFonts w:hint="cs"/>
          <w:rtl/>
        </w:rPr>
        <w:t>לומר</w:t>
      </w:r>
      <w:r w:rsidR="00072AF4">
        <w:rPr>
          <w:rtl/>
        </w:rPr>
        <w:t xml:space="preserve"> </w:t>
      </w:r>
      <w:r w:rsidR="00072AF4">
        <w:rPr>
          <w:rFonts w:hint="cs"/>
          <w:rtl/>
        </w:rPr>
        <w:t>שלא</w:t>
      </w:r>
      <w:r w:rsidR="00072AF4">
        <w:rPr>
          <w:rtl/>
        </w:rPr>
        <w:t xml:space="preserve"> </w:t>
      </w:r>
      <w:r w:rsidR="00072AF4">
        <w:rPr>
          <w:rFonts w:hint="cs"/>
          <w:rtl/>
        </w:rPr>
        <w:t>ניתנה</w:t>
      </w:r>
      <w:r w:rsidR="00072AF4">
        <w:rPr>
          <w:rtl/>
        </w:rPr>
        <w:t xml:space="preserve"> </w:t>
      </w:r>
      <w:r w:rsidR="00072AF4">
        <w:rPr>
          <w:rFonts w:hint="cs"/>
          <w:rtl/>
        </w:rPr>
        <w:t>לו</w:t>
      </w:r>
      <w:r w:rsidR="00072AF4">
        <w:rPr>
          <w:rtl/>
        </w:rPr>
        <w:t xml:space="preserve"> </w:t>
      </w:r>
      <w:r w:rsidR="00072AF4">
        <w:rPr>
          <w:rFonts w:hint="cs"/>
          <w:rtl/>
        </w:rPr>
        <w:t>הזדמנות</w:t>
      </w:r>
      <w:r w:rsidR="00072AF4">
        <w:rPr>
          <w:rtl/>
        </w:rPr>
        <w:t xml:space="preserve"> </w:t>
      </w:r>
      <w:r w:rsidR="00072AF4">
        <w:rPr>
          <w:rFonts w:hint="cs"/>
          <w:rtl/>
        </w:rPr>
        <w:t>סבירה</w:t>
      </w:r>
      <w:r w:rsidR="00072AF4">
        <w:rPr>
          <w:rtl/>
        </w:rPr>
        <w:t xml:space="preserve"> </w:t>
      </w:r>
      <w:r w:rsidR="00072AF4">
        <w:rPr>
          <w:rFonts w:hint="cs"/>
          <w:rtl/>
        </w:rPr>
        <w:t>להתגונן</w:t>
      </w:r>
      <w:r w:rsidR="00072AF4">
        <w:rPr>
          <w:rtl/>
        </w:rPr>
        <w:t xml:space="preserve"> (</w:t>
      </w:r>
      <w:r w:rsidR="00072AF4">
        <w:rPr>
          <w:rFonts w:hint="cs"/>
          <w:rtl/>
        </w:rPr>
        <w:t>ראו</w:t>
      </w:r>
      <w:r w:rsidR="00072AF4">
        <w:rPr>
          <w:rtl/>
        </w:rPr>
        <w:t xml:space="preserve">: </w:t>
      </w:r>
      <w:r w:rsidR="00072AF4">
        <w:rPr>
          <w:rFonts w:hint="cs"/>
          <w:rtl/>
        </w:rPr>
        <w:t>ע</w:t>
      </w:r>
      <w:r w:rsidR="00072AF4">
        <w:rPr>
          <w:rtl/>
        </w:rPr>
        <w:t>"</w:t>
      </w:r>
      <w:r w:rsidR="00072AF4">
        <w:rPr>
          <w:rFonts w:hint="cs"/>
          <w:rtl/>
        </w:rPr>
        <w:t>פ</w:t>
      </w:r>
      <w:r w:rsidR="00072AF4">
        <w:rPr>
          <w:rtl/>
        </w:rPr>
        <w:t xml:space="preserve"> 63/79 </w:t>
      </w:r>
      <w:r w:rsidR="00072AF4" w:rsidRPr="002D1FF1">
        <w:rPr>
          <w:rFonts w:hint="cs"/>
          <w:b/>
          <w:bCs/>
          <w:rtl/>
        </w:rPr>
        <w:t>עוזר</w:t>
      </w:r>
      <w:r w:rsidR="00072AF4" w:rsidRPr="002D1FF1">
        <w:rPr>
          <w:b/>
          <w:bCs/>
          <w:rtl/>
        </w:rPr>
        <w:t xml:space="preserve"> </w:t>
      </w:r>
      <w:r w:rsidR="00072AF4" w:rsidRPr="002D1FF1">
        <w:rPr>
          <w:rFonts w:hint="cs"/>
          <w:b/>
          <w:bCs/>
          <w:rtl/>
        </w:rPr>
        <w:t>נ</w:t>
      </w:r>
      <w:r w:rsidR="00072AF4" w:rsidRPr="002D1FF1">
        <w:rPr>
          <w:b/>
          <w:bCs/>
          <w:rtl/>
        </w:rPr>
        <w:t xml:space="preserve">' </w:t>
      </w:r>
      <w:r w:rsidR="00072AF4" w:rsidRPr="002D1FF1">
        <w:rPr>
          <w:rFonts w:hint="cs"/>
          <w:b/>
          <w:bCs/>
          <w:rtl/>
        </w:rPr>
        <w:t>מדינת</w:t>
      </w:r>
      <w:r w:rsidR="00072AF4" w:rsidRPr="002D1FF1">
        <w:rPr>
          <w:b/>
          <w:bCs/>
          <w:rtl/>
        </w:rPr>
        <w:t xml:space="preserve"> </w:t>
      </w:r>
      <w:r w:rsidR="00072AF4" w:rsidRPr="002D1FF1">
        <w:rPr>
          <w:rFonts w:hint="cs"/>
          <w:b/>
          <w:bCs/>
          <w:rtl/>
        </w:rPr>
        <w:t>ישראל</w:t>
      </w:r>
      <w:r w:rsidR="00072AF4">
        <w:rPr>
          <w:rtl/>
        </w:rPr>
        <w:t xml:space="preserve">, </w:t>
      </w:r>
      <w:r w:rsidR="00072AF4">
        <w:rPr>
          <w:rFonts w:hint="cs"/>
          <w:rtl/>
        </w:rPr>
        <w:t>פ</w:t>
      </w:r>
      <w:r w:rsidR="00072AF4">
        <w:rPr>
          <w:rtl/>
        </w:rPr>
        <w:t>"</w:t>
      </w:r>
      <w:r w:rsidR="00072AF4">
        <w:rPr>
          <w:rFonts w:hint="cs"/>
          <w:rtl/>
        </w:rPr>
        <w:t>ד</w:t>
      </w:r>
      <w:r w:rsidR="00072AF4">
        <w:rPr>
          <w:rtl/>
        </w:rPr>
        <w:t xml:space="preserve"> </w:t>
      </w:r>
      <w:r w:rsidR="00072AF4">
        <w:rPr>
          <w:rFonts w:hint="cs"/>
          <w:rtl/>
        </w:rPr>
        <w:t>לג</w:t>
      </w:r>
      <w:r w:rsidR="00072AF4">
        <w:rPr>
          <w:rtl/>
        </w:rPr>
        <w:t xml:space="preserve">(3) 606, 615-614 (1979); </w:t>
      </w:r>
      <w:r w:rsidR="00072AF4">
        <w:rPr>
          <w:rFonts w:hint="cs"/>
          <w:rtl/>
        </w:rPr>
        <w:t>ע</w:t>
      </w:r>
      <w:r w:rsidR="00072AF4">
        <w:rPr>
          <w:rtl/>
        </w:rPr>
        <w:t>"</w:t>
      </w:r>
      <w:r w:rsidR="00072AF4">
        <w:rPr>
          <w:rFonts w:hint="cs"/>
          <w:rtl/>
        </w:rPr>
        <w:t>פ</w:t>
      </w:r>
      <w:r w:rsidR="00072AF4">
        <w:rPr>
          <w:rtl/>
        </w:rPr>
        <w:t xml:space="preserve"> 729/06‏ </w:t>
      </w:r>
      <w:r w:rsidR="00072AF4" w:rsidRPr="002D1FF1">
        <w:rPr>
          <w:rFonts w:hint="cs"/>
          <w:b/>
          <w:bCs/>
          <w:rtl/>
        </w:rPr>
        <w:t>רוטקביץ</w:t>
      </w:r>
      <w:r w:rsidR="00072AF4" w:rsidRPr="002D1FF1">
        <w:rPr>
          <w:b/>
          <w:bCs/>
          <w:rtl/>
        </w:rPr>
        <w:t xml:space="preserve"> </w:t>
      </w:r>
      <w:r w:rsidR="00072AF4" w:rsidRPr="002D1FF1">
        <w:rPr>
          <w:rFonts w:hint="cs"/>
          <w:b/>
          <w:bCs/>
          <w:rtl/>
        </w:rPr>
        <w:t>נ</w:t>
      </w:r>
      <w:r w:rsidR="00072AF4" w:rsidRPr="002D1FF1">
        <w:rPr>
          <w:b/>
          <w:bCs/>
          <w:rtl/>
        </w:rPr>
        <w:t xml:space="preserve">' </w:t>
      </w:r>
      <w:r w:rsidR="00072AF4" w:rsidRPr="002D1FF1">
        <w:rPr>
          <w:rFonts w:hint="cs"/>
          <w:b/>
          <w:bCs/>
          <w:rtl/>
        </w:rPr>
        <w:t>מדינת</w:t>
      </w:r>
      <w:r w:rsidR="00072AF4" w:rsidRPr="002D1FF1">
        <w:rPr>
          <w:b/>
          <w:bCs/>
          <w:rtl/>
        </w:rPr>
        <w:t xml:space="preserve"> </w:t>
      </w:r>
      <w:r w:rsidR="00072AF4" w:rsidRPr="002D1FF1">
        <w:rPr>
          <w:rFonts w:hint="cs"/>
          <w:b/>
          <w:bCs/>
          <w:rtl/>
        </w:rPr>
        <w:t>ישראל</w:t>
      </w:r>
      <w:r w:rsidR="00072AF4">
        <w:rPr>
          <w:rtl/>
        </w:rPr>
        <w:t xml:space="preserve">, </w:t>
      </w:r>
      <w:r w:rsidR="00072AF4">
        <w:rPr>
          <w:rFonts w:hint="cs"/>
          <w:rtl/>
        </w:rPr>
        <w:t>פסקה</w:t>
      </w:r>
      <w:r w:rsidR="00072AF4">
        <w:rPr>
          <w:rtl/>
        </w:rPr>
        <w:t xml:space="preserve"> 17 (8.11.2006)). </w:t>
      </w:r>
      <w:r w:rsidR="00072AF4">
        <w:rPr>
          <w:rFonts w:hint="cs"/>
          <w:rtl/>
        </w:rPr>
        <w:t>בהקשר</w:t>
      </w:r>
      <w:r w:rsidR="00072AF4">
        <w:rPr>
          <w:rtl/>
        </w:rPr>
        <w:t xml:space="preserve"> </w:t>
      </w:r>
      <w:r w:rsidR="00072AF4">
        <w:rPr>
          <w:rFonts w:hint="cs"/>
          <w:rtl/>
        </w:rPr>
        <w:t>זה</w:t>
      </w:r>
      <w:r w:rsidR="00072AF4">
        <w:rPr>
          <w:rtl/>
        </w:rPr>
        <w:t xml:space="preserve">, </w:t>
      </w:r>
      <w:r w:rsidR="00072AF4">
        <w:rPr>
          <w:rFonts w:hint="cs"/>
          <w:rtl/>
        </w:rPr>
        <w:t>יש</w:t>
      </w:r>
      <w:r w:rsidR="00072AF4">
        <w:rPr>
          <w:rtl/>
        </w:rPr>
        <w:t xml:space="preserve"> </w:t>
      </w:r>
      <w:r w:rsidR="00072AF4">
        <w:rPr>
          <w:rFonts w:hint="cs"/>
          <w:rtl/>
        </w:rPr>
        <w:t>לבחון</w:t>
      </w:r>
      <w:r w:rsidR="00072AF4">
        <w:rPr>
          <w:rtl/>
        </w:rPr>
        <w:t xml:space="preserve"> </w:t>
      </w:r>
      <w:r w:rsidR="00072AF4">
        <w:rPr>
          <w:rFonts w:hint="cs"/>
          <w:rtl/>
        </w:rPr>
        <w:t>אם</w:t>
      </w:r>
      <w:r w:rsidR="00072AF4">
        <w:rPr>
          <w:rtl/>
        </w:rPr>
        <w:t xml:space="preserve"> </w:t>
      </w:r>
      <w:r w:rsidR="00072AF4">
        <w:rPr>
          <w:rFonts w:hint="cs"/>
          <w:rtl/>
        </w:rPr>
        <w:t>העובדות</w:t>
      </w:r>
      <w:r w:rsidR="00072AF4">
        <w:rPr>
          <w:rtl/>
        </w:rPr>
        <w:t xml:space="preserve"> </w:t>
      </w:r>
      <w:r w:rsidR="00072AF4">
        <w:rPr>
          <w:rFonts w:hint="cs"/>
          <w:rtl/>
        </w:rPr>
        <w:t>החדשות</w:t>
      </w:r>
      <w:r w:rsidR="00072AF4">
        <w:rPr>
          <w:rtl/>
        </w:rPr>
        <w:t xml:space="preserve"> </w:t>
      </w:r>
      <w:r w:rsidR="00072AF4">
        <w:rPr>
          <w:rFonts w:hint="cs"/>
          <w:rtl/>
        </w:rPr>
        <w:t>נבחנו</w:t>
      </w:r>
      <w:r w:rsidR="00072AF4">
        <w:rPr>
          <w:rtl/>
        </w:rPr>
        <w:t xml:space="preserve"> </w:t>
      </w:r>
      <w:r w:rsidR="00072AF4">
        <w:rPr>
          <w:rFonts w:hint="cs"/>
          <w:rtl/>
        </w:rPr>
        <w:t>במסגרת</w:t>
      </w:r>
      <w:r w:rsidR="00072AF4">
        <w:rPr>
          <w:rtl/>
        </w:rPr>
        <w:t xml:space="preserve"> </w:t>
      </w:r>
      <w:r w:rsidR="00072AF4">
        <w:rPr>
          <w:rFonts w:hint="cs"/>
          <w:rtl/>
        </w:rPr>
        <w:t>הדיון</w:t>
      </w:r>
      <w:r w:rsidR="00072AF4">
        <w:rPr>
          <w:rtl/>
        </w:rPr>
        <w:t xml:space="preserve"> </w:t>
      </w:r>
      <w:r w:rsidR="00072AF4">
        <w:rPr>
          <w:rFonts w:hint="cs"/>
          <w:rtl/>
        </w:rPr>
        <w:t>השיפוטי</w:t>
      </w:r>
      <w:r w:rsidR="00072AF4">
        <w:rPr>
          <w:rtl/>
        </w:rPr>
        <w:t xml:space="preserve">, </w:t>
      </w:r>
      <w:r w:rsidR="00072AF4">
        <w:rPr>
          <w:rFonts w:hint="cs"/>
          <w:rtl/>
        </w:rPr>
        <w:t>ומכל</w:t>
      </w:r>
      <w:r w:rsidR="00072AF4">
        <w:rPr>
          <w:rtl/>
        </w:rPr>
        <w:t xml:space="preserve"> </w:t>
      </w:r>
      <w:r w:rsidR="00072AF4">
        <w:rPr>
          <w:rFonts w:hint="cs"/>
          <w:rtl/>
        </w:rPr>
        <w:t>מקום</w:t>
      </w:r>
      <w:r w:rsidR="00072AF4">
        <w:rPr>
          <w:rtl/>
        </w:rPr>
        <w:t xml:space="preserve">, </w:t>
      </w:r>
      <w:r w:rsidR="00072AF4">
        <w:rPr>
          <w:rFonts w:hint="cs"/>
          <w:rtl/>
        </w:rPr>
        <w:t>על</w:t>
      </w:r>
      <w:r w:rsidR="00072AF4">
        <w:rPr>
          <w:rtl/>
        </w:rPr>
        <w:t xml:space="preserve"> </w:t>
      </w:r>
      <w:r w:rsidR="00072AF4">
        <w:rPr>
          <w:rFonts w:hint="cs"/>
          <w:rtl/>
        </w:rPr>
        <w:t>הנאשם</w:t>
      </w:r>
      <w:r w:rsidR="00072AF4">
        <w:rPr>
          <w:rtl/>
        </w:rPr>
        <w:t xml:space="preserve"> </w:t>
      </w:r>
      <w:r w:rsidR="00072AF4">
        <w:rPr>
          <w:rFonts w:hint="cs"/>
          <w:rtl/>
        </w:rPr>
        <w:t>להעלות</w:t>
      </w:r>
      <w:r w:rsidR="00072AF4">
        <w:rPr>
          <w:rtl/>
        </w:rPr>
        <w:t xml:space="preserve"> </w:t>
      </w:r>
      <w:r w:rsidR="00072AF4">
        <w:rPr>
          <w:rFonts w:hint="cs"/>
          <w:rtl/>
        </w:rPr>
        <w:t>טענות</w:t>
      </w:r>
      <w:r w:rsidR="00072AF4">
        <w:rPr>
          <w:rtl/>
        </w:rPr>
        <w:t xml:space="preserve"> </w:t>
      </w:r>
      <w:r w:rsidR="00072AF4">
        <w:rPr>
          <w:rFonts w:hint="cs"/>
          <w:rtl/>
        </w:rPr>
        <w:t>קונקרטיות</w:t>
      </w:r>
      <w:r w:rsidR="00072AF4">
        <w:rPr>
          <w:rtl/>
        </w:rPr>
        <w:t xml:space="preserve"> </w:t>
      </w:r>
      <w:r w:rsidR="00072AF4">
        <w:rPr>
          <w:rFonts w:hint="cs"/>
          <w:rtl/>
        </w:rPr>
        <w:t>בדבר</w:t>
      </w:r>
      <w:r w:rsidR="00072AF4">
        <w:rPr>
          <w:rtl/>
        </w:rPr>
        <w:t xml:space="preserve"> </w:t>
      </w:r>
      <w:r w:rsidR="00072AF4">
        <w:rPr>
          <w:rFonts w:hint="cs"/>
          <w:rtl/>
        </w:rPr>
        <w:t>השאלה</w:t>
      </w:r>
      <w:r w:rsidR="00072AF4">
        <w:rPr>
          <w:rtl/>
        </w:rPr>
        <w:t xml:space="preserve"> </w:t>
      </w:r>
      <w:r w:rsidR="00072AF4">
        <w:rPr>
          <w:rFonts w:hint="cs"/>
          <w:rtl/>
        </w:rPr>
        <w:t>כיצד</w:t>
      </w:r>
      <w:r w:rsidR="00072AF4">
        <w:rPr>
          <w:rtl/>
        </w:rPr>
        <w:t xml:space="preserve"> </w:t>
      </w:r>
      <w:r w:rsidR="00072AF4">
        <w:rPr>
          <w:rFonts w:hint="cs"/>
          <w:rtl/>
        </w:rPr>
        <w:t>נפגעה</w:t>
      </w:r>
      <w:r w:rsidR="00072AF4">
        <w:rPr>
          <w:rtl/>
        </w:rPr>
        <w:t xml:space="preserve"> </w:t>
      </w:r>
      <w:r w:rsidR="00072AF4">
        <w:rPr>
          <w:rFonts w:hint="cs"/>
          <w:rtl/>
        </w:rPr>
        <w:t>הגנתו" (</w:t>
      </w:r>
      <w:r w:rsidR="00072AF4" w:rsidRPr="00BC6D30">
        <w:rPr>
          <w:rFonts w:hint="cs"/>
          <w:rtl/>
        </w:rPr>
        <w:t>ע</w:t>
      </w:r>
      <w:r w:rsidR="00072AF4" w:rsidRPr="00BC6D30">
        <w:rPr>
          <w:rtl/>
        </w:rPr>
        <w:t>"</w:t>
      </w:r>
      <w:r w:rsidR="00072AF4" w:rsidRPr="00BC6D30">
        <w:rPr>
          <w:rFonts w:hint="cs"/>
          <w:rtl/>
        </w:rPr>
        <w:t>פ</w:t>
      </w:r>
      <w:r w:rsidR="00072AF4" w:rsidRPr="00BC6D30">
        <w:rPr>
          <w:rtl/>
        </w:rPr>
        <w:t xml:space="preserve"> 2760/14 </w:t>
      </w:r>
      <w:r w:rsidR="00072AF4" w:rsidRPr="002D1FF1">
        <w:rPr>
          <w:rFonts w:hint="cs"/>
          <w:b/>
          <w:bCs/>
          <w:rtl/>
        </w:rPr>
        <w:t>אוחיון</w:t>
      </w:r>
      <w:r w:rsidR="00072AF4" w:rsidRPr="002D1FF1">
        <w:rPr>
          <w:b/>
          <w:bCs/>
          <w:rtl/>
        </w:rPr>
        <w:t xml:space="preserve"> </w:t>
      </w:r>
      <w:r w:rsidR="00072AF4" w:rsidRPr="002D1FF1">
        <w:rPr>
          <w:rFonts w:hint="cs"/>
          <w:b/>
          <w:bCs/>
          <w:rtl/>
        </w:rPr>
        <w:t>נ</w:t>
      </w:r>
      <w:r w:rsidR="00072AF4" w:rsidRPr="002D1FF1">
        <w:rPr>
          <w:b/>
          <w:bCs/>
          <w:rtl/>
        </w:rPr>
        <w:t xml:space="preserve">' </w:t>
      </w:r>
      <w:r w:rsidR="00072AF4" w:rsidRPr="002D1FF1">
        <w:rPr>
          <w:rFonts w:hint="cs"/>
          <w:b/>
          <w:bCs/>
          <w:rtl/>
        </w:rPr>
        <w:t>מדינת</w:t>
      </w:r>
      <w:r w:rsidR="00072AF4" w:rsidRPr="002D1FF1">
        <w:rPr>
          <w:b/>
          <w:bCs/>
          <w:rtl/>
        </w:rPr>
        <w:t xml:space="preserve"> </w:t>
      </w:r>
      <w:r w:rsidR="00072AF4" w:rsidRPr="002D1FF1">
        <w:rPr>
          <w:rFonts w:hint="cs"/>
          <w:b/>
          <w:bCs/>
          <w:rtl/>
        </w:rPr>
        <w:t>ישראל</w:t>
      </w:r>
      <w:r w:rsidR="00072AF4" w:rsidRPr="002D1FF1">
        <w:rPr>
          <w:b/>
          <w:bCs/>
          <w:rtl/>
        </w:rPr>
        <w:t xml:space="preserve"> </w:t>
      </w:r>
      <w:r w:rsidR="00072AF4" w:rsidRPr="002D1FF1">
        <w:rPr>
          <w:rFonts w:hint="cs"/>
          <w:b/>
          <w:bCs/>
          <w:rtl/>
        </w:rPr>
        <w:t>ואח</w:t>
      </w:r>
      <w:r w:rsidR="00072AF4" w:rsidRPr="002D1FF1">
        <w:rPr>
          <w:b/>
          <w:bCs/>
          <w:rtl/>
        </w:rPr>
        <w:t>'</w:t>
      </w:r>
      <w:r w:rsidR="00072AF4" w:rsidRPr="00BC6D30">
        <w:rPr>
          <w:rtl/>
        </w:rPr>
        <w:t xml:space="preserve"> </w:t>
      </w:r>
      <w:r w:rsidR="00072AF4">
        <w:rPr>
          <w:rFonts w:hint="cs"/>
          <w:rtl/>
        </w:rPr>
        <w:t>(</w:t>
      </w:r>
      <w:r w:rsidR="00D53E6C">
        <w:rPr>
          <w:rFonts w:hint="cs"/>
          <w:rtl/>
        </w:rPr>
        <w:t xml:space="preserve">טרם פורסם, </w:t>
      </w:r>
      <w:r w:rsidR="00072AF4">
        <w:rPr>
          <w:rFonts w:hint="cs"/>
          <w:rtl/>
        </w:rPr>
        <w:t xml:space="preserve">17.10.2015); ראו גם: ע"פ 5102/03 </w:t>
      </w:r>
      <w:r w:rsidR="00072AF4" w:rsidRPr="002D1FF1">
        <w:rPr>
          <w:rFonts w:hint="cs"/>
          <w:b/>
          <w:bCs/>
          <w:rtl/>
        </w:rPr>
        <w:t>מדינת ישראל נ' קליין</w:t>
      </w:r>
      <w:r w:rsidR="00072AF4">
        <w:rPr>
          <w:rFonts w:hint="cs"/>
          <w:rtl/>
        </w:rPr>
        <w:t>, פסקאות 45-42  (</w:t>
      </w:r>
      <w:r w:rsidR="00D53E6C">
        <w:rPr>
          <w:rFonts w:hint="cs"/>
          <w:rtl/>
        </w:rPr>
        <w:t xml:space="preserve">טרם פורסם, </w:t>
      </w:r>
      <w:r w:rsidR="00072AF4">
        <w:rPr>
          <w:rFonts w:hint="cs"/>
          <w:rtl/>
        </w:rPr>
        <w:t>4.9.2007))</w:t>
      </w:r>
      <w:r>
        <w:rPr>
          <w:rFonts w:hint="cs"/>
          <w:rtl/>
        </w:rPr>
        <w:t xml:space="preserve">. </w:t>
      </w:r>
    </w:p>
    <w:p w:rsidR="00D53E6C" w:rsidRDefault="00D53E6C" w:rsidP="002E3442">
      <w:pPr>
        <w:tabs>
          <w:tab w:val="left" w:pos="229"/>
        </w:tabs>
        <w:spacing w:line="240" w:lineRule="auto"/>
        <w:ind w:left="1076" w:right="1985"/>
      </w:pPr>
    </w:p>
    <w:p w:rsidR="002D1FF1" w:rsidRDefault="002D1FF1" w:rsidP="00D53E6C">
      <w:pPr>
        <w:numPr>
          <w:ilvl w:val="0"/>
          <w:numId w:val="1"/>
        </w:numPr>
        <w:tabs>
          <w:tab w:val="left" w:pos="229"/>
          <w:tab w:val="left" w:pos="368"/>
        </w:tabs>
        <w:ind w:left="0" w:firstLine="0"/>
        <w:rPr>
          <w:rtl/>
        </w:rPr>
      </w:pPr>
      <w:r>
        <w:rPr>
          <w:rFonts w:hint="cs"/>
          <w:rtl/>
        </w:rPr>
        <w:t>בעניינו של המערער יש לציין</w:t>
      </w:r>
      <w:r w:rsidR="00D53E6C">
        <w:rPr>
          <w:rFonts w:hint="cs"/>
          <w:rtl/>
        </w:rPr>
        <w:t>,</w:t>
      </w:r>
      <w:r>
        <w:rPr>
          <w:rFonts w:hint="cs"/>
          <w:rtl/>
        </w:rPr>
        <w:t xml:space="preserve"> כי כבר בכתב האישום ייחסה התביעה למערער עבירה של השתמטות מפעולה מסויימת על דרך של שימוש "בטענות שווא או אמצעי הונאה אחרים"</w:t>
      </w:r>
      <w:r w:rsidR="006F7ABB">
        <w:rPr>
          <w:rFonts w:hint="cs"/>
          <w:rtl/>
        </w:rPr>
        <w:t xml:space="preserve"> וגדר הכפירה של המערער היה, כאמור, גורף. </w:t>
      </w:r>
      <w:r w:rsidR="007C75BC">
        <w:rPr>
          <w:rFonts w:hint="cs"/>
          <w:rtl/>
        </w:rPr>
        <w:t xml:space="preserve">זאת ועוד, </w:t>
      </w:r>
      <w:r>
        <w:rPr>
          <w:rFonts w:hint="cs"/>
          <w:rtl/>
        </w:rPr>
        <w:t>כפי שפרטה התביעה בתשובתה ל</w:t>
      </w:r>
      <w:r w:rsidR="006F7ABB">
        <w:rPr>
          <w:rFonts w:hint="cs"/>
          <w:rtl/>
        </w:rPr>
        <w:t>טענות ההגנה ב</w:t>
      </w:r>
      <w:r>
        <w:rPr>
          <w:rFonts w:hint="cs"/>
          <w:rtl/>
        </w:rPr>
        <w:t>ערעור, הראיות העוסקות בטכניקה, ב</w:t>
      </w:r>
      <w:r w:rsidR="007C75BC">
        <w:rPr>
          <w:rFonts w:hint="cs"/>
          <w:rtl/>
        </w:rPr>
        <w:t xml:space="preserve">דרך </w:t>
      </w:r>
      <w:r>
        <w:rPr>
          <w:rFonts w:hint="cs"/>
          <w:rtl/>
        </w:rPr>
        <w:t>שב</w:t>
      </w:r>
      <w:r w:rsidR="007C75BC">
        <w:rPr>
          <w:rFonts w:hint="cs"/>
          <w:rtl/>
        </w:rPr>
        <w:t>ה</w:t>
      </w:r>
      <w:r>
        <w:rPr>
          <w:rFonts w:hint="cs"/>
          <w:rtl/>
        </w:rPr>
        <w:t xml:space="preserve"> נגרם הנזק לרכב</w:t>
      </w:r>
      <w:r w:rsidR="007C75BC">
        <w:rPr>
          <w:rFonts w:hint="cs"/>
          <w:rtl/>
        </w:rPr>
        <w:t xml:space="preserve"> ו</w:t>
      </w:r>
      <w:r>
        <w:rPr>
          <w:rFonts w:hint="cs"/>
          <w:rtl/>
        </w:rPr>
        <w:t>באופן שנועד להסוות את חלקו של המערער ב</w:t>
      </w:r>
      <w:r w:rsidR="007C75BC">
        <w:rPr>
          <w:rFonts w:hint="cs"/>
          <w:rtl/>
        </w:rPr>
        <w:t>גרימת ה</w:t>
      </w:r>
      <w:r>
        <w:rPr>
          <w:rFonts w:hint="cs"/>
          <w:rtl/>
        </w:rPr>
        <w:t>תקלה ואף לאפשר לו להמשיך במעשיו ולחזור עליהם</w:t>
      </w:r>
      <w:r w:rsidR="007C75BC">
        <w:rPr>
          <w:rFonts w:hint="cs"/>
          <w:rtl/>
        </w:rPr>
        <w:t xml:space="preserve"> </w:t>
      </w:r>
      <w:r w:rsidR="00D53E6C">
        <w:rPr>
          <w:rFonts w:hint="cs"/>
          <w:rtl/>
        </w:rPr>
        <w:t>–</w:t>
      </w:r>
      <w:r w:rsidR="007C75BC">
        <w:rPr>
          <w:rFonts w:hint="cs"/>
          <w:rtl/>
        </w:rPr>
        <w:t xml:space="preserve"> </w:t>
      </w:r>
      <w:r>
        <w:rPr>
          <w:rFonts w:hint="cs"/>
          <w:rtl/>
        </w:rPr>
        <w:t>עמדו בלב הדיון בהליך העיקרי. התכתובות שלימדו על השיטה הן אלה שהציגה התביעה בבית הדין קמא על מנת ללמד על חלקו המרכזי של המערער בפרשה</w:t>
      </w:r>
      <w:r w:rsidR="006F7ABB">
        <w:rPr>
          <w:rFonts w:hint="cs"/>
          <w:rtl/>
        </w:rPr>
        <w:t xml:space="preserve"> (ת/3-ת/5)</w:t>
      </w:r>
      <w:r w:rsidR="00273116">
        <w:rPr>
          <w:rFonts w:hint="cs"/>
          <w:rtl/>
        </w:rPr>
        <w:t>.</w:t>
      </w:r>
      <w:r>
        <w:rPr>
          <w:rFonts w:hint="cs"/>
          <w:rtl/>
        </w:rPr>
        <w:t xml:space="preserve"> </w:t>
      </w:r>
      <w:r w:rsidR="007C75BC">
        <w:rPr>
          <w:rFonts w:hint="cs"/>
          <w:rtl/>
        </w:rPr>
        <w:t xml:space="preserve">ראיות אלה </w:t>
      </w:r>
      <w:r w:rsidR="00273116">
        <w:rPr>
          <w:rFonts w:hint="cs"/>
          <w:rtl/>
        </w:rPr>
        <w:t xml:space="preserve">אף </w:t>
      </w:r>
      <w:r w:rsidR="007C75BC">
        <w:rPr>
          <w:rFonts w:hint="cs"/>
          <w:rtl/>
        </w:rPr>
        <w:t>ביססו את הוכחת האמור בפרט האישום השני, שעניינו השתמטות מפעולה מסויימת</w:t>
      </w:r>
      <w:r w:rsidR="00273116">
        <w:rPr>
          <w:rFonts w:hint="cs"/>
          <w:rtl/>
        </w:rPr>
        <w:t xml:space="preserve">, </w:t>
      </w:r>
      <w:r>
        <w:rPr>
          <w:rFonts w:hint="cs"/>
          <w:rtl/>
        </w:rPr>
        <w:t xml:space="preserve">על </w:t>
      </w:r>
      <w:r w:rsidR="00273116">
        <w:rPr>
          <w:rFonts w:hint="cs"/>
          <w:rtl/>
        </w:rPr>
        <w:t xml:space="preserve">אודות </w:t>
      </w:r>
      <w:r>
        <w:rPr>
          <w:rFonts w:hint="cs"/>
          <w:rtl/>
        </w:rPr>
        <w:t xml:space="preserve">היוזמה שגילה </w:t>
      </w:r>
      <w:r w:rsidR="00273116">
        <w:rPr>
          <w:rFonts w:hint="cs"/>
          <w:rtl/>
        </w:rPr>
        <w:t xml:space="preserve">המערער </w:t>
      </w:r>
      <w:r>
        <w:rPr>
          <w:rFonts w:hint="cs"/>
          <w:rtl/>
        </w:rPr>
        <w:t xml:space="preserve">ועל האופן שבו שיתף נהגים אחרים במעשיו. </w:t>
      </w:r>
      <w:r w:rsidR="00962C11">
        <w:rPr>
          <w:rFonts w:hint="cs"/>
          <w:rtl/>
        </w:rPr>
        <w:t xml:space="preserve">הראיות בנושא </w:t>
      </w:r>
      <w:r w:rsidR="00273116">
        <w:rPr>
          <w:rFonts w:hint="cs"/>
          <w:rtl/>
        </w:rPr>
        <w:t xml:space="preserve">זה </w:t>
      </w:r>
      <w:r w:rsidR="00962C11">
        <w:rPr>
          <w:rFonts w:hint="cs"/>
          <w:rtl/>
        </w:rPr>
        <w:t>(</w:t>
      </w:r>
      <w:r w:rsidR="00273116">
        <w:rPr>
          <w:rFonts w:hint="cs"/>
          <w:rtl/>
        </w:rPr>
        <w:t>ראו גם הסקירה בפסקה 19 להכרעת הדין)</w:t>
      </w:r>
      <w:r w:rsidR="00962C11">
        <w:rPr>
          <w:rFonts w:hint="cs"/>
          <w:rtl/>
        </w:rPr>
        <w:t xml:space="preserve"> הוצגו למערער הן </w:t>
      </w:r>
      <w:r w:rsidR="006F7ABB">
        <w:rPr>
          <w:rFonts w:hint="cs"/>
          <w:rtl/>
        </w:rPr>
        <w:t xml:space="preserve">על-ידי הסנגור </w:t>
      </w:r>
      <w:r w:rsidR="00962C11">
        <w:rPr>
          <w:rFonts w:hint="cs"/>
          <w:rtl/>
        </w:rPr>
        <w:t>בחקירה ראשית (עמוד 203 לפרוטוקול) והן בחקירה נגדית (עמודים</w:t>
      </w:r>
      <w:r w:rsidR="00D53E6C">
        <w:rPr>
          <w:rFonts w:hint="cs"/>
          <w:rtl/>
        </w:rPr>
        <w:t xml:space="preserve"> 224, 225, 227, 230)</w:t>
      </w:r>
      <w:r w:rsidR="00273116">
        <w:rPr>
          <w:rFonts w:hint="cs"/>
          <w:rtl/>
        </w:rPr>
        <w:t>,</w:t>
      </w:r>
      <w:r w:rsidR="00962C11">
        <w:rPr>
          <w:rFonts w:hint="cs"/>
          <w:rtl/>
        </w:rPr>
        <w:t xml:space="preserve"> והתביעה אף עמדה על </w:t>
      </w:r>
      <w:r w:rsidR="00273116">
        <w:rPr>
          <w:rFonts w:hint="cs"/>
          <w:rtl/>
        </w:rPr>
        <w:t xml:space="preserve">משמעותן המשפטית </w:t>
      </w:r>
      <w:r w:rsidR="00962C11">
        <w:rPr>
          <w:rFonts w:hint="cs"/>
          <w:rtl/>
        </w:rPr>
        <w:t xml:space="preserve">בסיכומים להכרעת הדין </w:t>
      </w:r>
      <w:r w:rsidR="007C75BC">
        <w:rPr>
          <w:rFonts w:hint="cs"/>
          <w:rtl/>
        </w:rPr>
        <w:t>(</w:t>
      </w:r>
      <w:r w:rsidR="00962C11">
        <w:rPr>
          <w:rFonts w:hint="cs"/>
          <w:rtl/>
        </w:rPr>
        <w:t>עמוד 286</w:t>
      </w:r>
      <w:r w:rsidR="007C75BC">
        <w:rPr>
          <w:rFonts w:hint="cs"/>
          <w:rtl/>
        </w:rPr>
        <w:t>)</w:t>
      </w:r>
      <w:r w:rsidR="00962C11">
        <w:rPr>
          <w:rFonts w:hint="cs"/>
          <w:rtl/>
        </w:rPr>
        <w:t xml:space="preserve">. </w:t>
      </w:r>
      <w:r w:rsidR="007C75BC">
        <w:rPr>
          <w:rFonts w:hint="cs"/>
          <w:rtl/>
        </w:rPr>
        <w:t>עולה מן המקובץ, כי יש לקבוע שכלל הראיות וה</w:t>
      </w:r>
      <w:r w:rsidR="006F7ABB">
        <w:rPr>
          <w:rFonts w:hint="cs"/>
          <w:rtl/>
        </w:rPr>
        <w:t xml:space="preserve">כיוונים </w:t>
      </w:r>
      <w:r w:rsidR="007C75BC">
        <w:rPr>
          <w:rFonts w:hint="cs"/>
          <w:rtl/>
        </w:rPr>
        <w:t>המשפטיים הונחו לפני ההגנה לאורך ההליך, בוודאי בשלב סיכומי</w:t>
      </w:r>
      <w:r w:rsidR="006F7ABB">
        <w:rPr>
          <w:rFonts w:hint="cs"/>
          <w:rtl/>
        </w:rPr>
        <w:t xml:space="preserve"> התביעה</w:t>
      </w:r>
      <w:r w:rsidR="007C75BC">
        <w:rPr>
          <w:rFonts w:hint="cs"/>
          <w:rtl/>
        </w:rPr>
        <w:t xml:space="preserve">, והדברים היו ידועים וברורים. בהתאם, מן הראוי לדחות את </w:t>
      </w:r>
      <w:r w:rsidR="00273116">
        <w:rPr>
          <w:rFonts w:hint="cs"/>
          <w:rtl/>
        </w:rPr>
        <w:t>ה</w:t>
      </w:r>
      <w:r w:rsidR="007C75BC">
        <w:rPr>
          <w:rFonts w:hint="cs"/>
          <w:rtl/>
        </w:rPr>
        <w:t>טענ</w:t>
      </w:r>
      <w:r w:rsidR="00273116">
        <w:rPr>
          <w:rFonts w:hint="cs"/>
          <w:rtl/>
        </w:rPr>
        <w:t xml:space="preserve">ה כי לא ניתנה למערער הזדמנות סבירה להתגונן </w:t>
      </w:r>
      <w:r w:rsidR="00273116">
        <w:rPr>
          <w:rFonts w:hint="cs"/>
          <w:rtl/>
        </w:rPr>
        <w:lastRenderedPageBreak/>
        <w:t xml:space="preserve">כנגד הרשעתו בעבירה לפי סעיף 102 הנ"ל, </w:t>
      </w:r>
      <w:r w:rsidR="006F7ABB">
        <w:rPr>
          <w:rFonts w:hint="cs"/>
          <w:rtl/>
        </w:rPr>
        <w:t>על בסיס ה</w:t>
      </w:r>
      <w:r w:rsidR="00273116">
        <w:rPr>
          <w:rFonts w:hint="cs"/>
          <w:rtl/>
        </w:rPr>
        <w:t xml:space="preserve">עובדות שהוכחו </w:t>
      </w:r>
      <w:r w:rsidR="00816D66">
        <w:rPr>
          <w:rFonts w:hint="cs"/>
          <w:rtl/>
        </w:rPr>
        <w:t xml:space="preserve">כדבעי לפני </w:t>
      </w:r>
      <w:r w:rsidR="00273116">
        <w:rPr>
          <w:rFonts w:hint="cs"/>
          <w:rtl/>
        </w:rPr>
        <w:t xml:space="preserve">בית הדין קמא. </w:t>
      </w:r>
    </w:p>
    <w:p w:rsidR="00B03BFC" w:rsidRPr="00B03BFC" w:rsidRDefault="00B03BFC" w:rsidP="00B03BFC">
      <w:pPr>
        <w:rPr>
          <w:rtl/>
        </w:rPr>
      </w:pPr>
    </w:p>
    <w:p w:rsidR="009E7426" w:rsidRPr="00124D06" w:rsidRDefault="009E7426" w:rsidP="009E7426">
      <w:pPr>
        <w:pStyle w:val="Heading1"/>
        <w:spacing w:before="0" w:after="0"/>
        <w:ind w:left="-58"/>
        <w:rPr>
          <w:rtl/>
        </w:rPr>
      </w:pPr>
      <w:r w:rsidRPr="00124D06">
        <w:rPr>
          <w:rFonts w:hint="cs"/>
          <w:rtl/>
        </w:rPr>
        <w:t>הערעור על העונש</w:t>
      </w:r>
    </w:p>
    <w:p w:rsidR="009E7426" w:rsidRPr="00124D06" w:rsidRDefault="009E7426" w:rsidP="009E7426">
      <w:pPr>
        <w:pStyle w:val="Heading1"/>
        <w:ind w:left="-58"/>
        <w:rPr>
          <w:u w:val="none"/>
          <w:rtl/>
        </w:rPr>
      </w:pPr>
      <w:r w:rsidRPr="00124D06">
        <w:rPr>
          <w:rFonts w:hint="cs"/>
          <w:u w:val="none"/>
          <w:rtl/>
        </w:rPr>
        <w:t>ההליכים בבית הדין המחוזי</w:t>
      </w:r>
    </w:p>
    <w:p w:rsidR="00124D06" w:rsidRDefault="00124D06" w:rsidP="002E3442">
      <w:pPr>
        <w:numPr>
          <w:ilvl w:val="0"/>
          <w:numId w:val="1"/>
        </w:numPr>
        <w:tabs>
          <w:tab w:val="left" w:pos="229"/>
          <w:tab w:val="left" w:pos="368"/>
        </w:tabs>
        <w:ind w:left="0" w:firstLine="0"/>
      </w:pPr>
      <w:r w:rsidRPr="00124D06">
        <w:rPr>
          <w:rFonts w:hint="cs"/>
          <w:rtl/>
        </w:rPr>
        <w:t>ב</w:t>
      </w:r>
      <w:r>
        <w:rPr>
          <w:rFonts w:hint="cs"/>
          <w:rtl/>
        </w:rPr>
        <w:t>ש</w:t>
      </w:r>
      <w:r w:rsidRPr="00124D06">
        <w:rPr>
          <w:rFonts w:hint="cs"/>
          <w:rtl/>
        </w:rPr>
        <w:t>לב</w:t>
      </w:r>
      <w:r>
        <w:rPr>
          <w:rFonts w:hint="cs"/>
          <w:rtl/>
        </w:rPr>
        <w:t xml:space="preserve"> הראיות לעונש הובא לידיעת בית הדין המחוזי כי המערער התגייס לשירות צבאי בחודש יולי 2016</w:t>
      </w:r>
      <w:r w:rsidR="00255F0B">
        <w:rPr>
          <w:rFonts w:hint="cs"/>
          <w:rtl/>
        </w:rPr>
        <w:t xml:space="preserve">. </w:t>
      </w:r>
      <w:r>
        <w:rPr>
          <w:rFonts w:hint="cs"/>
          <w:rtl/>
        </w:rPr>
        <w:t xml:space="preserve">כאמור, </w:t>
      </w:r>
      <w:r w:rsidR="00255F0B">
        <w:rPr>
          <w:rFonts w:hint="cs"/>
          <w:rtl/>
        </w:rPr>
        <w:t xml:space="preserve">המערער שירת </w:t>
      </w:r>
      <w:r>
        <w:rPr>
          <w:rFonts w:hint="cs"/>
          <w:rtl/>
        </w:rPr>
        <w:t>כנהג בט"ש</w:t>
      </w:r>
      <w:r w:rsidR="00255F0B">
        <w:rPr>
          <w:rFonts w:hint="cs"/>
          <w:rtl/>
        </w:rPr>
        <w:t xml:space="preserve"> באזור יהודה ושומרון</w:t>
      </w:r>
      <w:r>
        <w:rPr>
          <w:rFonts w:hint="cs"/>
          <w:rtl/>
        </w:rPr>
        <w:t xml:space="preserve">. עברו הפלילי והמשמעתי נקי לגמרי והוא אף זכה לתעודת הערכה מהסמח"ט </w:t>
      </w:r>
      <w:r w:rsidR="002E3442">
        <w:rPr>
          <w:rFonts w:hint="cs"/>
          <w:rtl/>
        </w:rPr>
        <w:t xml:space="preserve">על </w:t>
      </w:r>
      <w:r>
        <w:rPr>
          <w:rFonts w:hint="cs"/>
          <w:rtl/>
        </w:rPr>
        <w:t xml:space="preserve">היותו נהג מצטיין. </w:t>
      </w:r>
    </w:p>
    <w:p w:rsidR="00124D06" w:rsidRDefault="00124D06" w:rsidP="00660C88">
      <w:pPr>
        <w:numPr>
          <w:ilvl w:val="0"/>
          <w:numId w:val="1"/>
        </w:numPr>
        <w:tabs>
          <w:tab w:val="left" w:pos="229"/>
          <w:tab w:val="left" w:pos="368"/>
        </w:tabs>
        <w:ind w:left="0" w:firstLine="0"/>
      </w:pPr>
      <w:r>
        <w:rPr>
          <w:rFonts w:hint="cs"/>
          <w:rtl/>
        </w:rPr>
        <w:t xml:space="preserve">במהלך החקירה שהה המערער במעצר ממשי למשך ששה ימים ובהמשך ואף במהלך המשפט, שהה במעצר פתוח </w:t>
      </w:r>
      <w:r w:rsidR="00660C88">
        <w:rPr>
          <w:rFonts w:hint="cs"/>
          <w:rtl/>
        </w:rPr>
        <w:t xml:space="preserve">לפרק זמן של </w:t>
      </w:r>
      <w:r>
        <w:rPr>
          <w:rFonts w:hint="cs"/>
          <w:rtl/>
        </w:rPr>
        <w:t>כשמונה חודשים, עד לסיום השירות הצבאי</w:t>
      </w:r>
      <w:r w:rsidR="00660C88">
        <w:rPr>
          <w:rFonts w:hint="cs"/>
          <w:rtl/>
        </w:rPr>
        <w:t>,</w:t>
      </w:r>
      <w:r>
        <w:rPr>
          <w:rFonts w:hint="cs"/>
          <w:rtl/>
        </w:rPr>
        <w:t xml:space="preserve"> ב</w:t>
      </w:r>
      <w:r w:rsidR="00E632C4">
        <w:rPr>
          <w:rFonts w:hint="cs"/>
          <w:rtl/>
        </w:rPr>
        <w:t xml:space="preserve">שלהי </w:t>
      </w:r>
      <w:r>
        <w:rPr>
          <w:rFonts w:hint="cs"/>
          <w:rtl/>
        </w:rPr>
        <w:t>חודש מארס 2019. המערער זכה לשבחים על תפקודו ביחידה, גם בתקופת המעצר הפתוח</w:t>
      </w:r>
      <w:r w:rsidR="00255F0B">
        <w:rPr>
          <w:rFonts w:hint="cs"/>
          <w:rtl/>
        </w:rPr>
        <w:t>, שבמהלכה לא שירת כנהג</w:t>
      </w:r>
      <w:r>
        <w:rPr>
          <w:rFonts w:hint="cs"/>
          <w:rtl/>
        </w:rPr>
        <w:t>.</w:t>
      </w:r>
    </w:p>
    <w:p w:rsidR="00E632C4" w:rsidRDefault="00124D06" w:rsidP="00660C88">
      <w:pPr>
        <w:numPr>
          <w:ilvl w:val="0"/>
          <w:numId w:val="1"/>
        </w:numPr>
        <w:tabs>
          <w:tab w:val="left" w:pos="229"/>
          <w:tab w:val="left" w:pos="368"/>
        </w:tabs>
        <w:ind w:left="0" w:firstLine="0"/>
      </w:pPr>
      <w:r>
        <w:rPr>
          <w:rFonts w:hint="cs"/>
          <w:rtl/>
        </w:rPr>
        <w:t>בטרם ניתן גזר הדין, נערך בעניינו של המערער תסקיר עונש צבאי ע</w:t>
      </w:r>
      <w:r w:rsidR="002E3442">
        <w:rPr>
          <w:rFonts w:hint="cs"/>
          <w:rtl/>
        </w:rPr>
        <w:t>ל</w:t>
      </w:r>
      <w:r>
        <w:rPr>
          <w:rFonts w:hint="cs"/>
          <w:rtl/>
        </w:rPr>
        <w:t>-ידי קרימינולוגית שיקומית מטעם מערך גחל"ת. בתסקיר פורטו נסיבותיו האישיות של המערער</w:t>
      </w:r>
      <w:r w:rsidR="00E632C4">
        <w:rPr>
          <w:rFonts w:hint="cs"/>
          <w:rtl/>
        </w:rPr>
        <w:t xml:space="preserve"> ובהן מצבם הרפואי המורכב של הוריו והסיוע שמושיט המערער לפרנסת משפחתו. המערער הודה בעבירות שביצע לפני עורכת התסקיר ואף הביע חרטה על מעשיו. עם זאת, טען כי לא תכנן את מעשיו</w:t>
      </w:r>
      <w:r w:rsidR="00660C88">
        <w:rPr>
          <w:rFonts w:hint="cs"/>
          <w:rtl/>
        </w:rPr>
        <w:t xml:space="preserve">, </w:t>
      </w:r>
      <w:r w:rsidR="00E632C4">
        <w:rPr>
          <w:rFonts w:hint="cs"/>
          <w:rtl/>
        </w:rPr>
        <w:t>כי פעל מתוך שעמום ו</w:t>
      </w:r>
      <w:r w:rsidR="00660C88">
        <w:rPr>
          <w:rFonts w:hint="cs"/>
          <w:rtl/>
        </w:rPr>
        <w:t xml:space="preserve">כן, כי לא </w:t>
      </w:r>
      <w:r w:rsidR="00E632C4">
        <w:rPr>
          <w:rFonts w:hint="cs"/>
          <w:rtl/>
        </w:rPr>
        <w:t>נגרם נזק בגין מעשיו לכשירות היחידה. עורכת התסקיר המליצה כי: "לאור העובדה כי החייל משוחרר משירות ביטחון, הביע חרטה על מעשיו, כמו גם העובדה כי נוכחותו נדרשת בבית משפחתו, לעניות דעתי המקצועית, כליאה ממשית בבית כלא צבאי לא תטיב עם הנאשם".</w:t>
      </w:r>
    </w:p>
    <w:p w:rsidR="00072AF4" w:rsidRPr="00124D06" w:rsidRDefault="00124D06" w:rsidP="00E632C4">
      <w:pPr>
        <w:tabs>
          <w:tab w:val="left" w:pos="229"/>
          <w:tab w:val="left" w:pos="368"/>
        </w:tabs>
        <w:rPr>
          <w:rtl/>
        </w:rPr>
      </w:pPr>
      <w:r>
        <w:rPr>
          <w:rFonts w:hint="cs"/>
          <w:rtl/>
        </w:rPr>
        <w:t xml:space="preserve">   </w:t>
      </w:r>
      <w:r w:rsidRPr="00124D06">
        <w:rPr>
          <w:rFonts w:hint="cs"/>
          <w:rtl/>
        </w:rPr>
        <w:t xml:space="preserve"> </w:t>
      </w:r>
    </w:p>
    <w:p w:rsidR="009E7426" w:rsidRPr="00124D06" w:rsidRDefault="009E7426" w:rsidP="009E7426">
      <w:pPr>
        <w:pStyle w:val="Heading1"/>
        <w:spacing w:before="0"/>
        <w:ind w:left="-58"/>
        <w:rPr>
          <w:b w:val="0"/>
          <w:bCs w:val="0"/>
          <w:u w:val="none"/>
          <w:rtl/>
        </w:rPr>
      </w:pPr>
      <w:r w:rsidRPr="00124D06">
        <w:rPr>
          <w:rFonts w:hint="cs"/>
          <w:u w:val="none"/>
          <w:rtl/>
        </w:rPr>
        <w:t>עיקרי גזר הדין</w:t>
      </w:r>
    </w:p>
    <w:p w:rsidR="00C95266" w:rsidRDefault="004161E6" w:rsidP="00660C88">
      <w:pPr>
        <w:numPr>
          <w:ilvl w:val="0"/>
          <w:numId w:val="1"/>
        </w:numPr>
        <w:tabs>
          <w:tab w:val="left" w:pos="229"/>
          <w:tab w:val="left" w:pos="368"/>
        </w:tabs>
        <w:ind w:left="0" w:firstLine="0"/>
      </w:pPr>
      <w:r w:rsidRPr="00CD2A33">
        <w:rPr>
          <w:rFonts w:hint="cs"/>
          <w:rtl/>
          <w:lang w:eastAsia="he-IL"/>
        </w:rPr>
        <w:t xml:space="preserve">במסגרת הדיון במתחם העונש ההולם, עמד בית הדין </w:t>
      </w:r>
      <w:r w:rsidR="00223286">
        <w:rPr>
          <w:rFonts w:hint="cs"/>
          <w:rtl/>
          <w:lang w:eastAsia="he-IL"/>
        </w:rPr>
        <w:t xml:space="preserve">קמא בהרחבה </w:t>
      </w:r>
      <w:r w:rsidRPr="00CD2A33">
        <w:rPr>
          <w:rFonts w:hint="cs"/>
          <w:rtl/>
          <w:lang w:eastAsia="he-IL"/>
        </w:rPr>
        <w:t>על</w:t>
      </w:r>
      <w:r w:rsidR="00B679AE">
        <w:rPr>
          <w:rFonts w:hint="cs"/>
          <w:rtl/>
        </w:rPr>
        <w:t xml:space="preserve"> הערכים החברתיים </w:t>
      </w:r>
      <w:r w:rsidR="003D74A7">
        <w:rPr>
          <w:rFonts w:hint="cs"/>
          <w:rtl/>
        </w:rPr>
        <w:t xml:space="preserve">שבהם פגע המערער במעשיו </w:t>
      </w:r>
      <w:r w:rsidR="00223286">
        <w:rPr>
          <w:rtl/>
        </w:rPr>
        <w:t>–</w:t>
      </w:r>
      <w:r w:rsidR="003D74A7">
        <w:rPr>
          <w:rFonts w:hint="cs"/>
          <w:rtl/>
        </w:rPr>
        <w:t xml:space="preserve"> בטחון האזור ותושביו</w:t>
      </w:r>
      <w:r w:rsidR="00660C88">
        <w:rPr>
          <w:rFonts w:hint="cs"/>
          <w:rtl/>
        </w:rPr>
        <w:t>;</w:t>
      </w:r>
      <w:r w:rsidR="003D74A7">
        <w:rPr>
          <w:rFonts w:hint="cs"/>
          <w:rtl/>
        </w:rPr>
        <w:t xml:space="preserve"> </w:t>
      </w:r>
      <w:r w:rsidR="00223286">
        <w:rPr>
          <w:rFonts w:hint="cs"/>
          <w:rtl/>
        </w:rPr>
        <w:t>ביטחו</w:t>
      </w:r>
      <w:r w:rsidR="00247D62">
        <w:rPr>
          <w:rFonts w:hint="cs"/>
          <w:rtl/>
        </w:rPr>
        <w:t xml:space="preserve">נם של </w:t>
      </w:r>
      <w:r w:rsidR="00223286">
        <w:rPr>
          <w:rFonts w:hint="cs"/>
          <w:rtl/>
        </w:rPr>
        <w:t>כוחות</w:t>
      </w:r>
      <w:r w:rsidR="00247D62">
        <w:rPr>
          <w:rFonts w:hint="cs"/>
          <w:rtl/>
        </w:rPr>
        <w:t xml:space="preserve"> הביטחון</w:t>
      </w:r>
      <w:r w:rsidR="00660C88">
        <w:rPr>
          <w:rFonts w:hint="cs"/>
          <w:rtl/>
        </w:rPr>
        <w:t>;</w:t>
      </w:r>
      <w:r w:rsidR="00223286">
        <w:rPr>
          <w:rFonts w:hint="cs"/>
          <w:rtl/>
        </w:rPr>
        <w:t xml:space="preserve"> </w:t>
      </w:r>
      <w:r w:rsidR="00247D62">
        <w:rPr>
          <w:rFonts w:hint="cs"/>
          <w:rtl/>
        </w:rPr>
        <w:t xml:space="preserve">הסיכון התעבורתי שנשקף ממעשיו, </w:t>
      </w:r>
      <w:r w:rsidR="00660C88">
        <w:rPr>
          <w:rFonts w:hint="cs"/>
          <w:rtl/>
        </w:rPr>
        <w:t xml:space="preserve">לעצמו, </w:t>
      </w:r>
      <w:r w:rsidR="00247D62">
        <w:rPr>
          <w:rFonts w:hint="cs"/>
          <w:rtl/>
        </w:rPr>
        <w:t>לחבריו ולעוברי דרך</w:t>
      </w:r>
      <w:r w:rsidR="00660C88">
        <w:rPr>
          <w:rFonts w:hint="cs"/>
          <w:rtl/>
        </w:rPr>
        <w:t>;</w:t>
      </w:r>
      <w:r w:rsidR="00247D62">
        <w:rPr>
          <w:rFonts w:hint="cs"/>
          <w:rtl/>
        </w:rPr>
        <w:t xml:space="preserve"> ובזבוז משאבי</w:t>
      </w:r>
      <w:r w:rsidR="00660C88">
        <w:rPr>
          <w:rFonts w:hint="cs"/>
          <w:rtl/>
        </w:rPr>
        <w:t xml:space="preserve"> הציבור</w:t>
      </w:r>
      <w:r w:rsidR="00247D62">
        <w:rPr>
          <w:rFonts w:hint="cs"/>
          <w:rtl/>
        </w:rPr>
        <w:t xml:space="preserve"> שהיה כרוך בתיקון ה</w:t>
      </w:r>
      <w:r w:rsidR="00223286">
        <w:rPr>
          <w:rFonts w:hint="cs"/>
          <w:rtl/>
        </w:rPr>
        <w:t xml:space="preserve">ציוד המבצעי </w:t>
      </w:r>
      <w:r w:rsidR="00247D62">
        <w:rPr>
          <w:rFonts w:hint="cs"/>
          <w:rtl/>
        </w:rPr>
        <w:t>שנפגע</w:t>
      </w:r>
      <w:r w:rsidR="00223286">
        <w:rPr>
          <w:rFonts w:hint="cs"/>
          <w:rtl/>
        </w:rPr>
        <w:t xml:space="preserve">. עוד נקבע, כי מעשיו של המערער "הכרוכים בהתחמקות ממשימות צבאיות ממניעים פסולים, פגיעה ברכוש צבאי, שימוש באמצעי הונאה, ועירוב חיילים נוספים </w:t>
      </w:r>
      <w:r w:rsidR="00223286">
        <w:rPr>
          <w:rtl/>
        </w:rPr>
        <w:t>–</w:t>
      </w:r>
      <w:r w:rsidR="00223286">
        <w:rPr>
          <w:rFonts w:hint="cs"/>
          <w:rtl/>
        </w:rPr>
        <w:t xml:space="preserve"> פוגעים פגיעה קשה במשמעת הצבא".</w:t>
      </w:r>
    </w:p>
    <w:p w:rsidR="00223286" w:rsidRDefault="00223286" w:rsidP="00F344C7">
      <w:pPr>
        <w:numPr>
          <w:ilvl w:val="0"/>
          <w:numId w:val="1"/>
        </w:numPr>
        <w:tabs>
          <w:tab w:val="left" w:pos="229"/>
          <w:tab w:val="left" w:pos="368"/>
        </w:tabs>
        <w:ind w:left="0" w:firstLine="0"/>
      </w:pPr>
      <w:r>
        <w:rPr>
          <w:rFonts w:hint="cs"/>
          <w:rtl/>
        </w:rPr>
        <w:t>בית הדין קמא הוסיף ו</w:t>
      </w:r>
      <w:r w:rsidR="00822030">
        <w:rPr>
          <w:rFonts w:hint="cs"/>
          <w:rtl/>
        </w:rPr>
        <w:t xml:space="preserve">פירט </w:t>
      </w:r>
      <w:r w:rsidR="00F344C7">
        <w:rPr>
          <w:rFonts w:hint="cs"/>
          <w:rtl/>
        </w:rPr>
        <w:t>על נ</w:t>
      </w:r>
      <w:r>
        <w:rPr>
          <w:rFonts w:hint="cs"/>
          <w:rtl/>
        </w:rPr>
        <w:t xml:space="preserve">סיבות </w:t>
      </w:r>
      <w:r w:rsidR="00822030">
        <w:rPr>
          <w:rFonts w:hint="cs"/>
          <w:rtl/>
        </w:rPr>
        <w:t>ה</w:t>
      </w:r>
      <w:r>
        <w:rPr>
          <w:rFonts w:hint="cs"/>
          <w:rtl/>
        </w:rPr>
        <w:t>חומר</w:t>
      </w:r>
      <w:r w:rsidR="000D2BF8">
        <w:rPr>
          <w:rFonts w:hint="cs"/>
          <w:rtl/>
        </w:rPr>
        <w:t>ה</w:t>
      </w:r>
      <w:r>
        <w:rPr>
          <w:rFonts w:hint="cs"/>
          <w:rtl/>
        </w:rPr>
        <w:t xml:space="preserve"> הקשורות בביצוע העביר</w:t>
      </w:r>
      <w:r w:rsidR="00F344C7">
        <w:rPr>
          <w:rFonts w:hint="cs"/>
          <w:rtl/>
        </w:rPr>
        <w:t>ות</w:t>
      </w:r>
      <w:r>
        <w:rPr>
          <w:rFonts w:hint="cs"/>
          <w:rtl/>
        </w:rPr>
        <w:t>:</w:t>
      </w:r>
    </w:p>
    <w:p w:rsidR="00223286" w:rsidRDefault="00223286" w:rsidP="00822030">
      <w:pPr>
        <w:tabs>
          <w:tab w:val="left" w:pos="229"/>
        </w:tabs>
        <w:spacing w:line="240" w:lineRule="auto"/>
        <w:ind w:left="1076" w:right="1985"/>
        <w:rPr>
          <w:rtl/>
        </w:rPr>
      </w:pPr>
      <w:r>
        <w:rPr>
          <w:rFonts w:hint="cs"/>
          <w:rtl/>
        </w:rPr>
        <w:lastRenderedPageBreak/>
        <w:t xml:space="preserve">"מידת האשם הגבוהה של הנאשם לאור התכנון המוקדם של העבירה והעובדה </w:t>
      </w:r>
      <w:r w:rsidR="000D2BF8">
        <w:rPr>
          <w:rFonts w:hint="cs"/>
          <w:rtl/>
        </w:rPr>
        <w:t>שהנאשם פעל בכוונה לגרום לנזק ולהשבית את הסיור... החזרה על מעשי העבירה בארבע הזדמנויות שונות על פני מספר חודשים;</w:t>
      </w:r>
      <w:r w:rsidR="003D74A7">
        <w:rPr>
          <w:rFonts w:hint="cs"/>
          <w:rtl/>
        </w:rPr>
        <w:t xml:space="preserve"> הסיכון הרב שהיה כרוך במעשי הנאש</w:t>
      </w:r>
      <w:r w:rsidR="000D2BF8">
        <w:rPr>
          <w:rFonts w:hint="cs"/>
          <w:rtl/>
        </w:rPr>
        <w:t>ם... ההשפעה שהייתה לנאשם על חבריו הנהגים... והעובדה שהנאשם ביצע את המעשים מתוך מניעים של מה בכך, תוך... התעלמות מוחלטת מהסיכונים הרבים שנגרמו".</w:t>
      </w:r>
      <w:r w:rsidR="00780449">
        <w:rPr>
          <w:rFonts w:hint="cs"/>
          <w:rtl/>
        </w:rPr>
        <w:t xml:space="preserve"> </w:t>
      </w:r>
    </w:p>
    <w:p w:rsidR="008A7293" w:rsidRDefault="008A7293" w:rsidP="00822030">
      <w:pPr>
        <w:tabs>
          <w:tab w:val="left" w:pos="229"/>
        </w:tabs>
        <w:spacing w:line="240" w:lineRule="auto"/>
        <w:ind w:left="1076" w:right="1985"/>
        <w:rPr>
          <w:rtl/>
        </w:rPr>
      </w:pPr>
    </w:p>
    <w:p w:rsidR="00780449" w:rsidRDefault="00F344C7" w:rsidP="00C31365">
      <w:pPr>
        <w:numPr>
          <w:ilvl w:val="0"/>
          <w:numId w:val="1"/>
        </w:numPr>
        <w:tabs>
          <w:tab w:val="left" w:pos="229"/>
          <w:tab w:val="left" w:pos="368"/>
        </w:tabs>
        <w:ind w:left="0" w:firstLine="0"/>
      </w:pPr>
      <w:r>
        <w:rPr>
          <w:rFonts w:hint="cs"/>
          <w:rtl/>
        </w:rPr>
        <w:t xml:space="preserve">לאחר מכן, </w:t>
      </w:r>
      <w:r w:rsidR="00780449">
        <w:rPr>
          <w:rFonts w:hint="cs"/>
          <w:rtl/>
        </w:rPr>
        <w:t xml:space="preserve">סקר בית הדין את </w:t>
      </w:r>
      <w:r w:rsidR="00780449" w:rsidRPr="00A00E70">
        <w:rPr>
          <w:rFonts w:hint="cs"/>
          <w:rtl/>
        </w:rPr>
        <w:t xml:space="preserve">מדיניות הענישה הנוהגת, </w:t>
      </w:r>
      <w:r w:rsidR="00780449">
        <w:rPr>
          <w:rFonts w:hint="cs"/>
          <w:rtl/>
        </w:rPr>
        <w:t xml:space="preserve">תוך שהוא מטעים, כי </w:t>
      </w:r>
      <w:r w:rsidR="008A7293">
        <w:rPr>
          <w:rFonts w:hint="cs"/>
          <w:rtl/>
        </w:rPr>
        <w:t>לא רבים הם ה</w:t>
      </w:r>
      <w:r w:rsidR="00780449">
        <w:rPr>
          <w:rFonts w:hint="cs"/>
          <w:rtl/>
        </w:rPr>
        <w:t xml:space="preserve">מקרים הדומים בחומרתם למעשיו של המערער. </w:t>
      </w:r>
      <w:r>
        <w:rPr>
          <w:rFonts w:hint="cs"/>
          <w:rtl/>
        </w:rPr>
        <w:t xml:space="preserve">מסקנתו של בית הדין הייתה, כי </w:t>
      </w:r>
      <w:r w:rsidR="008A7293">
        <w:rPr>
          <w:rFonts w:hint="cs"/>
          <w:rtl/>
        </w:rPr>
        <w:t>בפסקי דין קודמים</w:t>
      </w:r>
      <w:r w:rsidR="00780449">
        <w:rPr>
          <w:rFonts w:hint="cs"/>
          <w:rtl/>
        </w:rPr>
        <w:t xml:space="preserve">, כאשר נלוו לפגיעה ברכוש צבאי נסיבות חומרה משמעותיות, הושת עונש מאסר בפועל, </w:t>
      </w:r>
      <w:r w:rsidR="005F5A87">
        <w:rPr>
          <w:rFonts w:hint="cs"/>
          <w:rtl/>
        </w:rPr>
        <w:t>לתקופות משמעותיות</w:t>
      </w:r>
      <w:r w:rsidR="008A7293">
        <w:rPr>
          <w:rFonts w:hint="cs"/>
          <w:rtl/>
        </w:rPr>
        <w:t xml:space="preserve"> (</w:t>
      </w:r>
      <w:r w:rsidR="00C31365">
        <w:rPr>
          <w:rFonts w:hint="cs"/>
          <w:rtl/>
        </w:rPr>
        <w:t xml:space="preserve">ראו למשל: </w:t>
      </w:r>
      <w:r w:rsidR="008A7293">
        <w:rPr>
          <w:rFonts w:hint="cs"/>
          <w:rtl/>
        </w:rPr>
        <w:t xml:space="preserve">עניין </w:t>
      </w:r>
      <w:r w:rsidR="008A7293" w:rsidRPr="008A7293">
        <w:rPr>
          <w:rFonts w:hint="cs"/>
          <w:b/>
          <w:bCs/>
          <w:rtl/>
        </w:rPr>
        <w:t>קייסרמן</w:t>
      </w:r>
      <w:r w:rsidR="008A7293">
        <w:rPr>
          <w:rFonts w:hint="cs"/>
          <w:rtl/>
        </w:rPr>
        <w:t xml:space="preserve"> לעיל, עניין </w:t>
      </w:r>
      <w:r w:rsidR="008A7293" w:rsidRPr="00FA4FFE">
        <w:rPr>
          <w:rFonts w:hint="cs"/>
          <w:b/>
          <w:bCs/>
          <w:rtl/>
        </w:rPr>
        <w:t>קיילקוב</w:t>
      </w:r>
      <w:r w:rsidR="008A7293">
        <w:rPr>
          <w:rFonts w:hint="cs"/>
          <w:rtl/>
        </w:rPr>
        <w:t xml:space="preserve"> לעיל)</w:t>
      </w:r>
      <w:r w:rsidR="005F5A87">
        <w:rPr>
          <w:rFonts w:hint="cs"/>
          <w:rtl/>
        </w:rPr>
        <w:t>.</w:t>
      </w:r>
    </w:p>
    <w:p w:rsidR="00780449" w:rsidRPr="00A00E70" w:rsidRDefault="00F344C7" w:rsidP="00F344C7">
      <w:pPr>
        <w:numPr>
          <w:ilvl w:val="0"/>
          <w:numId w:val="1"/>
        </w:numPr>
        <w:tabs>
          <w:tab w:val="left" w:pos="229"/>
          <w:tab w:val="left" w:pos="368"/>
        </w:tabs>
        <w:ind w:left="0" w:firstLine="0"/>
      </w:pPr>
      <w:r>
        <w:rPr>
          <w:rFonts w:hint="cs"/>
          <w:rtl/>
        </w:rPr>
        <w:t xml:space="preserve">בהמשך, </w:t>
      </w:r>
      <w:r w:rsidR="00780449">
        <w:rPr>
          <w:rFonts w:hint="cs"/>
          <w:rtl/>
        </w:rPr>
        <w:t xml:space="preserve">פנה בית הדין קמא לבחון כיצד משפיע </w:t>
      </w:r>
      <w:r w:rsidR="00FA4FFE">
        <w:rPr>
          <w:rFonts w:hint="cs"/>
          <w:rtl/>
        </w:rPr>
        <w:t xml:space="preserve">על עונשו של המערער </w:t>
      </w:r>
      <w:r w:rsidR="00780449">
        <w:rPr>
          <w:rFonts w:hint="cs"/>
          <w:rtl/>
        </w:rPr>
        <w:t xml:space="preserve">העונש שניתן בעניינו של </w:t>
      </w:r>
      <w:r w:rsidR="00FA4FFE">
        <w:rPr>
          <w:rFonts w:hint="cs"/>
          <w:rtl/>
        </w:rPr>
        <w:t xml:space="preserve">מעורב אחר בפרשה, </w:t>
      </w:r>
      <w:r w:rsidR="005F5A87">
        <w:rPr>
          <w:rFonts w:hint="cs"/>
          <w:rtl/>
        </w:rPr>
        <w:t xml:space="preserve">חברו ליחידה, </w:t>
      </w:r>
      <w:r w:rsidR="005F5A87" w:rsidRPr="00D53E6C">
        <w:rPr>
          <w:rFonts w:hint="cs"/>
          <w:b/>
          <w:bCs/>
          <w:rtl/>
        </w:rPr>
        <w:t>סמל אברהם</w:t>
      </w:r>
      <w:r w:rsidR="00FA4FFE">
        <w:rPr>
          <w:rFonts w:hint="cs"/>
          <w:rtl/>
        </w:rPr>
        <w:t xml:space="preserve"> (מרכז (מחוזי) 256/18)</w:t>
      </w:r>
      <w:r>
        <w:rPr>
          <w:rFonts w:hint="cs"/>
          <w:rtl/>
        </w:rPr>
        <w:t xml:space="preserve">. סמל אברהם </w:t>
      </w:r>
      <w:r w:rsidR="005F5A87">
        <w:rPr>
          <w:rFonts w:hint="cs"/>
          <w:rtl/>
        </w:rPr>
        <w:t>הורשע בעבירה קלה יותר של היזק בזדון</w:t>
      </w:r>
      <w:r w:rsidR="00FA4FFE">
        <w:rPr>
          <w:rFonts w:hint="cs"/>
          <w:rtl/>
        </w:rPr>
        <w:t xml:space="preserve"> ונדון לעונש מאסר בפועל בן 44 ימים לצד מאסר מותנה, פסילת רישיונות נהיגה למשך ארבעה חודשים וקנס בסך 300 ש"ח. </w:t>
      </w:r>
      <w:r>
        <w:rPr>
          <w:rFonts w:hint="cs"/>
          <w:rtl/>
        </w:rPr>
        <w:t xml:space="preserve">בית הדין הטעים, כי </w:t>
      </w:r>
      <w:r w:rsidR="00780449" w:rsidRPr="00A00E70">
        <w:rPr>
          <w:rFonts w:hint="cs"/>
          <w:rtl/>
        </w:rPr>
        <w:t>בנסיבות העניין</w:t>
      </w:r>
      <w:r w:rsidR="00780449">
        <w:rPr>
          <w:rFonts w:hint="cs"/>
          <w:rtl/>
        </w:rPr>
        <w:t xml:space="preserve">, </w:t>
      </w:r>
      <w:r w:rsidR="00FA4FFE">
        <w:rPr>
          <w:rFonts w:hint="cs"/>
          <w:rtl/>
        </w:rPr>
        <w:t xml:space="preserve">אין </w:t>
      </w:r>
      <w:r w:rsidR="005F5A87">
        <w:rPr>
          <w:rFonts w:hint="cs"/>
          <w:rtl/>
        </w:rPr>
        <w:t xml:space="preserve">להגביל </w:t>
      </w:r>
      <w:r w:rsidR="00FA4FFE">
        <w:rPr>
          <w:rFonts w:hint="cs"/>
          <w:rtl/>
        </w:rPr>
        <w:t xml:space="preserve">את עונשו של המערער למידת העונש </w:t>
      </w:r>
      <w:r w:rsidR="005F5A87">
        <w:rPr>
          <w:rFonts w:hint="cs"/>
          <w:rtl/>
        </w:rPr>
        <w:t xml:space="preserve">שנקבעה </w:t>
      </w:r>
      <w:r w:rsidR="00FA4FFE">
        <w:rPr>
          <w:rFonts w:hint="cs"/>
          <w:rtl/>
        </w:rPr>
        <w:t>בעניינו של סמל אברהם</w:t>
      </w:r>
      <w:r w:rsidR="005F5A87">
        <w:rPr>
          <w:rFonts w:hint="cs"/>
          <w:rtl/>
        </w:rPr>
        <w:t>,</w:t>
      </w:r>
      <w:r w:rsidR="00780449">
        <w:rPr>
          <w:rFonts w:hint="cs"/>
          <w:rtl/>
        </w:rPr>
        <w:t xml:space="preserve"> מכמה טעמים</w:t>
      </w:r>
      <w:r w:rsidR="00780449" w:rsidRPr="00A00E70">
        <w:rPr>
          <w:rFonts w:hint="cs"/>
          <w:rtl/>
        </w:rPr>
        <w:t xml:space="preserve">: </w:t>
      </w:r>
    </w:p>
    <w:p w:rsidR="005F5A87" w:rsidRDefault="00780449" w:rsidP="005F5A87">
      <w:pPr>
        <w:tabs>
          <w:tab w:val="left" w:pos="226"/>
          <w:tab w:val="left" w:pos="368"/>
        </w:tabs>
        <w:spacing w:line="240" w:lineRule="auto"/>
        <w:ind w:left="1077" w:right="1560"/>
        <w:rPr>
          <w:rtl/>
        </w:rPr>
      </w:pPr>
      <w:r>
        <w:rPr>
          <w:rFonts w:hint="cs"/>
          <w:rtl/>
        </w:rPr>
        <w:t>"</w:t>
      </w:r>
      <w:r w:rsidR="005F5A87">
        <w:rPr>
          <w:rFonts w:hint="cs"/>
          <w:rtl/>
        </w:rPr>
        <w:t>ראשית, עניינו של סמל אברהם הסתיים במסגרת הסדר טיעון...</w:t>
      </w:r>
    </w:p>
    <w:p w:rsidR="005F5A87" w:rsidRDefault="005F5A87" w:rsidP="005F5A87">
      <w:pPr>
        <w:tabs>
          <w:tab w:val="left" w:pos="226"/>
          <w:tab w:val="left" w:pos="368"/>
        </w:tabs>
        <w:spacing w:line="240" w:lineRule="auto"/>
        <w:ind w:left="1077" w:right="1560"/>
        <w:rPr>
          <w:rtl/>
        </w:rPr>
      </w:pPr>
      <w:r>
        <w:rPr>
          <w:rFonts w:hint="cs"/>
          <w:rtl/>
        </w:rPr>
        <w:t>שנית, ההגנ</w:t>
      </w:r>
      <w:r w:rsidR="001404A2">
        <w:rPr>
          <w:rFonts w:hint="cs"/>
          <w:rtl/>
        </w:rPr>
        <w:t>ה הצביעה אמנם על מספר היבטים מק</w:t>
      </w:r>
      <w:r>
        <w:rPr>
          <w:rFonts w:hint="cs"/>
          <w:rtl/>
        </w:rPr>
        <w:t>לים בעניינו של הנאשם, אשר לא התקיימו בעניינו של סמל אברהם, ובפרט משך המעצר הפתוח שבו שהה הנאשם, שחרורו משירות והמלצות תסקיר העונש. עם זאת, היבטים אלה נוגעים כולם לעונש שראוי לגזור בתוך המתחם, ואינם נוגעים לקביעת המתחם עצמו.</w:t>
      </w:r>
    </w:p>
    <w:p w:rsidR="00780449" w:rsidRDefault="005F5A87" w:rsidP="005F5A87">
      <w:pPr>
        <w:tabs>
          <w:tab w:val="left" w:pos="226"/>
          <w:tab w:val="left" w:pos="368"/>
        </w:tabs>
        <w:spacing w:line="240" w:lineRule="auto"/>
        <w:ind w:left="1077" w:right="1560"/>
        <w:rPr>
          <w:rtl/>
        </w:rPr>
      </w:pPr>
      <w:r>
        <w:rPr>
          <w:rFonts w:hint="cs"/>
          <w:rtl/>
        </w:rPr>
        <w:t xml:space="preserve">ושלישית, ובכך עיקר, מצאנו כי עניינו של הנאשם חמור במידה משמעותית מעניינו של סמל אברהם, במספר היבטים מרכזיים: </w:t>
      </w:r>
      <w:r>
        <w:rPr>
          <w:rFonts w:hint="cs"/>
          <w:b/>
          <w:bCs/>
          <w:rtl/>
        </w:rPr>
        <w:t>היקף המעשים</w:t>
      </w:r>
      <w:r>
        <w:rPr>
          <w:rFonts w:hint="cs"/>
          <w:rtl/>
        </w:rPr>
        <w:t xml:space="preserve"> המיוחסים לנאשם...</w:t>
      </w:r>
      <w:r w:rsidR="001404A2">
        <w:rPr>
          <w:rFonts w:hint="cs"/>
          <w:b/>
          <w:bCs/>
          <w:rtl/>
        </w:rPr>
        <w:t xml:space="preserve"> </w:t>
      </w:r>
      <w:r>
        <w:rPr>
          <w:rFonts w:hint="cs"/>
          <w:b/>
          <w:bCs/>
          <w:rtl/>
        </w:rPr>
        <w:t xml:space="preserve">היסוד הנפשי </w:t>
      </w:r>
      <w:r w:rsidR="001404A2">
        <w:rPr>
          <w:rFonts w:hint="cs"/>
          <w:rtl/>
        </w:rPr>
        <w:t xml:space="preserve"> הנלווה למעשים שהוכח בפנינו....</w:t>
      </w:r>
      <w:r>
        <w:rPr>
          <w:rFonts w:hint="cs"/>
          <w:b/>
          <w:bCs/>
          <w:rtl/>
        </w:rPr>
        <w:t>והיוזמה למעשים</w:t>
      </w:r>
      <w:r w:rsidRPr="001404A2">
        <w:rPr>
          <w:rFonts w:hint="cs"/>
          <w:rtl/>
        </w:rPr>
        <w:t>...</w:t>
      </w:r>
      <w:r w:rsidR="00780449" w:rsidRPr="001404A2">
        <w:rPr>
          <w:rFonts w:hint="cs"/>
          <w:rtl/>
        </w:rPr>
        <w:t>"</w:t>
      </w:r>
      <w:r w:rsidR="001404A2">
        <w:rPr>
          <w:rFonts w:hint="cs"/>
          <w:rtl/>
        </w:rPr>
        <w:t xml:space="preserve"> [ההדגשות במקור]</w:t>
      </w:r>
      <w:r w:rsidR="00780449">
        <w:rPr>
          <w:rFonts w:hint="cs"/>
          <w:rtl/>
        </w:rPr>
        <w:t>.</w:t>
      </w:r>
    </w:p>
    <w:p w:rsidR="00780449" w:rsidRDefault="00780449" w:rsidP="00780449">
      <w:pPr>
        <w:tabs>
          <w:tab w:val="left" w:pos="226"/>
          <w:tab w:val="left" w:pos="368"/>
        </w:tabs>
        <w:spacing w:line="240" w:lineRule="auto"/>
        <w:ind w:left="1077" w:right="1418"/>
      </w:pPr>
    </w:p>
    <w:p w:rsidR="00780449" w:rsidRDefault="00780449" w:rsidP="00FA4FFE">
      <w:pPr>
        <w:numPr>
          <w:ilvl w:val="0"/>
          <w:numId w:val="1"/>
        </w:numPr>
        <w:tabs>
          <w:tab w:val="left" w:pos="229"/>
          <w:tab w:val="left" w:pos="368"/>
        </w:tabs>
        <w:ind w:left="0" w:firstLine="0"/>
        <w:rPr>
          <w:sz w:val="24"/>
          <w:szCs w:val="24"/>
        </w:rPr>
      </w:pPr>
      <w:r w:rsidRPr="00A00E70">
        <w:rPr>
          <w:rFonts w:hint="cs"/>
          <w:rtl/>
        </w:rPr>
        <w:t xml:space="preserve">  לאור כל האמור, </w:t>
      </w:r>
      <w:r>
        <w:rPr>
          <w:rFonts w:hint="cs"/>
          <w:rtl/>
        </w:rPr>
        <w:t xml:space="preserve">קבע בית הדין קמא </w:t>
      </w:r>
      <w:r w:rsidRPr="00A00E70">
        <w:rPr>
          <w:rFonts w:hint="cs"/>
          <w:rtl/>
        </w:rPr>
        <w:t>מתחם ע</w:t>
      </w:r>
      <w:r>
        <w:rPr>
          <w:rFonts w:hint="cs"/>
          <w:rtl/>
        </w:rPr>
        <w:t>ונש</w:t>
      </w:r>
      <w:r w:rsidR="00FA4FFE">
        <w:rPr>
          <w:rFonts w:hint="cs"/>
          <w:rtl/>
        </w:rPr>
        <w:t xml:space="preserve"> הולם</w:t>
      </w:r>
      <w:r w:rsidRPr="001404A2">
        <w:rPr>
          <w:rFonts w:hint="cs"/>
          <w:rtl/>
        </w:rPr>
        <w:t xml:space="preserve">, </w:t>
      </w:r>
      <w:r w:rsidRPr="00FA4FFE">
        <w:rPr>
          <w:rFonts w:hint="cs"/>
          <w:b/>
          <w:bCs/>
          <w:rtl/>
        </w:rPr>
        <w:t xml:space="preserve">בין </w:t>
      </w:r>
      <w:r w:rsidR="001404A2" w:rsidRPr="00FA4FFE">
        <w:rPr>
          <w:rFonts w:hint="cs"/>
          <w:b/>
          <w:bCs/>
          <w:rtl/>
        </w:rPr>
        <w:t xml:space="preserve">חמישה לעשרה </w:t>
      </w:r>
      <w:r w:rsidR="008B7D49" w:rsidRPr="00FA4FFE">
        <w:rPr>
          <w:rFonts w:hint="cs"/>
          <w:b/>
          <w:bCs/>
          <w:rtl/>
        </w:rPr>
        <w:t>חודשי</w:t>
      </w:r>
      <w:r w:rsidRPr="00FA4FFE">
        <w:rPr>
          <w:rFonts w:hint="cs"/>
          <w:b/>
          <w:bCs/>
          <w:rtl/>
        </w:rPr>
        <w:t xml:space="preserve"> מאסר בפועל</w:t>
      </w:r>
      <w:r w:rsidR="008B7D49" w:rsidRPr="001404A2">
        <w:rPr>
          <w:rFonts w:hint="cs"/>
          <w:rtl/>
        </w:rPr>
        <w:t>, לצד עונשי מאסר על תנאי, הורדה בדרגה ו</w:t>
      </w:r>
      <w:r w:rsidR="008B7D49">
        <w:rPr>
          <w:rFonts w:hint="cs"/>
          <w:rtl/>
        </w:rPr>
        <w:t xml:space="preserve">פיצויים. </w:t>
      </w:r>
      <w:r w:rsidR="001404A2">
        <w:rPr>
          <w:rFonts w:hint="cs"/>
          <w:rtl/>
        </w:rPr>
        <w:t>עוד נקבע,</w:t>
      </w:r>
      <w:r w:rsidR="008B7D49">
        <w:rPr>
          <w:rFonts w:hint="cs"/>
          <w:rtl/>
        </w:rPr>
        <w:t xml:space="preserve"> כי מתחייבת פסיל</w:t>
      </w:r>
      <w:r w:rsidR="00FA4FFE">
        <w:rPr>
          <w:rFonts w:hint="cs"/>
          <w:rtl/>
        </w:rPr>
        <w:t xml:space="preserve">ה בפועל של </w:t>
      </w:r>
      <w:r w:rsidR="008B7D49">
        <w:rPr>
          <w:rFonts w:hint="cs"/>
          <w:rtl/>
        </w:rPr>
        <w:t xml:space="preserve">רישיונות </w:t>
      </w:r>
      <w:r w:rsidR="00FA4FFE">
        <w:rPr>
          <w:rFonts w:hint="cs"/>
          <w:rtl/>
        </w:rPr>
        <w:t xml:space="preserve">הנהיגה </w:t>
      </w:r>
      <w:r w:rsidR="008B7D49">
        <w:rPr>
          <w:rFonts w:hint="cs"/>
          <w:rtl/>
        </w:rPr>
        <w:t xml:space="preserve">לתקופה משמעותית של </w:t>
      </w:r>
      <w:r w:rsidR="00FA4FFE">
        <w:rPr>
          <w:rFonts w:hint="cs"/>
          <w:rtl/>
        </w:rPr>
        <w:t xml:space="preserve">12-6 </w:t>
      </w:r>
      <w:r w:rsidR="008B7D49">
        <w:rPr>
          <w:rFonts w:hint="cs"/>
          <w:rtl/>
        </w:rPr>
        <w:t>חודשים.</w:t>
      </w:r>
    </w:p>
    <w:p w:rsidR="00C358FE" w:rsidRDefault="00780449" w:rsidP="005517FF">
      <w:pPr>
        <w:numPr>
          <w:ilvl w:val="0"/>
          <w:numId w:val="1"/>
        </w:numPr>
        <w:tabs>
          <w:tab w:val="left" w:pos="229"/>
          <w:tab w:val="left" w:pos="368"/>
        </w:tabs>
        <w:ind w:left="0" w:firstLine="0"/>
      </w:pPr>
      <w:r w:rsidRPr="00D331E8">
        <w:rPr>
          <w:rFonts w:hint="cs"/>
          <w:rtl/>
        </w:rPr>
        <w:lastRenderedPageBreak/>
        <w:t>אשר ל</w:t>
      </w:r>
      <w:r>
        <w:rPr>
          <w:rFonts w:hint="cs"/>
          <w:rtl/>
        </w:rPr>
        <w:t xml:space="preserve">מידת העונש, בית הדין קמא </w:t>
      </w:r>
      <w:r w:rsidR="00C358FE">
        <w:rPr>
          <w:rFonts w:hint="cs"/>
          <w:rtl/>
        </w:rPr>
        <w:t>התחשב בצורך להרתיע חיילים אחרים מפני ביצוע עבירות דומות, אך לצד זאת מצא לתת משקל רב</w:t>
      </w:r>
      <w:r>
        <w:rPr>
          <w:rFonts w:hint="cs"/>
          <w:rtl/>
        </w:rPr>
        <w:t xml:space="preserve"> </w:t>
      </w:r>
      <w:r w:rsidR="00C358FE">
        <w:rPr>
          <w:rFonts w:hint="cs"/>
          <w:rtl/>
        </w:rPr>
        <w:t xml:space="preserve">לנתוניו האישיים של המערער </w:t>
      </w:r>
      <w:r w:rsidR="00C358FE">
        <w:rPr>
          <w:rtl/>
        </w:rPr>
        <w:t>–</w:t>
      </w:r>
      <w:r w:rsidR="00C358FE">
        <w:rPr>
          <w:rFonts w:hint="cs"/>
          <w:rtl/>
        </w:rPr>
        <w:t xml:space="preserve"> </w:t>
      </w:r>
      <w:r w:rsidR="001404A2">
        <w:rPr>
          <w:rFonts w:hint="cs"/>
          <w:rtl/>
        </w:rPr>
        <w:t>ל</w:t>
      </w:r>
      <w:r w:rsidR="00C358FE">
        <w:rPr>
          <w:rFonts w:hint="cs"/>
          <w:rtl/>
        </w:rPr>
        <w:t xml:space="preserve">גילו הצעיר, </w:t>
      </w:r>
      <w:r w:rsidR="001404A2">
        <w:rPr>
          <w:rFonts w:hint="cs"/>
          <w:rtl/>
        </w:rPr>
        <w:t>ל</w:t>
      </w:r>
      <w:r w:rsidR="00C358FE">
        <w:rPr>
          <w:rFonts w:hint="cs"/>
          <w:rtl/>
        </w:rPr>
        <w:t xml:space="preserve">עברו הפלילי והמשמעתי הנקי, לכך שהשלים שירות צבאי, ואף זכה לתעודת הצטיינות ולשבחי מפקדיו, אף בעת תקופת שהותו במעצר פתוח </w:t>
      </w:r>
      <w:r w:rsidR="00FA4FFE">
        <w:rPr>
          <w:rFonts w:hint="cs"/>
          <w:rtl/>
        </w:rPr>
        <w:t xml:space="preserve">לפרק זמן שאינו קצר </w:t>
      </w:r>
      <w:r w:rsidR="00C358FE">
        <w:rPr>
          <w:rFonts w:hint="cs"/>
          <w:rtl/>
        </w:rPr>
        <w:t>ו</w:t>
      </w:r>
      <w:r w:rsidR="001404A2">
        <w:rPr>
          <w:rFonts w:hint="cs"/>
          <w:rtl/>
        </w:rPr>
        <w:t xml:space="preserve">כן </w:t>
      </w:r>
      <w:r w:rsidR="00C358FE">
        <w:rPr>
          <w:rFonts w:hint="cs"/>
          <w:rtl/>
        </w:rPr>
        <w:t>ל</w:t>
      </w:r>
      <w:r w:rsidR="001404A2">
        <w:rPr>
          <w:rFonts w:hint="cs"/>
          <w:rtl/>
        </w:rPr>
        <w:t>מצבו המשפחתי.</w:t>
      </w:r>
      <w:r w:rsidR="00C358FE">
        <w:rPr>
          <w:rFonts w:hint="cs"/>
          <w:rtl/>
        </w:rPr>
        <w:t xml:space="preserve"> כמו כן, </w:t>
      </w:r>
      <w:r w:rsidR="00F344C7">
        <w:rPr>
          <w:rFonts w:hint="cs"/>
          <w:rtl/>
        </w:rPr>
        <w:t xml:space="preserve">התחשב </w:t>
      </w:r>
      <w:r w:rsidR="00C358FE">
        <w:rPr>
          <w:rFonts w:hint="cs"/>
          <w:rtl/>
        </w:rPr>
        <w:t xml:space="preserve">בית הדין קמא </w:t>
      </w:r>
      <w:r w:rsidR="00F344C7">
        <w:rPr>
          <w:rFonts w:hint="cs"/>
          <w:rtl/>
        </w:rPr>
        <w:t>ב</w:t>
      </w:r>
      <w:r w:rsidR="001404A2">
        <w:rPr>
          <w:rFonts w:hint="cs"/>
          <w:rtl/>
        </w:rPr>
        <w:t>הבע</w:t>
      </w:r>
      <w:r w:rsidR="00F344C7">
        <w:rPr>
          <w:rFonts w:hint="cs"/>
          <w:rtl/>
        </w:rPr>
        <w:t>ת ה</w:t>
      </w:r>
      <w:r w:rsidR="001404A2">
        <w:rPr>
          <w:rFonts w:hint="cs"/>
          <w:rtl/>
        </w:rPr>
        <w:t xml:space="preserve">חרטה </w:t>
      </w:r>
      <w:r w:rsidR="00F344C7">
        <w:rPr>
          <w:rFonts w:hint="cs"/>
          <w:rtl/>
        </w:rPr>
        <w:t xml:space="preserve">של המערער </w:t>
      </w:r>
      <w:r w:rsidR="001404A2">
        <w:rPr>
          <w:rFonts w:hint="cs"/>
          <w:rtl/>
        </w:rPr>
        <w:t>על המעשים</w:t>
      </w:r>
      <w:r w:rsidR="00F344C7">
        <w:rPr>
          <w:rFonts w:hint="cs"/>
          <w:rtl/>
        </w:rPr>
        <w:t>,</w:t>
      </w:r>
      <w:r w:rsidR="001404A2">
        <w:rPr>
          <w:rFonts w:hint="cs"/>
          <w:rtl/>
        </w:rPr>
        <w:t xml:space="preserve"> הן</w:t>
      </w:r>
      <w:r w:rsidR="00C358FE">
        <w:rPr>
          <w:rFonts w:hint="cs"/>
          <w:rtl/>
        </w:rPr>
        <w:t xml:space="preserve"> בפני עורכת תסקיר העונש והן בפני </w:t>
      </w:r>
      <w:r w:rsidR="00FA4FFE">
        <w:rPr>
          <w:rFonts w:hint="cs"/>
          <w:rtl/>
        </w:rPr>
        <w:t>ב</w:t>
      </w:r>
      <w:r w:rsidR="00C358FE">
        <w:rPr>
          <w:rFonts w:hint="cs"/>
          <w:rtl/>
        </w:rPr>
        <w:t>ית הדין</w:t>
      </w:r>
      <w:r w:rsidR="00F344C7">
        <w:rPr>
          <w:rFonts w:hint="cs"/>
          <w:rtl/>
        </w:rPr>
        <w:t xml:space="preserve">. עם זאת, </w:t>
      </w:r>
      <w:r w:rsidR="001404A2">
        <w:rPr>
          <w:rFonts w:hint="cs"/>
          <w:rtl/>
        </w:rPr>
        <w:t>ניתנה הדעת לכך</w:t>
      </w:r>
      <w:r w:rsidR="00C358FE">
        <w:rPr>
          <w:rFonts w:hint="cs"/>
          <w:rtl/>
        </w:rPr>
        <w:t xml:space="preserve"> </w:t>
      </w:r>
      <w:r w:rsidR="001404A2">
        <w:rPr>
          <w:rFonts w:hint="cs"/>
          <w:rtl/>
        </w:rPr>
        <w:t>ש</w:t>
      </w:r>
      <w:r w:rsidR="00FA4FFE">
        <w:rPr>
          <w:rFonts w:hint="cs"/>
          <w:rtl/>
        </w:rPr>
        <w:t xml:space="preserve">על-פי התסקיר, </w:t>
      </w:r>
      <w:r w:rsidR="00C358FE">
        <w:rPr>
          <w:rFonts w:hint="cs"/>
          <w:rtl/>
        </w:rPr>
        <w:t>גם היום</w:t>
      </w:r>
      <w:r w:rsidR="00FA4FFE">
        <w:rPr>
          <w:rFonts w:hint="cs"/>
          <w:rtl/>
        </w:rPr>
        <w:t>,</w:t>
      </w:r>
      <w:r w:rsidR="00C358FE">
        <w:rPr>
          <w:rFonts w:hint="cs"/>
          <w:rtl/>
        </w:rPr>
        <w:t xml:space="preserve"> </w:t>
      </w:r>
      <w:r w:rsidR="001404A2">
        <w:rPr>
          <w:rFonts w:hint="cs"/>
          <w:rtl/>
        </w:rPr>
        <w:t xml:space="preserve">המערער </w:t>
      </w:r>
      <w:r w:rsidR="00C358FE">
        <w:rPr>
          <w:rFonts w:hint="cs"/>
          <w:rtl/>
        </w:rPr>
        <w:t xml:space="preserve">טרם </w:t>
      </w:r>
      <w:r w:rsidR="001404A2">
        <w:rPr>
          <w:rFonts w:hint="cs"/>
          <w:rtl/>
        </w:rPr>
        <w:t>הפנים</w:t>
      </w:r>
      <w:r w:rsidR="00C358FE">
        <w:rPr>
          <w:rFonts w:hint="cs"/>
          <w:rtl/>
        </w:rPr>
        <w:t xml:space="preserve"> את מלוא </w:t>
      </w:r>
      <w:r w:rsidR="00F344C7">
        <w:rPr>
          <w:rFonts w:hint="cs"/>
          <w:rtl/>
        </w:rPr>
        <w:t>ה</w:t>
      </w:r>
      <w:r w:rsidR="00C358FE">
        <w:rPr>
          <w:rFonts w:hint="cs"/>
          <w:rtl/>
        </w:rPr>
        <w:t>חומר</w:t>
      </w:r>
      <w:r w:rsidR="00F344C7">
        <w:rPr>
          <w:rFonts w:hint="cs"/>
          <w:rtl/>
        </w:rPr>
        <w:t xml:space="preserve">ה של </w:t>
      </w:r>
      <w:r w:rsidR="00C358FE">
        <w:rPr>
          <w:rFonts w:hint="cs"/>
          <w:rtl/>
        </w:rPr>
        <w:t xml:space="preserve">מעשיו, </w:t>
      </w:r>
      <w:r w:rsidR="001404A2">
        <w:rPr>
          <w:rFonts w:hint="cs"/>
          <w:rtl/>
        </w:rPr>
        <w:t>ו</w:t>
      </w:r>
      <w:r w:rsidR="00F344C7">
        <w:rPr>
          <w:rFonts w:hint="cs"/>
          <w:rtl/>
        </w:rPr>
        <w:t>אינו ער ל</w:t>
      </w:r>
      <w:r w:rsidR="00C358FE">
        <w:rPr>
          <w:rFonts w:hint="cs"/>
          <w:rtl/>
        </w:rPr>
        <w:t xml:space="preserve">סיכון הרב שגרם. </w:t>
      </w:r>
      <w:r w:rsidR="003D74A7">
        <w:rPr>
          <w:rFonts w:hint="cs"/>
          <w:rtl/>
        </w:rPr>
        <w:t>עוד ניתן מ</w:t>
      </w:r>
      <w:r w:rsidR="001404A2">
        <w:rPr>
          <w:rFonts w:hint="cs"/>
          <w:rtl/>
        </w:rPr>
        <w:t>שקל לחלוף הזמן מאז</w:t>
      </w:r>
      <w:r w:rsidR="003D74A7">
        <w:rPr>
          <w:rFonts w:hint="cs"/>
          <w:rtl/>
        </w:rPr>
        <w:t xml:space="preserve"> ביצוע העבירות </w:t>
      </w:r>
      <w:r w:rsidR="003D74A7">
        <w:rPr>
          <w:rtl/>
        </w:rPr>
        <w:t>–</w:t>
      </w:r>
      <w:r w:rsidR="003D74A7">
        <w:rPr>
          <w:rFonts w:hint="cs"/>
          <w:rtl/>
        </w:rPr>
        <w:t xml:space="preserve"> למעלה משנה, לשהייתו של המערער תקופה ממושכת מאוד במעצר פתוח </w:t>
      </w:r>
      <w:r w:rsidR="003D74A7">
        <w:rPr>
          <w:rtl/>
        </w:rPr>
        <w:t>–</w:t>
      </w:r>
      <w:r w:rsidR="003D74A7">
        <w:rPr>
          <w:rFonts w:hint="cs"/>
          <w:rtl/>
        </w:rPr>
        <w:t xml:space="preserve"> כשמונה חודשים, ול</w:t>
      </w:r>
      <w:r w:rsidR="00FA4FFE">
        <w:rPr>
          <w:rFonts w:hint="cs"/>
          <w:rtl/>
        </w:rPr>
        <w:t>סיומו זה מכבר, של פרק השירות הצבאי בחייו</w:t>
      </w:r>
      <w:r w:rsidR="003D74A7">
        <w:rPr>
          <w:rFonts w:hint="cs"/>
          <w:rtl/>
        </w:rPr>
        <w:t xml:space="preserve">. </w:t>
      </w:r>
      <w:r w:rsidR="005517FF">
        <w:rPr>
          <w:rFonts w:hint="cs"/>
          <w:rtl/>
        </w:rPr>
        <w:t xml:space="preserve">בד בבד, </w:t>
      </w:r>
      <w:r w:rsidR="003D74A7">
        <w:rPr>
          <w:rFonts w:hint="cs"/>
          <w:rtl/>
        </w:rPr>
        <w:t xml:space="preserve">הודגש, כי </w:t>
      </w:r>
      <w:r w:rsidR="001404A2">
        <w:rPr>
          <w:rFonts w:hint="cs"/>
          <w:rtl/>
        </w:rPr>
        <w:t>כל אלו</w:t>
      </w:r>
      <w:r w:rsidR="003D74A7">
        <w:rPr>
          <w:rFonts w:hint="cs"/>
          <w:rtl/>
        </w:rPr>
        <w:t xml:space="preserve"> רובצים לפתחו של המערער</w:t>
      </w:r>
      <w:r w:rsidR="001404A2">
        <w:rPr>
          <w:rFonts w:hint="cs"/>
          <w:rtl/>
        </w:rPr>
        <w:t>,</w:t>
      </w:r>
      <w:r w:rsidR="0011674D">
        <w:rPr>
          <w:rFonts w:hint="cs"/>
          <w:rtl/>
        </w:rPr>
        <w:t xml:space="preserve"> </w:t>
      </w:r>
      <w:r w:rsidR="003D74A7">
        <w:rPr>
          <w:rFonts w:hint="cs"/>
          <w:rtl/>
        </w:rPr>
        <w:t>בשים לב ל</w:t>
      </w:r>
      <w:r w:rsidR="0011674D">
        <w:rPr>
          <w:rFonts w:hint="cs"/>
          <w:rtl/>
        </w:rPr>
        <w:t xml:space="preserve">אופן שבו בחר לנהל את משפטו </w:t>
      </w:r>
      <w:r w:rsidR="003D74A7">
        <w:rPr>
          <w:rFonts w:hint="cs"/>
          <w:rtl/>
        </w:rPr>
        <w:t xml:space="preserve">ולשינוי גדר הכפירה רק </w:t>
      </w:r>
      <w:r w:rsidR="005517FF">
        <w:rPr>
          <w:rFonts w:hint="cs"/>
          <w:rtl/>
        </w:rPr>
        <w:t xml:space="preserve">בעיצומה של פרשת ההגנה, </w:t>
      </w:r>
      <w:r w:rsidR="003D74A7">
        <w:rPr>
          <w:rFonts w:hint="cs"/>
          <w:rtl/>
        </w:rPr>
        <w:t xml:space="preserve">במהלך עדותו </w:t>
      </w:r>
      <w:r w:rsidR="005517FF">
        <w:rPr>
          <w:rFonts w:hint="cs"/>
          <w:rtl/>
        </w:rPr>
        <w:t xml:space="preserve">של המערער </w:t>
      </w:r>
      <w:r w:rsidR="003D74A7">
        <w:rPr>
          <w:rFonts w:hint="cs"/>
          <w:rtl/>
        </w:rPr>
        <w:t>בבית הדין. לבסוף התחשב בית הדין קמא גם בהתנהגות רשויות אכיפת החוק, אשר לא תיעדו ב</w:t>
      </w:r>
      <w:r w:rsidR="005517FF">
        <w:rPr>
          <w:rFonts w:hint="cs"/>
          <w:rtl/>
        </w:rPr>
        <w:t xml:space="preserve">אופן </w:t>
      </w:r>
      <w:r w:rsidR="003D74A7">
        <w:rPr>
          <w:rFonts w:hint="cs"/>
          <w:rtl/>
        </w:rPr>
        <w:t>חזותי את חקירת המערער</w:t>
      </w:r>
      <w:r w:rsidR="0011674D">
        <w:rPr>
          <w:rFonts w:hint="cs"/>
          <w:rtl/>
        </w:rPr>
        <w:t>, הגם ש</w:t>
      </w:r>
      <w:r w:rsidR="005517FF">
        <w:rPr>
          <w:rFonts w:hint="cs"/>
          <w:rtl/>
        </w:rPr>
        <w:t xml:space="preserve">עמד בסכנה לעמוד לדין בגין </w:t>
      </w:r>
      <w:r w:rsidR="0011674D">
        <w:rPr>
          <w:rFonts w:hint="cs"/>
          <w:rtl/>
        </w:rPr>
        <w:t>עבירה של גרימת נזק ל</w:t>
      </w:r>
      <w:r w:rsidR="005517FF">
        <w:rPr>
          <w:rFonts w:hint="cs"/>
          <w:rtl/>
        </w:rPr>
        <w:t xml:space="preserve">רכוש צבאי שהוא </w:t>
      </w:r>
      <w:r w:rsidR="0011674D">
        <w:rPr>
          <w:rFonts w:hint="cs"/>
          <w:rtl/>
        </w:rPr>
        <w:t>כלי תחבורה, לפי סעיף 76 (ג) לחוק השיפוט הצבאי, שעונשה המירבי הוא 15 שנים (</w:t>
      </w:r>
      <w:r w:rsidR="005517FF">
        <w:rPr>
          <w:rFonts w:hint="cs"/>
          <w:rtl/>
        </w:rPr>
        <w:t xml:space="preserve">לחובת התיעוד הוויזואלי של החקירה במקרה כזה, </w:t>
      </w:r>
      <w:r w:rsidR="0011674D">
        <w:rPr>
          <w:rFonts w:hint="cs"/>
          <w:rtl/>
        </w:rPr>
        <w:t xml:space="preserve">ראו: סעיף 16 לחוק סדר הדין הפלילי (חקירת חשודים), התשס"ב-2002). </w:t>
      </w:r>
    </w:p>
    <w:p w:rsidR="003D74A7" w:rsidRDefault="003D74A7" w:rsidP="00C3479E">
      <w:pPr>
        <w:numPr>
          <w:ilvl w:val="0"/>
          <w:numId w:val="1"/>
        </w:numPr>
        <w:tabs>
          <w:tab w:val="left" w:pos="229"/>
          <w:tab w:val="left" w:pos="368"/>
        </w:tabs>
        <w:ind w:left="0" w:firstLine="0"/>
      </w:pPr>
      <w:r>
        <w:rPr>
          <w:rFonts w:hint="cs"/>
          <w:rtl/>
        </w:rPr>
        <w:t xml:space="preserve">בית הדין קמא </w:t>
      </w:r>
      <w:r w:rsidR="001404A2">
        <w:rPr>
          <w:rFonts w:hint="cs"/>
          <w:rtl/>
        </w:rPr>
        <w:t>הוסיף וציין,</w:t>
      </w:r>
      <w:r>
        <w:rPr>
          <w:rFonts w:hint="cs"/>
          <w:rtl/>
        </w:rPr>
        <w:t xml:space="preserve"> כי </w:t>
      </w:r>
      <w:r w:rsidR="001404A2">
        <w:rPr>
          <w:rFonts w:hint="cs"/>
          <w:rtl/>
        </w:rPr>
        <w:t>ב</w:t>
      </w:r>
      <w:r>
        <w:rPr>
          <w:rFonts w:hint="cs"/>
          <w:rtl/>
        </w:rPr>
        <w:t xml:space="preserve">תסקיר העונש בעניינו של המערער נכתב כי כליאה ממשית "לא תטיב עם הנאשם", אך </w:t>
      </w:r>
      <w:r w:rsidR="001404A2">
        <w:rPr>
          <w:rFonts w:hint="cs"/>
          <w:rtl/>
        </w:rPr>
        <w:t>התסקיר</w:t>
      </w:r>
      <w:r>
        <w:rPr>
          <w:rFonts w:hint="cs"/>
          <w:rtl/>
        </w:rPr>
        <w:t xml:space="preserve"> </w:t>
      </w:r>
      <w:r w:rsidR="00C3479E">
        <w:rPr>
          <w:rFonts w:hint="cs"/>
          <w:rtl/>
        </w:rPr>
        <w:t>עצמו אינו מתייחס להליך שיקומי שעבר המערער או ל</w:t>
      </w:r>
      <w:r>
        <w:rPr>
          <w:rFonts w:hint="cs"/>
          <w:rtl/>
        </w:rPr>
        <w:t>הליך שיקומי ש</w:t>
      </w:r>
      <w:r w:rsidR="00C3479E">
        <w:rPr>
          <w:rFonts w:hint="cs"/>
          <w:rtl/>
        </w:rPr>
        <w:t xml:space="preserve">הוא </w:t>
      </w:r>
      <w:r>
        <w:rPr>
          <w:rFonts w:hint="cs"/>
          <w:rtl/>
        </w:rPr>
        <w:t>עתיד לעבור</w:t>
      </w:r>
      <w:r w:rsidR="00C3479E">
        <w:rPr>
          <w:rFonts w:hint="cs"/>
          <w:rtl/>
        </w:rPr>
        <w:t xml:space="preserve">. </w:t>
      </w:r>
      <w:r>
        <w:rPr>
          <w:rFonts w:hint="cs"/>
          <w:rtl/>
        </w:rPr>
        <w:t xml:space="preserve">לפיכך נקבע, כי "באין הליך שיקומי מסודר, ממילא גם אין בעונש כליאה או ברישום הפלילי, כדי לפגוע חלילה בסיכויי השיקום של הנאשם. </w:t>
      </w:r>
      <w:r w:rsidR="001404A2">
        <w:rPr>
          <w:rFonts w:hint="cs"/>
          <w:rtl/>
        </w:rPr>
        <w:t>על כן מצאנו</w:t>
      </w:r>
      <w:r>
        <w:rPr>
          <w:rFonts w:hint="cs"/>
          <w:rtl/>
        </w:rPr>
        <w:t xml:space="preserve">, כי אין באמור בתסקיר כדי להצדיק חריגה לקולה ממתחם הענישה שנקבע...". </w:t>
      </w:r>
    </w:p>
    <w:p w:rsidR="003D74A7" w:rsidRDefault="003D74A7" w:rsidP="00C3479E">
      <w:pPr>
        <w:numPr>
          <w:ilvl w:val="0"/>
          <w:numId w:val="1"/>
        </w:numPr>
        <w:tabs>
          <w:tab w:val="left" w:pos="229"/>
          <w:tab w:val="left" w:pos="368"/>
        </w:tabs>
        <w:ind w:left="0" w:firstLine="0"/>
      </w:pPr>
      <w:r>
        <w:rPr>
          <w:rFonts w:hint="cs"/>
          <w:rtl/>
        </w:rPr>
        <w:t xml:space="preserve">בסופו של דבר, לאחר בחינת כלל השיקולים כאמור, גזר בית הדין קמא על המערער </w:t>
      </w:r>
      <w:r w:rsidR="001404A2">
        <w:rPr>
          <w:rFonts w:hint="cs"/>
          <w:rtl/>
        </w:rPr>
        <w:t>חמישה</w:t>
      </w:r>
      <w:r w:rsidRPr="003D74A7">
        <w:rPr>
          <w:rFonts w:hint="cs"/>
          <w:rtl/>
        </w:rPr>
        <w:t xml:space="preserve"> חודשי מאסר בפועל</w:t>
      </w:r>
      <w:r>
        <w:rPr>
          <w:rFonts w:hint="cs"/>
          <w:rtl/>
        </w:rPr>
        <w:t xml:space="preserve">, בניכוי </w:t>
      </w:r>
      <w:r w:rsidR="001404A2">
        <w:rPr>
          <w:rFonts w:hint="cs"/>
          <w:rtl/>
        </w:rPr>
        <w:t>ששת</w:t>
      </w:r>
      <w:r>
        <w:rPr>
          <w:rFonts w:hint="cs"/>
          <w:rtl/>
        </w:rPr>
        <w:t xml:space="preserve"> ימי מעצרו ה</w:t>
      </w:r>
      <w:r w:rsidR="00C3479E">
        <w:rPr>
          <w:rFonts w:hint="cs"/>
          <w:rtl/>
        </w:rPr>
        <w:t xml:space="preserve">ממשי </w:t>
      </w:r>
      <w:r>
        <w:rPr>
          <w:rFonts w:hint="cs"/>
          <w:rtl/>
        </w:rPr>
        <w:t>במהלך החקירה, לצד מאסר מותנה, פסילת ר</w:t>
      </w:r>
      <w:r w:rsidR="00C3479E">
        <w:rPr>
          <w:rFonts w:hint="cs"/>
          <w:rtl/>
        </w:rPr>
        <w:t xml:space="preserve">ישיונות נהיגה </w:t>
      </w:r>
      <w:r>
        <w:rPr>
          <w:rFonts w:hint="cs"/>
          <w:rtl/>
        </w:rPr>
        <w:t xml:space="preserve">למשך </w:t>
      </w:r>
      <w:r w:rsidR="001404A2">
        <w:rPr>
          <w:rFonts w:hint="cs"/>
          <w:rtl/>
        </w:rPr>
        <w:t>שמונה</w:t>
      </w:r>
      <w:r>
        <w:rPr>
          <w:rFonts w:hint="cs"/>
          <w:rtl/>
        </w:rPr>
        <w:t xml:space="preserve"> חודשים</w:t>
      </w:r>
      <w:r w:rsidR="00C3479E">
        <w:rPr>
          <w:rFonts w:hint="cs"/>
          <w:rtl/>
        </w:rPr>
        <w:t xml:space="preserve"> בפועל</w:t>
      </w:r>
      <w:r>
        <w:rPr>
          <w:rFonts w:hint="cs"/>
          <w:rtl/>
        </w:rPr>
        <w:t>, הורדה לדרגת טוראי ו</w:t>
      </w:r>
      <w:r w:rsidR="001404A2">
        <w:rPr>
          <w:rFonts w:hint="cs"/>
          <w:rtl/>
        </w:rPr>
        <w:t xml:space="preserve">תשלום </w:t>
      </w:r>
      <w:r>
        <w:rPr>
          <w:rFonts w:hint="cs"/>
          <w:rtl/>
        </w:rPr>
        <w:t xml:space="preserve">פיצויים </w:t>
      </w:r>
      <w:r w:rsidR="008A41E8">
        <w:rPr>
          <w:rFonts w:hint="cs"/>
          <w:rtl/>
        </w:rPr>
        <w:t xml:space="preserve">לצה"ל </w:t>
      </w:r>
      <w:r>
        <w:rPr>
          <w:rFonts w:hint="cs"/>
          <w:rtl/>
        </w:rPr>
        <w:t xml:space="preserve">בסך 2,000 ש"ח, כאמור. </w:t>
      </w:r>
    </w:p>
    <w:p w:rsidR="001D01A6" w:rsidRPr="008A41E8" w:rsidRDefault="001D01A6" w:rsidP="001D01A6">
      <w:pPr>
        <w:rPr>
          <w:b/>
          <w:bCs/>
          <w:rtl/>
        </w:rPr>
      </w:pPr>
    </w:p>
    <w:p w:rsidR="003D74A7" w:rsidRPr="001D01A6" w:rsidRDefault="001D01A6" w:rsidP="001D01A6">
      <w:pPr>
        <w:rPr>
          <w:b/>
          <w:bCs/>
          <w:rtl/>
        </w:rPr>
      </w:pPr>
      <w:r w:rsidRPr="001D01A6">
        <w:rPr>
          <w:rFonts w:hint="cs"/>
          <w:b/>
          <w:bCs/>
          <w:rtl/>
        </w:rPr>
        <w:t xml:space="preserve">טענות ההגנה בערעור </w:t>
      </w:r>
    </w:p>
    <w:p w:rsidR="001D01A6" w:rsidRPr="003627FB" w:rsidRDefault="00A3306B" w:rsidP="006A4DB4">
      <w:pPr>
        <w:numPr>
          <w:ilvl w:val="0"/>
          <w:numId w:val="1"/>
        </w:numPr>
        <w:tabs>
          <w:tab w:val="left" w:pos="229"/>
          <w:tab w:val="left" w:pos="368"/>
        </w:tabs>
        <w:ind w:left="0" w:firstLine="0"/>
      </w:pPr>
      <w:r>
        <w:rPr>
          <w:rFonts w:hint="cs"/>
          <w:rtl/>
        </w:rPr>
        <w:t>כאמור, ההגנה לא השלימה עם מידתו של עונש המאסר בפועל שהושת על המערער ועתרה ל</w:t>
      </w:r>
      <w:r w:rsidR="006A4DB4">
        <w:rPr>
          <w:rFonts w:hint="cs"/>
          <w:rtl/>
        </w:rPr>
        <w:t>קצר את משך ה</w:t>
      </w:r>
      <w:r>
        <w:rPr>
          <w:rFonts w:hint="cs"/>
          <w:rtl/>
        </w:rPr>
        <w:t xml:space="preserve">מאסר </w:t>
      </w:r>
      <w:r w:rsidR="006A4DB4">
        <w:rPr>
          <w:rFonts w:hint="cs"/>
          <w:rtl/>
        </w:rPr>
        <w:t>בפועל ו</w:t>
      </w:r>
      <w:r w:rsidR="008A0EDA">
        <w:rPr>
          <w:rFonts w:hint="cs"/>
          <w:rtl/>
        </w:rPr>
        <w:t xml:space="preserve">אף </w:t>
      </w:r>
      <w:r w:rsidR="006A4DB4">
        <w:rPr>
          <w:rFonts w:hint="cs"/>
          <w:rtl/>
        </w:rPr>
        <w:t xml:space="preserve">להורות כי ירוצה </w:t>
      </w:r>
      <w:r>
        <w:rPr>
          <w:rFonts w:hint="cs"/>
          <w:rtl/>
        </w:rPr>
        <w:t xml:space="preserve">בדרך של עבודה </w:t>
      </w:r>
      <w:r w:rsidRPr="003627FB">
        <w:rPr>
          <w:rFonts w:hint="cs"/>
          <w:rtl/>
        </w:rPr>
        <w:t xml:space="preserve">צבאית. </w:t>
      </w:r>
    </w:p>
    <w:p w:rsidR="00A3306B" w:rsidRPr="003627FB" w:rsidRDefault="00A3306B" w:rsidP="008A0EDA">
      <w:pPr>
        <w:numPr>
          <w:ilvl w:val="0"/>
          <w:numId w:val="1"/>
        </w:numPr>
        <w:tabs>
          <w:tab w:val="left" w:pos="229"/>
          <w:tab w:val="left" w:pos="368"/>
        </w:tabs>
        <w:ind w:left="0" w:firstLine="0"/>
      </w:pPr>
      <w:r w:rsidRPr="003627FB">
        <w:rPr>
          <w:rFonts w:hint="cs"/>
          <w:rtl/>
        </w:rPr>
        <w:lastRenderedPageBreak/>
        <w:t xml:space="preserve">לעמדת </w:t>
      </w:r>
      <w:r w:rsidR="003627FB">
        <w:rPr>
          <w:rFonts w:hint="cs"/>
          <w:rtl/>
        </w:rPr>
        <w:t>ההגנה</w:t>
      </w:r>
      <w:r w:rsidRPr="003627FB">
        <w:rPr>
          <w:rFonts w:hint="cs"/>
          <w:rtl/>
        </w:rPr>
        <w:t xml:space="preserve">, נסיבות המקרה לצד מדיניות הענישה הנוהגת, מחייבות קביעת מתחם עונש הולם נמוך מזה שנקבע בעניינו של המערער. </w:t>
      </w:r>
      <w:r w:rsidR="006A4DB4">
        <w:rPr>
          <w:rFonts w:hint="cs"/>
          <w:rtl/>
        </w:rPr>
        <w:t xml:space="preserve">כך, נטען, כי </w:t>
      </w:r>
      <w:r w:rsidRPr="003627FB">
        <w:rPr>
          <w:rFonts w:hint="cs"/>
          <w:rtl/>
        </w:rPr>
        <w:t xml:space="preserve">יש </w:t>
      </w:r>
      <w:r w:rsidR="003627FB">
        <w:rPr>
          <w:rFonts w:hint="cs"/>
          <w:rtl/>
        </w:rPr>
        <w:t>ליתן</w:t>
      </w:r>
      <w:r w:rsidRPr="003627FB">
        <w:rPr>
          <w:rFonts w:hint="cs"/>
          <w:rtl/>
        </w:rPr>
        <w:t xml:space="preserve"> את הדעת </w:t>
      </w:r>
      <w:r w:rsidR="00883B90">
        <w:rPr>
          <w:rFonts w:hint="cs"/>
          <w:rtl/>
        </w:rPr>
        <w:t>לעובדה</w:t>
      </w:r>
      <w:r w:rsidRPr="003627FB">
        <w:rPr>
          <w:rFonts w:hint="cs"/>
          <w:rtl/>
        </w:rPr>
        <w:t xml:space="preserve"> שנקבע</w:t>
      </w:r>
      <w:r w:rsidR="00883B90">
        <w:rPr>
          <w:rFonts w:hint="cs"/>
          <w:rtl/>
        </w:rPr>
        <w:t>,</w:t>
      </w:r>
      <w:r w:rsidRPr="003627FB">
        <w:rPr>
          <w:rFonts w:hint="cs"/>
          <w:rtl/>
        </w:rPr>
        <w:t xml:space="preserve"> כי </w:t>
      </w:r>
      <w:r w:rsidR="00883B90">
        <w:rPr>
          <w:rFonts w:hint="cs"/>
          <w:rtl/>
        </w:rPr>
        <w:t xml:space="preserve">המערער </w:t>
      </w:r>
      <w:r w:rsidR="008A0EDA">
        <w:rPr>
          <w:rFonts w:hint="cs"/>
          <w:rtl/>
        </w:rPr>
        <w:t xml:space="preserve">לא התכוון </w:t>
      </w:r>
      <w:r w:rsidRPr="003627FB">
        <w:rPr>
          <w:rFonts w:hint="cs"/>
          <w:rtl/>
        </w:rPr>
        <w:t>לפגוע בביטחון חבריו או בביטחון המדינה</w:t>
      </w:r>
      <w:r w:rsidR="008A0EDA">
        <w:rPr>
          <w:rFonts w:hint="cs"/>
          <w:rtl/>
        </w:rPr>
        <w:t xml:space="preserve"> ומעשיו </w:t>
      </w:r>
      <w:r w:rsidRPr="003627FB">
        <w:rPr>
          <w:rFonts w:hint="cs"/>
          <w:rtl/>
        </w:rPr>
        <w:t>נבעו "מרוח שטות"</w:t>
      </w:r>
      <w:r w:rsidR="008A0EDA">
        <w:rPr>
          <w:rFonts w:hint="cs"/>
          <w:rtl/>
        </w:rPr>
        <w:t xml:space="preserve">. לדידה של ההגנה, </w:t>
      </w:r>
      <w:r w:rsidRPr="003627FB">
        <w:rPr>
          <w:rFonts w:hint="cs"/>
          <w:rtl/>
        </w:rPr>
        <w:t xml:space="preserve">הדברים </w:t>
      </w:r>
      <w:r w:rsidR="00883B90">
        <w:rPr>
          <w:rFonts w:hint="cs"/>
          <w:rtl/>
        </w:rPr>
        <w:t>נכונים ביתר שאת</w:t>
      </w:r>
      <w:r w:rsidRPr="003627FB">
        <w:rPr>
          <w:rFonts w:hint="cs"/>
          <w:rtl/>
        </w:rPr>
        <w:t xml:space="preserve"> שעה שבוחנים את המעשים על רקע שירותו</w:t>
      </w:r>
      <w:r w:rsidR="00883B90">
        <w:rPr>
          <w:rFonts w:hint="cs"/>
          <w:rtl/>
        </w:rPr>
        <w:t xml:space="preserve"> הצבאי המצוין</w:t>
      </w:r>
      <w:r w:rsidR="008A0EDA">
        <w:rPr>
          <w:rFonts w:hint="cs"/>
          <w:rtl/>
        </w:rPr>
        <w:t xml:space="preserve"> של המערער</w:t>
      </w:r>
      <w:r w:rsidRPr="003627FB">
        <w:rPr>
          <w:rFonts w:hint="cs"/>
          <w:rtl/>
        </w:rPr>
        <w:t>. בהקשר זה נטען</w:t>
      </w:r>
      <w:r w:rsidR="008A0EDA">
        <w:rPr>
          <w:rFonts w:hint="cs"/>
          <w:rtl/>
        </w:rPr>
        <w:t xml:space="preserve"> גם</w:t>
      </w:r>
      <w:r w:rsidRPr="003627FB">
        <w:rPr>
          <w:rFonts w:hint="cs"/>
          <w:rtl/>
        </w:rPr>
        <w:t xml:space="preserve">, כי התמדתו של המערער בשירות תקין </w:t>
      </w:r>
      <w:r w:rsidR="006A4DB4">
        <w:rPr>
          <w:rFonts w:hint="cs"/>
          <w:rtl/>
        </w:rPr>
        <w:t>ותורם</w:t>
      </w:r>
      <w:r w:rsidR="008A0EDA">
        <w:rPr>
          <w:rFonts w:hint="cs"/>
          <w:rtl/>
        </w:rPr>
        <w:t>,</w:t>
      </w:r>
      <w:r w:rsidR="006A4DB4">
        <w:rPr>
          <w:rFonts w:hint="cs"/>
          <w:rtl/>
        </w:rPr>
        <w:t xml:space="preserve"> </w:t>
      </w:r>
      <w:r w:rsidRPr="003627FB">
        <w:rPr>
          <w:rFonts w:hint="cs"/>
          <w:rtl/>
        </w:rPr>
        <w:t>והתרשמות</w:t>
      </w:r>
      <w:r w:rsidR="006A4DB4">
        <w:rPr>
          <w:rFonts w:hint="cs"/>
          <w:rtl/>
        </w:rPr>
        <w:t xml:space="preserve">ה של </w:t>
      </w:r>
      <w:r w:rsidRPr="003627FB">
        <w:rPr>
          <w:rFonts w:hint="cs"/>
          <w:rtl/>
        </w:rPr>
        <w:t>עורכת התסקיר ממנו מלמד</w:t>
      </w:r>
      <w:r w:rsidR="00883B90">
        <w:rPr>
          <w:rFonts w:hint="cs"/>
          <w:rtl/>
        </w:rPr>
        <w:t>ו</w:t>
      </w:r>
      <w:r w:rsidRPr="003627FB">
        <w:rPr>
          <w:rFonts w:hint="cs"/>
          <w:rtl/>
        </w:rPr>
        <w:t>ת</w:t>
      </w:r>
      <w:r w:rsidR="00883B90">
        <w:rPr>
          <w:rFonts w:hint="cs"/>
          <w:rtl/>
        </w:rPr>
        <w:t>,</w:t>
      </w:r>
      <w:r w:rsidRPr="003627FB">
        <w:rPr>
          <w:rFonts w:hint="cs"/>
          <w:rtl/>
        </w:rPr>
        <w:t xml:space="preserve"> כי אין זו דרכו של המערער ו</w:t>
      </w:r>
      <w:r w:rsidR="006A4DB4">
        <w:rPr>
          <w:rFonts w:hint="cs"/>
          <w:rtl/>
        </w:rPr>
        <w:t xml:space="preserve">כי העבירות בוצעו </w:t>
      </w:r>
      <w:r w:rsidRPr="003627FB">
        <w:rPr>
          <w:rFonts w:hint="cs"/>
          <w:rtl/>
        </w:rPr>
        <w:t xml:space="preserve">ללא </w:t>
      </w:r>
      <w:r w:rsidR="00883B90">
        <w:rPr>
          <w:rFonts w:hint="cs"/>
          <w:rtl/>
        </w:rPr>
        <w:t xml:space="preserve">כל </w:t>
      </w:r>
      <w:r w:rsidRPr="003627FB">
        <w:rPr>
          <w:rFonts w:hint="cs"/>
          <w:rtl/>
        </w:rPr>
        <w:t>תכנון מוקדם.</w:t>
      </w:r>
    </w:p>
    <w:p w:rsidR="00A3306B" w:rsidRPr="003627FB" w:rsidRDefault="008A0EDA" w:rsidP="008A0EDA">
      <w:pPr>
        <w:numPr>
          <w:ilvl w:val="0"/>
          <w:numId w:val="1"/>
        </w:numPr>
        <w:tabs>
          <w:tab w:val="left" w:pos="229"/>
          <w:tab w:val="left" w:pos="368"/>
        </w:tabs>
        <w:ind w:left="0" w:firstLine="0"/>
      </w:pPr>
      <w:r>
        <w:rPr>
          <w:rFonts w:hint="cs"/>
          <w:rtl/>
        </w:rPr>
        <w:t xml:space="preserve">כמו כן, </w:t>
      </w:r>
      <w:r w:rsidR="006A4DB4">
        <w:rPr>
          <w:rFonts w:hint="cs"/>
          <w:rtl/>
        </w:rPr>
        <w:t>נ</w:t>
      </w:r>
      <w:r w:rsidR="004162A4" w:rsidRPr="003627FB">
        <w:rPr>
          <w:rFonts w:hint="cs"/>
          <w:rtl/>
        </w:rPr>
        <w:t>טע</w:t>
      </w:r>
      <w:r w:rsidR="006A4DB4">
        <w:rPr>
          <w:rFonts w:hint="cs"/>
          <w:rtl/>
        </w:rPr>
        <w:t>ן</w:t>
      </w:r>
      <w:r w:rsidR="004162A4" w:rsidRPr="003627FB">
        <w:rPr>
          <w:rFonts w:hint="cs"/>
          <w:rtl/>
        </w:rPr>
        <w:t xml:space="preserve"> כי </w:t>
      </w:r>
      <w:r w:rsidR="00883B90" w:rsidRPr="003627FB">
        <w:rPr>
          <w:rFonts w:hint="cs"/>
          <w:rtl/>
        </w:rPr>
        <w:t>מדיניות הענישה הנוהגת,</w:t>
      </w:r>
      <w:r w:rsidR="00883B90">
        <w:rPr>
          <w:rFonts w:hint="cs"/>
          <w:rtl/>
        </w:rPr>
        <w:t xml:space="preserve"> </w:t>
      </w:r>
      <w:r w:rsidR="004162A4" w:rsidRPr="003627FB">
        <w:rPr>
          <w:rFonts w:hint="cs"/>
          <w:rtl/>
        </w:rPr>
        <w:t>מכתיבה מתחם עונש הולם נמוך הרבה יותר מזה ש</w:t>
      </w:r>
      <w:r w:rsidR="00883B90">
        <w:rPr>
          <w:rFonts w:hint="cs"/>
          <w:rtl/>
        </w:rPr>
        <w:t>נקבע בעניינו של המערער.</w:t>
      </w:r>
    </w:p>
    <w:p w:rsidR="00A3306B" w:rsidRPr="003627FB" w:rsidRDefault="00883B90" w:rsidP="008A0EDA">
      <w:pPr>
        <w:numPr>
          <w:ilvl w:val="0"/>
          <w:numId w:val="1"/>
        </w:numPr>
        <w:tabs>
          <w:tab w:val="left" w:pos="229"/>
          <w:tab w:val="left" w:pos="368"/>
        </w:tabs>
        <w:ind w:left="0" w:firstLine="0"/>
      </w:pPr>
      <w:r>
        <w:rPr>
          <w:rFonts w:hint="cs"/>
          <w:rtl/>
        </w:rPr>
        <w:t>עוד טענה ההגנה</w:t>
      </w:r>
      <w:r w:rsidR="004162A4" w:rsidRPr="003627FB">
        <w:rPr>
          <w:rFonts w:hint="cs"/>
          <w:rtl/>
        </w:rPr>
        <w:t xml:space="preserve">, </w:t>
      </w:r>
      <w:r>
        <w:rPr>
          <w:rFonts w:hint="cs"/>
          <w:rtl/>
        </w:rPr>
        <w:t xml:space="preserve">כי </w:t>
      </w:r>
      <w:r w:rsidR="004162A4" w:rsidRPr="003627FB">
        <w:rPr>
          <w:rFonts w:hint="cs"/>
          <w:rtl/>
        </w:rPr>
        <w:t>בית הדי</w:t>
      </w:r>
      <w:r>
        <w:rPr>
          <w:rFonts w:hint="cs"/>
          <w:rtl/>
        </w:rPr>
        <w:t xml:space="preserve">ן קמא לא נתן </w:t>
      </w:r>
      <w:r w:rsidR="008A0EDA">
        <w:rPr>
          <w:rFonts w:hint="cs"/>
          <w:rtl/>
        </w:rPr>
        <w:t>ה</w:t>
      </w:r>
      <w:r>
        <w:rPr>
          <w:rFonts w:hint="cs"/>
          <w:rtl/>
        </w:rPr>
        <w:t xml:space="preserve">משקל </w:t>
      </w:r>
      <w:r w:rsidR="008A0EDA">
        <w:rPr>
          <w:rFonts w:hint="cs"/>
          <w:rtl/>
        </w:rPr>
        <w:t>ה</w:t>
      </w:r>
      <w:r>
        <w:rPr>
          <w:rFonts w:hint="cs"/>
          <w:rtl/>
        </w:rPr>
        <w:t>ראוי להמלצ</w:t>
      </w:r>
      <w:r w:rsidR="004162A4" w:rsidRPr="003627FB">
        <w:rPr>
          <w:rFonts w:hint="cs"/>
          <w:rtl/>
        </w:rPr>
        <w:t>ת</w:t>
      </w:r>
      <w:r w:rsidR="006A4DB4">
        <w:rPr>
          <w:rFonts w:hint="cs"/>
          <w:rtl/>
        </w:rPr>
        <w:t>ה</w:t>
      </w:r>
      <w:r w:rsidR="004162A4" w:rsidRPr="003627FB">
        <w:rPr>
          <w:rFonts w:hint="cs"/>
          <w:rtl/>
        </w:rPr>
        <w:t xml:space="preserve"> </w:t>
      </w:r>
      <w:r w:rsidR="006A4DB4">
        <w:rPr>
          <w:rFonts w:hint="cs"/>
          <w:rtl/>
        </w:rPr>
        <w:t xml:space="preserve">של </w:t>
      </w:r>
      <w:r>
        <w:rPr>
          <w:rFonts w:hint="cs"/>
          <w:rtl/>
        </w:rPr>
        <w:t xml:space="preserve">עורכת </w:t>
      </w:r>
      <w:r w:rsidR="006A4DB4">
        <w:rPr>
          <w:rFonts w:hint="cs"/>
          <w:rtl/>
        </w:rPr>
        <w:t>ה</w:t>
      </w:r>
      <w:r w:rsidR="004162A4" w:rsidRPr="003627FB">
        <w:rPr>
          <w:rFonts w:hint="cs"/>
          <w:rtl/>
        </w:rPr>
        <w:t xml:space="preserve">תסקיר. להשקפתה, סיכויי השיקום של המערער ממשיים ובולטים </w:t>
      </w:r>
      <w:r w:rsidR="00B310EC">
        <w:rPr>
          <w:rFonts w:hint="cs"/>
          <w:rtl/>
        </w:rPr>
        <w:t xml:space="preserve">נוכח </w:t>
      </w:r>
      <w:r w:rsidR="004162A4" w:rsidRPr="003627FB">
        <w:rPr>
          <w:rFonts w:hint="cs"/>
          <w:rtl/>
        </w:rPr>
        <w:t xml:space="preserve">עברו </w:t>
      </w:r>
      <w:r w:rsidR="00B310EC">
        <w:rPr>
          <w:rFonts w:hint="cs"/>
          <w:rtl/>
        </w:rPr>
        <w:t xml:space="preserve">הנקי והעובדה כי הוא </w:t>
      </w:r>
      <w:r w:rsidR="004162A4" w:rsidRPr="003627FB">
        <w:rPr>
          <w:rFonts w:hint="cs"/>
          <w:rtl/>
        </w:rPr>
        <w:t xml:space="preserve">מגיע מרקע נורמטיבי. </w:t>
      </w:r>
      <w:r>
        <w:rPr>
          <w:rFonts w:hint="cs"/>
          <w:rtl/>
        </w:rPr>
        <w:t>בהקשר זה נטען</w:t>
      </w:r>
      <w:r w:rsidR="004162A4" w:rsidRPr="003627FB">
        <w:rPr>
          <w:rFonts w:hint="cs"/>
          <w:rtl/>
        </w:rPr>
        <w:t xml:space="preserve">, כי דרישת בית הדין </w:t>
      </w:r>
      <w:r>
        <w:rPr>
          <w:rFonts w:hint="cs"/>
          <w:rtl/>
        </w:rPr>
        <w:t>קמא</w:t>
      </w:r>
      <w:r w:rsidR="004162A4" w:rsidRPr="003627FB">
        <w:rPr>
          <w:rFonts w:hint="cs"/>
          <w:rtl/>
        </w:rPr>
        <w:t xml:space="preserve"> ל</w:t>
      </w:r>
      <w:r w:rsidR="00B310EC">
        <w:rPr>
          <w:rFonts w:hint="cs"/>
          <w:rtl/>
        </w:rPr>
        <w:t xml:space="preserve">הצביע על </w:t>
      </w:r>
      <w:r w:rsidR="004162A4" w:rsidRPr="003627FB">
        <w:rPr>
          <w:rFonts w:hint="cs"/>
          <w:rtl/>
        </w:rPr>
        <w:t>הליך שיקומי מסודר אינ</w:t>
      </w:r>
      <w:r>
        <w:rPr>
          <w:rFonts w:hint="cs"/>
          <w:rtl/>
        </w:rPr>
        <w:t>נ</w:t>
      </w:r>
      <w:r w:rsidR="004162A4" w:rsidRPr="003627FB">
        <w:rPr>
          <w:rFonts w:hint="cs"/>
          <w:rtl/>
        </w:rPr>
        <w:t xml:space="preserve">ה </w:t>
      </w:r>
      <w:r>
        <w:rPr>
          <w:rFonts w:hint="cs"/>
          <w:rtl/>
        </w:rPr>
        <w:t>ברורה</w:t>
      </w:r>
      <w:r w:rsidR="004162A4" w:rsidRPr="003627FB">
        <w:rPr>
          <w:rFonts w:hint="cs"/>
          <w:rtl/>
        </w:rPr>
        <w:t xml:space="preserve">, שעה שנאשמים בבתי הדין הצבאיים אינם זכאים לטיפול של שירות המבחן </w:t>
      </w:r>
      <w:r w:rsidR="00B310EC">
        <w:rPr>
          <w:rFonts w:hint="cs"/>
          <w:rtl/>
        </w:rPr>
        <w:t xml:space="preserve">במהלך המשפט. ההגנה סבורה, כי </w:t>
      </w:r>
      <w:r w:rsidR="004162A4" w:rsidRPr="003627FB">
        <w:rPr>
          <w:rFonts w:hint="cs"/>
          <w:rtl/>
        </w:rPr>
        <w:t>"לעני</w:t>
      </w:r>
      <w:r w:rsidR="008A0EDA">
        <w:rPr>
          <w:rFonts w:hint="cs"/>
          <w:rtl/>
        </w:rPr>
        <w:t>י</w:t>
      </w:r>
      <w:r w:rsidR="004162A4" w:rsidRPr="003627FB">
        <w:rPr>
          <w:rFonts w:hint="cs"/>
          <w:rtl/>
        </w:rPr>
        <w:t>ן זה מספיק לטעמנו כי חלפה למעלה משנה מאז ביצוע המעשים, ומאז המערער סיים שירות צבאי תקין באופן מצוין, על מנת להוכיח את סיכויי שיקומו הבולטים".</w:t>
      </w:r>
      <w:r>
        <w:rPr>
          <w:rFonts w:hint="cs"/>
          <w:rtl/>
        </w:rPr>
        <w:t xml:space="preserve"> </w:t>
      </w:r>
      <w:r w:rsidR="00B310EC">
        <w:rPr>
          <w:rFonts w:hint="cs"/>
          <w:rtl/>
        </w:rPr>
        <w:t xml:space="preserve">נטען </w:t>
      </w:r>
      <w:r w:rsidR="004162A4" w:rsidRPr="003627FB">
        <w:rPr>
          <w:rFonts w:hint="cs"/>
          <w:rtl/>
        </w:rPr>
        <w:t xml:space="preserve">גם, כי הגישה הרווחת במשפט הפלילי כיום, היא כי במקרים שבהם העונש ההולם הוא עונש </w:t>
      </w:r>
      <w:r>
        <w:rPr>
          <w:rFonts w:hint="cs"/>
          <w:rtl/>
        </w:rPr>
        <w:t>מאסר קצר, יש להעדיף</w:t>
      </w:r>
      <w:r w:rsidR="004162A4" w:rsidRPr="003627FB">
        <w:rPr>
          <w:rFonts w:hint="cs"/>
          <w:rtl/>
        </w:rPr>
        <w:t xml:space="preserve"> </w:t>
      </w:r>
      <w:r>
        <w:rPr>
          <w:rFonts w:hint="cs"/>
          <w:rtl/>
        </w:rPr>
        <w:t>את</w:t>
      </w:r>
      <w:r w:rsidR="004162A4" w:rsidRPr="003627FB">
        <w:rPr>
          <w:rFonts w:hint="cs"/>
          <w:rtl/>
        </w:rPr>
        <w:t xml:space="preserve"> ריצויו בדרך של עבודה צבאית</w:t>
      </w:r>
      <w:r w:rsidR="00B310EC">
        <w:rPr>
          <w:rFonts w:hint="cs"/>
          <w:rtl/>
        </w:rPr>
        <w:t xml:space="preserve"> וכי </w:t>
      </w:r>
      <w:r w:rsidR="008A0EDA">
        <w:rPr>
          <w:rFonts w:hint="cs"/>
          <w:rtl/>
        </w:rPr>
        <w:t>עונש זה מגלם אף התחשבות ראויה ב</w:t>
      </w:r>
      <w:r w:rsidR="004162A4" w:rsidRPr="003627FB">
        <w:rPr>
          <w:rFonts w:hint="cs"/>
          <w:rtl/>
        </w:rPr>
        <w:t>בני משפחתו של המערער</w:t>
      </w:r>
      <w:r w:rsidR="008A0EDA">
        <w:rPr>
          <w:rFonts w:hint="cs"/>
          <w:rtl/>
        </w:rPr>
        <w:t>,</w:t>
      </w:r>
      <w:r w:rsidR="004162A4" w:rsidRPr="003627FB">
        <w:rPr>
          <w:rFonts w:hint="cs"/>
          <w:rtl/>
        </w:rPr>
        <w:t xml:space="preserve"> </w:t>
      </w:r>
      <w:r w:rsidR="008A0EDA">
        <w:rPr>
          <w:rFonts w:hint="cs"/>
          <w:rtl/>
        </w:rPr>
        <w:t>ה</w:t>
      </w:r>
      <w:r w:rsidR="004162A4" w:rsidRPr="003627FB">
        <w:rPr>
          <w:rFonts w:hint="cs"/>
          <w:rtl/>
        </w:rPr>
        <w:t xml:space="preserve">מתמודדים עם מצב רפואי </w:t>
      </w:r>
      <w:r w:rsidR="00B310EC">
        <w:rPr>
          <w:rFonts w:hint="cs"/>
          <w:rtl/>
        </w:rPr>
        <w:t xml:space="preserve">מורכב </w:t>
      </w:r>
      <w:r w:rsidR="004162A4" w:rsidRPr="003627FB">
        <w:rPr>
          <w:rFonts w:hint="cs"/>
          <w:rtl/>
        </w:rPr>
        <w:t>וזקוקים ל</w:t>
      </w:r>
      <w:r w:rsidR="00B310EC">
        <w:rPr>
          <w:rFonts w:hint="cs"/>
          <w:rtl/>
        </w:rPr>
        <w:t xml:space="preserve">עזרתו של </w:t>
      </w:r>
      <w:r w:rsidR="004162A4" w:rsidRPr="003627FB">
        <w:rPr>
          <w:rFonts w:hint="cs"/>
          <w:rtl/>
        </w:rPr>
        <w:t xml:space="preserve">המערער. </w:t>
      </w:r>
      <w:r w:rsidR="00B310EC">
        <w:rPr>
          <w:rFonts w:hint="cs"/>
          <w:rtl/>
        </w:rPr>
        <w:t xml:space="preserve">ההגנה ציינה </w:t>
      </w:r>
      <w:r w:rsidR="008A0EDA">
        <w:rPr>
          <w:rFonts w:hint="cs"/>
          <w:rtl/>
        </w:rPr>
        <w:t xml:space="preserve">עוד </w:t>
      </w:r>
      <w:r w:rsidR="00B310EC">
        <w:rPr>
          <w:rFonts w:hint="cs"/>
          <w:rtl/>
        </w:rPr>
        <w:t xml:space="preserve">כי </w:t>
      </w:r>
      <w:r w:rsidR="004162A4" w:rsidRPr="003627FB">
        <w:rPr>
          <w:rFonts w:hint="cs"/>
          <w:rtl/>
        </w:rPr>
        <w:t>הרשעתו של המערער בעבירה מסו</w:t>
      </w:r>
      <w:r>
        <w:rPr>
          <w:rFonts w:hint="cs"/>
          <w:rtl/>
        </w:rPr>
        <w:t xml:space="preserve">ג פשע גוררת </w:t>
      </w:r>
      <w:r w:rsidR="00B310EC">
        <w:rPr>
          <w:rFonts w:hint="cs"/>
          <w:rtl/>
        </w:rPr>
        <w:t>"</w:t>
      </w:r>
      <w:r>
        <w:rPr>
          <w:rFonts w:hint="cs"/>
          <w:rtl/>
        </w:rPr>
        <w:t>רישום פלילי מלא</w:t>
      </w:r>
      <w:r w:rsidR="00B310EC">
        <w:rPr>
          <w:rFonts w:hint="cs"/>
          <w:rtl/>
        </w:rPr>
        <w:t>"</w:t>
      </w:r>
      <w:r>
        <w:rPr>
          <w:rFonts w:hint="cs"/>
          <w:rtl/>
        </w:rPr>
        <w:t xml:space="preserve"> ובכך</w:t>
      </w:r>
      <w:r w:rsidR="00B310EC">
        <w:rPr>
          <w:rFonts w:hint="cs"/>
          <w:rtl/>
        </w:rPr>
        <w:t>, ממילא, קיימת הכבדה על ה</w:t>
      </w:r>
      <w:r w:rsidR="004162A4" w:rsidRPr="003627FB">
        <w:rPr>
          <w:rFonts w:hint="cs"/>
          <w:rtl/>
        </w:rPr>
        <w:t>מערער</w:t>
      </w:r>
      <w:r w:rsidR="008A0EDA">
        <w:rPr>
          <w:rFonts w:hint="cs"/>
          <w:rtl/>
        </w:rPr>
        <w:t>,</w:t>
      </w:r>
      <w:r w:rsidR="004162A4" w:rsidRPr="003627FB">
        <w:rPr>
          <w:rFonts w:hint="cs"/>
          <w:rtl/>
        </w:rPr>
        <w:t xml:space="preserve"> </w:t>
      </w:r>
      <w:r>
        <w:rPr>
          <w:rFonts w:hint="cs"/>
          <w:rtl/>
        </w:rPr>
        <w:t>שיש לאז</w:t>
      </w:r>
      <w:r w:rsidR="00B310EC">
        <w:rPr>
          <w:rFonts w:hint="cs"/>
          <w:rtl/>
        </w:rPr>
        <w:t>נה</w:t>
      </w:r>
      <w:r w:rsidR="004162A4" w:rsidRPr="003627FB">
        <w:rPr>
          <w:rFonts w:hint="cs"/>
          <w:rtl/>
        </w:rPr>
        <w:t xml:space="preserve"> ב</w:t>
      </w:r>
      <w:r w:rsidR="00B310EC">
        <w:rPr>
          <w:rFonts w:hint="cs"/>
          <w:rtl/>
        </w:rPr>
        <w:t xml:space="preserve">דרך של </w:t>
      </w:r>
      <w:r w:rsidR="004162A4" w:rsidRPr="003627FB">
        <w:rPr>
          <w:rFonts w:hint="cs"/>
          <w:rtl/>
        </w:rPr>
        <w:t>מיתון עונש המאסר</w:t>
      </w:r>
      <w:r w:rsidR="00B310EC">
        <w:rPr>
          <w:rFonts w:hint="cs"/>
          <w:rtl/>
        </w:rPr>
        <w:t xml:space="preserve"> בפועל</w:t>
      </w:r>
      <w:r w:rsidR="004162A4" w:rsidRPr="003627FB">
        <w:rPr>
          <w:rFonts w:hint="cs"/>
          <w:rtl/>
        </w:rPr>
        <w:t>.</w:t>
      </w:r>
    </w:p>
    <w:p w:rsidR="004162A4" w:rsidRPr="003627FB" w:rsidRDefault="004162A4" w:rsidP="008A0EDA">
      <w:pPr>
        <w:numPr>
          <w:ilvl w:val="0"/>
          <w:numId w:val="1"/>
        </w:numPr>
        <w:tabs>
          <w:tab w:val="left" w:pos="229"/>
          <w:tab w:val="left" w:pos="368"/>
        </w:tabs>
        <w:ind w:left="0" w:firstLine="0"/>
      </w:pPr>
      <w:r w:rsidRPr="003627FB">
        <w:rPr>
          <w:rFonts w:hint="cs"/>
          <w:rtl/>
        </w:rPr>
        <w:t xml:space="preserve">ביחס </w:t>
      </w:r>
      <w:r w:rsidR="00883B90">
        <w:rPr>
          <w:rFonts w:hint="cs"/>
          <w:rtl/>
        </w:rPr>
        <w:t xml:space="preserve">לעונש </w:t>
      </w:r>
      <w:r w:rsidR="00B310EC">
        <w:rPr>
          <w:rFonts w:hint="cs"/>
          <w:rtl/>
        </w:rPr>
        <w:t xml:space="preserve">של </w:t>
      </w:r>
      <w:r w:rsidR="00883B90">
        <w:rPr>
          <w:rFonts w:hint="cs"/>
          <w:rtl/>
        </w:rPr>
        <w:t xml:space="preserve">פסילת </w:t>
      </w:r>
      <w:r w:rsidRPr="003627FB">
        <w:rPr>
          <w:rFonts w:hint="cs"/>
          <w:rtl/>
        </w:rPr>
        <w:t>רישיונות</w:t>
      </w:r>
      <w:r w:rsidR="00883B90">
        <w:rPr>
          <w:rFonts w:hint="cs"/>
          <w:rtl/>
        </w:rPr>
        <w:t xml:space="preserve"> הנהיגה, נטען</w:t>
      </w:r>
      <w:r w:rsidR="003627FB" w:rsidRPr="003627FB">
        <w:rPr>
          <w:rFonts w:hint="cs"/>
          <w:rtl/>
        </w:rPr>
        <w:t xml:space="preserve"> כי בשגגה לא הובאה לידי</w:t>
      </w:r>
      <w:r w:rsidR="00883B90">
        <w:rPr>
          <w:rFonts w:hint="cs"/>
          <w:rtl/>
        </w:rPr>
        <w:t>ע</w:t>
      </w:r>
      <w:r w:rsidR="003627FB" w:rsidRPr="003627FB">
        <w:rPr>
          <w:rFonts w:hint="cs"/>
          <w:rtl/>
        </w:rPr>
        <w:t>ת ב</w:t>
      </w:r>
      <w:r w:rsidR="00883B90">
        <w:rPr>
          <w:rFonts w:hint="cs"/>
          <w:rtl/>
        </w:rPr>
        <w:t>ית ה</w:t>
      </w:r>
      <w:r w:rsidR="003627FB" w:rsidRPr="003627FB">
        <w:rPr>
          <w:rFonts w:hint="cs"/>
          <w:rtl/>
        </w:rPr>
        <w:t>ד</w:t>
      </w:r>
      <w:r w:rsidR="00883B90">
        <w:rPr>
          <w:rFonts w:hint="cs"/>
          <w:rtl/>
        </w:rPr>
        <w:t>י</w:t>
      </w:r>
      <w:r w:rsidR="003627FB" w:rsidRPr="003627FB">
        <w:rPr>
          <w:rFonts w:hint="cs"/>
          <w:rtl/>
        </w:rPr>
        <w:t>ן קמא דבר פ</w:t>
      </w:r>
      <w:r w:rsidR="00883B90">
        <w:rPr>
          <w:rFonts w:hint="cs"/>
          <w:rtl/>
        </w:rPr>
        <w:t>סילתו של המערער עד לתום ההליכים</w:t>
      </w:r>
      <w:r w:rsidR="003627FB" w:rsidRPr="003627FB">
        <w:rPr>
          <w:rFonts w:hint="cs"/>
          <w:rtl/>
        </w:rPr>
        <w:t>. לפיכך</w:t>
      </w:r>
      <w:r w:rsidR="00B310EC">
        <w:rPr>
          <w:rFonts w:hint="cs"/>
          <w:rtl/>
        </w:rPr>
        <w:t>,</w:t>
      </w:r>
      <w:r w:rsidR="003627FB" w:rsidRPr="003627FB">
        <w:rPr>
          <w:rFonts w:hint="cs"/>
          <w:rtl/>
        </w:rPr>
        <w:t xml:space="preserve"> ביקשה ההגנה להורות על ניכוי תקופת הפסילה של המערער מיום שחרורו ממעצר </w:t>
      </w:r>
      <w:r w:rsidR="00B310EC">
        <w:rPr>
          <w:rFonts w:hint="cs"/>
          <w:rtl/>
        </w:rPr>
        <w:t xml:space="preserve">ממשי </w:t>
      </w:r>
      <w:r w:rsidR="003627FB" w:rsidRPr="003627FB">
        <w:rPr>
          <w:rFonts w:hint="cs"/>
          <w:rtl/>
        </w:rPr>
        <w:t>ו</w:t>
      </w:r>
      <w:r w:rsidR="00B310EC">
        <w:rPr>
          <w:rFonts w:hint="cs"/>
          <w:rtl/>
        </w:rPr>
        <w:t xml:space="preserve">עד לתום ההליכים בעניינו </w:t>
      </w:r>
      <w:r w:rsidR="003627FB" w:rsidRPr="003627FB">
        <w:rPr>
          <w:rFonts w:hint="cs"/>
          <w:rtl/>
        </w:rPr>
        <w:t>מ</w:t>
      </w:r>
      <w:r w:rsidR="00B310EC">
        <w:rPr>
          <w:rFonts w:hint="cs"/>
          <w:rtl/>
        </w:rPr>
        <w:t xml:space="preserve">תקופת </w:t>
      </w:r>
      <w:r w:rsidR="008A0EDA">
        <w:rPr>
          <w:rFonts w:hint="cs"/>
          <w:rtl/>
        </w:rPr>
        <w:t xml:space="preserve">עונש </w:t>
      </w:r>
      <w:r w:rsidR="00B310EC">
        <w:rPr>
          <w:rFonts w:hint="cs"/>
          <w:rtl/>
        </w:rPr>
        <w:t>ה</w:t>
      </w:r>
      <w:r w:rsidR="00883B90">
        <w:rPr>
          <w:rFonts w:hint="cs"/>
          <w:rtl/>
        </w:rPr>
        <w:t>פסיל</w:t>
      </w:r>
      <w:r w:rsidR="008A0EDA">
        <w:rPr>
          <w:rFonts w:hint="cs"/>
          <w:rtl/>
        </w:rPr>
        <w:t>ה,</w:t>
      </w:r>
      <w:r w:rsidR="00B310EC">
        <w:rPr>
          <w:rFonts w:hint="cs"/>
          <w:rtl/>
        </w:rPr>
        <w:t xml:space="preserve"> שהושת עליו במסגרת גזר הדין. </w:t>
      </w:r>
    </w:p>
    <w:p w:rsidR="00A3306B" w:rsidRPr="008A0EDA" w:rsidRDefault="00A3306B" w:rsidP="00883B90">
      <w:pPr>
        <w:tabs>
          <w:tab w:val="left" w:pos="229"/>
          <w:tab w:val="left" w:pos="368"/>
        </w:tabs>
        <w:rPr>
          <w:b/>
          <w:bCs/>
        </w:rPr>
      </w:pPr>
    </w:p>
    <w:p w:rsidR="009E7426" w:rsidRDefault="009E7426" w:rsidP="00883B90">
      <w:pPr>
        <w:tabs>
          <w:tab w:val="left" w:pos="229"/>
          <w:tab w:val="left" w:pos="368"/>
        </w:tabs>
        <w:rPr>
          <w:b/>
          <w:bCs/>
          <w:rtl/>
        </w:rPr>
      </w:pPr>
      <w:r w:rsidRPr="009E7426">
        <w:rPr>
          <w:rFonts w:hint="cs"/>
          <w:b/>
          <w:bCs/>
          <w:rtl/>
        </w:rPr>
        <w:t>תשובת התביעה</w:t>
      </w:r>
    </w:p>
    <w:p w:rsidR="00F44A12" w:rsidRDefault="00431812" w:rsidP="00431812">
      <w:pPr>
        <w:numPr>
          <w:ilvl w:val="0"/>
          <w:numId w:val="1"/>
        </w:numPr>
        <w:tabs>
          <w:tab w:val="left" w:pos="229"/>
          <w:tab w:val="left" w:pos="368"/>
        </w:tabs>
        <w:ind w:left="0" w:firstLine="0"/>
      </w:pPr>
      <w:r>
        <w:rPr>
          <w:rFonts w:hint="cs"/>
          <w:rtl/>
        </w:rPr>
        <w:t xml:space="preserve">מנגד, עתרה </w:t>
      </w:r>
      <w:r w:rsidR="00F44A12">
        <w:rPr>
          <w:rFonts w:hint="cs"/>
          <w:rtl/>
        </w:rPr>
        <w:t>התביעה להימנע מלהתערב בעונש</w:t>
      </w:r>
      <w:r>
        <w:rPr>
          <w:rFonts w:hint="cs"/>
          <w:rtl/>
        </w:rPr>
        <w:t xml:space="preserve"> </w:t>
      </w:r>
      <w:r w:rsidR="00012C52">
        <w:rPr>
          <w:rFonts w:hint="cs"/>
          <w:rtl/>
        </w:rPr>
        <w:t xml:space="preserve">המאסר בפועל </w:t>
      </w:r>
      <w:r>
        <w:rPr>
          <w:rFonts w:hint="cs"/>
          <w:rtl/>
        </w:rPr>
        <w:t xml:space="preserve">שהושת על </w:t>
      </w:r>
      <w:r w:rsidR="00F44A12">
        <w:rPr>
          <w:rFonts w:hint="cs"/>
          <w:rtl/>
        </w:rPr>
        <w:t xml:space="preserve">המערער. נטען, כי גזר הדין מאזן נכונה בין </w:t>
      </w:r>
      <w:r w:rsidR="00012C52">
        <w:rPr>
          <w:rFonts w:hint="cs"/>
          <w:rtl/>
        </w:rPr>
        <w:t xml:space="preserve">כלל </w:t>
      </w:r>
      <w:r w:rsidR="00F44A12">
        <w:rPr>
          <w:rFonts w:hint="cs"/>
          <w:rtl/>
        </w:rPr>
        <w:t xml:space="preserve">שיקולי הענישה הרלוונטיים בנסיבות העניין. </w:t>
      </w:r>
    </w:p>
    <w:p w:rsidR="00F44A12" w:rsidRDefault="00F44A12" w:rsidP="00012C52">
      <w:pPr>
        <w:numPr>
          <w:ilvl w:val="0"/>
          <w:numId w:val="1"/>
        </w:numPr>
        <w:tabs>
          <w:tab w:val="left" w:pos="229"/>
          <w:tab w:val="left" w:pos="368"/>
        </w:tabs>
        <w:ind w:left="0" w:firstLine="0"/>
      </w:pPr>
      <w:r>
        <w:rPr>
          <w:rFonts w:hint="cs"/>
          <w:rtl/>
        </w:rPr>
        <w:lastRenderedPageBreak/>
        <w:t>הודגש, כי בית הדין קמא קבע, באופן מפורש</w:t>
      </w:r>
      <w:r w:rsidR="00012C52">
        <w:rPr>
          <w:rFonts w:hint="cs"/>
          <w:rtl/>
        </w:rPr>
        <w:t xml:space="preserve"> ובהתאם לממצאי מהימנות מפורטים</w:t>
      </w:r>
      <w:r>
        <w:rPr>
          <w:rFonts w:hint="cs"/>
          <w:rtl/>
        </w:rPr>
        <w:t xml:space="preserve">, </w:t>
      </w:r>
      <w:r w:rsidR="00012C52">
        <w:rPr>
          <w:rFonts w:hint="cs"/>
          <w:rtl/>
        </w:rPr>
        <w:t xml:space="preserve">כי </w:t>
      </w:r>
      <w:r>
        <w:rPr>
          <w:rFonts w:hint="cs"/>
          <w:rtl/>
        </w:rPr>
        <w:t>המעשים נעשו לאחר תכנון, וכי המערער פעל בכוונה לגרום נזק, והיה מודע באופן מלא ל</w:t>
      </w:r>
      <w:r w:rsidR="00431812">
        <w:rPr>
          <w:rFonts w:hint="cs"/>
          <w:rtl/>
        </w:rPr>
        <w:t>השלכות מעשיו</w:t>
      </w:r>
      <w:r w:rsidR="00012C52">
        <w:rPr>
          <w:rFonts w:hint="cs"/>
          <w:rtl/>
        </w:rPr>
        <w:t>,</w:t>
      </w:r>
      <w:r w:rsidR="00431812">
        <w:rPr>
          <w:rFonts w:hint="cs"/>
          <w:rtl/>
        </w:rPr>
        <w:t xml:space="preserve"> ולכך ש</w:t>
      </w:r>
      <w:r>
        <w:rPr>
          <w:rFonts w:hint="cs"/>
          <w:rtl/>
        </w:rPr>
        <w:t>יובילו</w:t>
      </w:r>
      <w:r w:rsidR="00E93A97">
        <w:rPr>
          <w:rFonts w:hint="cs"/>
          <w:rtl/>
        </w:rPr>
        <w:t xml:space="preserve"> להשבתת הרכב</w:t>
      </w:r>
      <w:r w:rsidR="00431812">
        <w:rPr>
          <w:rFonts w:hint="cs"/>
          <w:rtl/>
        </w:rPr>
        <w:t xml:space="preserve"> המבצעי ולהפסקת הסיורים</w:t>
      </w:r>
      <w:r>
        <w:rPr>
          <w:rFonts w:hint="cs"/>
          <w:rtl/>
        </w:rPr>
        <w:t xml:space="preserve">. התביעה הדגישה את הערכים שנפגעו </w:t>
      </w:r>
      <w:r w:rsidR="00431812">
        <w:rPr>
          <w:rFonts w:hint="cs"/>
          <w:rtl/>
        </w:rPr>
        <w:t xml:space="preserve">כתוצאה </w:t>
      </w:r>
      <w:r>
        <w:rPr>
          <w:rFonts w:hint="cs"/>
          <w:rtl/>
        </w:rPr>
        <w:t xml:space="preserve">ממעשיו של המערער ואת </w:t>
      </w:r>
      <w:r w:rsidR="00012C52">
        <w:rPr>
          <w:rFonts w:hint="cs"/>
          <w:rtl/>
        </w:rPr>
        <w:t xml:space="preserve">חומרתן של </w:t>
      </w:r>
      <w:r>
        <w:rPr>
          <w:rFonts w:hint="cs"/>
          <w:rtl/>
        </w:rPr>
        <w:t>נסיבות ביצוע העבירה, תוך שציינה, כי להשקפתה, כשמדובר בעבירות צבאיות ייחודיות</w:t>
      </w:r>
      <w:r w:rsidR="00012C52">
        <w:rPr>
          <w:rFonts w:hint="cs"/>
          <w:rtl/>
        </w:rPr>
        <w:t>,</w:t>
      </w:r>
      <w:r>
        <w:rPr>
          <w:rFonts w:hint="cs"/>
          <w:rtl/>
        </w:rPr>
        <w:t xml:space="preserve"> מתחייבת העברת מסר ברור בדמות ענישה מרתיעה.</w:t>
      </w:r>
    </w:p>
    <w:p w:rsidR="00F44A12" w:rsidRDefault="00F44A12" w:rsidP="00012C52">
      <w:pPr>
        <w:numPr>
          <w:ilvl w:val="0"/>
          <w:numId w:val="1"/>
        </w:numPr>
        <w:tabs>
          <w:tab w:val="left" w:pos="229"/>
          <w:tab w:val="left" w:pos="368"/>
        </w:tabs>
        <w:ind w:left="0" w:firstLine="0"/>
      </w:pPr>
      <w:r>
        <w:rPr>
          <w:rFonts w:hint="cs"/>
          <w:rtl/>
        </w:rPr>
        <w:t xml:space="preserve"> </w:t>
      </w:r>
      <w:r w:rsidR="00012C52">
        <w:rPr>
          <w:rFonts w:hint="cs"/>
          <w:rtl/>
        </w:rPr>
        <w:t>התביעה עמדה על כך ש</w:t>
      </w:r>
      <w:r>
        <w:rPr>
          <w:rFonts w:hint="cs"/>
          <w:rtl/>
        </w:rPr>
        <w:t>המערע</w:t>
      </w:r>
      <w:r w:rsidR="00E93A97">
        <w:rPr>
          <w:rFonts w:hint="cs"/>
          <w:rtl/>
        </w:rPr>
        <w:t xml:space="preserve">ר בחר לנהל הליך הוכחות </w:t>
      </w:r>
      <w:r w:rsidR="00431812">
        <w:rPr>
          <w:rFonts w:hint="cs"/>
          <w:rtl/>
        </w:rPr>
        <w:t>ממושך</w:t>
      </w:r>
      <w:r w:rsidR="00012C52">
        <w:rPr>
          <w:rFonts w:hint="cs"/>
          <w:rtl/>
        </w:rPr>
        <w:t>, שבמהלכו נדרשו רבים מיחידתו להגיע לעדות</w:t>
      </w:r>
      <w:r w:rsidR="00431812">
        <w:rPr>
          <w:rFonts w:hint="cs"/>
          <w:rtl/>
        </w:rPr>
        <w:t xml:space="preserve"> וכן כי </w:t>
      </w:r>
      <w:r>
        <w:rPr>
          <w:rFonts w:hint="cs"/>
          <w:rtl/>
        </w:rPr>
        <w:t xml:space="preserve">בית הדין קמא </w:t>
      </w:r>
      <w:r w:rsidR="00E93A97">
        <w:rPr>
          <w:rFonts w:hint="cs"/>
          <w:rtl/>
        </w:rPr>
        <w:t xml:space="preserve">קבע כי עדותו של המערער </w:t>
      </w:r>
      <w:r w:rsidR="00012C52">
        <w:rPr>
          <w:rFonts w:hint="cs"/>
          <w:rtl/>
        </w:rPr>
        <w:t xml:space="preserve">הייתה </w:t>
      </w:r>
      <w:r w:rsidR="00E93A97">
        <w:rPr>
          <w:rFonts w:hint="cs"/>
          <w:rtl/>
        </w:rPr>
        <w:t>בלתי מהימנה, לאחר ש</w:t>
      </w:r>
      <w:r>
        <w:rPr>
          <w:rFonts w:hint="cs"/>
          <w:rtl/>
        </w:rPr>
        <w:t xml:space="preserve">התרשם </w:t>
      </w:r>
      <w:r w:rsidR="00012C52">
        <w:rPr>
          <w:rFonts w:hint="cs"/>
          <w:rtl/>
        </w:rPr>
        <w:t xml:space="preserve">הימנה </w:t>
      </w:r>
      <w:r>
        <w:rPr>
          <w:rFonts w:hint="cs"/>
          <w:rtl/>
        </w:rPr>
        <w:t xml:space="preserve">באופן </w:t>
      </w:r>
      <w:r w:rsidR="00E93A97">
        <w:rPr>
          <w:rFonts w:hint="cs"/>
          <w:rtl/>
        </w:rPr>
        <w:t>בלתי אמצעי</w:t>
      </w:r>
      <w:r w:rsidR="00012C52">
        <w:rPr>
          <w:rFonts w:hint="cs"/>
          <w:rtl/>
        </w:rPr>
        <w:t xml:space="preserve">. נטען, כי לנתונים אלה </w:t>
      </w:r>
      <w:r>
        <w:rPr>
          <w:rFonts w:hint="cs"/>
          <w:rtl/>
        </w:rPr>
        <w:t>משמעות רבה</w:t>
      </w:r>
      <w:r w:rsidR="00012C52">
        <w:rPr>
          <w:rFonts w:hint="cs"/>
          <w:rtl/>
        </w:rPr>
        <w:t xml:space="preserve"> בכל הנוגע לפוטנציאל השיקום בעניינו של המערער</w:t>
      </w:r>
      <w:r w:rsidR="00E93A97">
        <w:rPr>
          <w:rFonts w:hint="cs"/>
          <w:rtl/>
        </w:rPr>
        <w:t xml:space="preserve">. עוד צוין, כי </w:t>
      </w:r>
      <w:r>
        <w:rPr>
          <w:rFonts w:hint="cs"/>
          <w:rtl/>
        </w:rPr>
        <w:t xml:space="preserve">תסקיר העונש </w:t>
      </w:r>
      <w:r w:rsidR="00431812">
        <w:rPr>
          <w:rFonts w:hint="cs"/>
          <w:rtl/>
        </w:rPr>
        <w:t xml:space="preserve">משקף </w:t>
      </w:r>
      <w:r>
        <w:rPr>
          <w:rFonts w:hint="cs"/>
          <w:rtl/>
        </w:rPr>
        <w:t>העדר הפנמה אמיתית של חומרת המעשים</w:t>
      </w:r>
      <w:r w:rsidR="00E93A97">
        <w:rPr>
          <w:rFonts w:hint="cs"/>
          <w:rtl/>
        </w:rPr>
        <w:t xml:space="preserve"> </w:t>
      </w:r>
      <w:r w:rsidR="00431812">
        <w:rPr>
          <w:rFonts w:hint="cs"/>
          <w:rtl/>
        </w:rPr>
        <w:t xml:space="preserve">שנעשו </w:t>
      </w:r>
      <w:r w:rsidR="00E93A97">
        <w:rPr>
          <w:rFonts w:hint="cs"/>
          <w:rtl/>
        </w:rPr>
        <w:t>על-ידי המערער</w:t>
      </w:r>
      <w:r w:rsidR="00431812">
        <w:rPr>
          <w:rFonts w:hint="cs"/>
          <w:rtl/>
        </w:rPr>
        <w:t xml:space="preserve"> ואי הבנת הפסול שבהם</w:t>
      </w:r>
      <w:r>
        <w:rPr>
          <w:rFonts w:hint="cs"/>
          <w:rtl/>
        </w:rPr>
        <w:t xml:space="preserve">. </w:t>
      </w:r>
    </w:p>
    <w:p w:rsidR="00F44A12" w:rsidRDefault="00F44A12" w:rsidP="00F44A12">
      <w:pPr>
        <w:tabs>
          <w:tab w:val="left" w:pos="229"/>
          <w:tab w:val="left" w:pos="368"/>
        </w:tabs>
        <w:rPr>
          <w:rtl/>
        </w:rPr>
      </w:pPr>
    </w:p>
    <w:p w:rsidR="000A0CD0" w:rsidRDefault="000A0CD0" w:rsidP="00F44A12">
      <w:pPr>
        <w:tabs>
          <w:tab w:val="left" w:pos="229"/>
          <w:tab w:val="left" w:pos="368"/>
        </w:tabs>
        <w:rPr>
          <w:rtl/>
        </w:rPr>
      </w:pPr>
    </w:p>
    <w:p w:rsidR="009E7426" w:rsidRPr="000A0CD0" w:rsidRDefault="009E7426" w:rsidP="009E7426">
      <w:pPr>
        <w:pStyle w:val="Heading1"/>
        <w:spacing w:before="0"/>
        <w:ind w:left="-58"/>
        <w:rPr>
          <w:u w:val="none"/>
          <w:rtl/>
        </w:rPr>
      </w:pPr>
      <w:r w:rsidRPr="000A0CD0">
        <w:rPr>
          <w:rFonts w:hint="cs"/>
          <w:u w:val="none"/>
          <w:rtl/>
        </w:rPr>
        <w:t>בחינת הדברים</w:t>
      </w:r>
    </w:p>
    <w:p w:rsidR="00B96D1E" w:rsidRDefault="00012C52" w:rsidP="00D53E6C">
      <w:pPr>
        <w:numPr>
          <w:ilvl w:val="0"/>
          <w:numId w:val="1"/>
        </w:numPr>
        <w:tabs>
          <w:tab w:val="left" w:pos="229"/>
          <w:tab w:val="left" w:pos="368"/>
        </w:tabs>
        <w:ind w:left="0" w:firstLine="0"/>
      </w:pPr>
      <w:r>
        <w:rPr>
          <w:rFonts w:hint="cs"/>
          <w:rtl/>
        </w:rPr>
        <w:t>ייאמר</w:t>
      </w:r>
      <w:r w:rsidR="00995947">
        <w:rPr>
          <w:rFonts w:hint="cs"/>
          <w:rtl/>
        </w:rPr>
        <w:t xml:space="preserve"> מייד</w:t>
      </w:r>
      <w:r>
        <w:rPr>
          <w:rFonts w:hint="cs"/>
          <w:rtl/>
        </w:rPr>
        <w:t xml:space="preserve">, כי לא יכולה להיות מחלוקת בדבר חומרת העבירות שבהן הורשע המערער ושיקולי ההלימה המתקיימים בנסיבות העניין. </w:t>
      </w:r>
      <w:r w:rsidR="00374386">
        <w:rPr>
          <w:rFonts w:hint="cs"/>
          <w:rtl/>
        </w:rPr>
        <w:t xml:space="preserve">מעשיו של המערער, נהג מבצעי, אשר פעל להשבתת כלי רכב מבצעי-ייעודי, באופן שהביא להפסקה או לעיכוב בסיורי בט"ש בגזרה רגישה ומסוכנת, פגעו באינטרס ציבורי ראשון במעלה </w:t>
      </w:r>
      <w:r w:rsidR="00374386">
        <w:rPr>
          <w:rtl/>
        </w:rPr>
        <w:t>–</w:t>
      </w:r>
      <w:r w:rsidR="00374386">
        <w:rPr>
          <w:rFonts w:hint="cs"/>
          <w:rtl/>
        </w:rPr>
        <w:t xml:space="preserve"> ההגנה על בטחון המדינה בכלל ובטחון </w:t>
      </w:r>
      <w:r w:rsidR="00995947">
        <w:rPr>
          <w:rFonts w:hint="cs"/>
          <w:rtl/>
        </w:rPr>
        <w:t>ה</w:t>
      </w:r>
      <w:r w:rsidR="00374386">
        <w:rPr>
          <w:rFonts w:hint="cs"/>
          <w:rtl/>
        </w:rPr>
        <w:t>תושבי</w:t>
      </w:r>
      <w:r w:rsidR="00995947">
        <w:rPr>
          <w:rFonts w:hint="cs"/>
          <w:rtl/>
        </w:rPr>
        <w:t>ם</w:t>
      </w:r>
      <w:r w:rsidR="00374386">
        <w:rPr>
          <w:rFonts w:hint="cs"/>
          <w:rtl/>
        </w:rPr>
        <w:t xml:space="preserve"> </w:t>
      </w:r>
      <w:r w:rsidR="00995947">
        <w:rPr>
          <w:rFonts w:hint="cs"/>
          <w:rtl/>
        </w:rPr>
        <w:t>וחיילי צה"ל</w:t>
      </w:r>
      <w:r w:rsidR="00EB070D">
        <w:rPr>
          <w:rFonts w:hint="cs"/>
          <w:rtl/>
        </w:rPr>
        <w:t xml:space="preserve"> באזור</w:t>
      </w:r>
      <w:r w:rsidR="00374386">
        <w:rPr>
          <w:rFonts w:hint="cs"/>
          <w:rtl/>
        </w:rPr>
        <w:t xml:space="preserve"> בפרט. זאת ועוד, משנעשו המעשים </w:t>
      </w:r>
      <w:r w:rsidR="00B96D1E">
        <w:rPr>
          <w:rFonts w:hint="cs"/>
          <w:rtl/>
        </w:rPr>
        <w:t xml:space="preserve">במספר הזדמנויות, לאורך זמן, </w:t>
      </w:r>
      <w:r w:rsidR="00374386">
        <w:rPr>
          <w:rFonts w:hint="cs"/>
          <w:rtl/>
        </w:rPr>
        <w:t>תוך החטאת חיילים אחרים על דרך של חשיפתם לנעשה, ב</w:t>
      </w:r>
      <w:r w:rsidR="00995947">
        <w:rPr>
          <w:rFonts w:hint="cs"/>
          <w:rtl/>
        </w:rPr>
        <w:t>דרך של הונאה</w:t>
      </w:r>
      <w:r w:rsidR="00374386">
        <w:rPr>
          <w:rFonts w:hint="cs"/>
          <w:rtl/>
        </w:rPr>
        <w:t xml:space="preserve"> ו</w:t>
      </w:r>
      <w:r w:rsidR="00EB070D">
        <w:rPr>
          <w:rFonts w:hint="cs"/>
          <w:rtl/>
        </w:rPr>
        <w:t>כן</w:t>
      </w:r>
      <w:r w:rsidR="00995947">
        <w:rPr>
          <w:rFonts w:hint="cs"/>
          <w:rtl/>
        </w:rPr>
        <w:t>,</w:t>
      </w:r>
      <w:r w:rsidR="00EB070D">
        <w:rPr>
          <w:rFonts w:hint="cs"/>
          <w:rtl/>
        </w:rPr>
        <w:t xml:space="preserve"> </w:t>
      </w:r>
      <w:r w:rsidR="00374386" w:rsidRPr="00EB070D">
        <w:rPr>
          <w:rFonts w:hint="cs"/>
          <w:b/>
          <w:bCs/>
          <w:rtl/>
        </w:rPr>
        <w:t>בידיעה ברורה ש</w:t>
      </w:r>
      <w:r w:rsidR="00EB070D">
        <w:rPr>
          <w:rFonts w:hint="cs"/>
          <w:b/>
          <w:bCs/>
          <w:rtl/>
        </w:rPr>
        <w:t xml:space="preserve">יובילו </w:t>
      </w:r>
      <w:r w:rsidR="00374386" w:rsidRPr="00EB070D">
        <w:rPr>
          <w:rFonts w:hint="cs"/>
          <w:b/>
          <w:bCs/>
          <w:rtl/>
        </w:rPr>
        <w:t xml:space="preserve">להפסקת סיורי בט"ש ולשיבוש המשימות הצבאיות </w:t>
      </w:r>
      <w:r w:rsidR="00EB070D" w:rsidRPr="00EB070D">
        <w:rPr>
          <w:rFonts w:hint="cs"/>
          <w:b/>
          <w:bCs/>
          <w:rtl/>
        </w:rPr>
        <w:t>ואף מתוך חפץ בכך</w:t>
      </w:r>
      <w:r w:rsidR="00EB070D">
        <w:rPr>
          <w:rFonts w:hint="cs"/>
          <w:rtl/>
        </w:rPr>
        <w:t xml:space="preserve"> </w:t>
      </w:r>
      <w:r w:rsidR="00374386">
        <w:rPr>
          <w:rtl/>
        </w:rPr>
        <w:t>–</w:t>
      </w:r>
      <w:r w:rsidR="00374386">
        <w:rPr>
          <w:rFonts w:hint="cs"/>
          <w:rtl/>
        </w:rPr>
        <w:t xml:space="preserve"> הרי שכרוכה בהם פגיעה קשה ב</w:t>
      </w:r>
      <w:r w:rsidR="00B96D1E">
        <w:rPr>
          <w:rFonts w:hint="cs"/>
          <w:rtl/>
        </w:rPr>
        <w:t>ערכי הצבא, ב</w:t>
      </w:r>
      <w:r w:rsidR="00374386">
        <w:rPr>
          <w:rFonts w:hint="cs"/>
          <w:rtl/>
        </w:rPr>
        <w:t>משמעת הצבא</w:t>
      </w:r>
      <w:r w:rsidR="00B96D1E">
        <w:rPr>
          <w:rFonts w:hint="cs"/>
          <w:rtl/>
        </w:rPr>
        <w:t>ית</w:t>
      </w:r>
      <w:r w:rsidR="00374386">
        <w:rPr>
          <w:rFonts w:hint="cs"/>
          <w:rtl/>
        </w:rPr>
        <w:t xml:space="preserve"> ובכוננות היחידה. וכבר נפסק, </w:t>
      </w:r>
      <w:r w:rsidR="00B96D1E">
        <w:rPr>
          <w:rFonts w:hint="cs"/>
          <w:rtl/>
        </w:rPr>
        <w:t xml:space="preserve">בהקשר דומה, </w:t>
      </w:r>
      <w:r w:rsidR="00374386">
        <w:rPr>
          <w:rFonts w:hint="cs"/>
          <w:rtl/>
        </w:rPr>
        <w:t>כי</w:t>
      </w:r>
      <w:r w:rsidR="00B96D1E">
        <w:rPr>
          <w:rFonts w:hint="cs"/>
          <w:rtl/>
        </w:rPr>
        <w:t xml:space="preserve"> אין להקל </w:t>
      </w:r>
      <w:r w:rsidR="00063772">
        <w:rPr>
          <w:rFonts w:hint="cs"/>
          <w:rtl/>
        </w:rPr>
        <w:t xml:space="preserve">בעונשם של </w:t>
      </w:r>
      <w:r w:rsidR="00B96D1E">
        <w:rPr>
          <w:rFonts w:hint="cs"/>
          <w:rtl/>
        </w:rPr>
        <w:t xml:space="preserve">חיילים </w:t>
      </w:r>
      <w:r w:rsidR="00063772">
        <w:rPr>
          <w:rFonts w:hint="cs"/>
          <w:rtl/>
        </w:rPr>
        <w:t xml:space="preserve">שנכשלו </w:t>
      </w:r>
      <w:r w:rsidR="00B96D1E">
        <w:rPr>
          <w:rFonts w:hint="cs"/>
          <w:rtl/>
        </w:rPr>
        <w:t xml:space="preserve">בכגון דא, אף אם פעלו מתוך ילדותיות </w:t>
      </w:r>
      <w:r w:rsidR="00D53E6C">
        <w:rPr>
          <w:rFonts w:hint="cs"/>
          <w:rtl/>
        </w:rPr>
        <w:t>–</w:t>
      </w:r>
      <w:r w:rsidR="00B96D1E">
        <w:rPr>
          <w:rFonts w:hint="cs"/>
          <w:rtl/>
        </w:rPr>
        <w:t xml:space="preserve"> "הגע בנפשך; מה תואר ומה דמות לו לחייל המשתמט מתפקיד קרבי, יהיו מניע</w:t>
      </w:r>
      <w:r w:rsidR="00063772">
        <w:rPr>
          <w:rFonts w:hint="cs"/>
          <w:rtl/>
        </w:rPr>
        <w:t>י</w:t>
      </w:r>
      <w:r w:rsidR="00B96D1E">
        <w:rPr>
          <w:rFonts w:hint="cs"/>
          <w:rtl/>
        </w:rPr>
        <w:t xml:space="preserve">ו אשר יהיו" (עניינם של </w:t>
      </w:r>
      <w:r w:rsidR="00B96D1E" w:rsidRPr="00B96D1E">
        <w:rPr>
          <w:rFonts w:hint="cs"/>
          <w:b/>
          <w:bCs/>
          <w:rtl/>
        </w:rPr>
        <w:t>סמל ציפורי וסמל משעלי</w:t>
      </w:r>
      <w:r w:rsidR="00B96D1E">
        <w:rPr>
          <w:rFonts w:hint="cs"/>
          <w:rtl/>
        </w:rPr>
        <w:t xml:space="preserve"> לעיל). </w:t>
      </w:r>
    </w:p>
    <w:p w:rsidR="00FE687D" w:rsidRDefault="00374386" w:rsidP="00063772">
      <w:pPr>
        <w:tabs>
          <w:tab w:val="left" w:pos="229"/>
          <w:tab w:val="left" w:pos="368"/>
        </w:tabs>
        <w:rPr>
          <w:rtl/>
        </w:rPr>
      </w:pPr>
      <w:r>
        <w:rPr>
          <w:rFonts w:hint="cs"/>
          <w:rtl/>
        </w:rPr>
        <w:t xml:space="preserve">לצד זאת, יש לציין את הסיכון לחיי המערער ויתר המשתמשים בדרך, בשים לב לכך, שהמערער גרם לנזק ברכב במהלך </w:t>
      </w:r>
      <w:r w:rsidR="00063772">
        <w:rPr>
          <w:rFonts w:hint="cs"/>
          <w:rtl/>
        </w:rPr>
        <w:t xml:space="preserve">הסיורים </w:t>
      </w:r>
      <w:r>
        <w:rPr>
          <w:rFonts w:hint="cs"/>
          <w:rtl/>
        </w:rPr>
        <w:t>ואת הפגיעה הכלכלית</w:t>
      </w:r>
      <w:r w:rsidR="00063772">
        <w:rPr>
          <w:rFonts w:hint="cs"/>
          <w:rtl/>
        </w:rPr>
        <w:t>,</w:t>
      </w:r>
      <w:r>
        <w:rPr>
          <w:rFonts w:hint="cs"/>
          <w:rtl/>
        </w:rPr>
        <w:t xml:space="preserve"> ובזבוז כספי הציבור</w:t>
      </w:r>
      <w:r w:rsidR="00EB070D">
        <w:rPr>
          <w:rFonts w:hint="cs"/>
          <w:rtl/>
        </w:rPr>
        <w:t>, שנוצלו לתיקון התקלות</w:t>
      </w:r>
      <w:r w:rsidR="00063772">
        <w:rPr>
          <w:rFonts w:hint="cs"/>
          <w:rtl/>
        </w:rPr>
        <w:t>, שנוצרו</w:t>
      </w:r>
      <w:r>
        <w:rPr>
          <w:rFonts w:hint="cs"/>
          <w:rtl/>
        </w:rPr>
        <w:t xml:space="preserve">. </w:t>
      </w:r>
    </w:p>
    <w:p w:rsidR="00B96D1E" w:rsidRDefault="00EB070D" w:rsidP="00D53E6C">
      <w:pPr>
        <w:numPr>
          <w:ilvl w:val="0"/>
          <w:numId w:val="1"/>
        </w:numPr>
        <w:tabs>
          <w:tab w:val="left" w:pos="229"/>
          <w:tab w:val="left" w:pos="368"/>
        </w:tabs>
        <w:ind w:left="0" w:firstLine="0"/>
      </w:pPr>
      <w:r>
        <w:rPr>
          <w:rFonts w:hint="cs"/>
          <w:rtl/>
        </w:rPr>
        <w:t xml:space="preserve">עיון בפסיקתו של בית דין זה לאורך השנים מלמד, כי חומרת המעשים והפגיעה המובהקת בערכי הליבה של המסגרת הצבאית, הובילו להשתת עונשי מאסר בפועל </w:t>
      </w:r>
      <w:r w:rsidR="00063772">
        <w:rPr>
          <w:rFonts w:hint="cs"/>
          <w:rtl/>
        </w:rPr>
        <w:lastRenderedPageBreak/>
        <w:t xml:space="preserve">משמעותיים, </w:t>
      </w:r>
      <w:r>
        <w:rPr>
          <w:rFonts w:hint="cs"/>
          <w:rtl/>
        </w:rPr>
        <w:t xml:space="preserve">לתקופה בת מספר חודשים ואף יותר, והכל בשים לב להיקף המעשים ולחומרת הפגיעה ברכוש הצבאי והשפעתה על ביצוע המשימות הצבאיות שתוכננו (ראו והשוו:  עניין </w:t>
      </w:r>
      <w:r w:rsidRPr="00EB070D">
        <w:rPr>
          <w:rFonts w:hint="cs"/>
          <w:b/>
          <w:bCs/>
          <w:rtl/>
        </w:rPr>
        <w:t xml:space="preserve">קייסרמן </w:t>
      </w:r>
      <w:r>
        <w:rPr>
          <w:rFonts w:hint="cs"/>
          <w:rtl/>
        </w:rPr>
        <w:t xml:space="preserve">לעיל; ע/125/01 </w:t>
      </w:r>
      <w:r w:rsidRPr="00EB070D">
        <w:rPr>
          <w:rFonts w:hint="cs"/>
          <w:b/>
          <w:bCs/>
          <w:rtl/>
        </w:rPr>
        <w:t>סמל איזראלוב נ' התובע הצבאי הראשי</w:t>
      </w:r>
      <w:r>
        <w:rPr>
          <w:rFonts w:hint="cs"/>
          <w:rtl/>
        </w:rPr>
        <w:t xml:space="preserve"> (2001); ע/64/16 </w:t>
      </w:r>
      <w:r w:rsidRPr="00EB070D">
        <w:rPr>
          <w:rFonts w:hint="cs"/>
          <w:b/>
          <w:bCs/>
          <w:rtl/>
        </w:rPr>
        <w:t>רב"ט דביר נ' התובע הצבאי הראשי</w:t>
      </w:r>
      <w:r w:rsidR="00D53E6C">
        <w:rPr>
          <w:rFonts w:hint="cs"/>
          <w:rtl/>
        </w:rPr>
        <w:t xml:space="preserve"> (2016); ואף ע/269,232/81</w:t>
      </w:r>
      <w:r>
        <w:rPr>
          <w:rFonts w:hint="cs"/>
          <w:rtl/>
        </w:rPr>
        <w:t xml:space="preserve"> </w:t>
      </w:r>
      <w:r w:rsidRPr="00EB070D">
        <w:rPr>
          <w:rFonts w:hint="cs"/>
          <w:b/>
          <w:bCs/>
          <w:rtl/>
        </w:rPr>
        <w:t>רס"ר אבי נ' הת</w:t>
      </w:r>
      <w:r>
        <w:rPr>
          <w:rFonts w:hint="cs"/>
          <w:b/>
          <w:bCs/>
          <w:rtl/>
        </w:rPr>
        <w:t>ו</w:t>
      </w:r>
      <w:r w:rsidRPr="00EB070D">
        <w:rPr>
          <w:rFonts w:hint="cs"/>
          <w:b/>
          <w:bCs/>
          <w:rtl/>
        </w:rPr>
        <w:t xml:space="preserve">בע הצבאי הראשי </w:t>
      </w:r>
      <w:r>
        <w:rPr>
          <w:rFonts w:hint="cs"/>
          <w:rtl/>
        </w:rPr>
        <w:t xml:space="preserve">(1981)). </w:t>
      </w:r>
    </w:p>
    <w:p w:rsidR="00C31365" w:rsidRDefault="00C31365" w:rsidP="00C31365">
      <w:pPr>
        <w:numPr>
          <w:ilvl w:val="0"/>
          <w:numId w:val="1"/>
        </w:numPr>
        <w:tabs>
          <w:tab w:val="left" w:pos="229"/>
          <w:tab w:val="left" w:pos="368"/>
        </w:tabs>
        <w:ind w:left="0" w:firstLine="0"/>
        <w:rPr>
          <w:sz w:val="24"/>
          <w:szCs w:val="24"/>
        </w:rPr>
      </w:pPr>
      <w:r>
        <w:rPr>
          <w:rFonts w:hint="cs"/>
          <w:rtl/>
        </w:rPr>
        <w:t xml:space="preserve">בחינת טיב האינטרסים הציבוריים שנפגעו והיקף הפגיעה בהם, מידת אשמו של המערער ומדיניות הענישה הנוהגת, מעלה כי אין חומרה יתרה במתחם </w:t>
      </w:r>
      <w:r w:rsidR="00063772">
        <w:rPr>
          <w:rFonts w:hint="cs"/>
          <w:rtl/>
        </w:rPr>
        <w:t>ה</w:t>
      </w:r>
      <w:r w:rsidRPr="00A00E70">
        <w:rPr>
          <w:rFonts w:hint="cs"/>
          <w:rtl/>
        </w:rPr>
        <w:t>ע</w:t>
      </w:r>
      <w:r>
        <w:rPr>
          <w:rFonts w:hint="cs"/>
          <w:rtl/>
        </w:rPr>
        <w:t xml:space="preserve">ונש </w:t>
      </w:r>
      <w:r w:rsidR="00063772">
        <w:rPr>
          <w:rFonts w:hint="cs"/>
          <w:rtl/>
        </w:rPr>
        <w:t>ה</w:t>
      </w:r>
      <w:r>
        <w:rPr>
          <w:rFonts w:hint="cs"/>
          <w:rtl/>
        </w:rPr>
        <w:t xml:space="preserve">הולם שקבע בית הדין קמא הנכבד - </w:t>
      </w:r>
      <w:r w:rsidRPr="00FA4FFE">
        <w:rPr>
          <w:rFonts w:hint="cs"/>
          <w:b/>
          <w:bCs/>
          <w:rtl/>
        </w:rPr>
        <w:t xml:space="preserve">חמישה </w:t>
      </w:r>
      <w:r>
        <w:rPr>
          <w:rFonts w:hint="cs"/>
          <w:b/>
          <w:bCs/>
          <w:rtl/>
        </w:rPr>
        <w:t xml:space="preserve">עד </w:t>
      </w:r>
      <w:r w:rsidRPr="00FA4FFE">
        <w:rPr>
          <w:rFonts w:hint="cs"/>
          <w:b/>
          <w:bCs/>
          <w:rtl/>
        </w:rPr>
        <w:t>עשרה חודשי מאסר בפועל</w:t>
      </w:r>
      <w:r w:rsidRPr="001404A2">
        <w:rPr>
          <w:rFonts w:hint="cs"/>
          <w:rtl/>
        </w:rPr>
        <w:t>, לצד עונשי מאסר על תנאי, הורדה בדרגה ו</w:t>
      </w:r>
      <w:r>
        <w:rPr>
          <w:rFonts w:hint="cs"/>
          <w:rtl/>
        </w:rPr>
        <w:t xml:space="preserve">פסילת רישיונות נהיגה, וכי אין להתערב בו. </w:t>
      </w:r>
    </w:p>
    <w:p w:rsidR="00714AA0" w:rsidRPr="00714AA0" w:rsidRDefault="00C31365" w:rsidP="00D53E6C">
      <w:pPr>
        <w:numPr>
          <w:ilvl w:val="0"/>
          <w:numId w:val="1"/>
        </w:numPr>
        <w:tabs>
          <w:tab w:val="left" w:pos="229"/>
          <w:tab w:val="left" w:pos="368"/>
        </w:tabs>
        <w:ind w:left="0" w:firstLine="0"/>
        <w:rPr>
          <w:rtl/>
        </w:rPr>
      </w:pPr>
      <w:r>
        <w:rPr>
          <w:rFonts w:hint="cs"/>
          <w:rtl/>
        </w:rPr>
        <w:t xml:space="preserve">ודוקו: אין בעונש שהושת על </w:t>
      </w:r>
      <w:r w:rsidRPr="00C31365">
        <w:rPr>
          <w:rFonts w:hint="cs"/>
          <w:b/>
          <w:bCs/>
          <w:rtl/>
        </w:rPr>
        <w:t>סמל אברהם</w:t>
      </w:r>
      <w:r>
        <w:rPr>
          <w:rFonts w:hint="cs"/>
          <w:rtl/>
        </w:rPr>
        <w:t xml:space="preserve">, </w:t>
      </w:r>
      <w:r w:rsidR="00063772">
        <w:rPr>
          <w:rFonts w:hint="cs"/>
          <w:rtl/>
        </w:rPr>
        <w:t xml:space="preserve">מעורב אחר בפרשה, </w:t>
      </w:r>
      <w:r>
        <w:rPr>
          <w:rFonts w:hint="cs"/>
          <w:rtl/>
        </w:rPr>
        <w:t>כדי להשליך על קביעת מתחם העונש ההולם</w:t>
      </w:r>
      <w:r w:rsidR="00714AA0">
        <w:rPr>
          <w:rFonts w:hint="cs"/>
          <w:rtl/>
        </w:rPr>
        <w:t xml:space="preserve"> בעניינו</w:t>
      </w:r>
      <w:r w:rsidR="00063772">
        <w:rPr>
          <w:rFonts w:hint="cs"/>
          <w:rtl/>
        </w:rPr>
        <w:t xml:space="preserve"> של המערער</w:t>
      </w:r>
      <w:r w:rsidR="00714AA0">
        <w:rPr>
          <w:rFonts w:hint="cs"/>
          <w:rtl/>
        </w:rPr>
        <w:t xml:space="preserve">. אכן, </w:t>
      </w:r>
      <w:r w:rsidR="00714AA0" w:rsidRPr="00714AA0">
        <w:rPr>
          <w:rFonts w:hint="cs"/>
          <w:rtl/>
        </w:rPr>
        <w:t>כפי קביעת בית הדין קמא</w:t>
      </w:r>
      <w:r w:rsidR="00714AA0">
        <w:rPr>
          <w:rFonts w:hint="cs"/>
          <w:rtl/>
        </w:rPr>
        <w:t xml:space="preserve"> ו</w:t>
      </w:r>
      <w:r w:rsidR="00714AA0" w:rsidRPr="00714AA0">
        <w:rPr>
          <w:rFonts w:hint="cs"/>
          <w:rtl/>
        </w:rPr>
        <w:t>בהתאם להלכה שיצאה מלפני בית דין זה, שומה היה על בית הדין ל</w:t>
      </w:r>
      <w:r w:rsidR="00714AA0">
        <w:rPr>
          <w:rFonts w:hint="cs"/>
          <w:rtl/>
        </w:rPr>
        <w:t xml:space="preserve">בחון מה עלה בגורלם של מעורבים אחרים בפרשה, במסגרת יישום </w:t>
      </w:r>
      <w:r w:rsidR="00714AA0" w:rsidRPr="00714AA0">
        <w:rPr>
          <w:rFonts w:hint="cs"/>
          <w:rtl/>
        </w:rPr>
        <w:t>עיקרון אחידות הענישה</w:t>
      </w:r>
      <w:r w:rsidR="00714AA0">
        <w:rPr>
          <w:rFonts w:hint="cs"/>
          <w:rtl/>
        </w:rPr>
        <w:t>,</w:t>
      </w:r>
      <w:r w:rsidR="00714AA0" w:rsidRPr="00714AA0">
        <w:rPr>
          <w:rFonts w:hint="cs"/>
          <w:rtl/>
        </w:rPr>
        <w:t xml:space="preserve"> כבר ב</w:t>
      </w:r>
      <w:r w:rsidR="00714AA0">
        <w:rPr>
          <w:rFonts w:hint="cs"/>
          <w:rtl/>
        </w:rPr>
        <w:t xml:space="preserve">שלב </w:t>
      </w:r>
      <w:r w:rsidR="00714AA0" w:rsidRPr="00714AA0">
        <w:rPr>
          <w:rFonts w:hint="cs"/>
          <w:rtl/>
        </w:rPr>
        <w:t xml:space="preserve">בחינת מתחם העונש ההולם (ראו: </w:t>
      </w:r>
      <w:r w:rsidR="00D53E6C">
        <w:rPr>
          <w:rFonts w:hint="cs"/>
          <w:rtl/>
        </w:rPr>
        <w:t>ע/12,13/19</w:t>
      </w:r>
      <w:r w:rsidR="00714AA0">
        <w:rPr>
          <w:rFonts w:hint="cs"/>
          <w:rtl/>
        </w:rPr>
        <w:t xml:space="preserve"> </w:t>
      </w:r>
      <w:r w:rsidR="00714AA0" w:rsidRPr="00714AA0">
        <w:rPr>
          <w:rFonts w:hint="cs"/>
          <w:b/>
          <w:bCs/>
          <w:rtl/>
        </w:rPr>
        <w:t>טור' זר נ' התובע הצבאי הראשי</w:t>
      </w:r>
      <w:r w:rsidR="00714AA0">
        <w:rPr>
          <w:rFonts w:hint="cs"/>
          <w:rtl/>
        </w:rPr>
        <w:t xml:space="preserve"> (2019); ו</w:t>
      </w:r>
      <w:r w:rsidR="00714AA0" w:rsidRPr="00714AA0">
        <w:rPr>
          <w:rFonts w:hint="cs"/>
          <w:rtl/>
        </w:rPr>
        <w:t xml:space="preserve">ע/14,15/13 </w:t>
      </w:r>
      <w:r w:rsidR="00714AA0" w:rsidRPr="00714AA0">
        <w:rPr>
          <w:rFonts w:hint="cs"/>
          <w:b/>
          <w:bCs/>
          <w:rtl/>
        </w:rPr>
        <w:t>סמל ביטון נ' התובע הצבאי הראשי</w:t>
      </w:r>
      <w:r w:rsidR="00714AA0" w:rsidRPr="00714AA0">
        <w:rPr>
          <w:rFonts w:hint="cs"/>
          <w:rtl/>
        </w:rPr>
        <w:t xml:space="preserve"> (2013)). </w:t>
      </w:r>
      <w:r w:rsidR="00714AA0">
        <w:rPr>
          <w:rFonts w:hint="cs"/>
          <w:rtl/>
        </w:rPr>
        <w:t xml:space="preserve">עם זאת, סמל אברהם נתן את הדין על עבירה קלה יותר וחלקו בפרשה היה מצומצם בהרבה. זאת ועוד, עונשו של סמל אברהם נגזר במסגרת </w:t>
      </w:r>
      <w:r>
        <w:rPr>
          <w:rFonts w:hint="cs"/>
          <w:rtl/>
        </w:rPr>
        <w:t>הסדר טיעון</w:t>
      </w:r>
      <w:r w:rsidR="00714AA0">
        <w:rPr>
          <w:rFonts w:hint="cs"/>
          <w:rtl/>
        </w:rPr>
        <w:t xml:space="preserve"> וכידוע, </w:t>
      </w:r>
      <w:r w:rsidR="00C84BA0">
        <w:rPr>
          <w:rFonts w:hint="cs"/>
          <w:rtl/>
        </w:rPr>
        <w:t>"עונש המוטל במסגרת הסדר</w:t>
      </w:r>
      <w:r w:rsidR="00D53E6C">
        <w:rPr>
          <w:rFonts w:hint="cs"/>
          <w:rtl/>
        </w:rPr>
        <w:t xml:space="preserve"> טיעון אינו יכול להוות אמת מידה</w:t>
      </w:r>
      <w:r w:rsidR="00C84BA0">
        <w:rPr>
          <w:rFonts w:hint="cs"/>
          <w:rtl/>
        </w:rPr>
        <w:t>... לענישת מעורב אחר באותה פרשה" (</w:t>
      </w:r>
      <w:r w:rsidR="00714AA0" w:rsidRPr="00714AA0">
        <w:rPr>
          <w:rtl/>
        </w:rPr>
        <w:t xml:space="preserve">ע"פ 3987/98 </w:t>
      </w:r>
      <w:r w:rsidR="00714AA0" w:rsidRPr="00714AA0">
        <w:rPr>
          <w:b/>
          <w:bCs/>
          <w:rtl/>
        </w:rPr>
        <w:t xml:space="preserve">סונינו נ' מדינת ישראל </w:t>
      </w:r>
      <w:r w:rsidR="00714AA0" w:rsidRPr="00714AA0">
        <w:rPr>
          <w:rtl/>
        </w:rPr>
        <w:t xml:space="preserve">(טרם פורסם, 15.11.1998); וראו גם: ע"פ 5640/97 </w:t>
      </w:r>
      <w:r w:rsidR="00714AA0" w:rsidRPr="00714AA0">
        <w:rPr>
          <w:b/>
          <w:bCs/>
          <w:rtl/>
        </w:rPr>
        <w:t>רפאל נ' מדינת ישראל</w:t>
      </w:r>
      <w:r w:rsidR="00714AA0" w:rsidRPr="00714AA0">
        <w:rPr>
          <w:rtl/>
        </w:rPr>
        <w:t xml:space="preserve">, פ"ד נג(2) 433 (1999); ע"פ 902/06 </w:t>
      </w:r>
      <w:r w:rsidR="00714AA0" w:rsidRPr="00714AA0">
        <w:rPr>
          <w:b/>
          <w:bCs/>
          <w:rtl/>
        </w:rPr>
        <w:t>פלוני נ' מדינת ישראל</w:t>
      </w:r>
      <w:r w:rsidR="00714AA0" w:rsidRPr="00714AA0">
        <w:rPr>
          <w:rtl/>
        </w:rPr>
        <w:t xml:space="preserve"> (טרם פורסם, 23.10.2007), </w:t>
      </w:r>
      <w:r w:rsidR="00C84BA0">
        <w:rPr>
          <w:rFonts w:hint="cs"/>
          <w:rtl/>
        </w:rPr>
        <w:t xml:space="preserve">ע/7/18 </w:t>
      </w:r>
      <w:r w:rsidR="00C84BA0" w:rsidRPr="00C84BA0">
        <w:rPr>
          <w:rFonts w:hint="cs"/>
          <w:b/>
          <w:bCs/>
          <w:rtl/>
        </w:rPr>
        <w:t>סמל הימן נ' התובע הצבאי הראשי</w:t>
      </w:r>
      <w:r w:rsidR="00C84BA0">
        <w:rPr>
          <w:rFonts w:hint="cs"/>
          <w:rtl/>
        </w:rPr>
        <w:t xml:space="preserve"> (2018); </w:t>
      </w:r>
      <w:r w:rsidR="00714AA0" w:rsidRPr="00714AA0">
        <w:rPr>
          <w:rtl/>
        </w:rPr>
        <w:t xml:space="preserve">עניין </w:t>
      </w:r>
      <w:r w:rsidR="00714AA0" w:rsidRPr="00714AA0">
        <w:rPr>
          <w:b/>
          <w:bCs/>
          <w:rtl/>
        </w:rPr>
        <w:t>ביטון</w:t>
      </w:r>
      <w:r w:rsidR="00714AA0" w:rsidRPr="00714AA0">
        <w:rPr>
          <w:rtl/>
        </w:rPr>
        <w:t xml:space="preserve"> לעיל, פסקה 72). </w:t>
      </w:r>
    </w:p>
    <w:p w:rsidR="008A38B7" w:rsidRPr="008A38B7" w:rsidRDefault="008A38B7" w:rsidP="00063772">
      <w:pPr>
        <w:numPr>
          <w:ilvl w:val="0"/>
          <w:numId w:val="1"/>
        </w:numPr>
        <w:tabs>
          <w:tab w:val="left" w:pos="229"/>
          <w:tab w:val="left" w:pos="368"/>
        </w:tabs>
        <w:ind w:left="0" w:firstLine="0"/>
      </w:pPr>
      <w:r>
        <w:rPr>
          <w:rFonts w:hint="cs"/>
          <w:rtl/>
        </w:rPr>
        <w:t xml:space="preserve"> </w:t>
      </w:r>
      <w:r w:rsidRPr="008A38B7">
        <w:rPr>
          <w:rFonts w:hint="cs"/>
          <w:rtl/>
        </w:rPr>
        <w:t>אף באשר למידת עונש המאסר בפועל אין להתערב בקביעות בית הדין קמא</w:t>
      </w:r>
      <w:r>
        <w:rPr>
          <w:rFonts w:hint="cs"/>
          <w:rtl/>
        </w:rPr>
        <w:t xml:space="preserve"> ויש לקבוע כי לא נפלה בהן כל שגגה. </w:t>
      </w:r>
      <w:r w:rsidRPr="008A38B7">
        <w:rPr>
          <w:rFonts w:hint="cs"/>
          <w:rtl/>
        </w:rPr>
        <w:t xml:space="preserve">המערער לא הצביע על </w:t>
      </w:r>
      <w:r w:rsidR="00063772">
        <w:rPr>
          <w:rFonts w:hint="cs"/>
          <w:rtl/>
        </w:rPr>
        <w:t xml:space="preserve">השתלבותו בהליך שיקומי שנותן אותותיו או על פוטנציאל שיקום ממשי </w:t>
      </w:r>
      <w:r>
        <w:rPr>
          <w:rFonts w:hint="cs"/>
          <w:rtl/>
        </w:rPr>
        <w:t>(</w:t>
      </w:r>
      <w:r w:rsidR="00063772">
        <w:rPr>
          <w:rFonts w:hint="cs"/>
          <w:rtl/>
        </w:rPr>
        <w:t xml:space="preserve">ראו: </w:t>
      </w:r>
      <w:r w:rsidRPr="008A38B7">
        <w:rPr>
          <w:rFonts w:hint="cs"/>
          <w:rtl/>
        </w:rPr>
        <w:t>סעיף 40ד(א) לחוק העונשין</w:t>
      </w:r>
      <w:r>
        <w:rPr>
          <w:rFonts w:hint="cs"/>
          <w:rtl/>
        </w:rPr>
        <w:t>)</w:t>
      </w:r>
      <w:r w:rsidR="00063772">
        <w:rPr>
          <w:rFonts w:hint="cs"/>
          <w:rtl/>
        </w:rPr>
        <w:t>,</w:t>
      </w:r>
      <w:r>
        <w:rPr>
          <w:rFonts w:hint="cs"/>
          <w:rtl/>
        </w:rPr>
        <w:t xml:space="preserve"> ואין בתסקיר העונש שהוגש כדי ללמד "על </w:t>
      </w:r>
      <w:r w:rsidRPr="008A38B7">
        <w:rPr>
          <w:rtl/>
        </w:rPr>
        <w:t>אינדיקציות לשינוי עמוק בהתנהגות ובדרך החשיבה</w:t>
      </w:r>
      <w:r>
        <w:rPr>
          <w:rFonts w:hint="cs"/>
          <w:rtl/>
        </w:rPr>
        <w:t xml:space="preserve">" </w:t>
      </w:r>
      <w:r w:rsidRPr="008A38B7">
        <w:rPr>
          <w:rFonts w:hint="cs"/>
          <w:rtl/>
        </w:rPr>
        <w:t xml:space="preserve">(ע"פ 6637/17 </w:t>
      </w:r>
      <w:r w:rsidRPr="008A38B7">
        <w:rPr>
          <w:rFonts w:hint="cs"/>
          <w:b/>
          <w:bCs/>
          <w:rtl/>
        </w:rPr>
        <w:t xml:space="preserve">קרנדל נ' מדינת ישראל </w:t>
      </w:r>
      <w:r w:rsidRPr="008A38B7">
        <w:rPr>
          <w:rFonts w:hint="cs"/>
          <w:rtl/>
        </w:rPr>
        <w:t>(</w:t>
      </w:r>
      <w:r w:rsidR="00D53E6C">
        <w:rPr>
          <w:rFonts w:hint="cs"/>
          <w:rtl/>
        </w:rPr>
        <w:t>טרם פורסם</w:t>
      </w:r>
      <w:r w:rsidR="008E2206">
        <w:rPr>
          <w:rFonts w:hint="cs"/>
          <w:rtl/>
        </w:rPr>
        <w:t>,</w:t>
      </w:r>
      <w:r w:rsidR="00D53E6C" w:rsidRPr="008A38B7">
        <w:rPr>
          <w:rFonts w:hint="cs"/>
          <w:rtl/>
        </w:rPr>
        <w:t xml:space="preserve"> </w:t>
      </w:r>
      <w:r w:rsidRPr="008A38B7">
        <w:rPr>
          <w:rFonts w:hint="cs"/>
          <w:rtl/>
        </w:rPr>
        <w:t xml:space="preserve">18.4.2018)). </w:t>
      </w:r>
      <w:r>
        <w:rPr>
          <w:rFonts w:hint="cs"/>
          <w:rtl/>
        </w:rPr>
        <w:t xml:space="preserve">אכן, לפנינו מי שהשלים זה מכבר שירות צבאי מלא, גילו צעיר ועברו נקי. </w:t>
      </w:r>
      <w:r w:rsidR="00063772">
        <w:rPr>
          <w:rFonts w:hint="cs"/>
          <w:rtl/>
        </w:rPr>
        <w:t xml:space="preserve">ואולם, </w:t>
      </w:r>
      <w:r>
        <w:rPr>
          <w:rFonts w:hint="cs"/>
          <w:rtl/>
        </w:rPr>
        <w:t xml:space="preserve">בצד זאת, אין להתעלם, </w:t>
      </w:r>
      <w:r w:rsidR="00233280">
        <w:rPr>
          <w:rFonts w:hint="cs"/>
          <w:rtl/>
        </w:rPr>
        <w:t>מכך ש</w:t>
      </w:r>
      <w:r>
        <w:rPr>
          <w:rFonts w:hint="cs"/>
          <w:rtl/>
        </w:rPr>
        <w:t xml:space="preserve">על אף שהביע חרטה על מעשיו, </w:t>
      </w:r>
      <w:r w:rsidR="00233280">
        <w:rPr>
          <w:rFonts w:hint="cs"/>
          <w:rtl/>
        </w:rPr>
        <w:t xml:space="preserve">כפר באשמות שיוחסו לו וניהל הליך הוכחות ממושך, שבמהלכו נדרשו מפקדים וחיילים רבים מיחידתו להגיע לעדות. זאת ועוד, כעולה מהתסקיר שהוגש, המערער אמנם הביע חרטה על מעשיו אך בד בבד, ביקש לצמצמם את חלקו במעשים ולהפחית מאשמתו. </w:t>
      </w:r>
      <w:r w:rsidR="00233280" w:rsidRPr="00233280">
        <w:rPr>
          <w:rFonts w:hint="cs"/>
          <w:rtl/>
        </w:rPr>
        <w:t>מכל מקום, "השיקום, כמו גם ש</w:t>
      </w:r>
      <w:r w:rsidR="008E2206">
        <w:rPr>
          <w:rFonts w:hint="cs"/>
          <w:rtl/>
        </w:rPr>
        <w:t>יקול ההרתעה, אינם ניצבים יחידים</w:t>
      </w:r>
      <w:r w:rsidR="00233280" w:rsidRPr="00233280">
        <w:rPr>
          <w:rFonts w:hint="cs"/>
          <w:rtl/>
        </w:rPr>
        <w:t xml:space="preserve">... ויש צורך באיזון בינם </w:t>
      </w:r>
      <w:r w:rsidR="00233280" w:rsidRPr="00233280">
        <w:rPr>
          <w:rFonts w:hint="cs"/>
          <w:rtl/>
        </w:rPr>
        <w:lastRenderedPageBreak/>
        <w:t xml:space="preserve">לבין יתר השיקולים העומדים על הפרק" (ע"פ 4802/18 </w:t>
      </w:r>
      <w:r w:rsidR="00233280" w:rsidRPr="00233280">
        <w:rPr>
          <w:rFonts w:hint="cs"/>
          <w:b/>
          <w:bCs/>
          <w:rtl/>
        </w:rPr>
        <w:t>פלוני נ' מדינת ישראל</w:t>
      </w:r>
      <w:r w:rsidR="00233280" w:rsidRPr="00233280">
        <w:rPr>
          <w:rFonts w:hint="cs"/>
          <w:rtl/>
        </w:rPr>
        <w:t xml:space="preserve"> (</w:t>
      </w:r>
      <w:r w:rsidR="008E2206">
        <w:rPr>
          <w:rFonts w:hint="cs"/>
          <w:rtl/>
        </w:rPr>
        <w:t>טרם פורסם,</w:t>
      </w:r>
      <w:r w:rsidR="008E2206" w:rsidRPr="00233280">
        <w:rPr>
          <w:rFonts w:hint="cs"/>
          <w:rtl/>
        </w:rPr>
        <w:t xml:space="preserve"> </w:t>
      </w:r>
      <w:r w:rsidR="00233280" w:rsidRPr="00233280">
        <w:rPr>
          <w:rFonts w:hint="cs"/>
          <w:rtl/>
        </w:rPr>
        <w:t xml:space="preserve">29.1.2019); ע"פ 519/19 </w:t>
      </w:r>
      <w:r w:rsidR="00233280" w:rsidRPr="00233280">
        <w:rPr>
          <w:rFonts w:hint="cs"/>
          <w:b/>
          <w:bCs/>
          <w:rtl/>
        </w:rPr>
        <w:t xml:space="preserve">מדינת ישראל נ' פלוני </w:t>
      </w:r>
      <w:r w:rsidR="00233280" w:rsidRPr="00233280">
        <w:rPr>
          <w:rFonts w:hint="cs"/>
          <w:rtl/>
        </w:rPr>
        <w:t>(</w:t>
      </w:r>
      <w:r w:rsidR="008E2206">
        <w:rPr>
          <w:rFonts w:hint="cs"/>
          <w:rtl/>
        </w:rPr>
        <w:t>טרם פורסם,</w:t>
      </w:r>
      <w:r w:rsidR="008E2206" w:rsidRPr="00233280">
        <w:rPr>
          <w:rFonts w:hint="cs"/>
          <w:rtl/>
        </w:rPr>
        <w:t xml:space="preserve"> </w:t>
      </w:r>
      <w:r w:rsidR="00233280" w:rsidRPr="00233280">
        <w:rPr>
          <w:rFonts w:hint="cs"/>
          <w:rtl/>
        </w:rPr>
        <w:t>5.2.2019)).</w:t>
      </w:r>
      <w:r w:rsidR="00233280">
        <w:rPr>
          <w:rFonts w:hint="cs"/>
          <w:rtl/>
        </w:rPr>
        <w:t xml:space="preserve"> לצד שיקולי השיקום וההתחשבות בנסיבותיו האישיות של המערער, ניצבים שיקולי ה</w:t>
      </w:r>
      <w:r w:rsidR="00063772">
        <w:rPr>
          <w:rFonts w:hint="cs"/>
          <w:rtl/>
        </w:rPr>
        <w:t>ר</w:t>
      </w:r>
      <w:r w:rsidR="00233280">
        <w:rPr>
          <w:rFonts w:hint="cs"/>
          <w:rtl/>
        </w:rPr>
        <w:t xml:space="preserve">תעה מובהקים </w:t>
      </w:r>
      <w:r w:rsidR="00063772">
        <w:rPr>
          <w:rFonts w:hint="cs"/>
          <w:rtl/>
        </w:rPr>
        <w:t xml:space="preserve">בנסיבות המקרה דנן, </w:t>
      </w:r>
      <w:r w:rsidR="00233280">
        <w:rPr>
          <w:rFonts w:hint="cs"/>
          <w:rtl/>
        </w:rPr>
        <w:t xml:space="preserve">ואף להם יש ליתן משקל, באיזון של תמהיל הענישה הכולל. </w:t>
      </w:r>
    </w:p>
    <w:p w:rsidR="000A0CD0" w:rsidRDefault="00233280" w:rsidP="000A0CD0">
      <w:pPr>
        <w:numPr>
          <w:ilvl w:val="0"/>
          <w:numId w:val="1"/>
        </w:numPr>
        <w:tabs>
          <w:tab w:val="left" w:pos="229"/>
          <w:tab w:val="left" w:pos="368"/>
        </w:tabs>
        <w:ind w:left="0" w:firstLine="0"/>
      </w:pPr>
      <w:r>
        <w:rPr>
          <w:rFonts w:hint="cs"/>
          <w:rtl/>
        </w:rPr>
        <w:t xml:space="preserve">סוף דבר, אין להתערב במידת עונש המאסר בפועל ויש לדחות את ערעור ההגנה בעניין. </w:t>
      </w:r>
    </w:p>
    <w:p w:rsidR="00233280" w:rsidRDefault="000A0CD0" w:rsidP="00A84EF3">
      <w:pPr>
        <w:numPr>
          <w:ilvl w:val="0"/>
          <w:numId w:val="1"/>
        </w:numPr>
        <w:tabs>
          <w:tab w:val="left" w:pos="229"/>
          <w:tab w:val="left" w:pos="368"/>
        </w:tabs>
        <w:ind w:left="0" w:firstLine="0"/>
      </w:pPr>
      <w:r>
        <w:rPr>
          <w:rFonts w:hint="cs"/>
          <w:rtl/>
        </w:rPr>
        <w:t>המערער יתייצב לריצוי עונש המאסר בפועל ביום</w:t>
      </w:r>
      <w:r w:rsidR="00A84EF3">
        <w:rPr>
          <w:rFonts w:hint="cs"/>
          <w:rtl/>
        </w:rPr>
        <w:t xml:space="preserve"> ה'</w:t>
      </w:r>
      <w:r>
        <w:rPr>
          <w:rFonts w:hint="cs"/>
          <w:rtl/>
        </w:rPr>
        <w:t xml:space="preserve"> </w:t>
      </w:r>
      <w:r w:rsidR="00A84EF3">
        <w:rPr>
          <w:rFonts w:hint="cs"/>
          <w:rtl/>
        </w:rPr>
        <w:t>10.10.2019</w:t>
      </w:r>
      <w:r>
        <w:rPr>
          <w:rFonts w:hint="cs"/>
          <w:rtl/>
        </w:rPr>
        <w:t>, עד לשעה</w:t>
      </w:r>
      <w:r w:rsidR="00A84EF3">
        <w:rPr>
          <w:rFonts w:hint="cs"/>
          <w:rtl/>
        </w:rPr>
        <w:t xml:space="preserve"> 11:00</w:t>
      </w:r>
      <w:r>
        <w:rPr>
          <w:rFonts w:hint="cs"/>
          <w:rtl/>
        </w:rPr>
        <w:t xml:space="preserve">, בבסיס כליאה 396.  </w:t>
      </w:r>
    </w:p>
    <w:p w:rsidR="008A38B7" w:rsidRPr="008A38B7" w:rsidRDefault="00233280" w:rsidP="00063772">
      <w:pPr>
        <w:numPr>
          <w:ilvl w:val="0"/>
          <w:numId w:val="1"/>
        </w:numPr>
        <w:tabs>
          <w:tab w:val="left" w:pos="229"/>
          <w:tab w:val="left" w:pos="368"/>
        </w:tabs>
        <w:ind w:left="0" w:firstLine="0"/>
      </w:pPr>
      <w:r>
        <w:rPr>
          <w:rFonts w:hint="cs"/>
          <w:rtl/>
        </w:rPr>
        <w:t xml:space="preserve">לבקשת ההגנה ועל דעת התביעה, תנוכה מתקופת הפסילה שהושתה על המערער בגזר הדין תקופת הפסילה של רישיונות הנהיגה שהושתה עליו במהלך </w:t>
      </w:r>
      <w:r w:rsidR="00063772">
        <w:rPr>
          <w:rFonts w:hint="cs"/>
          <w:rtl/>
        </w:rPr>
        <w:t>ה</w:t>
      </w:r>
      <w:r>
        <w:rPr>
          <w:rFonts w:hint="cs"/>
          <w:rtl/>
        </w:rPr>
        <w:t xml:space="preserve">משפט. בכפוף לכך, נדחה ערעור ההגנה ואין שינוי ביתר רכיבי העונש. </w:t>
      </w:r>
    </w:p>
    <w:p w:rsidR="00233280" w:rsidRDefault="00233280" w:rsidP="00063772">
      <w:pPr>
        <w:numPr>
          <w:ilvl w:val="0"/>
          <w:numId w:val="1"/>
        </w:numPr>
        <w:tabs>
          <w:tab w:val="left" w:pos="229"/>
          <w:tab w:val="left" w:pos="368"/>
        </w:tabs>
        <w:ind w:left="0" w:firstLine="0"/>
      </w:pPr>
      <w:r>
        <w:rPr>
          <w:rFonts w:hint="cs"/>
          <w:rtl/>
        </w:rPr>
        <w:t xml:space="preserve">בשולי הדברים נבהיר, כי על פסק הדין של בית הדין המחוזי הנכבד הוטל צו איסור פרסום. לאחר שבחנו את פסק הדין בערעור ומשלא נתבקשנו לאסור על פרסומו, יהא פסק הדין בערעור פומבי וגלוי. </w:t>
      </w:r>
    </w:p>
    <w:p w:rsidR="008B6775" w:rsidRPr="00BD0889" w:rsidRDefault="008B6775" w:rsidP="00233280">
      <w:pPr>
        <w:tabs>
          <w:tab w:val="left" w:pos="229"/>
          <w:tab w:val="left" w:pos="368"/>
        </w:tabs>
      </w:pPr>
    </w:p>
    <w:p w:rsidR="00831A0D" w:rsidRDefault="00831A0D" w:rsidP="003C5BFD">
      <w:pPr>
        <w:tabs>
          <w:tab w:val="left" w:pos="229"/>
        </w:tabs>
        <w:rPr>
          <w:rtl/>
        </w:rPr>
      </w:pPr>
      <w:r w:rsidRPr="00831A0D">
        <w:rPr>
          <w:rFonts w:hint="cs"/>
          <w:rtl/>
        </w:rPr>
        <w:t xml:space="preserve">ניתן והודע היום, </w:t>
      </w:r>
      <w:r w:rsidR="003C5BFD">
        <w:rPr>
          <w:rFonts w:hint="cs"/>
          <w:rtl/>
        </w:rPr>
        <w:t>ט'</w:t>
      </w:r>
      <w:r w:rsidRPr="00831A0D">
        <w:rPr>
          <w:rFonts w:hint="cs"/>
          <w:rtl/>
        </w:rPr>
        <w:t xml:space="preserve"> ב</w:t>
      </w:r>
      <w:r>
        <w:rPr>
          <w:rFonts w:hint="cs"/>
          <w:rtl/>
        </w:rPr>
        <w:t>א</w:t>
      </w:r>
      <w:r w:rsidR="003C5BFD">
        <w:rPr>
          <w:rFonts w:hint="cs"/>
          <w:rtl/>
        </w:rPr>
        <w:t>לול</w:t>
      </w:r>
      <w:r w:rsidRPr="00831A0D">
        <w:rPr>
          <w:rFonts w:hint="cs"/>
          <w:rtl/>
        </w:rPr>
        <w:t xml:space="preserve"> ה</w:t>
      </w:r>
      <w:r w:rsidRPr="00831A0D">
        <w:rPr>
          <w:rtl/>
        </w:rPr>
        <w:t>תש</w:t>
      </w:r>
      <w:r w:rsidRPr="00831A0D">
        <w:rPr>
          <w:rFonts w:hint="cs"/>
          <w:rtl/>
        </w:rPr>
        <w:t>ע</w:t>
      </w:r>
      <w:r w:rsidRPr="00831A0D">
        <w:rPr>
          <w:rtl/>
        </w:rPr>
        <w:t>"</w:t>
      </w:r>
      <w:r>
        <w:rPr>
          <w:rFonts w:hint="cs"/>
          <w:rtl/>
        </w:rPr>
        <w:t>ט</w:t>
      </w:r>
      <w:r w:rsidRPr="00831A0D">
        <w:rPr>
          <w:rFonts w:hint="cs"/>
          <w:rtl/>
        </w:rPr>
        <w:t xml:space="preserve">, </w:t>
      </w:r>
      <w:r w:rsidR="003C5BFD">
        <w:rPr>
          <w:rFonts w:hint="cs"/>
          <w:rtl/>
        </w:rPr>
        <w:t>9</w:t>
      </w:r>
      <w:r w:rsidRPr="00831A0D">
        <w:rPr>
          <w:rFonts w:hint="cs"/>
          <w:rtl/>
        </w:rPr>
        <w:t xml:space="preserve"> ב</w:t>
      </w:r>
      <w:r w:rsidR="003C5BFD">
        <w:rPr>
          <w:rFonts w:hint="cs"/>
          <w:rtl/>
        </w:rPr>
        <w:t>ספטמבר</w:t>
      </w:r>
      <w:r>
        <w:rPr>
          <w:rFonts w:hint="cs"/>
          <w:rtl/>
        </w:rPr>
        <w:t xml:space="preserve"> </w:t>
      </w:r>
      <w:r w:rsidRPr="00831A0D">
        <w:rPr>
          <w:rFonts w:hint="cs"/>
          <w:rtl/>
        </w:rPr>
        <w:t xml:space="preserve"> 201</w:t>
      </w:r>
      <w:r>
        <w:rPr>
          <w:rFonts w:hint="cs"/>
          <w:rtl/>
        </w:rPr>
        <w:t>9</w:t>
      </w:r>
      <w:r w:rsidRPr="00831A0D">
        <w:rPr>
          <w:rFonts w:hint="cs"/>
          <w:rtl/>
        </w:rPr>
        <w:t>, בפומבי ובמעמד הצדדים.</w:t>
      </w:r>
    </w:p>
    <w:p w:rsidR="008E2206" w:rsidRPr="00831A0D" w:rsidRDefault="008E2206" w:rsidP="003C5BFD">
      <w:pPr>
        <w:tabs>
          <w:tab w:val="left" w:pos="229"/>
        </w:tabs>
        <w:rPr>
          <w:rtl/>
        </w:rPr>
      </w:pPr>
    </w:p>
    <w:p w:rsidR="00831A0D" w:rsidRPr="00831A0D" w:rsidRDefault="00831A0D" w:rsidP="00831A0D">
      <w:pPr>
        <w:tabs>
          <w:tab w:val="left" w:pos="229"/>
        </w:tabs>
        <w:rPr>
          <w:rtl/>
        </w:rPr>
      </w:pPr>
    </w:p>
    <w:p w:rsidR="00831A0D" w:rsidRPr="00831A0D" w:rsidRDefault="00831A0D" w:rsidP="00831A0D">
      <w:pPr>
        <w:tabs>
          <w:tab w:val="left" w:pos="229"/>
        </w:tabs>
        <w:rPr>
          <w:b/>
          <w:bCs/>
          <w:rtl/>
        </w:rPr>
      </w:pPr>
      <w:r w:rsidRPr="00831A0D">
        <w:rPr>
          <w:b/>
          <w:bCs/>
          <w:rtl/>
        </w:rPr>
        <w:tab/>
        <w:t>______________</w:t>
      </w:r>
      <w:r w:rsidRPr="00831A0D">
        <w:rPr>
          <w:b/>
          <w:bCs/>
          <w:rtl/>
        </w:rPr>
        <w:tab/>
        <w:t>______________</w:t>
      </w:r>
      <w:r w:rsidRPr="00831A0D">
        <w:rPr>
          <w:b/>
          <w:bCs/>
          <w:rtl/>
        </w:rPr>
        <w:tab/>
        <w:t>______________</w:t>
      </w:r>
    </w:p>
    <w:p w:rsidR="00831A0D" w:rsidRPr="00831A0D" w:rsidRDefault="00831A0D" w:rsidP="00831A0D">
      <w:pPr>
        <w:tabs>
          <w:tab w:val="left" w:pos="229"/>
        </w:tabs>
        <w:rPr>
          <w:b/>
          <w:bCs/>
          <w:rtl/>
        </w:rPr>
      </w:pPr>
      <w:r w:rsidRPr="00831A0D">
        <w:rPr>
          <w:b/>
          <w:bCs/>
          <w:rtl/>
        </w:rPr>
        <w:tab/>
      </w:r>
      <w:r>
        <w:rPr>
          <w:rFonts w:hint="cs"/>
          <w:b/>
          <w:bCs/>
          <w:rtl/>
        </w:rPr>
        <w:t xml:space="preserve">     </w:t>
      </w:r>
      <w:r w:rsidRPr="00831A0D">
        <w:rPr>
          <w:rFonts w:hint="cs"/>
          <w:b/>
          <w:bCs/>
          <w:rtl/>
        </w:rPr>
        <w:t>המשנה לנשיא</w:t>
      </w:r>
      <w:r w:rsidRPr="00831A0D">
        <w:rPr>
          <w:b/>
          <w:bCs/>
          <w:rtl/>
        </w:rPr>
        <w:tab/>
      </w:r>
      <w:r>
        <w:rPr>
          <w:rFonts w:hint="cs"/>
          <w:b/>
          <w:bCs/>
          <w:rtl/>
        </w:rPr>
        <w:t xml:space="preserve">                       </w:t>
      </w:r>
      <w:r w:rsidRPr="00831A0D">
        <w:rPr>
          <w:b/>
          <w:bCs/>
          <w:rtl/>
        </w:rPr>
        <w:t>שופט</w:t>
      </w:r>
      <w:r>
        <w:rPr>
          <w:rFonts w:hint="cs"/>
          <w:b/>
          <w:bCs/>
          <w:rtl/>
        </w:rPr>
        <w:t xml:space="preserve">                             שופט   </w:t>
      </w:r>
    </w:p>
    <w:p w:rsidR="000A0CD0" w:rsidRDefault="000A0CD0" w:rsidP="002E3442">
      <w:pPr>
        <w:tabs>
          <w:tab w:val="left" w:pos="229"/>
        </w:tabs>
        <w:rPr>
          <w:rtl/>
        </w:rPr>
      </w:pPr>
    </w:p>
    <w:p w:rsidR="000A0CD0" w:rsidRDefault="000A0CD0" w:rsidP="002E3442">
      <w:pPr>
        <w:tabs>
          <w:tab w:val="left" w:pos="229"/>
        </w:tabs>
        <w:rPr>
          <w:rtl/>
        </w:rPr>
      </w:pPr>
    </w:p>
    <w:p w:rsidR="00CF27DF" w:rsidRPr="00CF27DF" w:rsidRDefault="002E3442" w:rsidP="00CF27DF">
      <w:pPr>
        <w:pStyle w:val="Title"/>
        <w:rPr>
          <w:b/>
          <w:bCs/>
          <w:color w:val="FF0000"/>
          <w:rtl/>
        </w:rPr>
      </w:pPr>
      <w:r w:rsidRPr="00BD0889">
        <w:t xml:space="preserve"> </w:t>
      </w:r>
    </w:p>
    <w:p w:rsidR="00CF27DF" w:rsidRPr="00CF27DF" w:rsidRDefault="00CF27DF" w:rsidP="00CF27DF">
      <w:pPr>
        <w:outlineLvl w:val="0"/>
        <w:rPr>
          <w:b/>
          <w:bCs/>
          <w:rtl/>
        </w:rPr>
      </w:pPr>
      <w:r w:rsidRPr="00CF27DF">
        <w:rPr>
          <w:rFonts w:hint="eastAsia"/>
          <w:b/>
          <w:bCs/>
          <w:rtl/>
        </w:rPr>
        <w:t>חתימת</w:t>
      </w:r>
      <w:r w:rsidRPr="00CF27DF">
        <w:rPr>
          <w:b/>
          <w:bCs/>
          <w:rtl/>
        </w:rPr>
        <w:t xml:space="preserve"> </w:t>
      </w:r>
      <w:r w:rsidRPr="00CF27DF">
        <w:rPr>
          <w:rFonts w:hint="eastAsia"/>
          <w:b/>
          <w:bCs/>
          <w:rtl/>
        </w:rPr>
        <w:t>המגיה</w:t>
      </w:r>
      <w:r w:rsidRPr="00CF27DF">
        <w:rPr>
          <w:b/>
          <w:bCs/>
          <w:rtl/>
        </w:rPr>
        <w:t>: _________________</w:t>
      </w:r>
      <w:r w:rsidRPr="00CF27DF">
        <w:rPr>
          <w:rFonts w:hint="cs"/>
          <w:b/>
          <w:bCs/>
          <w:rtl/>
        </w:rPr>
        <w:tab/>
        <w:t xml:space="preserve">           </w:t>
      </w:r>
      <w:r w:rsidRPr="00CF27DF">
        <w:rPr>
          <w:rFonts w:hint="eastAsia"/>
          <w:b/>
          <w:bCs/>
          <w:rtl/>
        </w:rPr>
        <w:t>העתק</w:t>
      </w:r>
      <w:r w:rsidRPr="00CF27DF">
        <w:rPr>
          <w:rFonts w:hint="cs"/>
          <w:b/>
          <w:bCs/>
          <w:rtl/>
        </w:rPr>
        <w:t xml:space="preserve">           </w:t>
      </w:r>
      <w:r w:rsidRPr="00CF27DF">
        <w:rPr>
          <w:rFonts w:hint="eastAsia"/>
          <w:b/>
          <w:bCs/>
          <w:rtl/>
        </w:rPr>
        <w:t>נאמן</w:t>
      </w:r>
      <w:r w:rsidRPr="00CF27DF">
        <w:rPr>
          <w:b/>
          <w:bCs/>
          <w:rtl/>
        </w:rPr>
        <w:t xml:space="preserve"> </w:t>
      </w:r>
      <w:r w:rsidRPr="00CF27DF">
        <w:rPr>
          <w:rFonts w:hint="cs"/>
          <w:b/>
          <w:bCs/>
          <w:rtl/>
        </w:rPr>
        <w:t xml:space="preserve">            </w:t>
      </w:r>
      <w:r w:rsidRPr="00CF27DF">
        <w:rPr>
          <w:rFonts w:hint="eastAsia"/>
          <w:b/>
          <w:bCs/>
          <w:rtl/>
        </w:rPr>
        <w:t>למקור</w:t>
      </w:r>
      <w:r w:rsidRPr="00CF27DF">
        <w:rPr>
          <w:rFonts w:hint="cs"/>
          <w:b/>
          <w:bCs/>
          <w:rtl/>
        </w:rPr>
        <w:br/>
      </w:r>
      <w:r w:rsidRPr="00CF27DF">
        <w:rPr>
          <w:rFonts w:hint="cs"/>
          <w:b/>
          <w:bCs/>
          <w:rtl/>
        </w:rPr>
        <w:tab/>
        <w:t xml:space="preserve">                                                                      סגן        עמית         כהן</w:t>
      </w:r>
      <w:r w:rsidRPr="00CF27DF">
        <w:rPr>
          <w:rFonts w:hint="cs"/>
          <w:b/>
          <w:bCs/>
          <w:rtl/>
        </w:rPr>
        <w:br/>
      </w:r>
      <w:r w:rsidRPr="00CF27DF">
        <w:rPr>
          <w:rFonts w:hint="eastAsia"/>
          <w:b/>
          <w:bCs/>
          <w:rtl/>
        </w:rPr>
        <w:t>תאריך</w:t>
      </w:r>
      <w:r w:rsidRPr="00CF27DF">
        <w:rPr>
          <w:b/>
          <w:bCs/>
          <w:rtl/>
        </w:rPr>
        <w:t>: ______________________</w:t>
      </w:r>
      <w:r w:rsidRPr="00CF27DF">
        <w:rPr>
          <w:rFonts w:hint="cs"/>
          <w:b/>
          <w:bCs/>
          <w:rtl/>
        </w:rPr>
        <w:tab/>
        <w:t xml:space="preserve">           קצין                בית                הדין</w:t>
      </w:r>
    </w:p>
    <w:p w:rsidR="00247D62" w:rsidRPr="00BD0889" w:rsidRDefault="00247D62" w:rsidP="002E3442">
      <w:pPr>
        <w:tabs>
          <w:tab w:val="left" w:pos="229"/>
        </w:tabs>
      </w:pPr>
    </w:p>
    <w:sectPr w:rsidR="00247D62" w:rsidRPr="00BD0889" w:rsidSect="00710280">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E7" w:rsidRDefault="00F56BE7" w:rsidP="00BD0889">
      <w:pPr>
        <w:spacing w:line="240" w:lineRule="auto"/>
      </w:pPr>
      <w:r>
        <w:separator/>
      </w:r>
    </w:p>
  </w:endnote>
  <w:endnote w:type="continuationSeparator" w:id="0">
    <w:p w:rsidR="00F56BE7" w:rsidRDefault="00F56BE7" w:rsidP="00BD08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13716247"/>
      <w:docPartObj>
        <w:docPartGallery w:val="Page Numbers (Bottom of Page)"/>
        <w:docPartUnique/>
      </w:docPartObj>
    </w:sdtPr>
    <w:sdtEndPr>
      <w:rPr>
        <w:noProof/>
        <w:lang w:val="he-IL"/>
      </w:rPr>
    </w:sdtEndPr>
    <w:sdtContent>
      <w:p w:rsidR="008A38B7" w:rsidRPr="0064120C" w:rsidRDefault="008A38B7">
        <w:pPr>
          <w:pStyle w:val="Footer"/>
          <w:jc w:val="center"/>
        </w:pPr>
        <w:r w:rsidRPr="0064120C">
          <w:fldChar w:fldCharType="begin"/>
        </w:r>
        <w:r w:rsidRPr="0064120C">
          <w:instrText xml:space="preserve"> PAGE   \* MERGEFORMAT </w:instrText>
        </w:r>
        <w:r w:rsidRPr="0064120C">
          <w:fldChar w:fldCharType="separate"/>
        </w:r>
        <w:r w:rsidR="001F03DC" w:rsidRPr="001F03DC">
          <w:rPr>
            <w:noProof/>
            <w:rtl/>
            <w:lang w:val="he-IL"/>
          </w:rPr>
          <w:t>20</w:t>
        </w:r>
        <w:r w:rsidRPr="0064120C">
          <w:rPr>
            <w:noProof/>
            <w:lang w:val="he-IL"/>
          </w:rPr>
          <w:fldChar w:fldCharType="end"/>
        </w:r>
      </w:p>
    </w:sdtContent>
  </w:sdt>
  <w:p w:rsidR="008A38B7" w:rsidRPr="0064120C" w:rsidRDefault="008A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E7" w:rsidRDefault="00F56BE7" w:rsidP="00BD0889">
      <w:pPr>
        <w:spacing w:line="240" w:lineRule="auto"/>
      </w:pPr>
      <w:r>
        <w:separator/>
      </w:r>
    </w:p>
  </w:footnote>
  <w:footnote w:type="continuationSeparator" w:id="0">
    <w:p w:rsidR="00F56BE7" w:rsidRDefault="00F56BE7" w:rsidP="00BD08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B7" w:rsidRPr="00BD0889" w:rsidRDefault="008A38B7" w:rsidP="00616DAB">
    <w:pPr>
      <w:pStyle w:val="Header"/>
      <w:jc w:val="center"/>
    </w:pPr>
    <w:r w:rsidRPr="00BD0889">
      <w:rPr>
        <w:rFonts w:hint="cs"/>
        <w:rtl/>
      </w:rPr>
      <w:t xml:space="preserve">                                                        מ ו ג ב ל                                                ע/24/19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55268"/>
    <w:multiLevelType w:val="hybridMultilevel"/>
    <w:tmpl w:val="CB9A923C"/>
    <w:lvl w:ilvl="0" w:tplc="DBB65EF8">
      <w:start w:val="1"/>
      <w:numFmt w:val="decimal"/>
      <w:pStyle w:val="2"/>
      <w:suff w:val="nothing"/>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F21A86"/>
    <w:multiLevelType w:val="hybridMultilevel"/>
    <w:tmpl w:val="04FA4882"/>
    <w:lvl w:ilvl="0" w:tplc="41B4169E">
      <w:start w:val="1"/>
      <w:numFmt w:val="decimal"/>
      <w:suff w:val="nothing"/>
      <w:lvlText w:val="%1."/>
      <w:lvlJc w:val="left"/>
      <w:pPr>
        <w:ind w:left="720" w:hanging="360"/>
      </w:pPr>
      <w:rPr>
        <w:rFonts w:cs="David"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23817"/>
    <w:multiLevelType w:val="hybridMultilevel"/>
    <w:tmpl w:val="604EE390"/>
    <w:lvl w:ilvl="0" w:tplc="042092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A7442A"/>
    <w:multiLevelType w:val="hybridMultilevel"/>
    <w:tmpl w:val="BF3038F4"/>
    <w:lvl w:ilvl="0" w:tplc="31D8B35E">
      <w:start w:val="1"/>
      <w:numFmt w:val="decimal"/>
      <w:suff w:val="nothing"/>
      <w:lvlText w:val="%1."/>
      <w:lvlJc w:val="left"/>
      <w:pPr>
        <w:ind w:left="720" w:hanging="360"/>
      </w:pPr>
      <w:rPr>
        <w:rFonts w:cs="David"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52607C"/>
    <w:multiLevelType w:val="hybridMultilevel"/>
    <w:tmpl w:val="D12E4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F26C19"/>
    <w:multiLevelType w:val="multilevel"/>
    <w:tmpl w:val="2D22CA00"/>
    <w:lvl w:ilvl="0">
      <w:start w:val="1"/>
      <w:numFmt w:val="decimal"/>
      <w:lvlText w:val="%1."/>
      <w:lvlJc w:val="left"/>
      <w:pPr>
        <w:ind w:left="360" w:hanging="360"/>
      </w:pPr>
      <w:rPr>
        <w:rFonts w:cs="David" w:hint="default"/>
        <w:b w:val="0"/>
        <w:bCs w:val="0"/>
        <w:lang w:val="en-US"/>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79"/>
    <w:rsid w:val="0000690E"/>
    <w:rsid w:val="00012C52"/>
    <w:rsid w:val="00060D3F"/>
    <w:rsid w:val="00063772"/>
    <w:rsid w:val="000660A4"/>
    <w:rsid w:val="00072AF4"/>
    <w:rsid w:val="00075898"/>
    <w:rsid w:val="000A0CD0"/>
    <w:rsid w:val="000A2D79"/>
    <w:rsid w:val="000C280E"/>
    <w:rsid w:val="000D2BF8"/>
    <w:rsid w:val="000F362D"/>
    <w:rsid w:val="00102C75"/>
    <w:rsid w:val="001119C8"/>
    <w:rsid w:val="0011674D"/>
    <w:rsid w:val="00124A51"/>
    <w:rsid w:val="00124D06"/>
    <w:rsid w:val="001404A2"/>
    <w:rsid w:val="00151619"/>
    <w:rsid w:val="001C0A1A"/>
    <w:rsid w:val="001D01A6"/>
    <w:rsid w:val="001D47FB"/>
    <w:rsid w:val="001E0826"/>
    <w:rsid w:val="001F03DC"/>
    <w:rsid w:val="00203DD6"/>
    <w:rsid w:val="00204D05"/>
    <w:rsid w:val="00205C1F"/>
    <w:rsid w:val="00223286"/>
    <w:rsid w:val="00233280"/>
    <w:rsid w:val="00247D62"/>
    <w:rsid w:val="00255F0B"/>
    <w:rsid w:val="0026215C"/>
    <w:rsid w:val="002640CF"/>
    <w:rsid w:val="00273116"/>
    <w:rsid w:val="002A4C3D"/>
    <w:rsid w:val="002B0244"/>
    <w:rsid w:val="002D1FF1"/>
    <w:rsid w:val="002E3442"/>
    <w:rsid w:val="00324C1D"/>
    <w:rsid w:val="003352C1"/>
    <w:rsid w:val="003459E5"/>
    <w:rsid w:val="00350CC2"/>
    <w:rsid w:val="003510FE"/>
    <w:rsid w:val="00351BC9"/>
    <w:rsid w:val="00355EF5"/>
    <w:rsid w:val="003627FB"/>
    <w:rsid w:val="00371D9A"/>
    <w:rsid w:val="00374386"/>
    <w:rsid w:val="0038513F"/>
    <w:rsid w:val="003C29DC"/>
    <w:rsid w:val="003C5BFD"/>
    <w:rsid w:val="003D74A7"/>
    <w:rsid w:val="00407D6C"/>
    <w:rsid w:val="004161E6"/>
    <w:rsid w:val="004162A4"/>
    <w:rsid w:val="00431812"/>
    <w:rsid w:val="00445DD8"/>
    <w:rsid w:val="004762DF"/>
    <w:rsid w:val="004A2F76"/>
    <w:rsid w:val="004A3209"/>
    <w:rsid w:val="004B3D3F"/>
    <w:rsid w:val="004B5E1C"/>
    <w:rsid w:val="004E3439"/>
    <w:rsid w:val="00501BD0"/>
    <w:rsid w:val="005517FF"/>
    <w:rsid w:val="00590A84"/>
    <w:rsid w:val="005A0AFB"/>
    <w:rsid w:val="005F5A87"/>
    <w:rsid w:val="00616DAB"/>
    <w:rsid w:val="0064120C"/>
    <w:rsid w:val="00660C88"/>
    <w:rsid w:val="00673B91"/>
    <w:rsid w:val="00675F9A"/>
    <w:rsid w:val="00692B3E"/>
    <w:rsid w:val="006A4DB4"/>
    <w:rsid w:val="006B4510"/>
    <w:rsid w:val="006B5C17"/>
    <w:rsid w:val="006F3E5A"/>
    <w:rsid w:val="006F7ABB"/>
    <w:rsid w:val="00710280"/>
    <w:rsid w:val="00714AA0"/>
    <w:rsid w:val="007755BA"/>
    <w:rsid w:val="00780449"/>
    <w:rsid w:val="00794911"/>
    <w:rsid w:val="007C75BC"/>
    <w:rsid w:val="007D716E"/>
    <w:rsid w:val="00816D66"/>
    <w:rsid w:val="00822030"/>
    <w:rsid w:val="00831A0D"/>
    <w:rsid w:val="00833998"/>
    <w:rsid w:val="008360C7"/>
    <w:rsid w:val="00867110"/>
    <w:rsid w:val="00881E96"/>
    <w:rsid w:val="00883B90"/>
    <w:rsid w:val="008872DF"/>
    <w:rsid w:val="008A0EDA"/>
    <w:rsid w:val="008A38B7"/>
    <w:rsid w:val="008A41E8"/>
    <w:rsid w:val="008A7293"/>
    <w:rsid w:val="008B6775"/>
    <w:rsid w:val="008B7D49"/>
    <w:rsid w:val="008E2206"/>
    <w:rsid w:val="008E44A6"/>
    <w:rsid w:val="00923FE7"/>
    <w:rsid w:val="009268CB"/>
    <w:rsid w:val="00943D49"/>
    <w:rsid w:val="009563D6"/>
    <w:rsid w:val="00962C11"/>
    <w:rsid w:val="00986C63"/>
    <w:rsid w:val="00990C7A"/>
    <w:rsid w:val="00992749"/>
    <w:rsid w:val="00995947"/>
    <w:rsid w:val="009B0D37"/>
    <w:rsid w:val="009E7426"/>
    <w:rsid w:val="009F26F6"/>
    <w:rsid w:val="00A202DF"/>
    <w:rsid w:val="00A3306B"/>
    <w:rsid w:val="00A451D4"/>
    <w:rsid w:val="00A50A25"/>
    <w:rsid w:val="00A71CBD"/>
    <w:rsid w:val="00A81B5D"/>
    <w:rsid w:val="00A84EF3"/>
    <w:rsid w:val="00AE0A79"/>
    <w:rsid w:val="00AF73E6"/>
    <w:rsid w:val="00B03BFC"/>
    <w:rsid w:val="00B15DDD"/>
    <w:rsid w:val="00B310EC"/>
    <w:rsid w:val="00B34DD4"/>
    <w:rsid w:val="00B611FC"/>
    <w:rsid w:val="00B679AE"/>
    <w:rsid w:val="00B96D1E"/>
    <w:rsid w:val="00BD0889"/>
    <w:rsid w:val="00BD72BA"/>
    <w:rsid w:val="00BE46F6"/>
    <w:rsid w:val="00BE78BF"/>
    <w:rsid w:val="00C15111"/>
    <w:rsid w:val="00C31365"/>
    <w:rsid w:val="00C32F3D"/>
    <w:rsid w:val="00C3479E"/>
    <w:rsid w:val="00C358FE"/>
    <w:rsid w:val="00C44832"/>
    <w:rsid w:val="00C4524E"/>
    <w:rsid w:val="00C56116"/>
    <w:rsid w:val="00C80BFB"/>
    <w:rsid w:val="00C81CEA"/>
    <w:rsid w:val="00C84BA0"/>
    <w:rsid w:val="00C936E2"/>
    <w:rsid w:val="00C95266"/>
    <w:rsid w:val="00CA1931"/>
    <w:rsid w:val="00CA5DF2"/>
    <w:rsid w:val="00CC1B76"/>
    <w:rsid w:val="00CD58F8"/>
    <w:rsid w:val="00CF27DF"/>
    <w:rsid w:val="00D30A4D"/>
    <w:rsid w:val="00D516DF"/>
    <w:rsid w:val="00D53E6C"/>
    <w:rsid w:val="00D90131"/>
    <w:rsid w:val="00DA0919"/>
    <w:rsid w:val="00DA3097"/>
    <w:rsid w:val="00DC183A"/>
    <w:rsid w:val="00DC1B94"/>
    <w:rsid w:val="00E01416"/>
    <w:rsid w:val="00E3357E"/>
    <w:rsid w:val="00E40244"/>
    <w:rsid w:val="00E42184"/>
    <w:rsid w:val="00E44F6E"/>
    <w:rsid w:val="00E632C4"/>
    <w:rsid w:val="00E727F0"/>
    <w:rsid w:val="00E93A97"/>
    <w:rsid w:val="00EB070D"/>
    <w:rsid w:val="00EB6626"/>
    <w:rsid w:val="00EC12AF"/>
    <w:rsid w:val="00EE79AD"/>
    <w:rsid w:val="00F04EE7"/>
    <w:rsid w:val="00F250DF"/>
    <w:rsid w:val="00F344C7"/>
    <w:rsid w:val="00F44A12"/>
    <w:rsid w:val="00F56BE7"/>
    <w:rsid w:val="00F65590"/>
    <w:rsid w:val="00F949B0"/>
    <w:rsid w:val="00FA4FFE"/>
    <w:rsid w:val="00FB5A7D"/>
    <w:rsid w:val="00FC1FC0"/>
    <w:rsid w:val="00FC281C"/>
    <w:rsid w:val="00FE68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3746"/>
  <w15:chartTrackingRefBased/>
  <w15:docId w15:val="{2374228B-97AD-4C4B-B1BC-7971F1CB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889"/>
    <w:pPr>
      <w:bidi/>
      <w:spacing w:after="0" w:line="360" w:lineRule="auto"/>
      <w:jc w:val="both"/>
    </w:pPr>
    <w:rPr>
      <w:rFonts w:ascii="Times New Roman" w:eastAsia="Times New Roman" w:hAnsi="Times New Roman" w:cs="David"/>
      <w:sz w:val="28"/>
      <w:szCs w:val="28"/>
    </w:rPr>
  </w:style>
  <w:style w:type="paragraph" w:styleId="Heading1">
    <w:name w:val="heading 1"/>
    <w:basedOn w:val="Normal"/>
    <w:next w:val="Normal"/>
    <w:link w:val="Heading1Char"/>
    <w:qFormat/>
    <w:rsid w:val="009268CB"/>
    <w:pPr>
      <w:keepNext/>
      <w:spacing w:before="120" w:after="120"/>
      <w:jc w:val="left"/>
      <w:outlineLvl w:val="0"/>
    </w:pPr>
    <w:rPr>
      <w:b/>
      <w:bCs/>
      <w:kern w:val="32"/>
      <w:u w:val="single"/>
    </w:rPr>
  </w:style>
  <w:style w:type="paragraph" w:styleId="Heading2">
    <w:name w:val="heading 2"/>
    <w:basedOn w:val="Normal"/>
    <w:next w:val="Normal"/>
    <w:link w:val="Heading2Char"/>
    <w:uiPriority w:val="9"/>
    <w:semiHidden/>
    <w:unhideWhenUsed/>
    <w:qFormat/>
    <w:rsid w:val="009E74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8E44A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889"/>
    <w:pPr>
      <w:tabs>
        <w:tab w:val="center" w:pos="4153"/>
        <w:tab w:val="right" w:pos="8306"/>
      </w:tabs>
      <w:spacing w:line="240" w:lineRule="auto"/>
    </w:pPr>
  </w:style>
  <w:style w:type="character" w:customStyle="1" w:styleId="HeaderChar">
    <w:name w:val="Header Char"/>
    <w:basedOn w:val="DefaultParagraphFont"/>
    <w:link w:val="Header"/>
    <w:uiPriority w:val="99"/>
    <w:rsid w:val="00BD0889"/>
  </w:style>
  <w:style w:type="paragraph" w:styleId="Footer">
    <w:name w:val="footer"/>
    <w:basedOn w:val="Normal"/>
    <w:link w:val="FooterChar"/>
    <w:uiPriority w:val="99"/>
    <w:unhideWhenUsed/>
    <w:rsid w:val="00BD0889"/>
    <w:pPr>
      <w:tabs>
        <w:tab w:val="center" w:pos="4153"/>
        <w:tab w:val="right" w:pos="8306"/>
      </w:tabs>
      <w:spacing w:line="240" w:lineRule="auto"/>
    </w:pPr>
  </w:style>
  <w:style w:type="character" w:customStyle="1" w:styleId="FooterChar">
    <w:name w:val="Footer Char"/>
    <w:basedOn w:val="DefaultParagraphFont"/>
    <w:link w:val="Footer"/>
    <w:uiPriority w:val="99"/>
    <w:rsid w:val="00BD0889"/>
  </w:style>
  <w:style w:type="character" w:customStyle="1" w:styleId="1">
    <w:name w:val="כותרת 1 תו"/>
    <w:basedOn w:val="DefaultParagraphFont"/>
    <w:uiPriority w:val="9"/>
    <w:rsid w:val="009268CB"/>
    <w:rPr>
      <w:rFonts w:asciiTheme="majorHAnsi" w:eastAsiaTheme="majorEastAsia" w:hAnsiTheme="majorHAnsi" w:cstheme="majorBidi"/>
      <w:color w:val="2E74B5" w:themeColor="accent1" w:themeShade="BF"/>
      <w:sz w:val="32"/>
      <w:szCs w:val="32"/>
    </w:rPr>
  </w:style>
  <w:style w:type="character" w:customStyle="1" w:styleId="Heading1Char">
    <w:name w:val="Heading 1 Char"/>
    <w:link w:val="Heading1"/>
    <w:rsid w:val="009268CB"/>
    <w:rPr>
      <w:rFonts w:ascii="Times New Roman" w:eastAsia="Times New Roman" w:hAnsi="Times New Roman" w:cs="David"/>
      <w:b/>
      <w:bCs/>
      <w:kern w:val="32"/>
      <w:sz w:val="28"/>
      <w:szCs w:val="28"/>
      <w:u w:val="single"/>
    </w:rPr>
  </w:style>
  <w:style w:type="character" w:customStyle="1" w:styleId="Heading2Char">
    <w:name w:val="Heading 2 Char"/>
    <w:basedOn w:val="DefaultParagraphFont"/>
    <w:link w:val="Heading2"/>
    <w:uiPriority w:val="9"/>
    <w:semiHidden/>
    <w:rsid w:val="009E742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1D01A6"/>
    <w:pPr>
      <w:ind w:left="720"/>
      <w:contextualSpacing/>
    </w:pPr>
  </w:style>
  <w:style w:type="paragraph" w:customStyle="1" w:styleId="2">
    <w:name w:val="סגנון2"/>
    <w:basedOn w:val="Normal"/>
    <w:link w:val="20"/>
    <w:qFormat/>
    <w:rsid w:val="00204D05"/>
    <w:pPr>
      <w:numPr>
        <w:numId w:val="3"/>
      </w:numPr>
      <w:contextualSpacing/>
    </w:pPr>
  </w:style>
  <w:style w:type="character" w:customStyle="1" w:styleId="Heading5Char">
    <w:name w:val="Heading 5 Char"/>
    <w:basedOn w:val="DefaultParagraphFont"/>
    <w:link w:val="Heading5"/>
    <w:uiPriority w:val="9"/>
    <w:semiHidden/>
    <w:rsid w:val="008E44A6"/>
    <w:rPr>
      <w:rFonts w:asciiTheme="majorHAnsi" w:eastAsiaTheme="majorEastAsia" w:hAnsiTheme="majorHAnsi" w:cstheme="majorBidi"/>
      <w:color w:val="2E74B5" w:themeColor="accent1" w:themeShade="BF"/>
      <w:sz w:val="28"/>
      <w:szCs w:val="28"/>
    </w:rPr>
  </w:style>
  <w:style w:type="character" w:customStyle="1" w:styleId="20">
    <w:name w:val="סגנון2 תו"/>
    <w:link w:val="2"/>
    <w:rsid w:val="00CA5DF2"/>
    <w:rPr>
      <w:rFonts w:ascii="Times New Roman" w:eastAsia="Times New Roman" w:hAnsi="Times New Roman" w:cs="David"/>
      <w:sz w:val="28"/>
      <w:szCs w:val="28"/>
    </w:rPr>
  </w:style>
  <w:style w:type="character" w:customStyle="1" w:styleId="ListParagraphChar">
    <w:name w:val="List Paragraph Char"/>
    <w:link w:val="ListParagraph"/>
    <w:uiPriority w:val="34"/>
    <w:rsid w:val="00072AF4"/>
    <w:rPr>
      <w:rFonts w:ascii="Times New Roman" w:eastAsia="Times New Roman" w:hAnsi="Times New Roman" w:cs="David"/>
      <w:sz w:val="28"/>
      <w:szCs w:val="28"/>
    </w:rPr>
  </w:style>
  <w:style w:type="character" w:styleId="Hyperlink">
    <w:name w:val="Hyperlink"/>
    <w:basedOn w:val="DefaultParagraphFont"/>
    <w:uiPriority w:val="99"/>
    <w:unhideWhenUsed/>
    <w:rsid w:val="008A38B7"/>
    <w:rPr>
      <w:color w:val="0563C1" w:themeColor="hyperlink"/>
      <w:u w:val="single"/>
    </w:rPr>
  </w:style>
  <w:style w:type="paragraph" w:styleId="BalloonText">
    <w:name w:val="Balloon Text"/>
    <w:basedOn w:val="Normal"/>
    <w:link w:val="BalloonTextChar"/>
    <w:uiPriority w:val="99"/>
    <w:semiHidden/>
    <w:unhideWhenUsed/>
    <w:rsid w:val="00060D3F"/>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60D3F"/>
    <w:rPr>
      <w:rFonts w:ascii="Tahoma" w:eastAsia="Times New Roman" w:hAnsi="Tahoma" w:cs="Tahoma"/>
      <w:sz w:val="18"/>
      <w:szCs w:val="18"/>
    </w:rPr>
  </w:style>
  <w:style w:type="paragraph" w:styleId="Title">
    <w:name w:val="Title"/>
    <w:basedOn w:val="Normal"/>
    <w:next w:val="Normal"/>
    <w:link w:val="TitleChar"/>
    <w:uiPriority w:val="10"/>
    <w:qFormat/>
    <w:rsid w:val="00CF27D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27D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17668-1912-47D4-A31A-83F1457F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6314</Words>
  <Characters>31575</Characters>
  <Application>Microsoft Office Word</Application>
  <DocSecurity>0</DocSecurity>
  <Lines>263</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37814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s7443122</dc:creator>
  <cp:keywords/>
  <dc:description/>
  <cp:lastModifiedBy>GOI</cp:lastModifiedBy>
  <cp:revision>2</cp:revision>
  <cp:lastPrinted>2019-10-03T10:36:00Z</cp:lastPrinted>
  <dcterms:created xsi:type="dcterms:W3CDTF">2020-12-07T11:16:00Z</dcterms:created>
  <dcterms:modified xsi:type="dcterms:W3CDTF">2020-12-07T11:16:00Z</dcterms:modified>
</cp:coreProperties>
</file>