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875C1" w14:textId="77B5350E" w:rsidR="00C6765A" w:rsidRPr="00AF5D82" w:rsidRDefault="00C6765A" w:rsidP="00C6765A">
      <w:pPr>
        <w:rPr>
          <w:rFonts w:ascii="David" w:hAnsi="David"/>
          <w:b/>
          <w:bCs/>
          <w:sz w:val="28"/>
          <w:u w:val="single"/>
        </w:rPr>
      </w:pPr>
      <w:bookmarkStart w:id="0" w:name="PsakDin"/>
      <w:r>
        <w:rPr>
          <w:noProof/>
        </w:rPr>
        <w:drawing>
          <wp:anchor distT="0" distB="0" distL="114300" distR="114300" simplePos="0" relativeHeight="251659264" behindDoc="0" locked="0" layoutInCell="1" allowOverlap="1" wp14:anchorId="70505C36" wp14:editId="7CCA4B3C">
            <wp:simplePos x="0" y="0"/>
            <wp:positionH relativeFrom="column">
              <wp:posOffset>3023870</wp:posOffset>
            </wp:positionH>
            <wp:positionV relativeFrom="paragraph">
              <wp:posOffset>-24130</wp:posOffset>
            </wp:positionV>
            <wp:extent cx="865505" cy="792480"/>
            <wp:effectExtent l="0" t="0" r="0"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5505" cy="792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FD79C07" wp14:editId="55FCF749">
            <wp:simplePos x="0" y="0"/>
            <wp:positionH relativeFrom="column">
              <wp:posOffset>1871345</wp:posOffset>
            </wp:positionH>
            <wp:positionV relativeFrom="paragraph">
              <wp:posOffset>0</wp:posOffset>
            </wp:positionV>
            <wp:extent cx="667385" cy="787400"/>
            <wp:effectExtent l="0" t="0" r="0" b="0"/>
            <wp:wrapTopAndBottom/>
            <wp:docPr id="3" name="Picture 1" descr="An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 object"/>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667385" cy="787400"/>
                    </a:xfrm>
                    <a:prstGeom prst="rect">
                      <a:avLst/>
                    </a:prstGeom>
                    <a:noFill/>
                    <a:ln>
                      <a:noFill/>
                    </a:ln>
                  </pic:spPr>
                </pic:pic>
              </a:graphicData>
            </a:graphic>
            <wp14:sizeRelH relativeFrom="margin">
              <wp14:pctWidth>0</wp14:pctWidth>
            </wp14:sizeRelH>
            <wp14:sizeRelV relativeFrom="page">
              <wp14:pctHeight>0</wp14:pctHeight>
            </wp14:sizeRelV>
          </wp:anchor>
        </w:drawing>
      </w:r>
      <w:bookmarkStart w:id="1" w:name="_Hlk149821736"/>
      <w:bookmarkStart w:id="2" w:name="_Hlk149824479"/>
    </w:p>
    <w:p w14:paraId="196A4F32" w14:textId="77777777" w:rsidR="00C6765A" w:rsidRPr="00AF5D82" w:rsidRDefault="00C6765A" w:rsidP="00C6765A">
      <w:pPr>
        <w:jc w:val="center"/>
        <w:rPr>
          <w:rFonts w:ascii="David" w:hAnsi="David"/>
          <w:b/>
          <w:bCs/>
          <w:sz w:val="28"/>
          <w:u w:val="single"/>
        </w:rPr>
      </w:pPr>
      <w:r w:rsidRPr="00AF5D82">
        <w:rPr>
          <w:rFonts w:ascii="David" w:hAnsi="David"/>
          <w:b/>
          <w:bCs/>
          <w:sz w:val="28"/>
          <w:u w:val="single"/>
          <w:rtl/>
        </w:rPr>
        <w:t>בבית הדין הצבאי לערעורים</w:t>
      </w:r>
    </w:p>
    <w:p w14:paraId="1E6D0217" w14:textId="77777777" w:rsidR="00C6765A" w:rsidRPr="00AF5D82" w:rsidRDefault="00C6765A" w:rsidP="00C6765A">
      <w:pPr>
        <w:rPr>
          <w:rFonts w:ascii="David" w:hAnsi="David"/>
          <w:sz w:val="28"/>
          <w:rtl/>
        </w:rPr>
      </w:pPr>
      <w:r w:rsidRPr="00AF5D82">
        <w:rPr>
          <w:rFonts w:ascii="David" w:hAnsi="David"/>
          <w:sz w:val="28"/>
          <w:rtl/>
        </w:rPr>
        <w:t>בפני:</w:t>
      </w:r>
    </w:p>
    <w:p w14:paraId="56F5E66C" w14:textId="77777777" w:rsidR="00C6765A" w:rsidRPr="00AF5D82" w:rsidRDefault="00C6765A" w:rsidP="00C6765A">
      <w:pPr>
        <w:jc w:val="center"/>
        <w:rPr>
          <w:rFonts w:ascii="David" w:hAnsi="David"/>
          <w:sz w:val="28"/>
          <w:rtl/>
        </w:rPr>
      </w:pPr>
    </w:p>
    <w:p w14:paraId="3295B4AC" w14:textId="77777777" w:rsidR="00C6765A" w:rsidRPr="00AF5D82" w:rsidRDefault="00C6765A" w:rsidP="00C6765A">
      <w:pPr>
        <w:jc w:val="center"/>
        <w:rPr>
          <w:rFonts w:ascii="David" w:hAnsi="David"/>
          <w:sz w:val="28"/>
        </w:rPr>
      </w:pPr>
      <w:r>
        <w:rPr>
          <w:rFonts w:ascii="David" w:hAnsi="David" w:hint="cs"/>
          <w:b/>
          <w:bCs/>
          <w:sz w:val="28"/>
          <w:rtl/>
        </w:rPr>
        <w:t>אל"ם   מיכל    שחר</w:t>
      </w:r>
      <w:r w:rsidRPr="00AF5D82">
        <w:rPr>
          <w:rFonts w:ascii="David" w:hAnsi="David"/>
          <w:b/>
          <w:bCs/>
          <w:sz w:val="28"/>
          <w:rtl/>
        </w:rPr>
        <w:t xml:space="preserve">    –</w:t>
      </w:r>
      <w:r w:rsidRPr="00AF5D82">
        <w:rPr>
          <w:rFonts w:ascii="David" w:hAnsi="David"/>
          <w:sz w:val="28"/>
          <w:rtl/>
        </w:rPr>
        <w:t xml:space="preserve">   </w:t>
      </w:r>
      <w:r>
        <w:rPr>
          <w:rFonts w:ascii="David" w:hAnsi="David" w:hint="cs"/>
          <w:sz w:val="28"/>
          <w:rtl/>
        </w:rPr>
        <w:t>שופטת</w:t>
      </w:r>
    </w:p>
    <w:p w14:paraId="3440F27E" w14:textId="77777777" w:rsidR="00C6765A" w:rsidRPr="00AF5D82" w:rsidRDefault="00C6765A" w:rsidP="00C6765A">
      <w:pPr>
        <w:jc w:val="center"/>
        <w:rPr>
          <w:rFonts w:ascii="David" w:hAnsi="David"/>
          <w:sz w:val="28"/>
          <w:rtl/>
        </w:rPr>
      </w:pPr>
    </w:p>
    <w:p w14:paraId="3AA3949B" w14:textId="77777777" w:rsidR="00C6765A" w:rsidRPr="00AF5D82" w:rsidRDefault="00C6765A" w:rsidP="00C6765A">
      <w:pPr>
        <w:rPr>
          <w:rFonts w:ascii="David" w:hAnsi="David"/>
          <w:sz w:val="28"/>
          <w:rtl/>
        </w:rPr>
      </w:pPr>
      <w:r w:rsidRPr="00AF5D82">
        <w:rPr>
          <w:rFonts w:ascii="David" w:hAnsi="David"/>
          <w:sz w:val="28"/>
          <w:rtl/>
        </w:rPr>
        <w:t>בעניין:</w:t>
      </w:r>
    </w:p>
    <w:p w14:paraId="3088C711" w14:textId="77777777" w:rsidR="00C6765A" w:rsidRPr="00AF5D82" w:rsidRDefault="00C6765A" w:rsidP="00C6765A">
      <w:pPr>
        <w:jc w:val="center"/>
        <w:rPr>
          <w:rFonts w:ascii="David" w:hAnsi="David"/>
          <w:sz w:val="28"/>
          <w:rtl/>
        </w:rPr>
      </w:pPr>
    </w:p>
    <w:p w14:paraId="0A4998F7" w14:textId="77777777" w:rsidR="00C6765A" w:rsidRPr="00AF5D82" w:rsidRDefault="00C6765A" w:rsidP="00C6765A">
      <w:pPr>
        <w:jc w:val="center"/>
        <w:rPr>
          <w:rFonts w:ascii="David" w:hAnsi="David"/>
          <w:sz w:val="28"/>
          <w:rtl/>
        </w:rPr>
      </w:pPr>
      <w:r w:rsidRPr="00AF5D82">
        <w:rPr>
          <w:rFonts w:ascii="David" w:hAnsi="David"/>
          <w:b/>
          <w:bCs/>
          <w:sz w:val="28"/>
          <w:rtl/>
        </w:rPr>
        <w:t>התובע הצבאי הראשי –</w:t>
      </w:r>
      <w:r w:rsidRPr="00AF5D82">
        <w:rPr>
          <w:rFonts w:ascii="David" w:hAnsi="David"/>
          <w:sz w:val="28"/>
          <w:rtl/>
        </w:rPr>
        <w:t xml:space="preserve"> המערער (ע"י ב"כ, סרן </w:t>
      </w:r>
      <w:r>
        <w:rPr>
          <w:rFonts w:ascii="David" w:hAnsi="David" w:hint="cs"/>
          <w:sz w:val="28"/>
          <w:rtl/>
        </w:rPr>
        <w:t>עמית שרמן, סגן יובל עוזרי</w:t>
      </w:r>
      <w:r w:rsidRPr="00AF5D82">
        <w:rPr>
          <w:rFonts w:ascii="David" w:hAnsi="David"/>
          <w:sz w:val="28"/>
          <w:rtl/>
        </w:rPr>
        <w:t>)</w:t>
      </w:r>
    </w:p>
    <w:p w14:paraId="447E01A3" w14:textId="77777777" w:rsidR="00C6765A" w:rsidRPr="00AF5D82" w:rsidRDefault="00C6765A" w:rsidP="00C6765A">
      <w:pPr>
        <w:jc w:val="center"/>
        <w:rPr>
          <w:rFonts w:ascii="David" w:hAnsi="David"/>
          <w:sz w:val="28"/>
          <w:rtl/>
        </w:rPr>
      </w:pPr>
    </w:p>
    <w:p w14:paraId="3111B61D" w14:textId="77777777" w:rsidR="00C6765A" w:rsidRPr="00AF5D82" w:rsidRDefault="00C6765A" w:rsidP="00C6765A">
      <w:pPr>
        <w:jc w:val="center"/>
        <w:rPr>
          <w:rFonts w:ascii="David" w:hAnsi="David"/>
          <w:b/>
          <w:bCs/>
          <w:sz w:val="28"/>
          <w:rtl/>
        </w:rPr>
      </w:pPr>
      <w:r w:rsidRPr="00AF5D82">
        <w:rPr>
          <w:rFonts w:ascii="David" w:hAnsi="David"/>
          <w:b/>
          <w:bCs/>
          <w:sz w:val="28"/>
          <w:rtl/>
        </w:rPr>
        <w:t>נ ג ד</w:t>
      </w:r>
    </w:p>
    <w:p w14:paraId="0F843F98" w14:textId="77777777" w:rsidR="00C6765A" w:rsidRPr="00AF5D82" w:rsidRDefault="00C6765A" w:rsidP="00C6765A">
      <w:pPr>
        <w:jc w:val="center"/>
        <w:rPr>
          <w:rFonts w:ascii="David" w:hAnsi="David"/>
          <w:b/>
          <w:bCs/>
          <w:sz w:val="28"/>
        </w:rPr>
      </w:pPr>
    </w:p>
    <w:p w14:paraId="5F886184" w14:textId="2513B8AD" w:rsidR="00C6765A" w:rsidRPr="00AF5D82" w:rsidRDefault="00CB0ACC" w:rsidP="00C6765A">
      <w:pPr>
        <w:jc w:val="center"/>
        <w:rPr>
          <w:rFonts w:ascii="David" w:hAnsi="David"/>
          <w:sz w:val="28"/>
          <w:rtl/>
        </w:rPr>
      </w:pPr>
      <w:r>
        <w:rPr>
          <w:rFonts w:ascii="David" w:hAnsi="David"/>
          <w:b/>
          <w:bCs/>
          <w:sz w:val="28"/>
        </w:rPr>
        <w:t>X</w:t>
      </w:r>
      <w:r w:rsidR="00C6765A">
        <w:rPr>
          <w:rFonts w:ascii="David" w:hAnsi="David" w:hint="cs"/>
          <w:b/>
          <w:bCs/>
          <w:sz w:val="28"/>
          <w:rtl/>
        </w:rPr>
        <w:t>/</w:t>
      </w:r>
      <w:r>
        <w:rPr>
          <w:rFonts w:ascii="David" w:hAnsi="David"/>
          <w:b/>
          <w:bCs/>
          <w:sz w:val="28"/>
        </w:rPr>
        <w:t>XXXXXXX</w:t>
      </w:r>
      <w:r w:rsidR="00C6765A" w:rsidRPr="00AF5D82">
        <w:rPr>
          <w:rFonts w:ascii="David" w:hAnsi="David"/>
          <w:b/>
          <w:bCs/>
          <w:sz w:val="28"/>
          <w:rtl/>
        </w:rPr>
        <w:t xml:space="preserve"> </w:t>
      </w:r>
      <w:r w:rsidR="0088420C">
        <w:rPr>
          <w:rFonts w:ascii="David" w:hAnsi="David" w:hint="cs"/>
          <w:b/>
          <w:bCs/>
          <w:sz w:val="28"/>
          <w:rtl/>
        </w:rPr>
        <w:t xml:space="preserve">טור' ש' א' </w:t>
      </w:r>
      <w:r w:rsidR="00C6765A" w:rsidRPr="00AF5D82">
        <w:rPr>
          <w:rFonts w:ascii="David" w:hAnsi="David"/>
          <w:b/>
          <w:bCs/>
          <w:sz w:val="28"/>
          <w:rtl/>
        </w:rPr>
        <w:t>–</w:t>
      </w:r>
      <w:r w:rsidR="00C6765A" w:rsidRPr="00AF5D82">
        <w:rPr>
          <w:rFonts w:ascii="David" w:hAnsi="David"/>
          <w:sz w:val="28"/>
          <w:rtl/>
        </w:rPr>
        <w:t xml:space="preserve"> המשיב (ע"י ב"כ, </w:t>
      </w:r>
      <w:r w:rsidR="00C6765A">
        <w:rPr>
          <w:rFonts w:ascii="David" w:hAnsi="David" w:hint="cs"/>
          <w:sz w:val="28"/>
          <w:rtl/>
        </w:rPr>
        <w:t>רס"ן נתנאל אזולאי, סרן לירן שצ'וקין, סגן איתמר אקסלגורן</w:t>
      </w:r>
      <w:r w:rsidR="00C6765A" w:rsidRPr="00AF5D82">
        <w:rPr>
          <w:rFonts w:ascii="David" w:hAnsi="David"/>
          <w:sz w:val="28"/>
          <w:rtl/>
        </w:rPr>
        <w:t>)</w:t>
      </w:r>
    </w:p>
    <w:p w14:paraId="0E11E0BE" w14:textId="77777777" w:rsidR="00C6765A" w:rsidRPr="00AF5D82" w:rsidRDefault="00C6765A" w:rsidP="00C6765A">
      <w:pPr>
        <w:jc w:val="center"/>
        <w:rPr>
          <w:rFonts w:ascii="David" w:hAnsi="David"/>
          <w:sz w:val="28"/>
          <w:rtl/>
        </w:rPr>
      </w:pPr>
    </w:p>
    <w:p w14:paraId="5EE7A00E" w14:textId="77777777" w:rsidR="00C6765A" w:rsidRPr="00AF5D82" w:rsidRDefault="00C6765A" w:rsidP="00C6765A">
      <w:pPr>
        <w:jc w:val="center"/>
        <w:rPr>
          <w:rFonts w:ascii="David" w:hAnsi="David"/>
          <w:sz w:val="28"/>
        </w:rPr>
      </w:pPr>
    </w:p>
    <w:p w14:paraId="76F41A6A" w14:textId="77777777" w:rsidR="00C6765A" w:rsidRPr="00AF5D82" w:rsidRDefault="00C6765A" w:rsidP="00C6765A">
      <w:pPr>
        <w:jc w:val="center"/>
        <w:rPr>
          <w:rFonts w:ascii="David" w:hAnsi="David"/>
          <w:sz w:val="28"/>
          <w:rtl/>
        </w:rPr>
      </w:pPr>
    </w:p>
    <w:bookmarkEnd w:id="1"/>
    <w:bookmarkEnd w:id="2"/>
    <w:p w14:paraId="0DA652D7" w14:textId="77777777" w:rsidR="00C6765A" w:rsidRPr="00AF5D82" w:rsidRDefault="00C6765A" w:rsidP="00C6765A">
      <w:pPr>
        <w:spacing w:line="360" w:lineRule="auto"/>
        <w:jc w:val="both"/>
        <w:rPr>
          <w:rFonts w:ascii="David" w:hAnsi="David"/>
          <w:sz w:val="28"/>
          <w:rtl/>
        </w:rPr>
      </w:pPr>
      <w:r w:rsidRPr="00AF5D82">
        <w:rPr>
          <w:rFonts w:ascii="David" w:hAnsi="David"/>
          <w:sz w:val="28"/>
          <w:rtl/>
        </w:rPr>
        <w:t>ערעור על החלטה של בית הדין הצבאי המחוזי במחוז שיפוטי ה</w:t>
      </w:r>
      <w:r>
        <w:rPr>
          <w:rFonts w:ascii="David" w:hAnsi="David" w:hint="cs"/>
          <w:sz w:val="28"/>
          <w:rtl/>
        </w:rPr>
        <w:t>מטכ"ל</w:t>
      </w:r>
      <w:r w:rsidRPr="00AF5D82">
        <w:rPr>
          <w:rFonts w:ascii="David" w:hAnsi="David"/>
          <w:sz w:val="28"/>
          <w:rtl/>
        </w:rPr>
        <w:t xml:space="preserve"> שניתן בתיק </w:t>
      </w:r>
      <w:r>
        <w:rPr>
          <w:rFonts w:ascii="David" w:hAnsi="David" w:hint="cs"/>
          <w:sz w:val="28"/>
          <w:rtl/>
        </w:rPr>
        <w:t>מטכ"ל מ"ת</w:t>
      </w:r>
      <w:r w:rsidRPr="00AF5D82">
        <w:rPr>
          <w:rFonts w:ascii="David" w:hAnsi="David"/>
          <w:sz w:val="28"/>
          <w:rtl/>
        </w:rPr>
        <w:t xml:space="preserve"> </w:t>
      </w:r>
      <w:r>
        <w:rPr>
          <w:rFonts w:ascii="David" w:hAnsi="David" w:hint="cs"/>
          <w:sz w:val="28"/>
          <w:rtl/>
        </w:rPr>
        <w:t xml:space="preserve">1506-10-26 </w:t>
      </w:r>
      <w:r w:rsidRPr="00AF5D82">
        <w:rPr>
          <w:rFonts w:ascii="David" w:hAnsi="David"/>
          <w:sz w:val="28"/>
          <w:rtl/>
        </w:rPr>
        <w:t xml:space="preserve">(סא"ל </w:t>
      </w:r>
      <w:r>
        <w:rPr>
          <w:rFonts w:ascii="David" w:hAnsi="David" w:hint="cs"/>
          <w:sz w:val="28"/>
          <w:rtl/>
        </w:rPr>
        <w:t>חגי בן דב</w:t>
      </w:r>
      <w:r w:rsidRPr="00AF5D82">
        <w:rPr>
          <w:rFonts w:ascii="David" w:hAnsi="David"/>
          <w:sz w:val="28"/>
          <w:rtl/>
        </w:rPr>
        <w:t xml:space="preserve"> – </w:t>
      </w:r>
      <w:r>
        <w:rPr>
          <w:rFonts w:ascii="David" w:hAnsi="David" w:hint="cs"/>
          <w:sz w:val="28"/>
          <w:rtl/>
        </w:rPr>
        <w:t>סגן הנשיא</w:t>
      </w:r>
      <w:r w:rsidRPr="00AF5D82">
        <w:rPr>
          <w:rFonts w:ascii="David" w:hAnsi="David"/>
          <w:sz w:val="28"/>
          <w:rtl/>
        </w:rPr>
        <w:t>) ביום 1</w:t>
      </w:r>
      <w:r>
        <w:rPr>
          <w:rFonts w:ascii="David" w:hAnsi="David" w:hint="cs"/>
          <w:sz w:val="28"/>
          <w:rtl/>
        </w:rPr>
        <w:t>4</w:t>
      </w:r>
      <w:r w:rsidRPr="00AF5D82">
        <w:rPr>
          <w:rFonts w:ascii="David" w:hAnsi="David"/>
          <w:sz w:val="28"/>
          <w:rtl/>
        </w:rPr>
        <w:t xml:space="preserve">.10.2026. ערעור התביעה </w:t>
      </w:r>
      <w:r>
        <w:rPr>
          <w:rFonts w:ascii="David" w:hAnsi="David" w:hint="cs"/>
          <w:sz w:val="28"/>
          <w:rtl/>
        </w:rPr>
        <w:t>נדחה</w:t>
      </w:r>
      <w:r w:rsidRPr="00AF5D82">
        <w:rPr>
          <w:rFonts w:ascii="David" w:hAnsi="David"/>
          <w:sz w:val="28"/>
          <w:rtl/>
        </w:rPr>
        <w:t>.</w:t>
      </w:r>
    </w:p>
    <w:p w14:paraId="6E019715" w14:textId="77777777" w:rsidR="00C6765A" w:rsidRDefault="00C6765A" w:rsidP="008241A5">
      <w:pPr>
        <w:pStyle w:val="1"/>
        <w:spacing w:line="360" w:lineRule="auto"/>
        <w:ind w:left="-58"/>
        <w:jc w:val="center"/>
        <w:rPr>
          <w:rFonts w:ascii="Calibri" w:eastAsia="Calibri" w:hAnsi="Calibri" w:cs="David"/>
          <w:b/>
          <w:bCs/>
          <w:sz w:val="28"/>
          <w:szCs w:val="28"/>
          <w:u w:val="single"/>
          <w:rtl/>
        </w:rPr>
      </w:pPr>
    </w:p>
    <w:p w14:paraId="18F4E35B" w14:textId="77777777" w:rsidR="00D70000" w:rsidRDefault="00D70000" w:rsidP="008241A5">
      <w:pPr>
        <w:pStyle w:val="1"/>
        <w:spacing w:line="360" w:lineRule="auto"/>
        <w:ind w:left="-58"/>
        <w:jc w:val="center"/>
        <w:rPr>
          <w:rFonts w:ascii="Calibri" w:eastAsia="Calibri" w:hAnsi="Calibri" w:cs="David"/>
          <w:b/>
          <w:bCs/>
          <w:sz w:val="28"/>
          <w:szCs w:val="28"/>
          <w:u w:val="single"/>
          <w:rtl/>
        </w:rPr>
      </w:pPr>
    </w:p>
    <w:p w14:paraId="1C4E3E36" w14:textId="77777777" w:rsidR="00D70000" w:rsidRDefault="00D70000" w:rsidP="008241A5">
      <w:pPr>
        <w:pStyle w:val="1"/>
        <w:spacing w:line="360" w:lineRule="auto"/>
        <w:ind w:left="-58"/>
        <w:jc w:val="center"/>
        <w:rPr>
          <w:rFonts w:ascii="Calibri" w:eastAsia="Calibri" w:hAnsi="Calibri" w:cs="David"/>
          <w:b/>
          <w:bCs/>
          <w:sz w:val="28"/>
          <w:szCs w:val="28"/>
          <w:u w:val="single"/>
          <w:rtl/>
        </w:rPr>
      </w:pPr>
    </w:p>
    <w:p w14:paraId="4B58C4D3" w14:textId="77777777" w:rsidR="00D70000" w:rsidRDefault="00D70000" w:rsidP="008241A5">
      <w:pPr>
        <w:pStyle w:val="1"/>
        <w:spacing w:line="360" w:lineRule="auto"/>
        <w:ind w:left="-58"/>
        <w:jc w:val="center"/>
        <w:rPr>
          <w:rFonts w:ascii="Calibri" w:eastAsia="Calibri" w:hAnsi="Calibri" w:cs="David"/>
          <w:b/>
          <w:bCs/>
          <w:sz w:val="28"/>
          <w:szCs w:val="28"/>
          <w:u w:val="single"/>
          <w:rtl/>
        </w:rPr>
      </w:pPr>
    </w:p>
    <w:p w14:paraId="01691BD2" w14:textId="77777777" w:rsidR="00D70000" w:rsidRDefault="00D70000" w:rsidP="008241A5">
      <w:pPr>
        <w:pStyle w:val="1"/>
        <w:spacing w:line="360" w:lineRule="auto"/>
        <w:ind w:left="-58"/>
        <w:jc w:val="center"/>
        <w:rPr>
          <w:rFonts w:ascii="Calibri" w:eastAsia="Calibri" w:hAnsi="Calibri" w:cs="David"/>
          <w:b/>
          <w:bCs/>
          <w:sz w:val="28"/>
          <w:szCs w:val="28"/>
          <w:u w:val="single"/>
          <w:rtl/>
        </w:rPr>
      </w:pPr>
    </w:p>
    <w:p w14:paraId="5F5B21EA" w14:textId="77777777" w:rsidR="00D70000" w:rsidRDefault="00D70000" w:rsidP="008241A5">
      <w:pPr>
        <w:pStyle w:val="1"/>
        <w:spacing w:line="360" w:lineRule="auto"/>
        <w:ind w:left="-58"/>
        <w:jc w:val="center"/>
        <w:rPr>
          <w:rFonts w:ascii="Calibri" w:eastAsia="Calibri" w:hAnsi="Calibri" w:cs="David"/>
          <w:b/>
          <w:bCs/>
          <w:sz w:val="28"/>
          <w:szCs w:val="28"/>
          <w:u w:val="single"/>
          <w:rtl/>
        </w:rPr>
      </w:pPr>
    </w:p>
    <w:p w14:paraId="5D9FDCFA" w14:textId="77777777" w:rsidR="00D70000" w:rsidRDefault="00D70000" w:rsidP="008241A5">
      <w:pPr>
        <w:pStyle w:val="1"/>
        <w:spacing w:line="360" w:lineRule="auto"/>
        <w:ind w:left="-58"/>
        <w:jc w:val="center"/>
        <w:rPr>
          <w:rFonts w:ascii="Calibri" w:eastAsia="Calibri" w:hAnsi="Calibri" w:cs="David"/>
          <w:b/>
          <w:bCs/>
          <w:sz w:val="28"/>
          <w:szCs w:val="28"/>
          <w:u w:val="single"/>
          <w:rtl/>
        </w:rPr>
      </w:pPr>
    </w:p>
    <w:p w14:paraId="5ABAA0C7" w14:textId="2DDF63BA" w:rsidR="00A53927" w:rsidRDefault="00A53927" w:rsidP="008241A5">
      <w:pPr>
        <w:pStyle w:val="1"/>
        <w:spacing w:line="360" w:lineRule="auto"/>
        <w:ind w:left="-58"/>
        <w:jc w:val="center"/>
        <w:rPr>
          <w:rFonts w:ascii="Calibri" w:eastAsia="Calibri" w:hAnsi="Calibri" w:cs="David"/>
          <w:b/>
          <w:bCs/>
          <w:sz w:val="28"/>
          <w:szCs w:val="28"/>
          <w:u w:val="single"/>
          <w:rtl/>
        </w:rPr>
      </w:pPr>
      <w:r>
        <w:rPr>
          <w:rFonts w:ascii="Calibri" w:eastAsia="Calibri" w:hAnsi="Calibri" w:cs="David" w:hint="cs"/>
          <w:b/>
          <w:bCs/>
          <w:sz w:val="28"/>
          <w:szCs w:val="28"/>
          <w:u w:val="single"/>
          <w:rtl/>
        </w:rPr>
        <w:lastRenderedPageBreak/>
        <w:t>ה ח ל ט ה</w:t>
      </w:r>
    </w:p>
    <w:p w14:paraId="594FFBDE" w14:textId="77777777" w:rsidR="00A53927" w:rsidRDefault="00A53927" w:rsidP="008241A5">
      <w:pPr>
        <w:pStyle w:val="1"/>
        <w:spacing w:line="360" w:lineRule="auto"/>
        <w:ind w:left="-58"/>
        <w:jc w:val="center"/>
        <w:rPr>
          <w:rFonts w:ascii="Calibri" w:eastAsia="Calibri" w:hAnsi="Calibri" w:cs="David"/>
          <w:b/>
          <w:bCs/>
          <w:sz w:val="28"/>
          <w:szCs w:val="28"/>
          <w:u w:val="single"/>
          <w:rtl/>
        </w:rPr>
      </w:pPr>
    </w:p>
    <w:p w14:paraId="56B97AD7" w14:textId="77777777" w:rsidR="00A53927" w:rsidRDefault="00A53927" w:rsidP="00A53927">
      <w:pPr>
        <w:pStyle w:val="1"/>
        <w:spacing w:line="360" w:lineRule="auto"/>
        <w:ind w:left="-58"/>
        <w:jc w:val="both"/>
        <w:rPr>
          <w:rFonts w:ascii="Calibri" w:eastAsia="Calibri" w:hAnsi="Calibri" w:cs="David"/>
          <w:sz w:val="28"/>
          <w:szCs w:val="28"/>
          <w:rtl/>
        </w:rPr>
      </w:pPr>
      <w:r>
        <w:rPr>
          <w:rFonts w:ascii="Calibri" w:eastAsia="Calibri" w:hAnsi="Calibri" w:cs="David" w:hint="cs"/>
          <w:sz w:val="28"/>
          <w:szCs w:val="28"/>
          <w:rtl/>
        </w:rPr>
        <w:t xml:space="preserve">לאחר שמיעת טיעוני הצדדים, מצאתי שלא להתערב בהחלטת בית הדין המחוזי. ערעור התביעה נדחה, אפוא, והמשיב ישוחרר לתנאי מעצר פתוח במיטב. </w:t>
      </w:r>
    </w:p>
    <w:p w14:paraId="19362FDB" w14:textId="6ECEE277" w:rsidR="00A53927" w:rsidRDefault="00A53927" w:rsidP="00C6765A">
      <w:pPr>
        <w:pStyle w:val="1"/>
        <w:spacing w:line="360" w:lineRule="auto"/>
        <w:ind w:left="-58"/>
        <w:jc w:val="both"/>
        <w:rPr>
          <w:rFonts w:ascii="Calibri" w:eastAsia="Calibri" w:hAnsi="Calibri" w:cs="David"/>
          <w:sz w:val="28"/>
          <w:szCs w:val="28"/>
          <w:rtl/>
        </w:rPr>
      </w:pPr>
      <w:r>
        <w:rPr>
          <w:rFonts w:ascii="Calibri" w:eastAsia="Calibri" w:hAnsi="Calibri" w:cs="David" w:hint="cs"/>
          <w:sz w:val="28"/>
          <w:szCs w:val="28"/>
          <w:rtl/>
        </w:rPr>
        <w:t>נימוקי ההחלטה יימסרו לצדדים בהמשך</w:t>
      </w:r>
      <w:r w:rsidR="00C6765A">
        <w:rPr>
          <w:rFonts w:ascii="Calibri" w:eastAsia="Calibri" w:hAnsi="Calibri" w:cs="David" w:hint="cs"/>
          <w:sz w:val="28"/>
          <w:szCs w:val="28"/>
          <w:rtl/>
        </w:rPr>
        <w:t>.</w:t>
      </w:r>
    </w:p>
    <w:p w14:paraId="218D41F0" w14:textId="77777777" w:rsidR="00D70000" w:rsidRDefault="00D70000" w:rsidP="00C6765A">
      <w:pPr>
        <w:pStyle w:val="1"/>
        <w:spacing w:line="360" w:lineRule="auto"/>
        <w:ind w:left="-58"/>
        <w:jc w:val="both"/>
        <w:rPr>
          <w:rFonts w:ascii="Calibri" w:eastAsia="Calibri" w:hAnsi="Calibri" w:cs="David"/>
          <w:sz w:val="28"/>
          <w:szCs w:val="28"/>
          <w:rtl/>
        </w:rPr>
      </w:pPr>
    </w:p>
    <w:p w14:paraId="1E02CFDC" w14:textId="77777777" w:rsidR="00A53927" w:rsidRPr="00A53927" w:rsidRDefault="00A53927" w:rsidP="00A53927">
      <w:pPr>
        <w:pStyle w:val="1"/>
        <w:spacing w:line="360" w:lineRule="auto"/>
        <w:ind w:left="-58"/>
        <w:jc w:val="both"/>
        <w:rPr>
          <w:rFonts w:ascii="Calibri" w:eastAsia="Calibri" w:hAnsi="Calibri" w:cs="David"/>
          <w:sz w:val="28"/>
          <w:szCs w:val="28"/>
          <w:rtl/>
        </w:rPr>
      </w:pPr>
    </w:p>
    <w:p w14:paraId="6F0359C4" w14:textId="5F40F9C3" w:rsidR="008241A5" w:rsidRDefault="003C04BB" w:rsidP="008241A5">
      <w:pPr>
        <w:pStyle w:val="1"/>
        <w:spacing w:line="360" w:lineRule="auto"/>
        <w:ind w:left="-58"/>
        <w:jc w:val="center"/>
        <w:rPr>
          <w:rFonts w:ascii="Calibri" w:eastAsia="Calibri" w:hAnsi="Calibri" w:cs="David"/>
          <w:b/>
          <w:bCs/>
          <w:sz w:val="28"/>
          <w:szCs w:val="28"/>
          <w:u w:val="single"/>
          <w:rtl/>
        </w:rPr>
      </w:pPr>
      <w:r>
        <w:rPr>
          <w:rFonts w:ascii="Calibri" w:eastAsia="Calibri" w:hAnsi="Calibri" w:cs="David" w:hint="cs"/>
          <w:b/>
          <w:bCs/>
          <w:sz w:val="28"/>
          <w:szCs w:val="28"/>
          <w:u w:val="single"/>
          <w:rtl/>
        </w:rPr>
        <w:t xml:space="preserve"> נ י מ ו ק י  - </w:t>
      </w:r>
      <w:r w:rsidRPr="008241A5">
        <w:rPr>
          <w:rFonts w:ascii="Calibri" w:eastAsia="Calibri" w:hAnsi="Calibri" w:cs="David" w:hint="cs"/>
          <w:b/>
          <w:bCs/>
          <w:sz w:val="28"/>
          <w:szCs w:val="28"/>
          <w:u w:val="single"/>
          <w:rtl/>
        </w:rPr>
        <w:t>ה</w:t>
      </w:r>
      <w:r w:rsidRPr="008241A5">
        <w:rPr>
          <w:rFonts w:ascii="Calibri" w:eastAsia="Calibri" w:hAnsi="Calibri" w:cs="David"/>
          <w:b/>
          <w:bCs/>
          <w:sz w:val="28"/>
          <w:szCs w:val="28"/>
          <w:u w:val="single"/>
          <w:rtl/>
        </w:rPr>
        <w:t xml:space="preserve"> </w:t>
      </w:r>
      <w:r w:rsidRPr="008241A5">
        <w:rPr>
          <w:rFonts w:ascii="Calibri" w:eastAsia="Calibri" w:hAnsi="Calibri" w:cs="David" w:hint="cs"/>
          <w:b/>
          <w:bCs/>
          <w:sz w:val="28"/>
          <w:szCs w:val="28"/>
          <w:u w:val="single"/>
          <w:rtl/>
        </w:rPr>
        <w:t>ח</w:t>
      </w:r>
      <w:r w:rsidRPr="008241A5">
        <w:rPr>
          <w:rFonts w:ascii="Calibri" w:eastAsia="Calibri" w:hAnsi="Calibri" w:cs="David"/>
          <w:b/>
          <w:bCs/>
          <w:sz w:val="28"/>
          <w:szCs w:val="28"/>
          <w:u w:val="single"/>
          <w:rtl/>
        </w:rPr>
        <w:t xml:space="preserve"> </w:t>
      </w:r>
      <w:r w:rsidRPr="008241A5">
        <w:rPr>
          <w:rFonts w:ascii="Calibri" w:eastAsia="Calibri" w:hAnsi="Calibri" w:cs="David" w:hint="cs"/>
          <w:b/>
          <w:bCs/>
          <w:sz w:val="28"/>
          <w:szCs w:val="28"/>
          <w:u w:val="single"/>
          <w:rtl/>
        </w:rPr>
        <w:t>ל</w:t>
      </w:r>
      <w:r w:rsidRPr="008241A5">
        <w:rPr>
          <w:rFonts w:ascii="Calibri" w:eastAsia="Calibri" w:hAnsi="Calibri" w:cs="David"/>
          <w:b/>
          <w:bCs/>
          <w:sz w:val="28"/>
          <w:szCs w:val="28"/>
          <w:u w:val="single"/>
          <w:rtl/>
        </w:rPr>
        <w:t xml:space="preserve"> </w:t>
      </w:r>
      <w:r w:rsidRPr="008241A5">
        <w:rPr>
          <w:rFonts w:ascii="Calibri" w:eastAsia="Calibri" w:hAnsi="Calibri" w:cs="David" w:hint="cs"/>
          <w:b/>
          <w:bCs/>
          <w:sz w:val="28"/>
          <w:szCs w:val="28"/>
          <w:u w:val="single"/>
          <w:rtl/>
        </w:rPr>
        <w:t>ט</w:t>
      </w:r>
      <w:r w:rsidRPr="008241A5">
        <w:rPr>
          <w:rFonts w:ascii="Calibri" w:eastAsia="Calibri" w:hAnsi="Calibri" w:cs="David"/>
          <w:b/>
          <w:bCs/>
          <w:sz w:val="28"/>
          <w:szCs w:val="28"/>
          <w:u w:val="single"/>
          <w:rtl/>
        </w:rPr>
        <w:t xml:space="preserve"> </w:t>
      </w:r>
      <w:r w:rsidRPr="008241A5">
        <w:rPr>
          <w:rFonts w:ascii="Calibri" w:eastAsia="Calibri" w:hAnsi="Calibri" w:cs="David" w:hint="cs"/>
          <w:b/>
          <w:bCs/>
          <w:sz w:val="28"/>
          <w:szCs w:val="28"/>
          <w:u w:val="single"/>
          <w:rtl/>
        </w:rPr>
        <w:t>ה</w:t>
      </w:r>
    </w:p>
    <w:p w14:paraId="6E97B2D4" w14:textId="77777777" w:rsidR="00AC0486" w:rsidRPr="008241A5" w:rsidRDefault="00AC0486" w:rsidP="008241A5">
      <w:pPr>
        <w:pStyle w:val="1"/>
        <w:spacing w:line="360" w:lineRule="auto"/>
        <w:ind w:left="-58"/>
        <w:jc w:val="center"/>
        <w:rPr>
          <w:rFonts w:ascii="Calibri" w:eastAsia="Calibri" w:hAnsi="Calibri" w:cs="David"/>
          <w:b/>
          <w:bCs/>
          <w:sz w:val="28"/>
          <w:szCs w:val="28"/>
          <w:u w:val="single"/>
          <w:rtl/>
        </w:rPr>
      </w:pPr>
    </w:p>
    <w:p w14:paraId="4CB46E51" w14:textId="77777777" w:rsidR="002B70E8" w:rsidRDefault="003C04BB" w:rsidP="008241A5">
      <w:pPr>
        <w:numPr>
          <w:ilvl w:val="0"/>
          <w:numId w:val="1"/>
        </w:numPr>
        <w:tabs>
          <w:tab w:val="num" w:pos="386"/>
        </w:tabs>
        <w:spacing w:line="360" w:lineRule="auto"/>
        <w:ind w:left="-58"/>
        <w:contextualSpacing/>
        <w:jc w:val="both"/>
        <w:rPr>
          <w:sz w:val="28"/>
        </w:rPr>
      </w:pPr>
      <w:bookmarkStart w:id="3" w:name="ABSTRACT_START"/>
      <w:bookmarkEnd w:id="0"/>
      <w:bookmarkEnd w:id="3"/>
      <w:r>
        <w:rPr>
          <w:rFonts w:hint="cs"/>
          <w:sz w:val="28"/>
          <w:rtl/>
        </w:rPr>
        <w:t xml:space="preserve">ביום </w:t>
      </w:r>
      <w:r w:rsidR="00683848">
        <w:rPr>
          <w:rFonts w:hint="cs"/>
          <w:sz w:val="28"/>
          <w:rtl/>
        </w:rPr>
        <w:t>15 באוקטובר 2026</w:t>
      </w:r>
      <w:r w:rsidR="00785279">
        <w:rPr>
          <w:rFonts w:hint="cs"/>
          <w:sz w:val="28"/>
          <w:rtl/>
        </w:rPr>
        <w:t>,</w:t>
      </w:r>
      <w:r>
        <w:rPr>
          <w:rFonts w:hint="cs"/>
          <w:sz w:val="28"/>
          <w:rtl/>
        </w:rPr>
        <w:t xml:space="preserve"> בתום שמיעת טיעוני הצדדים</w:t>
      </w:r>
      <w:r w:rsidR="00785279">
        <w:rPr>
          <w:rFonts w:hint="cs"/>
          <w:sz w:val="28"/>
          <w:rtl/>
        </w:rPr>
        <w:t>,</w:t>
      </w:r>
      <w:r>
        <w:rPr>
          <w:rFonts w:hint="cs"/>
          <w:sz w:val="28"/>
          <w:rtl/>
        </w:rPr>
        <w:t xml:space="preserve"> החלטתי לדחות את ערעור התביעה על החלטת בית הדין קמא (כב' סגן הנשיא </w:t>
      </w:r>
      <w:r>
        <w:rPr>
          <w:sz w:val="28"/>
          <w:rtl/>
        </w:rPr>
        <w:t>–</w:t>
      </w:r>
      <w:r>
        <w:rPr>
          <w:rFonts w:hint="cs"/>
          <w:sz w:val="28"/>
          <w:rtl/>
        </w:rPr>
        <w:t xml:space="preserve"> סא"ל בן דב) שהורתה על שחרור המשיב למעצר פתוח במיטב עד לתום ההליכים המשפטיים בעניינו. להלן יובאו נימוקיי. </w:t>
      </w:r>
    </w:p>
    <w:p w14:paraId="40F90AA5" w14:textId="56E55A14" w:rsidR="008241A5" w:rsidRDefault="003C04BB" w:rsidP="008241A5">
      <w:pPr>
        <w:numPr>
          <w:ilvl w:val="0"/>
          <w:numId w:val="1"/>
        </w:numPr>
        <w:tabs>
          <w:tab w:val="num" w:pos="386"/>
        </w:tabs>
        <w:spacing w:line="360" w:lineRule="auto"/>
        <w:ind w:left="-58"/>
        <w:contextualSpacing/>
        <w:jc w:val="both"/>
        <w:rPr>
          <w:sz w:val="28"/>
        </w:rPr>
      </w:pPr>
      <w:r w:rsidRPr="008241A5">
        <w:rPr>
          <w:rFonts w:hint="cs"/>
          <w:sz w:val="28"/>
          <w:rtl/>
        </w:rPr>
        <w:t>המשיב, טור' ש</w:t>
      </w:r>
      <w:r w:rsidR="00CA7186">
        <w:rPr>
          <w:rFonts w:hint="cs"/>
          <w:sz w:val="28"/>
          <w:rtl/>
        </w:rPr>
        <w:t>'</w:t>
      </w:r>
      <w:r w:rsidRPr="008241A5">
        <w:rPr>
          <w:rFonts w:hint="cs"/>
          <w:sz w:val="28"/>
          <w:rtl/>
        </w:rPr>
        <w:t xml:space="preserve"> א</w:t>
      </w:r>
      <w:r w:rsidR="00CA7186">
        <w:rPr>
          <w:rFonts w:hint="cs"/>
          <w:sz w:val="28"/>
          <w:rtl/>
        </w:rPr>
        <w:t>'</w:t>
      </w:r>
      <w:r w:rsidRPr="008241A5">
        <w:rPr>
          <w:rFonts w:hint="cs"/>
          <w:sz w:val="28"/>
          <w:rtl/>
        </w:rPr>
        <w:t xml:space="preserve">, נעצר ביום </w:t>
      </w:r>
      <w:r w:rsidR="00785279">
        <w:rPr>
          <w:rFonts w:hint="cs"/>
          <w:sz w:val="28"/>
          <w:rtl/>
        </w:rPr>
        <w:t>30 בספטמבר 2026 בנמל התעופה בן גוריון</w:t>
      </w:r>
      <w:r w:rsidRPr="008241A5">
        <w:rPr>
          <w:rFonts w:hint="cs"/>
          <w:sz w:val="28"/>
          <w:rtl/>
        </w:rPr>
        <w:t xml:space="preserve">. ביום </w:t>
      </w:r>
      <w:r w:rsidR="00785279">
        <w:rPr>
          <w:rFonts w:hint="cs"/>
          <w:sz w:val="28"/>
          <w:rtl/>
        </w:rPr>
        <w:t>5 אוקטובר 2026</w:t>
      </w:r>
      <w:r w:rsidRPr="008241A5">
        <w:rPr>
          <w:rFonts w:hint="cs"/>
          <w:sz w:val="28"/>
          <w:rtl/>
        </w:rPr>
        <w:t xml:space="preserve"> הוגש נגדו כתב אישום, המייחס לו עביר</w:t>
      </w:r>
      <w:r w:rsidR="000D37A3">
        <w:rPr>
          <w:rFonts w:hint="cs"/>
          <w:sz w:val="28"/>
          <w:rtl/>
        </w:rPr>
        <w:t xml:space="preserve">ה של </w:t>
      </w:r>
      <w:r w:rsidRPr="008241A5">
        <w:rPr>
          <w:rFonts w:hint="cs"/>
          <w:sz w:val="28"/>
          <w:rtl/>
        </w:rPr>
        <w:t xml:space="preserve">היעדר מן השירות שלא ברשות, לפי </w:t>
      </w:r>
      <w:r w:rsidR="00B21647">
        <w:rPr>
          <w:rFonts w:hint="cs"/>
          <w:rtl/>
        </w:rPr>
        <w:t>סעיף 94 לחוק השיפוט הצבאי</w:t>
      </w:r>
      <w:r w:rsidRPr="008241A5">
        <w:rPr>
          <w:rFonts w:hint="cs"/>
          <w:sz w:val="28"/>
          <w:rtl/>
        </w:rPr>
        <w:t xml:space="preserve">, התשט"ו-1955, </w:t>
      </w:r>
      <w:r w:rsidR="002B70E8">
        <w:rPr>
          <w:rFonts w:hint="cs"/>
          <w:sz w:val="28"/>
          <w:rtl/>
        </w:rPr>
        <w:t xml:space="preserve">בגין היעדרות </w:t>
      </w:r>
      <w:r>
        <w:rPr>
          <w:rFonts w:hint="cs"/>
          <w:sz w:val="28"/>
          <w:rtl/>
        </w:rPr>
        <w:t xml:space="preserve">ממיטב </w:t>
      </w:r>
      <w:r w:rsidR="006B0C41">
        <w:rPr>
          <w:rFonts w:hint="cs"/>
          <w:sz w:val="28"/>
          <w:rtl/>
        </w:rPr>
        <w:t xml:space="preserve">שהחלה ביום </w:t>
      </w:r>
      <w:r w:rsidR="00DE292D">
        <w:rPr>
          <w:rFonts w:hint="cs"/>
          <w:sz w:val="28"/>
          <w:rtl/>
        </w:rPr>
        <w:t xml:space="preserve">28 בינואר 2025 </w:t>
      </w:r>
      <w:r w:rsidR="006B0C41">
        <w:rPr>
          <w:rFonts w:hint="cs"/>
          <w:sz w:val="28"/>
          <w:rtl/>
        </w:rPr>
        <w:t>ונ</w:t>
      </w:r>
      <w:r w:rsidR="002B70E8">
        <w:rPr>
          <w:rFonts w:hint="cs"/>
          <w:sz w:val="28"/>
          <w:rtl/>
        </w:rPr>
        <w:t>משכה</w:t>
      </w:r>
      <w:r w:rsidRPr="008241A5">
        <w:rPr>
          <w:rFonts w:hint="cs"/>
          <w:sz w:val="28"/>
          <w:rtl/>
        </w:rPr>
        <w:t xml:space="preserve"> 611 ימים</w:t>
      </w:r>
      <w:r w:rsidR="006B0C41">
        <w:rPr>
          <w:rFonts w:hint="cs"/>
          <w:sz w:val="28"/>
          <w:rtl/>
        </w:rPr>
        <w:t>,</w:t>
      </w:r>
      <w:r w:rsidR="002B70E8">
        <w:rPr>
          <w:rFonts w:hint="cs"/>
          <w:sz w:val="28"/>
          <w:rtl/>
        </w:rPr>
        <w:t xml:space="preserve"> במהלך המלחמה</w:t>
      </w:r>
      <w:r w:rsidRPr="008241A5">
        <w:rPr>
          <w:rFonts w:hint="cs"/>
          <w:sz w:val="28"/>
          <w:rtl/>
        </w:rPr>
        <w:t>. בד בבד, עתרה התביעה להאריך את מעצרו הממשי עד לתום ההליכים המשפטיים</w:t>
      </w:r>
      <w:bookmarkStart w:id="4" w:name="ABSTRACT_END"/>
      <w:bookmarkEnd w:id="4"/>
      <w:r w:rsidRPr="008241A5">
        <w:rPr>
          <w:rFonts w:hint="cs"/>
          <w:sz w:val="28"/>
          <w:rtl/>
        </w:rPr>
        <w:t>. בית הדין המחוזי דחה את בקשת התביעה והורה</w:t>
      </w:r>
      <w:r w:rsidR="002B70E8">
        <w:rPr>
          <w:rFonts w:hint="cs"/>
          <w:sz w:val="28"/>
          <w:rtl/>
        </w:rPr>
        <w:t>, כאמור,</w:t>
      </w:r>
      <w:r w:rsidRPr="008241A5">
        <w:rPr>
          <w:rFonts w:hint="cs"/>
          <w:sz w:val="28"/>
          <w:rtl/>
        </w:rPr>
        <w:t xml:space="preserve"> לשחרר את המשיב למעצר פתוח במיטב עד לתום ההליכים. התביעה לא השלימה עם ההחלטה ומכאן הערעור. </w:t>
      </w:r>
    </w:p>
    <w:p w14:paraId="2D1A2107" w14:textId="77777777" w:rsidR="00AC0486" w:rsidRPr="00AC0486" w:rsidRDefault="003C04BB" w:rsidP="002B70E8">
      <w:pPr>
        <w:pStyle w:val="Heading1"/>
      </w:pPr>
      <w:r w:rsidRPr="00AC0486">
        <w:rPr>
          <w:rFonts w:hint="cs"/>
          <w:rtl/>
        </w:rPr>
        <w:t>החלטת בית הדין המחוזי</w:t>
      </w:r>
    </w:p>
    <w:p w14:paraId="5E71CF26" w14:textId="66CB6B0A" w:rsidR="00B21647" w:rsidRDefault="003C04BB" w:rsidP="00C6765A">
      <w:pPr>
        <w:numPr>
          <w:ilvl w:val="0"/>
          <w:numId w:val="1"/>
        </w:numPr>
        <w:spacing w:line="360" w:lineRule="auto"/>
        <w:contextualSpacing/>
        <w:jc w:val="both"/>
        <w:rPr>
          <w:sz w:val="28"/>
        </w:rPr>
      </w:pPr>
      <w:r w:rsidRPr="008241A5">
        <w:rPr>
          <w:rFonts w:hint="cs"/>
          <w:sz w:val="28"/>
          <w:rtl/>
        </w:rPr>
        <w:t xml:space="preserve">במוקד הדיון בבית הדין המחוזי, עמדה סוגית </w:t>
      </w:r>
      <w:r w:rsidR="00785279">
        <w:rPr>
          <w:rFonts w:hint="cs"/>
          <w:sz w:val="28"/>
          <w:rtl/>
        </w:rPr>
        <w:t>ה</w:t>
      </w:r>
      <w:r w:rsidRPr="008241A5">
        <w:rPr>
          <w:rFonts w:hint="cs"/>
          <w:sz w:val="28"/>
          <w:rtl/>
        </w:rPr>
        <w:t xml:space="preserve">חוקיות </w:t>
      </w:r>
      <w:r w:rsidR="00785279">
        <w:rPr>
          <w:rFonts w:hint="cs"/>
          <w:sz w:val="28"/>
          <w:rtl/>
        </w:rPr>
        <w:t xml:space="preserve">של </w:t>
      </w:r>
      <w:r>
        <w:rPr>
          <w:rFonts w:hint="cs"/>
          <w:sz w:val="28"/>
          <w:rtl/>
        </w:rPr>
        <w:t xml:space="preserve">קריאת המשיב </w:t>
      </w:r>
      <w:r w:rsidRPr="008241A5">
        <w:rPr>
          <w:rFonts w:hint="cs"/>
          <w:sz w:val="28"/>
          <w:rtl/>
        </w:rPr>
        <w:t xml:space="preserve">לשירות ביטחון </w:t>
      </w:r>
      <w:r>
        <w:rPr>
          <w:rFonts w:hint="cs"/>
          <w:sz w:val="28"/>
          <w:rtl/>
        </w:rPr>
        <w:t>מכוח צו לפי סעיף 12 לחוק שירות ביטחון [נוסח משולב], התשמ"ו-1986</w:t>
      </w:r>
      <w:r w:rsidR="00B21647">
        <w:rPr>
          <w:rFonts w:hint="cs"/>
          <w:sz w:val="28"/>
          <w:rtl/>
        </w:rPr>
        <w:t xml:space="preserve"> (להלן </w:t>
      </w:r>
      <w:r w:rsidR="00B21647">
        <w:rPr>
          <w:sz w:val="28"/>
          <w:rtl/>
        </w:rPr>
        <w:t>–</w:t>
      </w:r>
      <w:r w:rsidR="00B21647">
        <w:rPr>
          <w:rFonts w:hint="cs"/>
          <w:sz w:val="28"/>
          <w:rtl/>
        </w:rPr>
        <w:t xml:space="preserve"> </w:t>
      </w:r>
      <w:r w:rsidR="00B21647" w:rsidRPr="00B21647">
        <w:rPr>
          <w:rFonts w:hint="cs"/>
          <w:b/>
          <w:bCs/>
          <w:sz w:val="28"/>
          <w:rtl/>
        </w:rPr>
        <w:t>החוק</w:t>
      </w:r>
      <w:r w:rsidR="00B21647">
        <w:rPr>
          <w:rFonts w:hint="cs"/>
          <w:sz w:val="28"/>
          <w:rtl/>
        </w:rPr>
        <w:t>)</w:t>
      </w:r>
      <w:r>
        <w:rPr>
          <w:rFonts w:hint="cs"/>
          <w:sz w:val="28"/>
          <w:rtl/>
        </w:rPr>
        <w:t xml:space="preserve">. מעמדו של המשיב כמי ש"תורתו אומנותו" (בין השנים 2019 ל </w:t>
      </w:r>
      <w:r>
        <w:rPr>
          <w:sz w:val="28"/>
          <w:rtl/>
        </w:rPr>
        <w:t>–</w:t>
      </w:r>
      <w:r>
        <w:rPr>
          <w:rFonts w:hint="cs"/>
          <w:sz w:val="28"/>
          <w:rtl/>
        </w:rPr>
        <w:t xml:space="preserve"> 2023) פקע </w:t>
      </w:r>
      <w:r w:rsidR="00921C14">
        <w:rPr>
          <w:rFonts w:hint="cs"/>
          <w:sz w:val="28"/>
          <w:rtl/>
        </w:rPr>
        <w:t>לאחר</w:t>
      </w:r>
      <w:r>
        <w:rPr>
          <w:rFonts w:hint="cs"/>
          <w:sz w:val="28"/>
          <w:rtl/>
        </w:rPr>
        <w:t xml:space="preserve"> פקיעת </w:t>
      </w:r>
      <w:r w:rsidRPr="00C65120">
        <w:rPr>
          <w:rFonts w:hint="cs"/>
          <w:sz w:val="28"/>
          <w:rtl/>
        </w:rPr>
        <w:t>פרק ג'1</w:t>
      </w:r>
      <w:r>
        <w:rPr>
          <w:rFonts w:hint="cs"/>
          <w:sz w:val="28"/>
          <w:rtl/>
        </w:rPr>
        <w:t xml:space="preserve"> לחוק שירות ביטחון שכותרתו "</w:t>
      </w:r>
      <w:r w:rsidRPr="00C65120">
        <w:rPr>
          <w:sz w:val="28"/>
          <w:rtl/>
        </w:rPr>
        <w:t>הקפאת הליכי מעצר, חקירה או אכיפה כלפי מיועד לשירות ביטחון שהוא תלמיד ישיבה – הוראת שעה</w:t>
      </w:r>
      <w:r>
        <w:rPr>
          <w:rFonts w:hint="cs"/>
          <w:sz w:val="28"/>
          <w:rtl/>
        </w:rPr>
        <w:t>" (לסקירת עיקרי ההסדר שנקבע בפרק זה עד לפקיעתו</w:t>
      </w:r>
      <w:r w:rsidR="00DE292D" w:rsidRPr="00DE292D">
        <w:rPr>
          <w:rFonts w:hint="cs"/>
          <w:sz w:val="28"/>
          <w:rtl/>
        </w:rPr>
        <w:t xml:space="preserve"> </w:t>
      </w:r>
      <w:r w:rsidR="00DE292D">
        <w:rPr>
          <w:rFonts w:hint="cs"/>
          <w:sz w:val="28"/>
          <w:rtl/>
        </w:rPr>
        <w:t>ביום 30 ביוני 2023</w:t>
      </w:r>
      <w:r>
        <w:rPr>
          <w:rFonts w:hint="cs"/>
          <w:sz w:val="28"/>
          <w:rtl/>
        </w:rPr>
        <w:t xml:space="preserve">, ראו בג"ץ 6198/23 </w:t>
      </w:r>
      <w:r w:rsidRPr="00C65120">
        <w:rPr>
          <w:rFonts w:hint="cs"/>
          <w:b/>
          <w:bCs/>
          <w:sz w:val="28"/>
          <w:rtl/>
        </w:rPr>
        <w:t xml:space="preserve">התנועה למען איכות השלטון בישראל ו </w:t>
      </w:r>
      <w:r w:rsidRPr="00C65120">
        <w:rPr>
          <w:b/>
          <w:bCs/>
          <w:sz w:val="28"/>
          <w:rtl/>
        </w:rPr>
        <w:t>–</w:t>
      </w:r>
      <w:r w:rsidRPr="00C65120">
        <w:rPr>
          <w:rFonts w:hint="cs"/>
          <w:b/>
          <w:bCs/>
          <w:sz w:val="28"/>
          <w:rtl/>
        </w:rPr>
        <w:t xml:space="preserve"> 391 אח' נ' שר הביטחון</w:t>
      </w:r>
      <w:r>
        <w:rPr>
          <w:rFonts w:hint="cs"/>
          <w:sz w:val="28"/>
          <w:rtl/>
        </w:rPr>
        <w:t xml:space="preserve">, פסקאות 9-7 (25.6.2024)). </w:t>
      </w:r>
      <w:r w:rsidR="00B21647">
        <w:rPr>
          <w:rFonts w:hint="cs"/>
          <w:sz w:val="28"/>
          <w:rtl/>
        </w:rPr>
        <w:t xml:space="preserve">כך סקר בתמצית בית הדין קמא את תשתית הראיות לכאורה בעניינו של המשיב </w:t>
      </w:r>
      <w:r w:rsidR="00B21647">
        <w:rPr>
          <w:sz w:val="28"/>
          <w:rtl/>
        </w:rPr>
        <w:t>–</w:t>
      </w:r>
      <w:r w:rsidR="00B21647">
        <w:rPr>
          <w:rFonts w:hint="cs"/>
          <w:sz w:val="28"/>
          <w:rtl/>
        </w:rPr>
        <w:t xml:space="preserve"> </w:t>
      </w:r>
    </w:p>
    <w:p w14:paraId="4F24DB31" w14:textId="77777777" w:rsidR="00C65120" w:rsidRPr="00C65120" w:rsidRDefault="003C04BB" w:rsidP="00C65120">
      <w:pPr>
        <w:pStyle w:val="1"/>
        <w:ind w:left="794" w:right="425"/>
        <w:jc w:val="both"/>
        <w:rPr>
          <w:rFonts w:cs="David"/>
          <w:sz w:val="28"/>
          <w:szCs w:val="28"/>
          <w:rtl/>
        </w:rPr>
      </w:pPr>
      <w:r w:rsidRPr="008241A5">
        <w:rPr>
          <w:rFonts w:cs="David" w:hint="cs"/>
          <w:sz w:val="28"/>
          <w:szCs w:val="28"/>
          <w:rtl/>
        </w:rPr>
        <w:t>"</w:t>
      </w:r>
      <w:r w:rsidRPr="00C65120">
        <w:rPr>
          <w:rFonts w:cs="David"/>
          <w:sz w:val="28"/>
          <w:szCs w:val="28"/>
          <w:rtl/>
        </w:rPr>
        <w:t>החל משנת 2024</w:t>
      </w:r>
      <w:r>
        <w:rPr>
          <w:rFonts w:cs="David" w:hint="cs"/>
          <w:sz w:val="28"/>
          <w:szCs w:val="28"/>
          <w:rtl/>
        </w:rPr>
        <w:t>...</w:t>
      </w:r>
      <w:r w:rsidRPr="00C65120">
        <w:rPr>
          <w:rFonts w:cs="David"/>
          <w:sz w:val="28"/>
          <w:szCs w:val="28"/>
          <w:rtl/>
        </w:rPr>
        <w:t xml:space="preserve"> החלו רשויות הגיוס בהליכים לבדיקת כושרו של </w:t>
      </w:r>
      <w:r>
        <w:rPr>
          <w:rFonts w:cs="David" w:hint="cs"/>
          <w:sz w:val="28"/>
          <w:szCs w:val="28"/>
          <w:rtl/>
        </w:rPr>
        <w:t>ה[משיב]</w:t>
      </w:r>
      <w:r w:rsidRPr="00C65120">
        <w:rPr>
          <w:rFonts w:cs="David"/>
          <w:sz w:val="28"/>
          <w:szCs w:val="28"/>
          <w:rtl/>
        </w:rPr>
        <w:t xml:space="preserve"> לשירות ביטחון, ובהמשך לזימונו לשירות סדיר. כעולה מדוח הזימונים, </w:t>
      </w:r>
      <w:r>
        <w:rPr>
          <w:rFonts w:cs="David" w:hint="cs"/>
          <w:sz w:val="28"/>
          <w:szCs w:val="28"/>
          <w:rtl/>
        </w:rPr>
        <w:t>ה[משיב]</w:t>
      </w:r>
      <w:r w:rsidRPr="00C65120">
        <w:rPr>
          <w:rFonts w:cs="David"/>
          <w:sz w:val="28"/>
          <w:szCs w:val="28"/>
          <w:rtl/>
        </w:rPr>
        <w:t xml:space="preserve"> לא התייצב לשני זימונים לבדיקות</w:t>
      </w:r>
      <w:r>
        <w:rPr>
          <w:rFonts w:cs="David" w:hint="cs"/>
          <w:sz w:val="28"/>
          <w:szCs w:val="28"/>
          <w:rtl/>
        </w:rPr>
        <w:t>...</w:t>
      </w:r>
      <w:r w:rsidRPr="00C65120">
        <w:rPr>
          <w:rFonts w:cs="David"/>
          <w:sz w:val="28"/>
          <w:szCs w:val="28"/>
          <w:rtl/>
        </w:rPr>
        <w:t xml:space="preserve"> ביום 6.8.2024 במדרג </w:t>
      </w:r>
      <w:r>
        <w:rPr>
          <w:rFonts w:cs="David" w:hint="cs"/>
          <w:sz w:val="28"/>
          <w:szCs w:val="28"/>
          <w:rtl/>
        </w:rPr>
        <w:t>'</w:t>
      </w:r>
      <w:r w:rsidRPr="00C65120">
        <w:rPr>
          <w:rFonts w:cs="David"/>
          <w:sz w:val="28"/>
          <w:szCs w:val="28"/>
          <w:rtl/>
        </w:rPr>
        <w:t>רגיל</w:t>
      </w:r>
      <w:r>
        <w:rPr>
          <w:rFonts w:cs="David" w:hint="cs"/>
          <w:sz w:val="28"/>
          <w:szCs w:val="28"/>
          <w:rtl/>
        </w:rPr>
        <w:t>'</w:t>
      </w:r>
      <w:r w:rsidRPr="00C65120">
        <w:rPr>
          <w:rFonts w:cs="David"/>
          <w:sz w:val="28"/>
          <w:szCs w:val="28"/>
          <w:rtl/>
        </w:rPr>
        <w:t>; ו</w:t>
      </w:r>
      <w:r>
        <w:rPr>
          <w:rFonts w:cs="David" w:hint="cs"/>
          <w:sz w:val="28"/>
          <w:szCs w:val="28"/>
          <w:rtl/>
        </w:rPr>
        <w:t xml:space="preserve">.. </w:t>
      </w:r>
      <w:r w:rsidRPr="00C65120">
        <w:rPr>
          <w:rFonts w:cs="David"/>
          <w:sz w:val="28"/>
          <w:szCs w:val="28"/>
          <w:rtl/>
        </w:rPr>
        <w:t xml:space="preserve">ביום 10.9.2024 במדרג </w:t>
      </w:r>
      <w:r>
        <w:rPr>
          <w:rFonts w:cs="David" w:hint="cs"/>
          <w:sz w:val="28"/>
          <w:szCs w:val="28"/>
          <w:rtl/>
        </w:rPr>
        <w:t>'</w:t>
      </w:r>
      <w:r w:rsidRPr="00C65120">
        <w:rPr>
          <w:rFonts w:cs="David"/>
          <w:sz w:val="28"/>
          <w:szCs w:val="28"/>
          <w:rtl/>
        </w:rPr>
        <w:t>התראה</w:t>
      </w:r>
      <w:r>
        <w:rPr>
          <w:rFonts w:cs="David" w:hint="cs"/>
          <w:sz w:val="28"/>
          <w:szCs w:val="28"/>
          <w:rtl/>
        </w:rPr>
        <w:t>'</w:t>
      </w:r>
      <w:r w:rsidRPr="00C65120">
        <w:rPr>
          <w:rFonts w:cs="David"/>
          <w:sz w:val="28"/>
          <w:szCs w:val="28"/>
          <w:rtl/>
        </w:rPr>
        <w:t>.</w:t>
      </w:r>
    </w:p>
    <w:p w14:paraId="53F9C057" w14:textId="77777777" w:rsidR="00C65120" w:rsidRPr="00C65120" w:rsidRDefault="003C04BB" w:rsidP="00C65120">
      <w:pPr>
        <w:pStyle w:val="1"/>
        <w:ind w:left="794" w:right="425"/>
        <w:jc w:val="both"/>
        <w:rPr>
          <w:rFonts w:cs="David"/>
          <w:sz w:val="28"/>
          <w:szCs w:val="28"/>
          <w:rtl/>
        </w:rPr>
      </w:pPr>
      <w:r w:rsidRPr="00C65120">
        <w:rPr>
          <w:rFonts w:cs="David"/>
          <w:sz w:val="28"/>
          <w:szCs w:val="28"/>
          <w:rtl/>
        </w:rPr>
        <w:t xml:space="preserve">מתיעודי השיחות </w:t>
      </w:r>
      <w:r>
        <w:rPr>
          <w:rFonts w:cs="David" w:hint="cs"/>
          <w:sz w:val="28"/>
          <w:szCs w:val="28"/>
          <w:rtl/>
        </w:rPr>
        <w:t xml:space="preserve">... </w:t>
      </w:r>
      <w:r w:rsidRPr="00C65120">
        <w:rPr>
          <w:rFonts w:cs="David"/>
          <w:sz w:val="28"/>
          <w:szCs w:val="28"/>
          <w:rtl/>
        </w:rPr>
        <w:t>עולה לכאורה שביום 30.9.2024 הובהר ל</w:t>
      </w:r>
      <w:r>
        <w:rPr>
          <w:rFonts w:cs="David" w:hint="cs"/>
          <w:sz w:val="28"/>
          <w:szCs w:val="28"/>
          <w:rtl/>
        </w:rPr>
        <w:t>[משיב]</w:t>
      </w:r>
      <w:r w:rsidRPr="00C65120">
        <w:rPr>
          <w:rFonts w:cs="David"/>
          <w:sz w:val="28"/>
          <w:szCs w:val="28"/>
          <w:rtl/>
        </w:rPr>
        <w:t xml:space="preserve"> כי עליו להתייצב בהקדם האפשרי בלשכת הגיוס לשם השלמת הליכי צו ראשון. בחודש </w:t>
      </w:r>
      <w:r w:rsidRPr="00C65120">
        <w:rPr>
          <w:rFonts w:cs="David"/>
          <w:sz w:val="28"/>
          <w:szCs w:val="28"/>
          <w:rtl/>
        </w:rPr>
        <w:lastRenderedPageBreak/>
        <w:t>אוקטובר 2024, כפי שהתברר במהלך הדיונים, אושרה הוצאת פקודת מעצר נגדו. כמו כן מצויה בתיק התראה לפני הוצאת צו 12 מיום 27.10.2024, חתומה בידי פוקד, אך אין מסמך המלמד כי נשלחה ל</w:t>
      </w:r>
      <w:r>
        <w:rPr>
          <w:rFonts w:cs="David" w:hint="cs"/>
          <w:sz w:val="28"/>
          <w:szCs w:val="28"/>
          <w:rtl/>
        </w:rPr>
        <w:t>[משיב]</w:t>
      </w:r>
      <w:r w:rsidRPr="00C65120">
        <w:rPr>
          <w:rFonts w:cs="David"/>
          <w:sz w:val="28"/>
          <w:szCs w:val="28"/>
          <w:rtl/>
        </w:rPr>
        <w:t>.</w:t>
      </w:r>
    </w:p>
    <w:p w14:paraId="2F54A5C5" w14:textId="77777777" w:rsidR="00C65120" w:rsidRPr="00C65120" w:rsidRDefault="003C04BB" w:rsidP="00C65120">
      <w:pPr>
        <w:pStyle w:val="1"/>
        <w:ind w:left="794" w:right="425"/>
        <w:jc w:val="both"/>
        <w:rPr>
          <w:rFonts w:cs="David"/>
          <w:sz w:val="28"/>
          <w:szCs w:val="28"/>
          <w:rtl/>
        </w:rPr>
      </w:pPr>
      <w:r w:rsidRPr="00C65120">
        <w:rPr>
          <w:rFonts w:cs="David"/>
          <w:sz w:val="28"/>
          <w:szCs w:val="28"/>
          <w:rtl/>
        </w:rPr>
        <w:t>מתעודת עובד ציבור הקיימת בתיק ניתן ללמוד כי ביום 27.11.2024 נשלח ל</w:t>
      </w:r>
      <w:r>
        <w:rPr>
          <w:rFonts w:cs="David" w:hint="cs"/>
          <w:sz w:val="28"/>
          <w:szCs w:val="28"/>
          <w:rtl/>
        </w:rPr>
        <w:t>[משיב]</w:t>
      </w:r>
      <w:r w:rsidRPr="00C65120">
        <w:rPr>
          <w:rFonts w:cs="David"/>
          <w:sz w:val="28"/>
          <w:szCs w:val="28"/>
          <w:rtl/>
        </w:rPr>
        <w:t>, בדואר רגיל, צו</w:t>
      </w:r>
      <w:r>
        <w:rPr>
          <w:rFonts w:cs="David" w:hint="cs"/>
          <w:sz w:val="28"/>
          <w:szCs w:val="28"/>
          <w:rtl/>
        </w:rPr>
        <w:t xml:space="preserve"> גיוס</w:t>
      </w:r>
      <w:r w:rsidRPr="00C65120">
        <w:rPr>
          <w:rFonts w:cs="David"/>
          <w:sz w:val="28"/>
          <w:szCs w:val="28"/>
          <w:rtl/>
        </w:rPr>
        <w:t xml:space="preserve"> הקורא לו להתייצב לגיוס ביום 28.1.2025. הצו הוצא מכוח סעיף 12 לחוק שירות ביטחון מאחר שטרם נקבע כושרו של ה</w:t>
      </w:r>
      <w:r>
        <w:rPr>
          <w:rFonts w:cs="David" w:hint="cs"/>
          <w:sz w:val="28"/>
          <w:szCs w:val="28"/>
          <w:rtl/>
        </w:rPr>
        <w:t>[משיב]</w:t>
      </w:r>
      <w:r w:rsidRPr="00C65120">
        <w:rPr>
          <w:rFonts w:cs="David"/>
          <w:sz w:val="28"/>
          <w:szCs w:val="28"/>
          <w:rtl/>
        </w:rPr>
        <w:t xml:space="preserve"> לשירות.</w:t>
      </w:r>
    </w:p>
    <w:p w14:paraId="5D683A13" w14:textId="77777777" w:rsidR="00C65120" w:rsidRPr="00C65120" w:rsidRDefault="003C04BB" w:rsidP="00C65120">
      <w:pPr>
        <w:pStyle w:val="1"/>
        <w:ind w:left="794" w:right="425"/>
        <w:jc w:val="both"/>
        <w:rPr>
          <w:rFonts w:cs="David"/>
          <w:sz w:val="28"/>
          <w:szCs w:val="28"/>
          <w:rtl/>
        </w:rPr>
      </w:pPr>
      <w:r w:rsidRPr="00C65120">
        <w:rPr>
          <w:rFonts w:cs="David"/>
          <w:sz w:val="28"/>
          <w:szCs w:val="28"/>
          <w:rtl/>
        </w:rPr>
        <w:t>לאחר מכן, כעולה מדוח הזימונים, ה</w:t>
      </w:r>
      <w:r>
        <w:rPr>
          <w:rFonts w:cs="David" w:hint="cs"/>
          <w:sz w:val="28"/>
          <w:szCs w:val="28"/>
          <w:rtl/>
        </w:rPr>
        <w:t>[משיב]</w:t>
      </w:r>
      <w:r w:rsidRPr="00C65120">
        <w:rPr>
          <w:rFonts w:cs="David"/>
          <w:sz w:val="28"/>
          <w:szCs w:val="28"/>
          <w:rtl/>
        </w:rPr>
        <w:t xml:space="preserve"> </w:t>
      </w:r>
      <w:r w:rsidRPr="00C65120">
        <w:rPr>
          <w:rFonts w:cs="David"/>
          <w:b/>
          <w:bCs/>
          <w:sz w:val="28"/>
          <w:szCs w:val="28"/>
          <w:rtl/>
        </w:rPr>
        <w:t xml:space="preserve">זומן שוב </w:t>
      </w:r>
      <w:r w:rsidRPr="00C65120">
        <w:rPr>
          <w:rFonts w:cs="David"/>
          <w:sz w:val="28"/>
          <w:szCs w:val="28"/>
          <w:rtl/>
        </w:rPr>
        <w:t xml:space="preserve">לבדיקות: ליום 2.1.2025 לצורך </w:t>
      </w:r>
      <w:r>
        <w:rPr>
          <w:rFonts w:cs="David" w:hint="cs"/>
          <w:sz w:val="28"/>
          <w:szCs w:val="28"/>
          <w:rtl/>
        </w:rPr>
        <w:t>'</w:t>
      </w:r>
      <w:r w:rsidRPr="00C65120">
        <w:rPr>
          <w:rFonts w:cs="David"/>
          <w:sz w:val="28"/>
          <w:szCs w:val="28"/>
          <w:rtl/>
        </w:rPr>
        <w:t>ועדה רפואית בנים/צו שני-בנים</w:t>
      </w:r>
      <w:r>
        <w:rPr>
          <w:rFonts w:cs="David" w:hint="cs"/>
          <w:sz w:val="28"/>
          <w:szCs w:val="28"/>
          <w:rtl/>
        </w:rPr>
        <w:t>'</w:t>
      </w:r>
      <w:r w:rsidRPr="00C65120">
        <w:rPr>
          <w:rFonts w:cs="David"/>
          <w:sz w:val="28"/>
          <w:szCs w:val="28"/>
          <w:rtl/>
        </w:rPr>
        <w:t xml:space="preserve"> במדרג </w:t>
      </w:r>
      <w:r>
        <w:rPr>
          <w:rFonts w:cs="David" w:hint="cs"/>
          <w:sz w:val="28"/>
          <w:szCs w:val="28"/>
          <w:rtl/>
        </w:rPr>
        <w:t>'</w:t>
      </w:r>
      <w:r w:rsidRPr="00C65120">
        <w:rPr>
          <w:rFonts w:cs="David"/>
          <w:sz w:val="28"/>
          <w:szCs w:val="28"/>
          <w:rtl/>
        </w:rPr>
        <w:t>מברק</w:t>
      </w:r>
      <w:r>
        <w:rPr>
          <w:rFonts w:cs="David" w:hint="cs"/>
          <w:sz w:val="28"/>
          <w:szCs w:val="28"/>
          <w:rtl/>
        </w:rPr>
        <w:t>'</w:t>
      </w:r>
      <w:r w:rsidRPr="00C65120">
        <w:rPr>
          <w:rFonts w:cs="David"/>
          <w:sz w:val="28"/>
          <w:szCs w:val="28"/>
          <w:rtl/>
        </w:rPr>
        <w:t xml:space="preserve">; וליום 23.1.2025 לצורך </w:t>
      </w:r>
      <w:r>
        <w:rPr>
          <w:rFonts w:cs="David" w:hint="cs"/>
          <w:sz w:val="28"/>
          <w:szCs w:val="28"/>
          <w:rtl/>
        </w:rPr>
        <w:t>'</w:t>
      </w:r>
      <w:r w:rsidRPr="00C65120">
        <w:rPr>
          <w:rFonts w:cs="David"/>
          <w:sz w:val="28"/>
          <w:szCs w:val="28"/>
          <w:rtl/>
        </w:rPr>
        <w:t>בדיקת עומק ראייה-טטימוס</w:t>
      </w:r>
      <w:r>
        <w:rPr>
          <w:rFonts w:cs="David" w:hint="cs"/>
          <w:sz w:val="28"/>
          <w:szCs w:val="28"/>
          <w:rtl/>
        </w:rPr>
        <w:t>'</w:t>
      </w:r>
      <w:r w:rsidRPr="00C65120">
        <w:rPr>
          <w:rFonts w:cs="David"/>
          <w:sz w:val="28"/>
          <w:szCs w:val="28"/>
          <w:rtl/>
        </w:rPr>
        <w:t xml:space="preserve"> במדרג </w:t>
      </w:r>
      <w:r>
        <w:rPr>
          <w:rFonts w:cs="David" w:hint="cs"/>
          <w:sz w:val="28"/>
          <w:szCs w:val="28"/>
          <w:rtl/>
        </w:rPr>
        <w:t>'</w:t>
      </w:r>
      <w:r w:rsidRPr="00C65120">
        <w:rPr>
          <w:rFonts w:cs="David"/>
          <w:sz w:val="28"/>
          <w:szCs w:val="28"/>
          <w:rtl/>
        </w:rPr>
        <w:t>טלפוני</w:t>
      </w:r>
      <w:r>
        <w:rPr>
          <w:rFonts w:cs="David" w:hint="cs"/>
          <w:sz w:val="28"/>
          <w:szCs w:val="28"/>
          <w:rtl/>
        </w:rPr>
        <w:t xml:space="preserve">' </w:t>
      </w:r>
      <w:r w:rsidRPr="00C65120">
        <w:rPr>
          <w:rFonts w:cs="David"/>
          <w:sz w:val="28"/>
          <w:szCs w:val="28"/>
          <w:rtl/>
        </w:rPr>
        <w:t xml:space="preserve">(יוער, כי אף שמדובר לכאורה בזימון </w:t>
      </w:r>
      <w:r>
        <w:rPr>
          <w:rFonts w:cs="David" w:hint="cs"/>
          <w:sz w:val="28"/>
          <w:szCs w:val="28"/>
          <w:rtl/>
        </w:rPr>
        <w:t>'</w:t>
      </w:r>
      <w:r w:rsidRPr="00C65120">
        <w:rPr>
          <w:rFonts w:cs="David"/>
          <w:sz w:val="28"/>
          <w:szCs w:val="28"/>
          <w:rtl/>
        </w:rPr>
        <w:t>טלפוני</w:t>
      </w:r>
      <w:r>
        <w:rPr>
          <w:rFonts w:cs="David" w:hint="cs"/>
          <w:sz w:val="28"/>
          <w:szCs w:val="28"/>
          <w:rtl/>
        </w:rPr>
        <w:t>'</w:t>
      </w:r>
      <w:r w:rsidRPr="00C65120">
        <w:rPr>
          <w:rFonts w:cs="David"/>
          <w:sz w:val="28"/>
          <w:szCs w:val="28"/>
          <w:rtl/>
        </w:rPr>
        <w:t>, ש</w:t>
      </w:r>
      <w:r>
        <w:rPr>
          <w:rFonts w:cs="David" w:hint="cs"/>
          <w:sz w:val="28"/>
          <w:szCs w:val="28"/>
          <w:rtl/>
        </w:rPr>
        <w:t>'</w:t>
      </w:r>
      <w:r w:rsidRPr="00C65120">
        <w:rPr>
          <w:rFonts w:cs="David"/>
          <w:sz w:val="28"/>
          <w:szCs w:val="28"/>
          <w:rtl/>
        </w:rPr>
        <w:t>הונפק</w:t>
      </w:r>
      <w:r>
        <w:rPr>
          <w:rFonts w:cs="David" w:hint="cs"/>
          <w:sz w:val="28"/>
          <w:szCs w:val="28"/>
          <w:rtl/>
        </w:rPr>
        <w:t>'</w:t>
      </w:r>
      <w:r w:rsidRPr="00C65120">
        <w:rPr>
          <w:rFonts w:cs="David"/>
          <w:sz w:val="28"/>
          <w:szCs w:val="28"/>
          <w:rtl/>
        </w:rPr>
        <w:t xml:space="preserve"> ביום 9.1.2025, אין בתיעודי השיחות זכר לשיחה שכללה זימון כזה).</w:t>
      </w:r>
    </w:p>
    <w:p w14:paraId="0288DDFF" w14:textId="77777777" w:rsidR="00C65120" w:rsidRPr="00C65120" w:rsidRDefault="003C04BB" w:rsidP="00C65120">
      <w:pPr>
        <w:pStyle w:val="1"/>
        <w:ind w:left="794" w:right="425"/>
        <w:jc w:val="both"/>
        <w:rPr>
          <w:rFonts w:cs="David"/>
          <w:sz w:val="28"/>
          <w:szCs w:val="28"/>
          <w:rtl/>
        </w:rPr>
      </w:pPr>
      <w:r w:rsidRPr="00C65120">
        <w:rPr>
          <w:rFonts w:cs="David"/>
          <w:sz w:val="28"/>
          <w:szCs w:val="28"/>
          <w:rtl/>
        </w:rPr>
        <w:t xml:space="preserve">כעולה מתיעודי השיחות, ביום 5.1.2025 נערכה לכאורה שיחת טלפון עם </w:t>
      </w:r>
      <w:r>
        <w:rPr>
          <w:rFonts w:cs="David" w:hint="cs"/>
          <w:sz w:val="28"/>
          <w:szCs w:val="28"/>
          <w:rtl/>
        </w:rPr>
        <w:t>ה[משיב]</w:t>
      </w:r>
      <w:r w:rsidRPr="00C65120">
        <w:rPr>
          <w:rFonts w:cs="David"/>
          <w:sz w:val="28"/>
          <w:szCs w:val="28"/>
          <w:rtl/>
        </w:rPr>
        <w:t xml:space="preserve"> ונאמר לו כי מועד גיוסו בתוקף וכי עליו להתייצב בלשכת הגיוס תל השומר </w:t>
      </w:r>
      <w:r>
        <w:rPr>
          <w:rFonts w:cs="David" w:hint="cs"/>
          <w:sz w:val="28"/>
          <w:szCs w:val="28"/>
          <w:rtl/>
        </w:rPr>
        <w:t>'</w:t>
      </w:r>
      <w:r w:rsidRPr="00C65120">
        <w:rPr>
          <w:rFonts w:cs="David"/>
          <w:sz w:val="28"/>
          <w:szCs w:val="28"/>
          <w:rtl/>
        </w:rPr>
        <w:t>להשלמת הליכי גיוס עד 10.1, התייצבותך במיידי חובה</w:t>
      </w:r>
      <w:r>
        <w:rPr>
          <w:rFonts w:cs="David" w:hint="cs"/>
          <w:sz w:val="28"/>
          <w:szCs w:val="28"/>
          <w:rtl/>
        </w:rPr>
        <w:t>'</w:t>
      </w:r>
      <w:r w:rsidRPr="00C65120">
        <w:rPr>
          <w:rFonts w:cs="David"/>
          <w:sz w:val="28"/>
          <w:szCs w:val="28"/>
          <w:rtl/>
        </w:rPr>
        <w:t>. יצוין כי עולה קושי להסתמך על השיחה הזו, שכן בגוף ההודעה נכתב כי חיילת אחת היא ששוחחה עם ה</w:t>
      </w:r>
      <w:r>
        <w:rPr>
          <w:rFonts w:cs="David" w:hint="cs"/>
          <w:sz w:val="28"/>
          <w:szCs w:val="28"/>
          <w:rtl/>
        </w:rPr>
        <w:t>[משיב]</w:t>
      </w:r>
      <w:r w:rsidRPr="00C65120">
        <w:rPr>
          <w:rFonts w:cs="David"/>
          <w:sz w:val="28"/>
          <w:szCs w:val="28"/>
          <w:rtl/>
        </w:rPr>
        <w:t>, בעוד שהשיחה הוזנה על שם משתמש אחר. כמו כן, בשיחת טלפון נוספת, מיום 29.1.2025, נמסר לכאורה ל</w:t>
      </w:r>
      <w:r>
        <w:rPr>
          <w:rFonts w:cs="David" w:hint="cs"/>
          <w:sz w:val="28"/>
          <w:szCs w:val="28"/>
          <w:rtl/>
        </w:rPr>
        <w:t>[משיב]</w:t>
      </w:r>
      <w:r w:rsidRPr="00C65120">
        <w:rPr>
          <w:rFonts w:cs="David"/>
          <w:sz w:val="28"/>
          <w:szCs w:val="28"/>
          <w:rtl/>
        </w:rPr>
        <w:t xml:space="preserve"> כי </w:t>
      </w:r>
      <w:r>
        <w:rPr>
          <w:rFonts w:cs="David" w:hint="cs"/>
          <w:sz w:val="28"/>
          <w:szCs w:val="28"/>
          <w:rtl/>
        </w:rPr>
        <w:t>'</w:t>
      </w:r>
      <w:r w:rsidRPr="00C65120">
        <w:rPr>
          <w:rFonts w:cs="David"/>
          <w:sz w:val="28"/>
          <w:szCs w:val="28"/>
          <w:rtl/>
        </w:rPr>
        <w:t>אין הצדקה רפואית לאי התייצבותו לגיוס ועליו להתייצב במיידי מוכן לגיוס</w:t>
      </w:r>
      <w:r>
        <w:rPr>
          <w:rFonts w:cs="David" w:hint="cs"/>
          <w:sz w:val="28"/>
          <w:szCs w:val="28"/>
          <w:rtl/>
        </w:rPr>
        <w:t>'</w:t>
      </w:r>
      <w:r w:rsidRPr="00C65120">
        <w:rPr>
          <w:rFonts w:cs="David"/>
          <w:sz w:val="28"/>
          <w:szCs w:val="28"/>
          <w:rtl/>
        </w:rPr>
        <w:t xml:space="preserve">. </w:t>
      </w:r>
    </w:p>
    <w:p w14:paraId="57B9331D" w14:textId="77777777" w:rsidR="00C65120" w:rsidRPr="00C65120" w:rsidRDefault="003C04BB" w:rsidP="00C65120">
      <w:pPr>
        <w:pStyle w:val="1"/>
        <w:ind w:left="794" w:right="425"/>
        <w:jc w:val="both"/>
        <w:rPr>
          <w:rFonts w:cs="David"/>
          <w:sz w:val="28"/>
          <w:szCs w:val="28"/>
          <w:rtl/>
        </w:rPr>
      </w:pPr>
      <w:r w:rsidRPr="00C65120">
        <w:rPr>
          <w:rFonts w:cs="David"/>
          <w:sz w:val="28"/>
          <w:szCs w:val="28"/>
          <w:rtl/>
        </w:rPr>
        <w:t>אין חולק כי ה</w:t>
      </w:r>
      <w:r>
        <w:rPr>
          <w:rFonts w:cs="David" w:hint="cs"/>
          <w:sz w:val="28"/>
          <w:szCs w:val="28"/>
          <w:rtl/>
        </w:rPr>
        <w:t>[משיב]</w:t>
      </w:r>
      <w:r w:rsidRPr="00C65120">
        <w:rPr>
          <w:rFonts w:cs="David"/>
          <w:sz w:val="28"/>
          <w:szCs w:val="28"/>
          <w:rtl/>
        </w:rPr>
        <w:t xml:space="preserve"> לא התייצב לגיוס במועד שנקבע בצו. ההגנה לא טענה בפניי כי לא היה מודע לצו הגיוס בעניינו. אמנם באמרתו מסר ה</w:t>
      </w:r>
      <w:r>
        <w:rPr>
          <w:rFonts w:cs="David" w:hint="cs"/>
          <w:sz w:val="28"/>
          <w:szCs w:val="28"/>
          <w:rtl/>
        </w:rPr>
        <w:t>[משיב]</w:t>
      </w:r>
      <w:r w:rsidRPr="00C65120">
        <w:rPr>
          <w:rFonts w:cs="David"/>
          <w:sz w:val="28"/>
          <w:szCs w:val="28"/>
          <w:rtl/>
        </w:rPr>
        <w:t xml:space="preserve"> כי הוא לומד בישיבה בירושלים, כי לא ידע שעליו להתייצב והכחיש כי קיבל צו גיוס, אלא שצו הגיוס נשלח אליו בדואר, ולפי תיעודי השיחות, על הקשיים שבהם, הובא מועד הגיוס לידיעתו. על כן, חרף הכחשתו, נראה כי ישנה תשתית ראייתית לכאורית לכך שה</w:t>
      </w:r>
      <w:r>
        <w:rPr>
          <w:rFonts w:cs="David" w:hint="cs"/>
          <w:sz w:val="28"/>
          <w:szCs w:val="28"/>
          <w:rtl/>
        </w:rPr>
        <w:t>[משיב]</w:t>
      </w:r>
      <w:r w:rsidRPr="00C65120">
        <w:rPr>
          <w:rFonts w:cs="David"/>
          <w:sz w:val="28"/>
          <w:szCs w:val="28"/>
          <w:rtl/>
        </w:rPr>
        <w:t xml:space="preserve"> היה מודע לחובתו להתייצב לגיוס.</w:t>
      </w:r>
    </w:p>
    <w:p w14:paraId="76EAB135" w14:textId="77777777" w:rsidR="008241A5" w:rsidRPr="008241A5" w:rsidRDefault="003C04BB" w:rsidP="00C65120">
      <w:pPr>
        <w:pStyle w:val="1"/>
        <w:ind w:left="794" w:right="425"/>
        <w:jc w:val="both"/>
        <w:rPr>
          <w:rFonts w:cs="David"/>
          <w:sz w:val="28"/>
          <w:szCs w:val="28"/>
          <w:rtl/>
        </w:rPr>
      </w:pPr>
      <w:r w:rsidRPr="00C65120">
        <w:rPr>
          <w:rFonts w:cs="David"/>
          <w:sz w:val="28"/>
          <w:szCs w:val="28"/>
          <w:rtl/>
        </w:rPr>
        <w:t>נקודת המחלוקת המרכזית בין הצדדים נוגעת לחוקיות קריאתו של ה</w:t>
      </w:r>
      <w:r>
        <w:rPr>
          <w:rFonts w:cs="David" w:hint="cs"/>
          <w:sz w:val="28"/>
          <w:szCs w:val="28"/>
          <w:rtl/>
        </w:rPr>
        <w:t>[משיב]</w:t>
      </w:r>
      <w:r w:rsidRPr="00C65120">
        <w:rPr>
          <w:rFonts w:cs="David"/>
          <w:sz w:val="28"/>
          <w:szCs w:val="28"/>
          <w:rtl/>
        </w:rPr>
        <w:t xml:space="preserve"> לשירות ללא קביעת כושרו. בעניין זה מתעוררות </w:t>
      </w:r>
      <w:r w:rsidRPr="00C65120">
        <w:rPr>
          <w:rFonts w:cs="David"/>
          <w:b/>
          <w:bCs/>
          <w:sz w:val="28"/>
          <w:szCs w:val="28"/>
          <w:rtl/>
        </w:rPr>
        <w:t>שאלות של ממש</w:t>
      </w:r>
      <w:r>
        <w:rPr>
          <w:rFonts w:cs="David" w:hint="cs"/>
          <w:sz w:val="28"/>
          <w:szCs w:val="28"/>
          <w:rtl/>
        </w:rPr>
        <w:t>..."</w:t>
      </w:r>
      <w:r w:rsidR="00AC0486">
        <w:rPr>
          <w:rFonts w:cs="David" w:hint="cs"/>
          <w:sz w:val="28"/>
          <w:szCs w:val="28"/>
          <w:rtl/>
        </w:rPr>
        <w:t xml:space="preserve"> (הדגשות במקור).</w:t>
      </w:r>
    </w:p>
    <w:p w14:paraId="249D2EA6" w14:textId="77777777" w:rsidR="00AC0486" w:rsidRDefault="00B21647" w:rsidP="00B21647">
      <w:pPr>
        <w:spacing w:before="240" w:line="360" w:lineRule="auto"/>
        <w:ind w:left="-58"/>
        <w:contextualSpacing/>
        <w:jc w:val="both"/>
        <w:rPr>
          <w:sz w:val="28"/>
        </w:rPr>
      </w:pPr>
      <w:r>
        <w:rPr>
          <w:rFonts w:hint="cs"/>
          <w:sz w:val="28"/>
          <w:rtl/>
        </w:rPr>
        <w:t xml:space="preserve">4. </w:t>
      </w:r>
      <w:r w:rsidR="003C04BB">
        <w:rPr>
          <w:rFonts w:hint="cs"/>
          <w:sz w:val="28"/>
          <w:rtl/>
        </w:rPr>
        <w:t xml:space="preserve">הקשיים שזיהה בית הדין קמא הנכבד מבוססים על </w:t>
      </w:r>
      <w:r w:rsidR="003C04BB" w:rsidRPr="0087214B">
        <w:rPr>
          <w:rFonts w:hint="cs"/>
          <w:b/>
          <w:bCs/>
          <w:sz w:val="28"/>
          <w:rtl/>
        </w:rPr>
        <w:t>שלושה</w:t>
      </w:r>
      <w:r w:rsidR="003C04BB">
        <w:rPr>
          <w:rFonts w:hint="cs"/>
          <w:sz w:val="28"/>
          <w:rtl/>
        </w:rPr>
        <w:t xml:space="preserve"> אדנים. </w:t>
      </w:r>
      <w:r w:rsidR="003C04BB" w:rsidRPr="0087214B">
        <w:rPr>
          <w:rFonts w:hint="cs"/>
          <w:b/>
          <w:bCs/>
          <w:sz w:val="28"/>
          <w:rtl/>
        </w:rPr>
        <w:t>האחד</w:t>
      </w:r>
      <w:r w:rsidR="003C04BB">
        <w:rPr>
          <w:rFonts w:hint="cs"/>
          <w:sz w:val="28"/>
          <w:rtl/>
        </w:rPr>
        <w:t xml:space="preserve">, </w:t>
      </w:r>
      <w:r w:rsidR="0087214B" w:rsidRPr="0087214B">
        <w:rPr>
          <w:rFonts w:hint="cs"/>
          <w:sz w:val="28"/>
          <w:rtl/>
        </w:rPr>
        <w:t>היעדר הצגת</w:t>
      </w:r>
      <w:r w:rsidR="00785279">
        <w:rPr>
          <w:rFonts w:hint="cs"/>
          <w:sz w:val="28"/>
          <w:rtl/>
        </w:rPr>
        <w:t>ה של</w:t>
      </w:r>
      <w:r w:rsidR="0087214B" w:rsidRPr="0087214B">
        <w:rPr>
          <w:rFonts w:hint="cs"/>
          <w:sz w:val="28"/>
          <w:rtl/>
        </w:rPr>
        <w:t xml:space="preserve"> </w:t>
      </w:r>
      <w:r w:rsidR="0087214B" w:rsidRPr="0087214B">
        <w:rPr>
          <w:rFonts w:hint="cs"/>
          <w:b/>
          <w:bCs/>
          <w:sz w:val="28"/>
          <w:rtl/>
        </w:rPr>
        <w:t>מדיניות הגיוס הייחודית</w:t>
      </w:r>
      <w:r w:rsidR="00785279">
        <w:rPr>
          <w:rFonts w:hint="cs"/>
          <w:sz w:val="28"/>
          <w:rtl/>
        </w:rPr>
        <w:t xml:space="preserve"> </w:t>
      </w:r>
      <w:r w:rsidR="0087214B">
        <w:rPr>
          <w:rFonts w:hint="cs"/>
          <w:sz w:val="28"/>
          <w:rtl/>
        </w:rPr>
        <w:t xml:space="preserve">ביחס למבוטלי מעמד "תורתו אומנותו" לאחר פקיעת ההסדר </w:t>
      </w:r>
      <w:r>
        <w:rPr>
          <w:rFonts w:hint="cs"/>
          <w:sz w:val="28"/>
          <w:rtl/>
        </w:rPr>
        <w:t>שבחוק</w:t>
      </w:r>
      <w:r w:rsidR="0087214B">
        <w:rPr>
          <w:rFonts w:hint="cs"/>
          <w:sz w:val="28"/>
          <w:rtl/>
        </w:rPr>
        <w:t xml:space="preserve">. </w:t>
      </w:r>
      <w:r>
        <w:rPr>
          <w:rFonts w:hint="cs"/>
          <w:sz w:val="28"/>
          <w:rtl/>
        </w:rPr>
        <w:t xml:space="preserve">משלא הוצגו </w:t>
      </w:r>
      <w:r w:rsidR="009B757C">
        <w:rPr>
          <w:rFonts w:hint="cs"/>
          <w:sz w:val="28"/>
          <w:rtl/>
        </w:rPr>
        <w:t xml:space="preserve">המדיניות או </w:t>
      </w:r>
      <w:r>
        <w:rPr>
          <w:rFonts w:hint="cs"/>
          <w:sz w:val="28"/>
          <w:rtl/>
        </w:rPr>
        <w:t xml:space="preserve">הנהלים החדשים הנגזרים </w:t>
      </w:r>
      <w:r w:rsidR="009B757C">
        <w:rPr>
          <w:rFonts w:hint="cs"/>
          <w:sz w:val="28"/>
          <w:rtl/>
        </w:rPr>
        <w:t>ממנה</w:t>
      </w:r>
      <w:r>
        <w:rPr>
          <w:rFonts w:hint="cs"/>
          <w:sz w:val="28"/>
          <w:rtl/>
        </w:rPr>
        <w:t>,</w:t>
      </w:r>
      <w:r w:rsidRPr="00B21647">
        <w:rPr>
          <w:rFonts w:hint="cs"/>
          <w:sz w:val="28"/>
          <w:rtl/>
        </w:rPr>
        <w:t xml:space="preserve"> </w:t>
      </w:r>
      <w:r>
        <w:rPr>
          <w:rFonts w:hint="cs"/>
          <w:sz w:val="28"/>
          <w:rtl/>
        </w:rPr>
        <w:t xml:space="preserve">יש קושי לערוך ביקורת שיפוטית אחר סבירות ההחלטה המנהלית, לשם עמידה אחר </w:t>
      </w:r>
      <w:r w:rsidR="003C04BB">
        <w:rPr>
          <w:rFonts w:hint="cs"/>
          <w:sz w:val="28"/>
          <w:rtl/>
        </w:rPr>
        <w:t>הזהירות הנדרשת בהפעלת הסמכות</w:t>
      </w:r>
      <w:r>
        <w:rPr>
          <w:rFonts w:hint="cs"/>
          <w:sz w:val="28"/>
          <w:rtl/>
        </w:rPr>
        <w:t xml:space="preserve"> החריגה שבהוצאת צו לפי סעיף 12 לחוק.</w:t>
      </w:r>
      <w:r w:rsidR="003C04BB">
        <w:rPr>
          <w:rFonts w:hint="cs"/>
          <w:sz w:val="28"/>
          <w:rtl/>
        </w:rPr>
        <w:t xml:space="preserve"> </w:t>
      </w:r>
      <w:r>
        <w:rPr>
          <w:rFonts w:hint="cs"/>
          <w:sz w:val="28"/>
          <w:rtl/>
        </w:rPr>
        <w:t>נקבע כי המדיניות ש</w:t>
      </w:r>
      <w:r w:rsidR="003C04BB">
        <w:rPr>
          <w:rFonts w:hint="cs"/>
          <w:sz w:val="28"/>
          <w:rtl/>
        </w:rPr>
        <w:t xml:space="preserve">נחשפה "טיפין-טיפין" במהלך דיוני המעצר </w:t>
      </w:r>
      <w:r w:rsidR="003C04BB" w:rsidRPr="00B21647">
        <w:rPr>
          <w:rFonts w:hint="cs"/>
          <w:b/>
          <w:bCs/>
          <w:sz w:val="28"/>
          <w:rtl/>
        </w:rPr>
        <w:t>לאחר</w:t>
      </w:r>
      <w:r w:rsidR="003C04BB">
        <w:rPr>
          <w:rFonts w:hint="cs"/>
          <w:sz w:val="28"/>
          <w:rtl/>
        </w:rPr>
        <w:t xml:space="preserve"> הגשת כתב האישום</w:t>
      </w:r>
      <w:r>
        <w:rPr>
          <w:rFonts w:hint="cs"/>
          <w:sz w:val="28"/>
          <w:rtl/>
        </w:rPr>
        <w:t>, מחייב</w:t>
      </w:r>
      <w:r w:rsidR="007E4624">
        <w:rPr>
          <w:rFonts w:hint="cs"/>
          <w:sz w:val="28"/>
          <w:rtl/>
        </w:rPr>
        <w:t>ת</w:t>
      </w:r>
      <w:r w:rsidR="00833108">
        <w:rPr>
          <w:rFonts w:hint="cs"/>
          <w:sz w:val="28"/>
          <w:rtl/>
        </w:rPr>
        <w:t xml:space="preserve"> "בחינה דקדקנית של פעולת הרשות במקרה הקונקרטי"</w:t>
      </w:r>
      <w:r w:rsidR="007E4624">
        <w:rPr>
          <w:rFonts w:hint="cs"/>
          <w:sz w:val="28"/>
          <w:rtl/>
        </w:rPr>
        <w:t>, בהליך העיקרי</w:t>
      </w:r>
      <w:r w:rsidR="003C04BB">
        <w:rPr>
          <w:rFonts w:hint="cs"/>
          <w:sz w:val="28"/>
          <w:rtl/>
        </w:rPr>
        <w:t xml:space="preserve">. </w:t>
      </w:r>
    </w:p>
    <w:p w14:paraId="3D135B77" w14:textId="77777777" w:rsidR="0087214B" w:rsidRDefault="003C04BB" w:rsidP="00B21647">
      <w:pPr>
        <w:spacing w:before="240" w:line="360" w:lineRule="auto"/>
        <w:ind w:left="-58"/>
        <w:contextualSpacing/>
        <w:jc w:val="both"/>
        <w:rPr>
          <w:sz w:val="28"/>
          <w:rtl/>
        </w:rPr>
      </w:pPr>
      <w:r>
        <w:rPr>
          <w:rFonts w:hint="cs"/>
          <w:sz w:val="28"/>
          <w:rtl/>
        </w:rPr>
        <w:t xml:space="preserve">הקושי </w:t>
      </w:r>
      <w:r w:rsidRPr="0087214B">
        <w:rPr>
          <w:rFonts w:hint="cs"/>
          <w:b/>
          <w:bCs/>
          <w:sz w:val="28"/>
          <w:rtl/>
        </w:rPr>
        <w:t>השני</w:t>
      </w:r>
      <w:r>
        <w:rPr>
          <w:rFonts w:hint="cs"/>
          <w:sz w:val="28"/>
          <w:rtl/>
        </w:rPr>
        <w:t xml:space="preserve"> </w:t>
      </w:r>
      <w:r w:rsidR="00B21647">
        <w:rPr>
          <w:rFonts w:hint="cs"/>
          <w:sz w:val="28"/>
          <w:rtl/>
        </w:rPr>
        <w:t>הוא החלל הראייתי בנוגע</w:t>
      </w:r>
      <w:r>
        <w:rPr>
          <w:rFonts w:hint="cs"/>
          <w:sz w:val="28"/>
          <w:rtl/>
        </w:rPr>
        <w:t xml:space="preserve"> לאופן </w:t>
      </w:r>
      <w:r w:rsidR="007E4624">
        <w:rPr>
          <w:rFonts w:hint="cs"/>
          <w:sz w:val="28"/>
          <w:rtl/>
        </w:rPr>
        <w:t xml:space="preserve">שבו הופעל </w:t>
      </w:r>
      <w:r w:rsidRPr="0087214B">
        <w:rPr>
          <w:rFonts w:hint="cs"/>
          <w:b/>
          <w:bCs/>
          <w:sz w:val="28"/>
          <w:rtl/>
        </w:rPr>
        <w:t>שיקול הדעת הפרטני</w:t>
      </w:r>
      <w:r>
        <w:rPr>
          <w:rFonts w:hint="cs"/>
          <w:sz w:val="28"/>
          <w:rtl/>
        </w:rPr>
        <w:t xml:space="preserve"> של הפוקד טרם הוצאת צו </w:t>
      </w:r>
      <w:r w:rsidR="00B21647">
        <w:rPr>
          <w:rFonts w:hint="cs"/>
          <w:sz w:val="28"/>
          <w:rtl/>
        </w:rPr>
        <w:t xml:space="preserve">הקריאה </w:t>
      </w:r>
      <w:r>
        <w:rPr>
          <w:rFonts w:hint="cs"/>
          <w:sz w:val="28"/>
          <w:rtl/>
        </w:rPr>
        <w:t xml:space="preserve">לפי סעיף 12 </w:t>
      </w:r>
      <w:r w:rsidR="00B21647">
        <w:rPr>
          <w:rFonts w:hint="cs"/>
          <w:sz w:val="28"/>
          <w:rtl/>
        </w:rPr>
        <w:t>לחוק</w:t>
      </w:r>
      <w:r w:rsidR="00AC0486">
        <w:rPr>
          <w:rFonts w:hint="cs"/>
          <w:sz w:val="28"/>
          <w:rtl/>
        </w:rPr>
        <w:t>. צוין</w:t>
      </w:r>
      <w:r w:rsidR="00927FF4">
        <w:rPr>
          <w:rFonts w:hint="cs"/>
          <w:sz w:val="28"/>
          <w:rtl/>
        </w:rPr>
        <w:t>,</w:t>
      </w:r>
      <w:r w:rsidR="00AC0486">
        <w:rPr>
          <w:rFonts w:hint="cs"/>
          <w:sz w:val="28"/>
          <w:rtl/>
        </w:rPr>
        <w:t xml:space="preserve"> כי </w:t>
      </w:r>
      <w:r w:rsidR="00B21647">
        <w:rPr>
          <w:rFonts w:hint="cs"/>
          <w:sz w:val="28"/>
          <w:rtl/>
        </w:rPr>
        <w:t xml:space="preserve">לחומר הראיות צורפה אמנם </w:t>
      </w:r>
      <w:r w:rsidR="00B21647" w:rsidRPr="00B21647">
        <w:rPr>
          <w:rFonts w:hint="cs"/>
          <w:b/>
          <w:bCs/>
          <w:sz w:val="28"/>
          <w:rtl/>
        </w:rPr>
        <w:t>בדיעבד</w:t>
      </w:r>
      <w:r w:rsidR="007E4624" w:rsidRPr="003464E1">
        <w:rPr>
          <w:rFonts w:hint="cs"/>
          <w:sz w:val="28"/>
          <w:rtl/>
        </w:rPr>
        <w:t>, במה</w:t>
      </w:r>
      <w:r w:rsidR="007E4624">
        <w:rPr>
          <w:rFonts w:hint="cs"/>
          <w:sz w:val="28"/>
          <w:rtl/>
        </w:rPr>
        <w:t>לך דיוני המעצר,</w:t>
      </w:r>
      <w:r w:rsidR="00B21647">
        <w:rPr>
          <w:rFonts w:hint="cs"/>
          <w:sz w:val="28"/>
          <w:rtl/>
        </w:rPr>
        <w:t xml:space="preserve"> הודעת דוא"ל של </w:t>
      </w:r>
      <w:r w:rsidR="007E4624">
        <w:rPr>
          <w:rFonts w:hint="cs"/>
          <w:sz w:val="28"/>
          <w:rtl/>
        </w:rPr>
        <w:t>סגנית מפקדת לשכת הגיוס תל השומר</w:t>
      </w:r>
      <w:r w:rsidR="00921C14">
        <w:rPr>
          <w:rFonts w:hint="cs"/>
          <w:sz w:val="28"/>
          <w:rtl/>
        </w:rPr>
        <w:t xml:space="preserve"> </w:t>
      </w:r>
      <w:r w:rsidR="00921C14">
        <w:rPr>
          <w:sz w:val="28"/>
          <w:rtl/>
        </w:rPr>
        <w:t>–</w:t>
      </w:r>
      <w:r w:rsidR="00921C14">
        <w:rPr>
          <w:rFonts w:hint="cs"/>
          <w:sz w:val="28"/>
          <w:rtl/>
        </w:rPr>
        <w:t xml:space="preserve"> רס"ן ורון</w:t>
      </w:r>
      <w:r w:rsidR="00AC0486">
        <w:rPr>
          <w:rFonts w:hint="cs"/>
          <w:sz w:val="28"/>
          <w:rtl/>
        </w:rPr>
        <w:t xml:space="preserve">, </w:t>
      </w:r>
      <w:r w:rsidR="00B21647">
        <w:rPr>
          <w:rFonts w:hint="cs"/>
          <w:sz w:val="28"/>
          <w:rtl/>
        </w:rPr>
        <w:t xml:space="preserve">שבה כתבה כי הפעילה שיקול דעת פרטני בעניינו של המשיב, וכי </w:t>
      </w:r>
      <w:r w:rsidR="00AC0486">
        <w:rPr>
          <w:rFonts w:hint="cs"/>
          <w:sz w:val="28"/>
          <w:rtl/>
        </w:rPr>
        <w:t xml:space="preserve">בהתאם לחזקת תקינות המנהל, </w:t>
      </w:r>
      <w:r w:rsidR="00B21647">
        <w:rPr>
          <w:rFonts w:hint="cs"/>
          <w:sz w:val="28"/>
          <w:rtl/>
        </w:rPr>
        <w:t>זו</w:t>
      </w:r>
      <w:r w:rsidR="00AC0486">
        <w:rPr>
          <w:rFonts w:hint="cs"/>
          <w:sz w:val="28"/>
          <w:rtl/>
        </w:rPr>
        <w:t xml:space="preserve"> עשויה להניח את הדעת</w:t>
      </w:r>
      <w:r w:rsidR="00B21647">
        <w:rPr>
          <w:rFonts w:hint="cs"/>
          <w:sz w:val="28"/>
          <w:rtl/>
        </w:rPr>
        <w:t>;</w:t>
      </w:r>
      <w:r w:rsidR="00AC0486">
        <w:rPr>
          <w:rFonts w:hint="cs"/>
          <w:sz w:val="28"/>
          <w:rtl/>
        </w:rPr>
        <w:t xml:space="preserve"> אל</w:t>
      </w:r>
      <w:r w:rsidR="00B21647">
        <w:rPr>
          <w:rFonts w:hint="cs"/>
          <w:sz w:val="28"/>
          <w:rtl/>
        </w:rPr>
        <w:t xml:space="preserve">א </w:t>
      </w:r>
      <w:r w:rsidR="00AC0486">
        <w:rPr>
          <w:rFonts w:hint="cs"/>
          <w:sz w:val="28"/>
          <w:rtl/>
        </w:rPr>
        <w:t>ש</w:t>
      </w:r>
      <w:r>
        <w:rPr>
          <w:rFonts w:hint="cs"/>
          <w:sz w:val="28"/>
          <w:rtl/>
        </w:rPr>
        <w:t xml:space="preserve">מדובר בהודעה </w:t>
      </w:r>
      <w:r w:rsidRPr="00B21647">
        <w:rPr>
          <w:rFonts w:hint="cs"/>
          <w:b/>
          <w:bCs/>
          <w:sz w:val="28"/>
          <w:rtl/>
        </w:rPr>
        <w:t>לקונית</w:t>
      </w:r>
      <w:r w:rsidR="007E4624">
        <w:rPr>
          <w:rFonts w:hint="cs"/>
          <w:sz w:val="28"/>
          <w:rtl/>
        </w:rPr>
        <w:t xml:space="preserve">, </w:t>
      </w:r>
      <w:r w:rsidR="00B21647">
        <w:rPr>
          <w:rFonts w:hint="cs"/>
          <w:sz w:val="28"/>
          <w:rtl/>
        </w:rPr>
        <w:t>ללא ציון הנתונים שעמדו בבסיס החלטתה או המועד שבו אישרה את גיוסו</w:t>
      </w:r>
      <w:r w:rsidR="007E4624">
        <w:rPr>
          <w:rFonts w:hint="cs"/>
          <w:sz w:val="28"/>
          <w:rtl/>
        </w:rPr>
        <w:t xml:space="preserve"> של המשיב</w:t>
      </w:r>
      <w:r w:rsidR="00B21647">
        <w:rPr>
          <w:rFonts w:hint="cs"/>
          <w:sz w:val="28"/>
          <w:rtl/>
        </w:rPr>
        <w:t>. נקבע כי</w:t>
      </w:r>
      <w:r>
        <w:rPr>
          <w:rFonts w:hint="cs"/>
          <w:sz w:val="28"/>
          <w:rtl/>
        </w:rPr>
        <w:t xml:space="preserve"> </w:t>
      </w:r>
      <w:r w:rsidR="00AC0486">
        <w:rPr>
          <w:rFonts w:hint="cs"/>
          <w:sz w:val="28"/>
          <w:rtl/>
        </w:rPr>
        <w:t xml:space="preserve">פרט </w:t>
      </w:r>
      <w:r w:rsidR="00B21647">
        <w:rPr>
          <w:rFonts w:hint="cs"/>
          <w:sz w:val="28"/>
          <w:rtl/>
        </w:rPr>
        <w:t xml:space="preserve">לקשיים מובנים </w:t>
      </w:r>
      <w:r w:rsidR="007E4624">
        <w:rPr>
          <w:rFonts w:hint="cs"/>
          <w:sz w:val="28"/>
          <w:rtl/>
        </w:rPr>
        <w:t>אלה</w:t>
      </w:r>
      <w:r w:rsidR="00B21647">
        <w:rPr>
          <w:rFonts w:hint="cs"/>
          <w:sz w:val="28"/>
          <w:rtl/>
        </w:rPr>
        <w:t>,</w:t>
      </w:r>
      <w:r w:rsidR="00AC0486">
        <w:rPr>
          <w:rFonts w:hint="cs"/>
          <w:sz w:val="28"/>
          <w:rtl/>
        </w:rPr>
        <w:t xml:space="preserve"> </w:t>
      </w:r>
      <w:r w:rsidR="00B21647">
        <w:rPr>
          <w:rFonts w:hint="cs"/>
          <w:sz w:val="28"/>
          <w:rtl/>
        </w:rPr>
        <w:t xml:space="preserve">קיימים </w:t>
      </w:r>
      <w:r w:rsidR="007E4624">
        <w:rPr>
          <w:rFonts w:hint="cs"/>
          <w:sz w:val="28"/>
          <w:rtl/>
        </w:rPr>
        <w:t xml:space="preserve">בחומר הראיות לכאורה </w:t>
      </w:r>
      <w:r w:rsidR="00AC0486" w:rsidRPr="001C59A7">
        <w:rPr>
          <w:rFonts w:hint="cs"/>
          <w:sz w:val="28"/>
          <w:rtl/>
        </w:rPr>
        <w:t>חסרים</w:t>
      </w:r>
      <w:r w:rsidR="00AC0486" w:rsidRPr="00B21647">
        <w:rPr>
          <w:rFonts w:hint="cs"/>
          <w:b/>
          <w:bCs/>
          <w:sz w:val="28"/>
          <w:rtl/>
        </w:rPr>
        <w:t xml:space="preserve"> </w:t>
      </w:r>
      <w:r w:rsidR="00AC0486" w:rsidRPr="001C59A7">
        <w:rPr>
          <w:rFonts w:hint="cs"/>
          <w:sz w:val="28"/>
          <w:rtl/>
        </w:rPr>
        <w:t>מובהקים</w:t>
      </w:r>
      <w:r w:rsidR="00B21647">
        <w:rPr>
          <w:rFonts w:hint="cs"/>
          <w:b/>
          <w:bCs/>
          <w:sz w:val="28"/>
          <w:rtl/>
        </w:rPr>
        <w:t xml:space="preserve"> </w:t>
      </w:r>
      <w:r w:rsidR="00B21647" w:rsidRPr="00F76908">
        <w:rPr>
          <w:rFonts w:hint="cs"/>
          <w:sz w:val="28"/>
          <w:rtl/>
        </w:rPr>
        <w:t>נוספים</w:t>
      </w:r>
      <w:r w:rsidR="00B21647">
        <w:rPr>
          <w:rFonts w:hint="cs"/>
          <w:sz w:val="28"/>
          <w:rtl/>
        </w:rPr>
        <w:t xml:space="preserve">, ובהם: </w:t>
      </w:r>
      <w:r w:rsidR="00B21647" w:rsidRPr="00B21647">
        <w:rPr>
          <w:sz w:val="28"/>
          <w:rtl/>
        </w:rPr>
        <w:t xml:space="preserve">היעדר תיעוד </w:t>
      </w:r>
      <w:r w:rsidR="00B21647" w:rsidRPr="00B21647">
        <w:rPr>
          <w:sz w:val="28"/>
          <w:rtl/>
        </w:rPr>
        <w:lastRenderedPageBreak/>
        <w:t>ל</w:t>
      </w:r>
      <w:r w:rsidR="007E4624">
        <w:rPr>
          <w:rFonts w:hint="cs"/>
          <w:sz w:val="28"/>
          <w:rtl/>
        </w:rPr>
        <w:t xml:space="preserve">משלוח </w:t>
      </w:r>
      <w:r w:rsidR="00B21647" w:rsidRPr="00B21647">
        <w:rPr>
          <w:sz w:val="28"/>
          <w:rtl/>
        </w:rPr>
        <w:t>ההתראה למשיב</w:t>
      </w:r>
      <w:r w:rsidR="007E4624">
        <w:rPr>
          <w:rFonts w:hint="cs"/>
          <w:sz w:val="28"/>
          <w:rtl/>
        </w:rPr>
        <w:t>,</w:t>
      </w:r>
      <w:r w:rsidR="00B21647" w:rsidRPr="00B21647">
        <w:rPr>
          <w:sz w:val="28"/>
          <w:rtl/>
        </w:rPr>
        <w:t xml:space="preserve"> </w:t>
      </w:r>
      <w:r w:rsidR="007E4624">
        <w:rPr>
          <w:rFonts w:hint="cs"/>
          <w:sz w:val="28"/>
          <w:rtl/>
        </w:rPr>
        <w:t>מ</w:t>
      </w:r>
      <w:r w:rsidR="00B21647" w:rsidRPr="00B21647">
        <w:rPr>
          <w:sz w:val="28"/>
          <w:rtl/>
        </w:rPr>
        <w:t xml:space="preserve">יום </w:t>
      </w:r>
      <w:r w:rsidR="007E4624">
        <w:rPr>
          <w:rFonts w:hint="cs"/>
          <w:sz w:val="28"/>
          <w:rtl/>
        </w:rPr>
        <w:t xml:space="preserve">27 אוקטובר 2024, שהוא </w:t>
      </w:r>
      <w:r w:rsidR="001C59A7">
        <w:rPr>
          <w:rFonts w:hint="cs"/>
          <w:sz w:val="28"/>
          <w:rtl/>
        </w:rPr>
        <w:t>שלב</w:t>
      </w:r>
      <w:r w:rsidR="00B21647" w:rsidRPr="00B21647">
        <w:rPr>
          <w:sz w:val="28"/>
          <w:rtl/>
        </w:rPr>
        <w:t xml:space="preserve"> במדיניות </w:t>
      </w:r>
      <w:r w:rsidR="007E4624">
        <w:rPr>
          <w:rFonts w:hint="cs"/>
          <w:sz w:val="28"/>
          <w:rtl/>
        </w:rPr>
        <w:t>העדכנית</w:t>
      </w:r>
      <w:r w:rsidR="00B21647" w:rsidRPr="00B21647">
        <w:rPr>
          <w:sz w:val="28"/>
          <w:rtl/>
        </w:rPr>
        <w:t xml:space="preserve"> </w:t>
      </w:r>
      <w:r w:rsidR="00B21647">
        <w:rPr>
          <w:rFonts w:hint="cs"/>
          <w:sz w:val="28"/>
          <w:rtl/>
        </w:rPr>
        <w:t>טרם הוצאת צו לפי סעיף 12 לחוק;</w:t>
      </w:r>
      <w:r w:rsidR="00B21647" w:rsidRPr="00B21647">
        <w:rPr>
          <w:sz w:val="28"/>
          <w:rtl/>
        </w:rPr>
        <w:t xml:space="preserve"> העדר תיעוד </w:t>
      </w:r>
      <w:r w:rsidR="00B21647" w:rsidRPr="00B21647">
        <w:rPr>
          <w:rFonts w:hint="cs"/>
          <w:b/>
          <w:bCs/>
          <w:sz w:val="28"/>
          <w:rtl/>
        </w:rPr>
        <w:t>בזמן אמת</w:t>
      </w:r>
      <w:r w:rsidR="00B21647" w:rsidRPr="00B21647">
        <w:rPr>
          <w:sz w:val="28"/>
          <w:rtl/>
        </w:rPr>
        <w:t xml:space="preserve"> לשיקול הדעת הפרטני</w:t>
      </w:r>
      <w:r w:rsidR="00B21647">
        <w:rPr>
          <w:rFonts w:hint="cs"/>
          <w:sz w:val="28"/>
          <w:rtl/>
        </w:rPr>
        <w:t xml:space="preserve"> ולנתונים שעמדו </w:t>
      </w:r>
      <w:r w:rsidR="00B21647" w:rsidRPr="00B21647">
        <w:rPr>
          <w:sz w:val="28"/>
          <w:rtl/>
        </w:rPr>
        <w:t>בבסיס החלטת הפוקד</w:t>
      </w:r>
      <w:r w:rsidR="00B21647">
        <w:rPr>
          <w:rFonts w:hint="cs"/>
          <w:sz w:val="28"/>
          <w:rtl/>
        </w:rPr>
        <w:t>, היעדר תיעוד להחלטה בדבר הוצאת הצו</w:t>
      </w:r>
      <w:r w:rsidR="00B21647" w:rsidRPr="00B21647">
        <w:rPr>
          <w:sz w:val="28"/>
          <w:rtl/>
        </w:rPr>
        <w:t xml:space="preserve">; </w:t>
      </w:r>
      <w:r w:rsidR="00F76908">
        <w:rPr>
          <w:rFonts w:hint="cs"/>
          <w:sz w:val="28"/>
          <w:rtl/>
        </w:rPr>
        <w:t>וכן,</w:t>
      </w:r>
      <w:r w:rsidR="00F76908" w:rsidRPr="00B21647">
        <w:rPr>
          <w:sz w:val="28"/>
          <w:rtl/>
        </w:rPr>
        <w:t xml:space="preserve"> </w:t>
      </w:r>
      <w:r w:rsidR="00B21647" w:rsidRPr="00B21647">
        <w:rPr>
          <w:sz w:val="28"/>
          <w:rtl/>
        </w:rPr>
        <w:t xml:space="preserve">העדר תיעוד לאישור שנשלח למשיב על כך שהוא במעמד של </w:t>
      </w:r>
      <w:r w:rsidR="00B21647">
        <w:rPr>
          <w:rFonts w:hint="cs"/>
          <w:sz w:val="28"/>
          <w:rtl/>
        </w:rPr>
        <w:t>מי שנקרא לגיוס לפי סעיף 12 לחוק</w:t>
      </w:r>
      <w:r w:rsidR="00B21647" w:rsidRPr="00B21647">
        <w:rPr>
          <w:sz w:val="28"/>
          <w:rtl/>
        </w:rPr>
        <w:t>.</w:t>
      </w:r>
      <w:r w:rsidR="00B21647">
        <w:rPr>
          <w:rFonts w:hint="cs"/>
          <w:sz w:val="28"/>
          <w:rtl/>
        </w:rPr>
        <w:t xml:space="preserve"> נקבע כי חסרים ראייתיי</w:t>
      </w:r>
      <w:r w:rsidR="00B21647">
        <w:rPr>
          <w:rFonts w:hint="eastAsia"/>
          <w:sz w:val="28"/>
          <w:rtl/>
        </w:rPr>
        <w:t>ם</w:t>
      </w:r>
      <w:r w:rsidR="00B21647">
        <w:rPr>
          <w:rFonts w:hint="cs"/>
          <w:sz w:val="28"/>
          <w:rtl/>
        </w:rPr>
        <w:t xml:space="preserve"> אלה ונוספים, </w:t>
      </w:r>
      <w:r>
        <w:rPr>
          <w:rFonts w:hint="cs"/>
          <w:sz w:val="28"/>
          <w:rtl/>
        </w:rPr>
        <w:t>מעלים</w:t>
      </w:r>
      <w:r w:rsidR="00AC0486">
        <w:rPr>
          <w:rFonts w:hint="cs"/>
          <w:sz w:val="28"/>
          <w:rtl/>
        </w:rPr>
        <w:t xml:space="preserve"> "</w:t>
      </w:r>
      <w:r w:rsidR="00AC0486" w:rsidRPr="00AC0486">
        <w:rPr>
          <w:rFonts w:hint="cs"/>
          <w:b/>
          <w:bCs/>
          <w:sz w:val="28"/>
          <w:rtl/>
        </w:rPr>
        <w:t>שאלות מורכבות</w:t>
      </w:r>
      <w:r w:rsidR="00B21647">
        <w:rPr>
          <w:rFonts w:hint="cs"/>
          <w:sz w:val="28"/>
          <w:rtl/>
        </w:rPr>
        <w:t>"</w:t>
      </w:r>
      <w:r w:rsidR="00AC0486">
        <w:rPr>
          <w:rFonts w:hint="cs"/>
          <w:sz w:val="28"/>
          <w:rtl/>
        </w:rPr>
        <w:t xml:space="preserve"> שעתידות להתברר בהליך הע</w:t>
      </w:r>
      <w:r w:rsidR="00B21647">
        <w:rPr>
          <w:rFonts w:hint="cs"/>
          <w:sz w:val="28"/>
          <w:rtl/>
        </w:rPr>
        <w:t>י</w:t>
      </w:r>
      <w:r w:rsidR="00AC0486">
        <w:rPr>
          <w:rFonts w:hint="cs"/>
          <w:sz w:val="28"/>
          <w:rtl/>
        </w:rPr>
        <w:t xml:space="preserve">קרי. </w:t>
      </w:r>
    </w:p>
    <w:p w14:paraId="2AA8B0CF" w14:textId="77777777" w:rsidR="0087214B" w:rsidRDefault="003C04BB" w:rsidP="0087214B">
      <w:pPr>
        <w:spacing w:before="240" w:line="360" w:lineRule="auto"/>
        <w:ind w:left="-58"/>
        <w:contextualSpacing/>
        <w:jc w:val="both"/>
        <w:rPr>
          <w:sz w:val="28"/>
          <w:rtl/>
        </w:rPr>
      </w:pPr>
      <w:r w:rsidRPr="0087214B">
        <w:rPr>
          <w:rFonts w:hint="cs"/>
          <w:sz w:val="28"/>
          <w:rtl/>
        </w:rPr>
        <w:t xml:space="preserve">הקושי </w:t>
      </w:r>
      <w:r w:rsidRPr="0087214B">
        <w:rPr>
          <w:rFonts w:hint="cs"/>
          <w:b/>
          <w:bCs/>
          <w:sz w:val="28"/>
          <w:rtl/>
        </w:rPr>
        <w:t>השלישי</w:t>
      </w:r>
      <w:r w:rsidR="00AC0486" w:rsidRPr="0087214B">
        <w:rPr>
          <w:rFonts w:hint="cs"/>
          <w:sz w:val="28"/>
          <w:rtl/>
        </w:rPr>
        <w:t xml:space="preserve">, </w:t>
      </w:r>
      <w:r w:rsidRPr="0087214B">
        <w:rPr>
          <w:rFonts w:hint="cs"/>
          <w:sz w:val="28"/>
          <w:rtl/>
        </w:rPr>
        <w:t xml:space="preserve">נעוץ בעובדה </w:t>
      </w:r>
      <w:r w:rsidR="00AC0486" w:rsidRPr="0087214B">
        <w:rPr>
          <w:rFonts w:hint="cs"/>
          <w:sz w:val="28"/>
          <w:rtl/>
        </w:rPr>
        <w:t>שאף לאחר שהוצא צו גיוס לפי סעיף 12</w:t>
      </w:r>
      <w:r w:rsidRPr="0087214B">
        <w:rPr>
          <w:rFonts w:hint="cs"/>
          <w:sz w:val="28"/>
          <w:rtl/>
        </w:rPr>
        <w:t xml:space="preserve"> לחוק,</w:t>
      </w:r>
      <w:r w:rsidR="00AC0486" w:rsidRPr="0087214B">
        <w:rPr>
          <w:rFonts w:hint="cs"/>
          <w:sz w:val="28"/>
          <w:rtl/>
        </w:rPr>
        <w:t xml:space="preserve"> דיברה לשכת הגיוס "</w:t>
      </w:r>
      <w:r w:rsidR="00AC0486" w:rsidRPr="0087214B">
        <w:rPr>
          <w:rFonts w:hint="cs"/>
          <w:b/>
          <w:bCs/>
          <w:sz w:val="28"/>
          <w:rtl/>
        </w:rPr>
        <w:t>בשני קולות</w:t>
      </w:r>
      <w:r w:rsidR="00AC0486" w:rsidRPr="0087214B">
        <w:rPr>
          <w:rFonts w:hint="cs"/>
          <w:sz w:val="28"/>
          <w:rtl/>
        </w:rPr>
        <w:t>" והמשיכה לקרוא למשיב</w:t>
      </w:r>
      <w:r w:rsidRPr="0087214B">
        <w:rPr>
          <w:rFonts w:hint="cs"/>
          <w:sz w:val="28"/>
          <w:rtl/>
        </w:rPr>
        <w:t xml:space="preserve"> לבדיקות</w:t>
      </w:r>
      <w:r w:rsidR="00AC0486" w:rsidRPr="0087214B">
        <w:rPr>
          <w:rFonts w:hint="cs"/>
          <w:sz w:val="28"/>
          <w:rtl/>
        </w:rPr>
        <w:t>, תוך עלייה במדרג הזימונים</w:t>
      </w:r>
      <w:r w:rsidRPr="0087214B">
        <w:rPr>
          <w:rFonts w:hint="cs"/>
          <w:sz w:val="28"/>
          <w:rtl/>
        </w:rPr>
        <w:t xml:space="preserve">, באופן המעלה </w:t>
      </w:r>
      <w:r w:rsidR="00AC0486" w:rsidRPr="0087214B">
        <w:rPr>
          <w:rFonts w:hint="cs"/>
          <w:sz w:val="28"/>
          <w:rtl/>
        </w:rPr>
        <w:t xml:space="preserve">תהייה שמא היה עם המשיב קשר נוסף שלא תועד בכתב. תהייה זו מתחדדת בפרט ביחס לבדיקה רפואית ייחודית </w:t>
      </w:r>
      <w:r w:rsidR="00AC0486" w:rsidRPr="0087214B">
        <w:rPr>
          <w:sz w:val="28"/>
          <w:rtl/>
        </w:rPr>
        <w:t>–</w:t>
      </w:r>
      <w:r w:rsidR="00AC0486" w:rsidRPr="0087214B">
        <w:rPr>
          <w:rFonts w:hint="cs"/>
          <w:sz w:val="28"/>
          <w:rtl/>
        </w:rPr>
        <w:t xml:space="preserve"> בדיקת עומק ראייה שאותה נדרש המשיב לעבור</w:t>
      </w:r>
      <w:r w:rsidR="00B21647">
        <w:rPr>
          <w:rFonts w:hint="cs"/>
          <w:sz w:val="28"/>
          <w:rtl/>
        </w:rPr>
        <w:t xml:space="preserve">. </w:t>
      </w:r>
      <w:r w:rsidRPr="0087214B">
        <w:rPr>
          <w:rFonts w:hint="cs"/>
          <w:sz w:val="28"/>
          <w:rtl/>
        </w:rPr>
        <w:t xml:space="preserve">על רקע זימון חריג זה, </w:t>
      </w:r>
      <w:r w:rsidR="00A12254">
        <w:rPr>
          <w:rFonts w:hint="cs"/>
          <w:sz w:val="28"/>
          <w:rtl/>
        </w:rPr>
        <w:t>נשאלת ה</w:t>
      </w:r>
      <w:r w:rsidRPr="0087214B">
        <w:rPr>
          <w:rFonts w:hint="cs"/>
          <w:sz w:val="28"/>
          <w:rtl/>
        </w:rPr>
        <w:t>שאלה האם עמדו</w:t>
      </w:r>
      <w:r w:rsidR="00AC0486" w:rsidRPr="0087214B">
        <w:rPr>
          <w:rFonts w:hint="cs"/>
          <w:sz w:val="28"/>
          <w:rtl/>
        </w:rPr>
        <w:t xml:space="preserve"> לנגד עיני הרשות </w:t>
      </w:r>
      <w:r w:rsidRPr="0087214B">
        <w:rPr>
          <w:rFonts w:hint="cs"/>
          <w:sz w:val="28"/>
          <w:rtl/>
        </w:rPr>
        <w:t>מכלול הנתונים הרלוונטיים</w:t>
      </w:r>
      <w:r w:rsidR="00B21647">
        <w:rPr>
          <w:rFonts w:hint="cs"/>
          <w:sz w:val="28"/>
          <w:rtl/>
        </w:rPr>
        <w:t>, טרם קבלת ההחלטה על גיוסו בהתאם לסעיף 12 לחוק</w:t>
      </w:r>
      <w:r w:rsidR="00AC0486" w:rsidRPr="0087214B">
        <w:rPr>
          <w:rFonts w:hint="cs"/>
          <w:sz w:val="28"/>
          <w:rtl/>
        </w:rPr>
        <w:t xml:space="preserve">. </w:t>
      </w:r>
    </w:p>
    <w:p w14:paraId="2493C11B" w14:textId="77777777" w:rsidR="002B70E8" w:rsidRDefault="003C04BB" w:rsidP="0087214B">
      <w:pPr>
        <w:spacing w:before="240" w:line="360" w:lineRule="auto"/>
        <w:ind w:left="-58"/>
        <w:contextualSpacing/>
        <w:jc w:val="both"/>
        <w:rPr>
          <w:sz w:val="28"/>
        </w:rPr>
      </w:pPr>
      <w:r>
        <w:rPr>
          <w:rFonts w:hint="cs"/>
          <w:sz w:val="28"/>
          <w:rtl/>
        </w:rPr>
        <w:t xml:space="preserve">5. </w:t>
      </w:r>
      <w:r w:rsidRPr="0087214B">
        <w:rPr>
          <w:rFonts w:hint="cs"/>
          <w:sz w:val="28"/>
          <w:rtl/>
        </w:rPr>
        <w:t xml:space="preserve">נקבע כי את הקשיים הראייתיים הללו במסלול הקריאה האישי </w:t>
      </w:r>
      <w:r w:rsidRPr="0087214B">
        <w:rPr>
          <w:rFonts w:hint="cs"/>
          <w:b/>
          <w:bCs/>
          <w:sz w:val="28"/>
          <w:rtl/>
        </w:rPr>
        <w:t>אין</w:t>
      </w:r>
      <w:r w:rsidRPr="0087214B">
        <w:rPr>
          <w:rFonts w:hint="cs"/>
          <w:sz w:val="28"/>
          <w:rtl/>
        </w:rPr>
        <w:t xml:space="preserve"> חזקת תקינות המנהל יכולה להשלים</w:t>
      </w:r>
      <w:r w:rsidR="00602BA6">
        <w:rPr>
          <w:rFonts w:hint="cs"/>
          <w:sz w:val="28"/>
          <w:rtl/>
        </w:rPr>
        <w:t>. אשר למסלול הכללי</w:t>
      </w:r>
      <w:r>
        <w:rPr>
          <w:rFonts w:hint="cs"/>
          <w:sz w:val="28"/>
          <w:rtl/>
        </w:rPr>
        <w:t xml:space="preserve">, </w:t>
      </w:r>
      <w:r w:rsidR="00602BA6">
        <w:rPr>
          <w:rFonts w:hint="cs"/>
          <w:sz w:val="28"/>
          <w:rtl/>
        </w:rPr>
        <w:t xml:space="preserve">צוין </w:t>
      </w:r>
      <w:r>
        <w:rPr>
          <w:rFonts w:hint="cs"/>
          <w:sz w:val="28"/>
          <w:rtl/>
        </w:rPr>
        <w:t>כי</w:t>
      </w:r>
      <w:r w:rsidRPr="0087214B">
        <w:rPr>
          <w:rFonts w:hint="cs"/>
          <w:sz w:val="28"/>
          <w:rtl/>
        </w:rPr>
        <w:t xml:space="preserve"> </w:t>
      </w:r>
      <w:r w:rsidR="001208B8" w:rsidRPr="0087214B">
        <w:rPr>
          <w:sz w:val="28"/>
          <w:rtl/>
        </w:rPr>
        <w:t xml:space="preserve">מועד ההתייצבות של </w:t>
      </w:r>
      <w:r>
        <w:rPr>
          <w:rFonts w:hint="cs"/>
          <w:sz w:val="28"/>
          <w:rtl/>
        </w:rPr>
        <w:t>המשיב</w:t>
      </w:r>
      <w:r w:rsidR="001208B8" w:rsidRPr="0087214B">
        <w:rPr>
          <w:sz w:val="28"/>
          <w:rtl/>
        </w:rPr>
        <w:t xml:space="preserve"> לשירות ביטחון מכוח צו הפוקד הכללי החל בעניינו הוא בחודש אפריל 2025 (צו שירות ביטחון (התייצבות לרישום, לבדיקות ולשירות ביטחון), </w:t>
      </w:r>
      <w:r w:rsidRPr="0087214B">
        <w:rPr>
          <w:rFonts w:hint="cs"/>
          <w:sz w:val="28"/>
          <w:rtl/>
        </w:rPr>
        <w:t>ה</w:t>
      </w:r>
      <w:r w:rsidR="001208B8" w:rsidRPr="0087214B">
        <w:rPr>
          <w:sz w:val="28"/>
          <w:rtl/>
        </w:rPr>
        <w:t xml:space="preserve">תשפ"ה-2024), </w:t>
      </w:r>
      <w:r w:rsidRPr="0087214B">
        <w:rPr>
          <w:rFonts w:hint="cs"/>
          <w:sz w:val="28"/>
          <w:rtl/>
        </w:rPr>
        <w:t>כך</w:t>
      </w:r>
      <w:r w:rsidR="001208B8" w:rsidRPr="0087214B">
        <w:rPr>
          <w:sz w:val="28"/>
          <w:rtl/>
        </w:rPr>
        <w:t xml:space="preserve"> שמשך היעדרותו הוא מתחת לרף </w:t>
      </w:r>
      <w:r w:rsidR="00602BA6">
        <w:rPr>
          <w:rFonts w:hint="cs"/>
          <w:sz w:val="28"/>
          <w:rtl/>
        </w:rPr>
        <w:t>ה</w:t>
      </w:r>
      <w:r w:rsidR="001208B8" w:rsidRPr="0087214B">
        <w:rPr>
          <w:sz w:val="28"/>
          <w:rtl/>
        </w:rPr>
        <w:t>העמדה לדין פלילי.‏‏</w:t>
      </w:r>
    </w:p>
    <w:p w14:paraId="5363DC5C" w14:textId="77777777" w:rsidR="002B70E8" w:rsidRPr="002B70E8" w:rsidRDefault="003C04BB" w:rsidP="00513BD9">
      <w:pPr>
        <w:spacing w:before="240" w:line="360" w:lineRule="auto"/>
        <w:ind w:left="-58"/>
        <w:contextualSpacing/>
        <w:jc w:val="both"/>
        <w:rPr>
          <w:sz w:val="28"/>
          <w:rtl/>
        </w:rPr>
      </w:pPr>
      <w:r>
        <w:rPr>
          <w:rFonts w:hint="cs"/>
          <w:sz w:val="28"/>
          <w:rtl/>
        </w:rPr>
        <w:t xml:space="preserve">6. </w:t>
      </w:r>
      <w:r w:rsidRPr="002B70E8">
        <w:rPr>
          <w:rFonts w:hint="cs"/>
          <w:sz w:val="28"/>
          <w:rtl/>
        </w:rPr>
        <w:t>בסיכומו של דבר נקבע</w:t>
      </w:r>
      <w:r w:rsidR="00B21647">
        <w:rPr>
          <w:rFonts w:hint="cs"/>
          <w:sz w:val="28"/>
          <w:rtl/>
        </w:rPr>
        <w:t>,</w:t>
      </w:r>
      <w:r w:rsidRPr="002B70E8">
        <w:rPr>
          <w:rFonts w:hint="cs"/>
          <w:sz w:val="28"/>
          <w:rtl/>
        </w:rPr>
        <w:t xml:space="preserve"> </w:t>
      </w:r>
      <w:r w:rsidR="001C59A7">
        <w:rPr>
          <w:rFonts w:hint="cs"/>
          <w:sz w:val="28"/>
          <w:rtl/>
        </w:rPr>
        <w:t>שאמנם</w:t>
      </w:r>
      <w:r w:rsidR="0087214B">
        <w:rPr>
          <w:rFonts w:hint="cs"/>
          <w:sz w:val="28"/>
          <w:rtl/>
        </w:rPr>
        <w:t xml:space="preserve"> מתגבשות בעניינו של המשיב עילות המעצר הנוהגות </w:t>
      </w:r>
      <w:r w:rsidR="0087214B" w:rsidRPr="002B70E8">
        <w:rPr>
          <w:sz w:val="28"/>
          <w:rtl/>
        </w:rPr>
        <w:t>בעבי</w:t>
      </w:r>
      <w:r w:rsidR="0087214B">
        <w:rPr>
          <w:rFonts w:hint="cs"/>
          <w:sz w:val="28"/>
          <w:rtl/>
        </w:rPr>
        <w:t>ר</w:t>
      </w:r>
      <w:r w:rsidR="0087214B" w:rsidRPr="002B70E8">
        <w:rPr>
          <w:sz w:val="28"/>
          <w:rtl/>
        </w:rPr>
        <w:t>ת היעדר</w:t>
      </w:r>
      <w:r w:rsidR="0087214B">
        <w:rPr>
          <w:rFonts w:hint="cs"/>
          <w:sz w:val="28"/>
          <w:rtl/>
        </w:rPr>
        <w:t xml:space="preserve"> מן השיר</w:t>
      </w:r>
      <w:r w:rsidR="0087214B" w:rsidRPr="002B70E8">
        <w:rPr>
          <w:sz w:val="28"/>
          <w:rtl/>
        </w:rPr>
        <w:t>ות</w:t>
      </w:r>
      <w:r w:rsidR="00B21647">
        <w:rPr>
          <w:rFonts w:hint="cs"/>
          <w:sz w:val="28"/>
          <w:rtl/>
        </w:rPr>
        <w:t xml:space="preserve">, </w:t>
      </w:r>
      <w:r w:rsidR="0087214B">
        <w:rPr>
          <w:rFonts w:hint="cs"/>
          <w:sz w:val="28"/>
          <w:rtl/>
        </w:rPr>
        <w:t xml:space="preserve">בפרט </w:t>
      </w:r>
      <w:r w:rsidR="00602BA6">
        <w:rPr>
          <w:rFonts w:hint="cs"/>
          <w:sz w:val="28"/>
          <w:rtl/>
        </w:rPr>
        <w:t xml:space="preserve">משנמשכה, לכל אורכה, </w:t>
      </w:r>
      <w:r w:rsidR="0087214B" w:rsidRPr="002B70E8">
        <w:rPr>
          <w:sz w:val="28"/>
          <w:rtl/>
        </w:rPr>
        <w:t>במהלך</w:t>
      </w:r>
      <w:r w:rsidR="0087214B">
        <w:rPr>
          <w:rFonts w:hint="cs"/>
          <w:sz w:val="28"/>
          <w:rtl/>
        </w:rPr>
        <w:t xml:space="preserve"> </w:t>
      </w:r>
      <w:r w:rsidR="0087214B" w:rsidRPr="002B70E8">
        <w:rPr>
          <w:sz w:val="28"/>
          <w:rtl/>
        </w:rPr>
        <w:t>מלחמת התקומה</w:t>
      </w:r>
      <w:r w:rsidR="00602BA6">
        <w:rPr>
          <w:rFonts w:hint="cs"/>
          <w:sz w:val="28"/>
          <w:rtl/>
        </w:rPr>
        <w:t>, והסתיימה במעצרו</w:t>
      </w:r>
      <w:r w:rsidR="001C59A7">
        <w:rPr>
          <w:rFonts w:hint="cs"/>
          <w:sz w:val="28"/>
          <w:rtl/>
        </w:rPr>
        <w:t>;</w:t>
      </w:r>
      <w:r w:rsidR="0087214B" w:rsidRPr="002B70E8">
        <w:rPr>
          <w:rFonts w:hint="cs"/>
          <w:sz w:val="28"/>
          <w:rtl/>
        </w:rPr>
        <w:t xml:space="preserve"> </w:t>
      </w:r>
      <w:r w:rsidR="001C59A7">
        <w:rPr>
          <w:rFonts w:hint="cs"/>
          <w:sz w:val="28"/>
          <w:rtl/>
        </w:rPr>
        <w:t>אולם מש</w:t>
      </w:r>
      <w:r w:rsidRPr="002B70E8">
        <w:rPr>
          <w:rFonts w:hint="cs"/>
          <w:sz w:val="28"/>
          <w:rtl/>
        </w:rPr>
        <w:t xml:space="preserve">מתעוררות שאלות מורכבות </w:t>
      </w:r>
      <w:r w:rsidR="0087214B">
        <w:rPr>
          <w:rFonts w:hint="cs"/>
          <w:sz w:val="28"/>
          <w:rtl/>
        </w:rPr>
        <w:t xml:space="preserve">ביחס </w:t>
      </w:r>
      <w:r w:rsidRPr="002B70E8">
        <w:rPr>
          <w:rFonts w:hint="cs"/>
          <w:sz w:val="28"/>
          <w:rtl/>
        </w:rPr>
        <w:t>לחוקיות גיוס, שאין ניתן לבררן תוך ימים ספורים</w:t>
      </w:r>
      <w:r w:rsidR="0087214B">
        <w:rPr>
          <w:rFonts w:hint="cs"/>
          <w:sz w:val="28"/>
          <w:rtl/>
        </w:rPr>
        <w:t xml:space="preserve">, </w:t>
      </w:r>
      <w:r>
        <w:rPr>
          <w:rFonts w:hint="cs"/>
          <w:sz w:val="28"/>
          <w:rtl/>
        </w:rPr>
        <w:t>בצירוף משך ההיעדרות הכוללת</w:t>
      </w:r>
      <w:r w:rsidR="0087214B">
        <w:rPr>
          <w:rFonts w:hint="cs"/>
          <w:sz w:val="28"/>
          <w:rtl/>
        </w:rPr>
        <w:t>,</w:t>
      </w:r>
      <w:r>
        <w:rPr>
          <w:rFonts w:hint="cs"/>
          <w:sz w:val="28"/>
          <w:rtl/>
        </w:rPr>
        <w:t xml:space="preserve"> ש</w:t>
      </w:r>
      <w:r w:rsidRPr="002B70E8">
        <w:rPr>
          <w:sz w:val="28"/>
          <w:rtl/>
        </w:rPr>
        <w:t>אינ</w:t>
      </w:r>
      <w:r w:rsidR="0087214B">
        <w:rPr>
          <w:rFonts w:hint="cs"/>
          <w:sz w:val="28"/>
          <w:rtl/>
        </w:rPr>
        <w:t>ו</w:t>
      </w:r>
      <w:r w:rsidRPr="002B70E8">
        <w:rPr>
          <w:sz w:val="28"/>
          <w:rtl/>
        </w:rPr>
        <w:t xml:space="preserve"> </w:t>
      </w:r>
      <w:r w:rsidR="0087214B">
        <w:rPr>
          <w:rFonts w:hint="cs"/>
          <w:sz w:val="28"/>
          <w:rtl/>
        </w:rPr>
        <w:t>רחוק מרף</w:t>
      </w:r>
      <w:r w:rsidRPr="002B70E8">
        <w:rPr>
          <w:sz w:val="28"/>
          <w:rtl/>
        </w:rPr>
        <w:t xml:space="preserve"> ההעמדה לדין פלילי</w:t>
      </w:r>
      <w:r>
        <w:rPr>
          <w:rFonts w:hint="cs"/>
          <w:sz w:val="28"/>
          <w:rtl/>
        </w:rPr>
        <w:t xml:space="preserve">, </w:t>
      </w:r>
      <w:r w:rsidR="00602BA6">
        <w:rPr>
          <w:rFonts w:hint="cs"/>
          <w:sz w:val="28"/>
          <w:rtl/>
        </w:rPr>
        <w:t>מוצדק</w:t>
      </w:r>
      <w:r w:rsidR="00602BA6" w:rsidRPr="002B70E8">
        <w:rPr>
          <w:sz w:val="28"/>
          <w:rtl/>
        </w:rPr>
        <w:t xml:space="preserve"> </w:t>
      </w:r>
      <w:r w:rsidRPr="002B70E8">
        <w:rPr>
          <w:sz w:val="28"/>
          <w:rtl/>
        </w:rPr>
        <w:t xml:space="preserve">להורות על ירידת מדרגה, כך שהשאלות שמעורר התיק יתבררו </w:t>
      </w:r>
      <w:r>
        <w:rPr>
          <w:rFonts w:hint="cs"/>
          <w:sz w:val="28"/>
          <w:rtl/>
        </w:rPr>
        <w:t>כשהמשיב</w:t>
      </w:r>
      <w:r w:rsidRPr="002B70E8">
        <w:rPr>
          <w:sz w:val="28"/>
          <w:rtl/>
        </w:rPr>
        <w:t xml:space="preserve"> אינו נתון מאחורי סורג ובריח.</w:t>
      </w:r>
    </w:p>
    <w:p w14:paraId="39098E10" w14:textId="77777777" w:rsidR="00AC0486" w:rsidRPr="002B70E8" w:rsidRDefault="003C04BB" w:rsidP="002B70E8">
      <w:pPr>
        <w:pStyle w:val="Heading1"/>
        <w:rPr>
          <w:rtl/>
        </w:rPr>
      </w:pPr>
      <w:r w:rsidRPr="002B70E8">
        <w:rPr>
          <w:rFonts w:hint="cs"/>
          <w:rtl/>
        </w:rPr>
        <w:t>ערעור התביעה</w:t>
      </w:r>
    </w:p>
    <w:p w14:paraId="3E9BD115" w14:textId="77777777" w:rsidR="008241A5" w:rsidRDefault="003C04BB" w:rsidP="00513BD9">
      <w:pPr>
        <w:spacing w:before="240" w:line="360" w:lineRule="auto"/>
        <w:ind w:left="-58"/>
        <w:contextualSpacing/>
        <w:jc w:val="both"/>
        <w:rPr>
          <w:sz w:val="28"/>
        </w:rPr>
      </w:pPr>
      <w:r>
        <w:rPr>
          <w:rFonts w:hint="cs"/>
          <w:sz w:val="28"/>
          <w:rtl/>
        </w:rPr>
        <w:t xml:space="preserve">7. </w:t>
      </w:r>
      <w:r w:rsidRPr="008241A5">
        <w:rPr>
          <w:rFonts w:hint="cs"/>
          <w:sz w:val="28"/>
          <w:rtl/>
        </w:rPr>
        <w:t xml:space="preserve">בערעור </w:t>
      </w:r>
      <w:r w:rsidR="002C5C61">
        <w:rPr>
          <w:rFonts w:hint="cs"/>
          <w:sz w:val="28"/>
          <w:rtl/>
        </w:rPr>
        <w:t>נטען ש</w:t>
      </w:r>
      <w:r w:rsidR="00C061F0">
        <w:rPr>
          <w:rFonts w:hint="cs"/>
          <w:sz w:val="28"/>
          <w:rtl/>
        </w:rPr>
        <w:t>לא נפל פגם בהליך קר</w:t>
      </w:r>
      <w:r w:rsidR="00AA3998">
        <w:rPr>
          <w:rFonts w:hint="cs"/>
          <w:sz w:val="28"/>
          <w:rtl/>
        </w:rPr>
        <w:t>י</w:t>
      </w:r>
      <w:r w:rsidR="00C061F0">
        <w:rPr>
          <w:rFonts w:hint="cs"/>
          <w:sz w:val="28"/>
          <w:rtl/>
        </w:rPr>
        <w:t>את</w:t>
      </w:r>
      <w:r w:rsidR="00602BA6">
        <w:rPr>
          <w:rFonts w:hint="cs"/>
          <w:sz w:val="28"/>
          <w:rtl/>
        </w:rPr>
        <w:t>ו של</w:t>
      </w:r>
      <w:r w:rsidR="00C061F0">
        <w:rPr>
          <w:rFonts w:hint="cs"/>
          <w:sz w:val="28"/>
          <w:rtl/>
        </w:rPr>
        <w:t xml:space="preserve"> המשיב לשירות בטחון מכוח צו </w:t>
      </w:r>
      <w:r w:rsidR="00AA3998">
        <w:rPr>
          <w:rFonts w:hint="cs"/>
          <w:sz w:val="28"/>
          <w:rtl/>
        </w:rPr>
        <w:t xml:space="preserve">לפי סעיף </w:t>
      </w:r>
      <w:r w:rsidR="00C061F0">
        <w:rPr>
          <w:rFonts w:hint="cs"/>
          <w:sz w:val="28"/>
          <w:rtl/>
        </w:rPr>
        <w:t>12</w:t>
      </w:r>
      <w:r w:rsidR="00AA3998">
        <w:rPr>
          <w:rFonts w:hint="cs"/>
          <w:sz w:val="28"/>
          <w:rtl/>
        </w:rPr>
        <w:t xml:space="preserve"> לחוק</w:t>
      </w:r>
      <w:r w:rsidR="00C061F0">
        <w:rPr>
          <w:rFonts w:hint="cs"/>
          <w:sz w:val="28"/>
          <w:rtl/>
        </w:rPr>
        <w:t xml:space="preserve">. ראשית, נטען כי </w:t>
      </w:r>
      <w:r>
        <w:rPr>
          <w:rFonts w:hint="cs"/>
          <w:sz w:val="28"/>
          <w:rtl/>
        </w:rPr>
        <w:t>לאור</w:t>
      </w:r>
      <w:r w:rsidR="004324AA">
        <w:rPr>
          <w:rFonts w:hint="cs"/>
          <w:sz w:val="28"/>
          <w:rtl/>
        </w:rPr>
        <w:t xml:space="preserve"> המלחמה הממושכת והצורך הקיומי בכוח אדם, בד בבד עם פקיעת פרק ג'1 לחוק, חודד הצורך </w:t>
      </w:r>
      <w:r w:rsidR="00602BA6">
        <w:rPr>
          <w:rFonts w:hint="cs"/>
          <w:sz w:val="28"/>
          <w:rtl/>
        </w:rPr>
        <w:t xml:space="preserve">בנקיטתה של </w:t>
      </w:r>
      <w:r w:rsidR="004324AA">
        <w:rPr>
          <w:rFonts w:hint="cs"/>
          <w:sz w:val="28"/>
          <w:rtl/>
        </w:rPr>
        <w:t xml:space="preserve">מדיניות גיוס </w:t>
      </w:r>
      <w:r w:rsidR="00602BA6">
        <w:rPr>
          <w:rFonts w:hint="cs"/>
          <w:sz w:val="28"/>
          <w:rtl/>
        </w:rPr>
        <w:t xml:space="preserve">מזורזת </w:t>
      </w:r>
      <w:r w:rsidR="004324AA">
        <w:rPr>
          <w:rFonts w:hint="cs"/>
          <w:sz w:val="28"/>
          <w:rtl/>
        </w:rPr>
        <w:t xml:space="preserve">ביחס לאוכלוסייה </w:t>
      </w:r>
      <w:r w:rsidR="00602BA6">
        <w:rPr>
          <w:rFonts w:hint="cs"/>
          <w:sz w:val="28"/>
          <w:rtl/>
        </w:rPr>
        <w:t>ש</w:t>
      </w:r>
      <w:r w:rsidR="004324AA">
        <w:rPr>
          <w:rFonts w:hint="cs"/>
          <w:sz w:val="28"/>
          <w:rtl/>
        </w:rPr>
        <w:t xml:space="preserve">עמה נמנה המשיב, ומשעה שמדרג הזימונים טרם הוצאת </w:t>
      </w:r>
      <w:r w:rsidR="00AA3998">
        <w:rPr>
          <w:rFonts w:hint="cs"/>
          <w:sz w:val="28"/>
          <w:rtl/>
        </w:rPr>
        <w:t>ה</w:t>
      </w:r>
      <w:r w:rsidR="004324AA">
        <w:rPr>
          <w:rFonts w:hint="cs"/>
          <w:sz w:val="28"/>
          <w:rtl/>
        </w:rPr>
        <w:t xml:space="preserve">צו, </w:t>
      </w:r>
      <w:r w:rsidR="00C061F0">
        <w:rPr>
          <w:rFonts w:hint="cs"/>
          <w:sz w:val="28"/>
          <w:rtl/>
        </w:rPr>
        <w:t>איננ</w:t>
      </w:r>
      <w:r w:rsidR="00AA3998">
        <w:rPr>
          <w:rFonts w:hint="cs"/>
          <w:sz w:val="28"/>
          <w:rtl/>
        </w:rPr>
        <w:t>ו</w:t>
      </w:r>
      <w:r w:rsidR="00C061F0">
        <w:rPr>
          <w:rFonts w:hint="cs"/>
          <w:sz w:val="28"/>
          <w:rtl/>
        </w:rPr>
        <w:t xml:space="preserve"> יציר חוק, אלא </w:t>
      </w:r>
      <w:r w:rsidR="00602BA6">
        <w:rPr>
          <w:rFonts w:hint="cs"/>
          <w:sz w:val="28"/>
          <w:rtl/>
        </w:rPr>
        <w:t>פרי מדיניות</w:t>
      </w:r>
      <w:r w:rsidR="00C061F0">
        <w:rPr>
          <w:rFonts w:hint="cs"/>
          <w:sz w:val="28"/>
          <w:rtl/>
        </w:rPr>
        <w:t xml:space="preserve">, אין קושי בשינוי </w:t>
      </w:r>
      <w:r w:rsidR="00602BA6">
        <w:rPr>
          <w:rFonts w:hint="cs"/>
          <w:sz w:val="28"/>
          <w:rtl/>
        </w:rPr>
        <w:t>ה</w:t>
      </w:r>
      <w:r w:rsidR="00C061F0">
        <w:rPr>
          <w:rFonts w:hint="cs"/>
          <w:sz w:val="28"/>
          <w:rtl/>
        </w:rPr>
        <w:t xml:space="preserve">מדיניות </w:t>
      </w:r>
      <w:r w:rsidR="00602BA6">
        <w:rPr>
          <w:rFonts w:hint="cs"/>
          <w:sz w:val="28"/>
          <w:rtl/>
        </w:rPr>
        <w:t>על ידי בעל הסמכות, ואין בשינוי כאמור כדי לפגום ב</w:t>
      </w:r>
      <w:r w:rsidR="00C061F0">
        <w:rPr>
          <w:rFonts w:hint="cs"/>
          <w:sz w:val="28"/>
          <w:rtl/>
        </w:rPr>
        <w:t xml:space="preserve">חזקת תקינות המנהל, כל אימת שהצו הוצא על ידי הגורם החוקי שהוסמך לכך </w:t>
      </w:r>
      <w:r w:rsidR="00C061F0">
        <w:rPr>
          <w:sz w:val="28"/>
          <w:rtl/>
        </w:rPr>
        <w:t>–</w:t>
      </w:r>
      <w:r w:rsidR="00C061F0">
        <w:rPr>
          <w:rFonts w:hint="cs"/>
          <w:sz w:val="28"/>
          <w:rtl/>
        </w:rPr>
        <w:t xml:space="preserve"> </w:t>
      </w:r>
      <w:r w:rsidR="00602BA6">
        <w:rPr>
          <w:rFonts w:hint="cs"/>
          <w:sz w:val="28"/>
          <w:rtl/>
        </w:rPr>
        <w:t>כבענייננו</w:t>
      </w:r>
      <w:r w:rsidR="00C061F0">
        <w:rPr>
          <w:rFonts w:hint="cs"/>
          <w:sz w:val="28"/>
          <w:rtl/>
        </w:rPr>
        <w:t>. אשר לשיקול הדעת שהופעל טרם הוצאת הצו</w:t>
      </w:r>
      <w:r w:rsidR="00E0488C">
        <w:rPr>
          <w:rFonts w:hint="cs"/>
          <w:sz w:val="28"/>
          <w:rtl/>
        </w:rPr>
        <w:t xml:space="preserve"> הנדון</w:t>
      </w:r>
      <w:r w:rsidR="00C061F0">
        <w:rPr>
          <w:rFonts w:hint="cs"/>
          <w:sz w:val="28"/>
          <w:rtl/>
        </w:rPr>
        <w:t xml:space="preserve">, נטען כי </w:t>
      </w:r>
      <w:r w:rsidR="00AA3998">
        <w:rPr>
          <w:rFonts w:hint="cs"/>
          <w:sz w:val="28"/>
          <w:rtl/>
        </w:rPr>
        <w:t>חומר ה</w:t>
      </w:r>
      <w:r w:rsidR="002C5C61">
        <w:rPr>
          <w:rFonts w:hint="cs"/>
          <w:sz w:val="28"/>
          <w:rtl/>
        </w:rPr>
        <w:t xml:space="preserve">ראיות לכאורה דווקא מלמד על הפעלת שיקול דעת פרטני </w:t>
      </w:r>
      <w:r w:rsidR="00F82115">
        <w:rPr>
          <w:rFonts w:hint="cs"/>
          <w:sz w:val="28"/>
          <w:rtl/>
        </w:rPr>
        <w:t>ביחס ל</w:t>
      </w:r>
      <w:r w:rsidR="002C5C61">
        <w:rPr>
          <w:rFonts w:hint="cs"/>
          <w:sz w:val="28"/>
          <w:rtl/>
        </w:rPr>
        <w:t xml:space="preserve">משיב, תוך הפנייה להודעת הדוא"ל של </w:t>
      </w:r>
      <w:r w:rsidR="00E0488C">
        <w:rPr>
          <w:rFonts w:hint="cs"/>
          <w:sz w:val="28"/>
          <w:rtl/>
        </w:rPr>
        <w:t xml:space="preserve">סגנית מפקדת הלשכה </w:t>
      </w:r>
      <w:r w:rsidR="002C5C61">
        <w:rPr>
          <w:rFonts w:hint="cs"/>
          <w:sz w:val="28"/>
          <w:rtl/>
        </w:rPr>
        <w:t>ולמסמכי מערכת נוספים, כגון</w:t>
      </w:r>
      <w:r w:rsidR="008A66C5">
        <w:rPr>
          <w:rFonts w:hint="cs"/>
          <w:sz w:val="28"/>
          <w:rtl/>
        </w:rPr>
        <w:t>:</w:t>
      </w:r>
      <w:r w:rsidR="002C5C61">
        <w:rPr>
          <w:rFonts w:hint="cs"/>
          <w:sz w:val="28"/>
          <w:rtl/>
        </w:rPr>
        <w:t xml:space="preserve"> שיקול הדעת טרם </w:t>
      </w:r>
      <w:r w:rsidR="00F82115">
        <w:rPr>
          <w:rFonts w:hint="cs"/>
          <w:sz w:val="28"/>
          <w:rtl/>
        </w:rPr>
        <w:t xml:space="preserve">הכרזת </w:t>
      </w:r>
      <w:r w:rsidR="00E0488C">
        <w:rPr>
          <w:rFonts w:hint="cs"/>
          <w:sz w:val="28"/>
          <w:rtl/>
        </w:rPr>
        <w:t>ה</w:t>
      </w:r>
      <w:r w:rsidR="00F82115">
        <w:rPr>
          <w:rFonts w:hint="cs"/>
          <w:sz w:val="28"/>
          <w:rtl/>
        </w:rPr>
        <w:t>השתמטות</w:t>
      </w:r>
      <w:r w:rsidR="002C5C61">
        <w:rPr>
          <w:rFonts w:hint="cs"/>
          <w:sz w:val="28"/>
          <w:rtl/>
        </w:rPr>
        <w:t xml:space="preserve"> </w:t>
      </w:r>
      <w:r w:rsidR="002C5C61">
        <w:rPr>
          <w:rFonts w:hint="cs"/>
          <w:sz w:val="28"/>
          <w:rtl/>
        </w:rPr>
        <w:lastRenderedPageBreak/>
        <w:t>ומכתב ההתראה לפני הוצאת הצו. למצער</w:t>
      </w:r>
      <w:r w:rsidR="008B6182">
        <w:rPr>
          <w:rFonts w:hint="cs"/>
          <w:sz w:val="28"/>
          <w:rtl/>
        </w:rPr>
        <w:t>,</w:t>
      </w:r>
      <w:r w:rsidR="002C5C61">
        <w:rPr>
          <w:rFonts w:hint="cs"/>
          <w:sz w:val="28"/>
          <w:rtl/>
        </w:rPr>
        <w:t xml:space="preserve"> נטען שאף בהיעדר תיעוד לנימוקי ההחלטה בדבר הוצאת הצו, הלכה היא שאם ניתן להתחקות אחר שיקול הדעת מן הראיות שבתיק</w:t>
      </w:r>
      <w:r w:rsidR="008A66C5">
        <w:rPr>
          <w:rFonts w:hint="cs"/>
          <w:sz w:val="28"/>
          <w:rtl/>
        </w:rPr>
        <w:t xml:space="preserve">, אין </w:t>
      </w:r>
      <w:r w:rsidR="008B6182">
        <w:rPr>
          <w:rFonts w:hint="cs"/>
          <w:sz w:val="28"/>
          <w:rtl/>
        </w:rPr>
        <w:t>להסתפק בחלופת מעצר</w:t>
      </w:r>
      <w:r w:rsidR="008A66C5">
        <w:rPr>
          <w:rFonts w:hint="cs"/>
          <w:sz w:val="28"/>
          <w:rtl/>
        </w:rPr>
        <w:t xml:space="preserve">. אשר לזימון לבדיקות לאחר הוצאת צו 12 נטען </w:t>
      </w:r>
      <w:r w:rsidR="008B6182">
        <w:rPr>
          <w:rFonts w:hint="cs"/>
          <w:sz w:val="28"/>
          <w:rtl/>
        </w:rPr>
        <w:t xml:space="preserve">כי </w:t>
      </w:r>
      <w:r w:rsidR="008A66C5">
        <w:rPr>
          <w:rFonts w:hint="cs"/>
          <w:sz w:val="28"/>
          <w:rtl/>
        </w:rPr>
        <w:t>משעה שהמשיב לא התייצב ממילא ל</w:t>
      </w:r>
      <w:r w:rsidR="00B21647">
        <w:rPr>
          <w:rFonts w:hint="cs"/>
          <w:sz w:val="28"/>
          <w:rtl/>
        </w:rPr>
        <w:t>אף אחת מן ה</w:t>
      </w:r>
      <w:r w:rsidR="008A66C5">
        <w:rPr>
          <w:rFonts w:hint="cs"/>
          <w:sz w:val="28"/>
          <w:rtl/>
        </w:rPr>
        <w:t>בדיקות</w:t>
      </w:r>
      <w:r w:rsidR="00B21647">
        <w:rPr>
          <w:rFonts w:hint="cs"/>
          <w:sz w:val="28"/>
          <w:rtl/>
        </w:rPr>
        <w:t xml:space="preserve">, </w:t>
      </w:r>
      <w:r w:rsidR="008A66C5">
        <w:rPr>
          <w:rFonts w:hint="cs"/>
          <w:sz w:val="28"/>
          <w:rtl/>
        </w:rPr>
        <w:t>אין בזימון המאוחר כדי לשנות מן המסקנה כי קריאתו לשירות אינה נגועה בפגם</w:t>
      </w:r>
      <w:r w:rsidR="00B21647">
        <w:rPr>
          <w:rFonts w:hint="cs"/>
          <w:sz w:val="28"/>
          <w:rtl/>
        </w:rPr>
        <w:t xml:space="preserve">. נטען כי זימון </w:t>
      </w:r>
      <w:r w:rsidR="008B6182">
        <w:rPr>
          <w:rFonts w:hint="cs"/>
          <w:sz w:val="28"/>
          <w:rtl/>
        </w:rPr>
        <w:t xml:space="preserve">לבדיקה, </w:t>
      </w:r>
      <w:r w:rsidR="00B21647">
        <w:rPr>
          <w:rFonts w:hint="cs"/>
          <w:sz w:val="28"/>
          <w:rtl/>
        </w:rPr>
        <w:t>לאחר הוצאת צו</w:t>
      </w:r>
      <w:r w:rsidR="008B6182">
        <w:rPr>
          <w:rFonts w:hint="cs"/>
          <w:sz w:val="28"/>
          <w:rtl/>
        </w:rPr>
        <w:t xml:space="preserve"> גיוס</w:t>
      </w:r>
      <w:r w:rsidR="00B21647">
        <w:rPr>
          <w:rFonts w:hint="cs"/>
          <w:sz w:val="28"/>
          <w:rtl/>
        </w:rPr>
        <w:t>, הוא</w:t>
      </w:r>
      <w:r w:rsidR="008A66C5">
        <w:rPr>
          <w:rFonts w:hint="cs"/>
          <w:sz w:val="28"/>
          <w:rtl/>
        </w:rPr>
        <w:t xml:space="preserve"> פרקטיקה מוכרת </w:t>
      </w:r>
      <w:r>
        <w:rPr>
          <w:rFonts w:hint="cs"/>
          <w:sz w:val="28"/>
          <w:rtl/>
        </w:rPr>
        <w:t>שיסודה</w:t>
      </w:r>
      <w:r w:rsidR="008A66C5">
        <w:rPr>
          <w:rFonts w:hint="cs"/>
          <w:sz w:val="28"/>
          <w:rtl/>
        </w:rPr>
        <w:t xml:space="preserve"> </w:t>
      </w:r>
      <w:r>
        <w:rPr>
          <w:rFonts w:hint="cs"/>
          <w:sz w:val="28"/>
          <w:rtl/>
        </w:rPr>
        <w:t>ב</w:t>
      </w:r>
      <w:r w:rsidR="008A66C5">
        <w:rPr>
          <w:rFonts w:hint="cs"/>
          <w:sz w:val="28"/>
          <w:rtl/>
        </w:rPr>
        <w:t>מאמצי הלשכה להתאים את הנתונים טרם הגיוס (</w:t>
      </w:r>
      <w:r w:rsidR="005721AC">
        <w:rPr>
          <w:rFonts w:hint="cs"/>
          <w:sz w:val="28"/>
          <w:rtl/>
        </w:rPr>
        <w:t>תוך הפנייה ל</w:t>
      </w:r>
      <w:r w:rsidR="008A66C5">
        <w:rPr>
          <w:rFonts w:hint="cs"/>
          <w:sz w:val="28"/>
          <w:rtl/>
        </w:rPr>
        <w:t xml:space="preserve">ע"מ 68573-08-26 </w:t>
      </w:r>
      <w:r w:rsidR="008A66C5" w:rsidRPr="008A66C5">
        <w:rPr>
          <w:rFonts w:hint="cs"/>
          <w:b/>
          <w:bCs/>
          <w:sz w:val="28"/>
          <w:rtl/>
        </w:rPr>
        <w:t xml:space="preserve">טור' קצנטיני נ' </w:t>
      </w:r>
      <w:r w:rsidR="00683848">
        <w:rPr>
          <w:rFonts w:hint="cs"/>
          <w:b/>
          <w:bCs/>
          <w:sz w:val="28"/>
          <w:rtl/>
        </w:rPr>
        <w:t>התובע הצבאי הראשי</w:t>
      </w:r>
      <w:r w:rsidR="008A66C5">
        <w:rPr>
          <w:rFonts w:hint="cs"/>
          <w:sz w:val="28"/>
          <w:rtl/>
        </w:rPr>
        <w:t xml:space="preserve"> (2026)</w:t>
      </w:r>
      <w:r w:rsidR="005721AC">
        <w:rPr>
          <w:rFonts w:hint="cs"/>
          <w:sz w:val="28"/>
          <w:rtl/>
        </w:rPr>
        <w:t xml:space="preserve">; ע"מ 35/16 </w:t>
      </w:r>
      <w:r w:rsidR="005721AC" w:rsidRPr="009F095E">
        <w:rPr>
          <w:rFonts w:hint="cs"/>
          <w:b/>
          <w:bCs/>
          <w:sz w:val="28"/>
          <w:rtl/>
        </w:rPr>
        <w:t xml:space="preserve">טור' זיתוני נ' </w:t>
      </w:r>
      <w:r w:rsidR="00683848">
        <w:rPr>
          <w:rFonts w:hint="cs"/>
          <w:b/>
          <w:bCs/>
          <w:sz w:val="28"/>
          <w:rtl/>
        </w:rPr>
        <w:t>התובע הצבאי הראשי</w:t>
      </w:r>
      <w:r w:rsidR="005721AC">
        <w:rPr>
          <w:rFonts w:hint="cs"/>
          <w:sz w:val="28"/>
          <w:rtl/>
        </w:rPr>
        <w:t xml:space="preserve"> (2016) ולע"מ 105/16 </w:t>
      </w:r>
      <w:r w:rsidR="005721AC" w:rsidRPr="00521BEF">
        <w:rPr>
          <w:rFonts w:hint="cs"/>
          <w:b/>
          <w:bCs/>
          <w:sz w:val="28"/>
          <w:rtl/>
        </w:rPr>
        <w:t xml:space="preserve">טור' בטיט נ' </w:t>
      </w:r>
      <w:r w:rsidR="00683848">
        <w:rPr>
          <w:rFonts w:hint="cs"/>
          <w:b/>
          <w:bCs/>
          <w:sz w:val="28"/>
          <w:rtl/>
        </w:rPr>
        <w:t>התובע הצבאי הראשי</w:t>
      </w:r>
      <w:r w:rsidR="005721AC">
        <w:rPr>
          <w:rFonts w:hint="cs"/>
          <w:sz w:val="28"/>
          <w:rtl/>
        </w:rPr>
        <w:t xml:space="preserve"> (2016)</w:t>
      </w:r>
      <w:r w:rsidR="008A66C5">
        <w:rPr>
          <w:rFonts w:hint="cs"/>
          <w:sz w:val="28"/>
          <w:rtl/>
        </w:rPr>
        <w:t>). בהתבסס על מכלול האמור נטען</w:t>
      </w:r>
      <w:r w:rsidR="00921C14">
        <w:rPr>
          <w:rFonts w:hint="cs"/>
          <w:sz w:val="28"/>
          <w:rtl/>
        </w:rPr>
        <w:t>,</w:t>
      </w:r>
      <w:r w:rsidR="008A66C5">
        <w:rPr>
          <w:rFonts w:hint="cs"/>
          <w:sz w:val="28"/>
          <w:rtl/>
        </w:rPr>
        <w:t xml:space="preserve"> כי חזקת תקינות המנהל שרירה וקיימת, </w:t>
      </w:r>
      <w:r w:rsidR="00155E6A">
        <w:rPr>
          <w:rFonts w:hint="cs"/>
          <w:sz w:val="28"/>
          <w:rtl/>
        </w:rPr>
        <w:t>כך שאין מדובר ב</w:t>
      </w:r>
      <w:r w:rsidR="008A66C5">
        <w:rPr>
          <w:rFonts w:hint="cs"/>
          <w:sz w:val="28"/>
          <w:rtl/>
        </w:rPr>
        <w:t xml:space="preserve">חסר ראייתי </w:t>
      </w:r>
      <w:r w:rsidR="00155E6A">
        <w:rPr>
          <w:rFonts w:hint="cs"/>
          <w:sz w:val="28"/>
          <w:rtl/>
        </w:rPr>
        <w:t>ה</w:t>
      </w:r>
      <w:r w:rsidR="008A66C5">
        <w:rPr>
          <w:rFonts w:hint="cs"/>
          <w:sz w:val="28"/>
          <w:rtl/>
        </w:rPr>
        <w:t xml:space="preserve">משליך על חוקיות הקריאה </w:t>
      </w:r>
      <w:r w:rsidR="00F82115">
        <w:rPr>
          <w:rFonts w:hint="cs"/>
          <w:sz w:val="28"/>
          <w:rtl/>
        </w:rPr>
        <w:t>לגיוס</w:t>
      </w:r>
      <w:r w:rsidRPr="008241A5">
        <w:rPr>
          <w:rFonts w:hint="cs"/>
          <w:sz w:val="28"/>
          <w:rtl/>
        </w:rPr>
        <w:t xml:space="preserve">. </w:t>
      </w:r>
      <w:r w:rsidR="004324AA">
        <w:rPr>
          <w:rFonts w:hint="cs"/>
          <w:sz w:val="28"/>
          <w:rtl/>
        </w:rPr>
        <w:t xml:space="preserve">לנוכח חוסר שיתוף הפעולה המובהק של המשיב לכל אורך </w:t>
      </w:r>
      <w:r w:rsidR="00F82115">
        <w:rPr>
          <w:rFonts w:hint="cs"/>
          <w:sz w:val="28"/>
          <w:rtl/>
        </w:rPr>
        <w:t>ה</w:t>
      </w:r>
      <w:r w:rsidR="004324AA">
        <w:rPr>
          <w:rFonts w:hint="cs"/>
          <w:sz w:val="28"/>
          <w:rtl/>
        </w:rPr>
        <w:t xml:space="preserve">הליך; מודעותו של המשיב </w:t>
      </w:r>
      <w:r w:rsidR="00B21647">
        <w:rPr>
          <w:rFonts w:hint="cs"/>
          <w:sz w:val="28"/>
          <w:rtl/>
        </w:rPr>
        <w:t>לקריאות הללו</w:t>
      </w:r>
      <w:r w:rsidR="00155E6A">
        <w:rPr>
          <w:rFonts w:hint="cs"/>
          <w:sz w:val="28"/>
          <w:rtl/>
        </w:rPr>
        <w:t>;</w:t>
      </w:r>
      <w:r w:rsidR="00F82115">
        <w:rPr>
          <w:rFonts w:hint="cs"/>
          <w:sz w:val="28"/>
          <w:rtl/>
        </w:rPr>
        <w:t xml:space="preserve"> </w:t>
      </w:r>
      <w:r w:rsidR="004324AA">
        <w:rPr>
          <w:rFonts w:hint="cs"/>
          <w:sz w:val="28"/>
          <w:rtl/>
        </w:rPr>
        <w:t xml:space="preserve">ואף </w:t>
      </w:r>
      <w:r w:rsidR="00155E6A">
        <w:rPr>
          <w:rFonts w:hint="cs"/>
          <w:sz w:val="28"/>
          <w:rtl/>
        </w:rPr>
        <w:t xml:space="preserve">בראי </w:t>
      </w:r>
      <w:r w:rsidR="004324AA">
        <w:rPr>
          <w:rFonts w:hint="cs"/>
          <w:sz w:val="28"/>
          <w:rtl/>
        </w:rPr>
        <w:t>דוקטרינת הבטלות היחסית שלאורה יש לבחון פגמים ולאזנ</w:t>
      </w:r>
      <w:r w:rsidR="00B21647">
        <w:rPr>
          <w:rFonts w:hint="cs"/>
          <w:sz w:val="28"/>
          <w:rtl/>
        </w:rPr>
        <w:t>ם</w:t>
      </w:r>
      <w:r w:rsidR="004324AA">
        <w:rPr>
          <w:rFonts w:hint="cs"/>
          <w:sz w:val="28"/>
          <w:rtl/>
        </w:rPr>
        <w:t xml:space="preserve"> עם התמונה הכוללת, </w:t>
      </w:r>
      <w:r w:rsidR="00F82115">
        <w:rPr>
          <w:rFonts w:hint="cs"/>
          <w:sz w:val="28"/>
          <w:rtl/>
        </w:rPr>
        <w:t xml:space="preserve">נטען כי </w:t>
      </w:r>
      <w:r w:rsidR="004324AA">
        <w:rPr>
          <w:rFonts w:hint="cs"/>
          <w:sz w:val="28"/>
          <w:rtl/>
        </w:rPr>
        <w:t xml:space="preserve">ראוי להורות על מעצרו של המשיב. </w:t>
      </w:r>
    </w:p>
    <w:p w14:paraId="7AB0E13A" w14:textId="77777777" w:rsidR="002B70E8" w:rsidRPr="008241A5" w:rsidRDefault="003C04BB" w:rsidP="002B70E8">
      <w:pPr>
        <w:pStyle w:val="Heading1"/>
      </w:pPr>
      <w:r>
        <w:rPr>
          <w:rFonts w:hint="cs"/>
          <w:rtl/>
        </w:rPr>
        <w:t xml:space="preserve">תשובת ההגנה </w:t>
      </w:r>
    </w:p>
    <w:p w14:paraId="6EBD5CA9" w14:textId="46F38788" w:rsidR="008241A5" w:rsidRDefault="003C04BB" w:rsidP="00EB5939">
      <w:pPr>
        <w:spacing w:line="360" w:lineRule="auto"/>
        <w:ind w:left="-58"/>
        <w:contextualSpacing/>
        <w:jc w:val="both"/>
        <w:rPr>
          <w:sz w:val="28"/>
          <w:rtl/>
        </w:rPr>
      </w:pPr>
      <w:r>
        <w:rPr>
          <w:rFonts w:hint="cs"/>
          <w:sz w:val="28"/>
          <w:rtl/>
        </w:rPr>
        <w:t xml:space="preserve">8. </w:t>
      </w:r>
      <w:r w:rsidRPr="008241A5">
        <w:rPr>
          <w:rFonts w:hint="cs"/>
          <w:sz w:val="28"/>
          <w:rtl/>
        </w:rPr>
        <w:t>ההגנה</w:t>
      </w:r>
      <w:r w:rsidR="00155E6A">
        <w:rPr>
          <w:rFonts w:hint="cs"/>
          <w:sz w:val="28"/>
          <w:rtl/>
        </w:rPr>
        <w:t>,</w:t>
      </w:r>
      <w:r w:rsidRPr="008241A5">
        <w:rPr>
          <w:rFonts w:hint="cs"/>
          <w:sz w:val="28"/>
          <w:rtl/>
        </w:rPr>
        <w:t xml:space="preserve"> מצדה</w:t>
      </w:r>
      <w:r w:rsidR="00155E6A">
        <w:rPr>
          <w:rFonts w:hint="cs"/>
          <w:sz w:val="28"/>
          <w:rtl/>
        </w:rPr>
        <w:t>,</w:t>
      </w:r>
      <w:r w:rsidRPr="008241A5">
        <w:rPr>
          <w:rFonts w:hint="cs"/>
          <w:sz w:val="28"/>
          <w:rtl/>
        </w:rPr>
        <w:t xml:space="preserve"> סמכה ידיה על החלטת</w:t>
      </w:r>
      <w:r w:rsidR="00155E6A">
        <w:rPr>
          <w:rFonts w:hint="cs"/>
          <w:sz w:val="28"/>
          <w:rtl/>
        </w:rPr>
        <w:t>ו של</w:t>
      </w:r>
      <w:r w:rsidRPr="008241A5">
        <w:rPr>
          <w:rFonts w:hint="cs"/>
          <w:sz w:val="28"/>
          <w:rtl/>
        </w:rPr>
        <w:t xml:space="preserve"> בית הדין קמא. נטען, כי חומר הראיות שנאסף מצביע על כשלים ראייתיים כבדי משקל</w:t>
      </w:r>
      <w:r>
        <w:rPr>
          <w:rFonts w:hint="cs"/>
          <w:sz w:val="28"/>
          <w:rtl/>
        </w:rPr>
        <w:t>, ביחס לחוקיות קריא</w:t>
      </w:r>
      <w:r w:rsidR="00AA3998">
        <w:rPr>
          <w:rFonts w:hint="cs"/>
          <w:sz w:val="28"/>
          <w:rtl/>
        </w:rPr>
        <w:t>ת</w:t>
      </w:r>
      <w:r w:rsidR="00155E6A">
        <w:rPr>
          <w:rFonts w:hint="cs"/>
          <w:sz w:val="28"/>
          <w:rtl/>
        </w:rPr>
        <w:t>ו של</w:t>
      </w:r>
      <w:r w:rsidR="00AA3998">
        <w:rPr>
          <w:rFonts w:hint="cs"/>
          <w:sz w:val="28"/>
          <w:rtl/>
        </w:rPr>
        <w:t xml:space="preserve"> המשיב</w:t>
      </w:r>
      <w:r>
        <w:rPr>
          <w:rFonts w:hint="cs"/>
          <w:sz w:val="28"/>
          <w:rtl/>
        </w:rPr>
        <w:t xml:space="preserve"> מכוח סעיף 12 </w:t>
      </w:r>
      <w:r w:rsidR="008E6AD4">
        <w:rPr>
          <w:rFonts w:hint="cs"/>
          <w:sz w:val="28"/>
          <w:rtl/>
        </w:rPr>
        <w:t>לחוק</w:t>
      </w:r>
      <w:r w:rsidRPr="008241A5">
        <w:rPr>
          <w:rFonts w:hint="cs"/>
          <w:sz w:val="28"/>
          <w:rtl/>
        </w:rPr>
        <w:t xml:space="preserve">, </w:t>
      </w:r>
      <w:r>
        <w:rPr>
          <w:rFonts w:hint="cs"/>
          <w:sz w:val="28"/>
          <w:rtl/>
        </w:rPr>
        <w:t>ו</w:t>
      </w:r>
      <w:r w:rsidRPr="008241A5">
        <w:rPr>
          <w:rFonts w:hint="cs"/>
          <w:sz w:val="28"/>
          <w:rtl/>
        </w:rPr>
        <w:t xml:space="preserve">כי </w:t>
      </w:r>
      <w:r>
        <w:rPr>
          <w:rFonts w:hint="cs"/>
          <w:sz w:val="28"/>
          <w:rtl/>
        </w:rPr>
        <w:t xml:space="preserve">ראוי שהם </w:t>
      </w:r>
      <w:r w:rsidRPr="008241A5">
        <w:rPr>
          <w:rFonts w:hint="cs"/>
          <w:sz w:val="28"/>
          <w:rtl/>
        </w:rPr>
        <w:t xml:space="preserve">יתבררו בהליך העיקרי, כאשר המשיב אינו נתון במעצר. </w:t>
      </w:r>
      <w:r>
        <w:rPr>
          <w:rFonts w:hint="cs"/>
          <w:sz w:val="28"/>
          <w:rtl/>
        </w:rPr>
        <w:t xml:space="preserve">נטען כי חזקת תקינות המנהל כורסמה </w:t>
      </w:r>
      <w:r w:rsidR="00155E6A">
        <w:rPr>
          <w:rFonts w:hint="cs"/>
          <w:sz w:val="28"/>
          <w:rtl/>
        </w:rPr>
        <w:t xml:space="preserve">עקב אי </w:t>
      </w:r>
      <w:r>
        <w:rPr>
          <w:rFonts w:hint="cs"/>
          <w:sz w:val="28"/>
          <w:rtl/>
        </w:rPr>
        <w:t>הצגת</w:t>
      </w:r>
      <w:r w:rsidR="00155E6A">
        <w:rPr>
          <w:rFonts w:hint="cs"/>
          <w:sz w:val="28"/>
          <w:rtl/>
        </w:rPr>
        <w:t>ה של</w:t>
      </w:r>
      <w:r>
        <w:rPr>
          <w:rFonts w:hint="cs"/>
          <w:sz w:val="28"/>
          <w:rtl/>
        </w:rPr>
        <w:t xml:space="preserve"> מדיניות סדורה כלשהי שלאורה ניתן לבחון </w:t>
      </w:r>
      <w:r w:rsidR="00AA3998">
        <w:rPr>
          <w:rFonts w:hint="cs"/>
          <w:sz w:val="28"/>
          <w:rtl/>
        </w:rPr>
        <w:t>את התנהלות</w:t>
      </w:r>
      <w:r w:rsidR="00155E6A">
        <w:rPr>
          <w:rFonts w:hint="cs"/>
          <w:sz w:val="28"/>
          <w:rtl/>
        </w:rPr>
        <w:t>ם של</w:t>
      </w:r>
      <w:r w:rsidR="00AA3998">
        <w:rPr>
          <w:rFonts w:hint="cs"/>
          <w:sz w:val="28"/>
          <w:rtl/>
        </w:rPr>
        <w:t xml:space="preserve"> גורמי הרשות בנסיבות מקרה זה</w:t>
      </w:r>
      <w:r>
        <w:rPr>
          <w:rFonts w:hint="cs"/>
          <w:sz w:val="28"/>
          <w:rtl/>
        </w:rPr>
        <w:t>,</w:t>
      </w:r>
      <w:r w:rsidR="00AA3998">
        <w:rPr>
          <w:rFonts w:hint="cs"/>
          <w:sz w:val="28"/>
          <w:rtl/>
        </w:rPr>
        <w:t xml:space="preserve"> </w:t>
      </w:r>
      <w:r w:rsidR="00155E6A">
        <w:rPr>
          <w:rFonts w:hint="cs"/>
          <w:sz w:val="28"/>
          <w:rtl/>
        </w:rPr>
        <w:t xml:space="preserve">שכן </w:t>
      </w:r>
      <w:r w:rsidR="00AA3998">
        <w:rPr>
          <w:rFonts w:hint="cs"/>
          <w:sz w:val="28"/>
          <w:rtl/>
        </w:rPr>
        <w:t xml:space="preserve">צו </w:t>
      </w:r>
      <w:r w:rsidR="00155E6A">
        <w:rPr>
          <w:rFonts w:hint="cs"/>
          <w:sz w:val="28"/>
          <w:rtl/>
        </w:rPr>
        <w:t xml:space="preserve">הקריאה לגיוס </w:t>
      </w:r>
      <w:r w:rsidR="00AA3998">
        <w:rPr>
          <w:rFonts w:hint="cs"/>
          <w:sz w:val="28"/>
          <w:rtl/>
        </w:rPr>
        <w:t xml:space="preserve">הוצא לאחר שתי </w:t>
      </w:r>
      <w:r w:rsidR="003464E1">
        <w:rPr>
          <w:rFonts w:hint="cs"/>
          <w:sz w:val="28"/>
          <w:rtl/>
        </w:rPr>
        <w:t>קריאות</w:t>
      </w:r>
      <w:r w:rsidR="00155E6A">
        <w:rPr>
          <w:rFonts w:hint="cs"/>
          <w:sz w:val="28"/>
          <w:rtl/>
        </w:rPr>
        <w:t xml:space="preserve"> </w:t>
      </w:r>
      <w:r w:rsidR="00AA3998">
        <w:rPr>
          <w:rFonts w:hint="cs"/>
          <w:sz w:val="28"/>
          <w:rtl/>
        </w:rPr>
        <w:t>ולא ארבע</w:t>
      </w:r>
      <w:r w:rsidR="00155E6A">
        <w:rPr>
          <w:rFonts w:hint="cs"/>
          <w:sz w:val="28"/>
          <w:rtl/>
        </w:rPr>
        <w:t>, כקבוע ב</w:t>
      </w:r>
      <w:r w:rsidR="00F76908">
        <w:rPr>
          <w:rFonts w:hint="cs"/>
          <w:sz w:val="28"/>
          <w:rtl/>
        </w:rPr>
        <w:t>נהלי</w:t>
      </w:r>
      <w:r w:rsidR="00155E6A">
        <w:rPr>
          <w:rFonts w:hint="cs"/>
          <w:sz w:val="28"/>
          <w:rtl/>
        </w:rPr>
        <w:t xml:space="preserve"> מיטב</w:t>
      </w:r>
      <w:r w:rsidR="00AA3998">
        <w:rPr>
          <w:rFonts w:hint="cs"/>
          <w:sz w:val="28"/>
          <w:rtl/>
        </w:rPr>
        <w:t>. בנוסף, נטען כי חומר הראיות אינו מצביע על הפעלת</w:t>
      </w:r>
      <w:r w:rsidR="00155E6A">
        <w:rPr>
          <w:rFonts w:hint="cs"/>
          <w:sz w:val="28"/>
          <w:rtl/>
        </w:rPr>
        <w:t>ו של</w:t>
      </w:r>
      <w:r w:rsidR="00AA3998">
        <w:rPr>
          <w:rFonts w:hint="cs"/>
          <w:sz w:val="28"/>
          <w:rtl/>
        </w:rPr>
        <w:t xml:space="preserve"> שיקול דעת פרטני </w:t>
      </w:r>
      <w:r w:rsidR="00155E6A">
        <w:rPr>
          <w:rFonts w:hint="cs"/>
          <w:sz w:val="28"/>
          <w:rtl/>
        </w:rPr>
        <w:t xml:space="preserve">לגייס את המשיב מבלי שנקבע כושרו הרפואי, </w:t>
      </w:r>
      <w:r w:rsidR="00AA3998">
        <w:rPr>
          <w:rFonts w:hint="cs"/>
          <w:sz w:val="28"/>
          <w:rtl/>
        </w:rPr>
        <w:t>וכי הודעת דוא"ל מאוחרת, בצירוף שיקול הדעת טרם הכרזת ההשתמטות שהוא הליך נפרד</w:t>
      </w:r>
      <w:r w:rsidRPr="008241A5">
        <w:rPr>
          <w:rFonts w:hint="cs"/>
          <w:sz w:val="28"/>
          <w:rtl/>
        </w:rPr>
        <w:t xml:space="preserve">, </w:t>
      </w:r>
      <w:r w:rsidR="00AA3998">
        <w:rPr>
          <w:rFonts w:hint="cs"/>
          <w:sz w:val="28"/>
          <w:rtl/>
        </w:rPr>
        <w:t>לא ממלאים אחר החסר האמור</w:t>
      </w:r>
      <w:r>
        <w:rPr>
          <w:rFonts w:hint="cs"/>
          <w:sz w:val="28"/>
          <w:rtl/>
        </w:rPr>
        <w:t>.</w:t>
      </w:r>
      <w:r w:rsidR="00AA3998">
        <w:rPr>
          <w:rFonts w:hint="cs"/>
          <w:sz w:val="28"/>
          <w:rtl/>
        </w:rPr>
        <w:t xml:space="preserve"> </w:t>
      </w:r>
      <w:r>
        <w:rPr>
          <w:rFonts w:hint="cs"/>
          <w:sz w:val="28"/>
          <w:rtl/>
        </w:rPr>
        <w:t>זאת ועוד, נטען ש</w:t>
      </w:r>
      <w:r w:rsidR="00AA3998">
        <w:rPr>
          <w:rFonts w:hint="cs"/>
          <w:sz w:val="28"/>
          <w:rtl/>
        </w:rPr>
        <w:t xml:space="preserve">בהליך הכרזת ההשתמטות ניתן להצביע על </w:t>
      </w:r>
      <w:r w:rsidR="00F82115">
        <w:rPr>
          <w:rFonts w:hint="cs"/>
          <w:sz w:val="28"/>
          <w:rtl/>
        </w:rPr>
        <w:t>אי דיוקים נוספים בנתוניו של המשיב (כגון ציון ר"פ לכאורה, הגם שעברו של המשיב הוא ללא רבב)</w:t>
      </w:r>
      <w:r w:rsidR="00AA3998">
        <w:rPr>
          <w:rFonts w:hint="cs"/>
          <w:sz w:val="28"/>
          <w:rtl/>
        </w:rPr>
        <w:t>.</w:t>
      </w:r>
      <w:r w:rsidRPr="008241A5">
        <w:rPr>
          <w:rFonts w:hint="cs"/>
          <w:sz w:val="28"/>
          <w:rtl/>
        </w:rPr>
        <w:t xml:space="preserve"> </w:t>
      </w:r>
      <w:r w:rsidR="00F82115">
        <w:rPr>
          <w:rFonts w:hint="cs"/>
          <w:sz w:val="28"/>
          <w:rtl/>
        </w:rPr>
        <w:t xml:space="preserve">נטען כי </w:t>
      </w:r>
      <w:r w:rsidR="005C1896" w:rsidRPr="005C1896">
        <w:rPr>
          <w:sz w:val="28"/>
          <w:rtl/>
        </w:rPr>
        <w:t xml:space="preserve">בעבר הורה בית הדין לערעורים על </w:t>
      </w:r>
      <w:r w:rsidR="008F745B">
        <w:rPr>
          <w:rFonts w:hint="cs"/>
          <w:sz w:val="28"/>
          <w:rtl/>
        </w:rPr>
        <w:t>שחרור ל</w:t>
      </w:r>
      <w:r w:rsidR="005C1896" w:rsidRPr="005C1896">
        <w:rPr>
          <w:sz w:val="28"/>
          <w:rtl/>
        </w:rPr>
        <w:t xml:space="preserve">חלופת מעצר כאשר עלה חשש </w:t>
      </w:r>
      <w:r w:rsidR="00F82115">
        <w:rPr>
          <w:rFonts w:hint="cs"/>
          <w:sz w:val="28"/>
          <w:rtl/>
        </w:rPr>
        <w:t xml:space="preserve">כי ניתן אישור גורף לגיוס קבוצת אנשים </w:t>
      </w:r>
      <w:r w:rsidR="005C1896" w:rsidRPr="005C1896">
        <w:rPr>
          <w:sz w:val="28"/>
          <w:rtl/>
        </w:rPr>
        <w:t xml:space="preserve">מכוח צו לפי סעיף 12 לחוק (ע"מ </w:t>
      </w:r>
      <w:r w:rsidR="00A12D9B">
        <w:rPr>
          <w:rFonts w:hint="cs"/>
          <w:sz w:val="28"/>
          <w:rtl/>
        </w:rPr>
        <w:t xml:space="preserve">91/16 </w:t>
      </w:r>
      <w:r w:rsidR="00A12D9B" w:rsidRPr="00A12D9B">
        <w:rPr>
          <w:rFonts w:hint="cs"/>
          <w:b/>
          <w:bCs/>
          <w:sz w:val="28"/>
          <w:rtl/>
        </w:rPr>
        <w:t xml:space="preserve">טור' עאיק נ' </w:t>
      </w:r>
      <w:r w:rsidR="00683848">
        <w:rPr>
          <w:rFonts w:hint="cs"/>
          <w:b/>
          <w:bCs/>
          <w:sz w:val="28"/>
          <w:rtl/>
        </w:rPr>
        <w:t>התובע הצבאי הראשי</w:t>
      </w:r>
      <w:r w:rsidR="00A12D9B">
        <w:rPr>
          <w:rFonts w:hint="cs"/>
          <w:sz w:val="28"/>
          <w:rtl/>
        </w:rPr>
        <w:t xml:space="preserve"> (2016)</w:t>
      </w:r>
      <w:r w:rsidR="005C1896" w:rsidRPr="005C1896">
        <w:rPr>
          <w:sz w:val="28"/>
          <w:rtl/>
        </w:rPr>
        <w:t>)</w:t>
      </w:r>
      <w:r w:rsidR="008F745B">
        <w:rPr>
          <w:rFonts w:hint="cs"/>
          <w:sz w:val="28"/>
          <w:rtl/>
        </w:rPr>
        <w:t xml:space="preserve">, וכי לכתחילה - נכלל בחומר הראיות לכאורה רק אישור גורף כזה </w:t>
      </w:r>
      <w:r w:rsidR="00F82115">
        <w:rPr>
          <w:rFonts w:hint="cs"/>
          <w:sz w:val="28"/>
          <w:rtl/>
        </w:rPr>
        <w:t>(מכתב בחתימת</w:t>
      </w:r>
      <w:r w:rsidR="008F745B">
        <w:rPr>
          <w:rFonts w:hint="cs"/>
          <w:sz w:val="28"/>
          <w:rtl/>
        </w:rPr>
        <w:t>ה של</w:t>
      </w:r>
      <w:r w:rsidR="00F82115">
        <w:rPr>
          <w:rFonts w:hint="cs"/>
          <w:sz w:val="28"/>
          <w:rtl/>
        </w:rPr>
        <w:t xml:space="preserve"> סא"ל טגניה</w:t>
      </w:r>
      <w:r w:rsidR="008F745B">
        <w:rPr>
          <w:rFonts w:hint="cs"/>
          <w:sz w:val="28"/>
          <w:rtl/>
        </w:rPr>
        <w:t>,</w:t>
      </w:r>
      <w:r w:rsidR="00F82115">
        <w:rPr>
          <w:rFonts w:hint="cs"/>
          <w:sz w:val="28"/>
          <w:rtl/>
        </w:rPr>
        <w:t xml:space="preserve"> </w:t>
      </w:r>
      <w:r w:rsidR="008F745B">
        <w:rPr>
          <w:rFonts w:hint="cs"/>
          <w:sz w:val="28"/>
          <w:rtl/>
        </w:rPr>
        <w:t xml:space="preserve">סגנית </w:t>
      </w:r>
      <w:r w:rsidR="00F82115">
        <w:rPr>
          <w:rFonts w:hint="cs"/>
          <w:sz w:val="28"/>
          <w:rtl/>
        </w:rPr>
        <w:t>מפקד מיטב)</w:t>
      </w:r>
      <w:r w:rsidR="005C1896">
        <w:rPr>
          <w:rFonts w:hint="cs"/>
          <w:sz w:val="28"/>
          <w:rtl/>
        </w:rPr>
        <w:t>. נטען</w:t>
      </w:r>
      <w:r>
        <w:rPr>
          <w:rFonts w:hint="cs"/>
          <w:sz w:val="28"/>
          <w:rtl/>
        </w:rPr>
        <w:t>,</w:t>
      </w:r>
      <w:r w:rsidR="005C1896">
        <w:rPr>
          <w:rFonts w:hint="cs"/>
          <w:sz w:val="28"/>
          <w:rtl/>
        </w:rPr>
        <w:t xml:space="preserve"> כי העובדה שלאחר הוצאת צו הקריאה מכוח סעיף 12, זומן </w:t>
      </w:r>
      <w:r w:rsidR="00F82115">
        <w:rPr>
          <w:rFonts w:hint="cs"/>
          <w:sz w:val="28"/>
          <w:rtl/>
        </w:rPr>
        <w:t xml:space="preserve">המשיב </w:t>
      </w:r>
      <w:r w:rsidR="005C1896">
        <w:rPr>
          <w:rFonts w:hint="cs"/>
          <w:sz w:val="28"/>
          <w:rtl/>
        </w:rPr>
        <w:t>פעמיים נוספות, אחת מהן לבדיקה רפואית ספציפית, מלמדת כי לשכת הגיוס לא סיימה "למצות" הליכים טרם השימוש בסמכות החריגה של גיוס ללא קביעת כושר</w:t>
      </w:r>
      <w:r w:rsidR="008F745B">
        <w:rPr>
          <w:rFonts w:hint="cs"/>
          <w:sz w:val="28"/>
          <w:rtl/>
        </w:rPr>
        <w:t xml:space="preserve"> רפואי</w:t>
      </w:r>
      <w:r w:rsidR="005C1896">
        <w:rPr>
          <w:rFonts w:hint="cs"/>
          <w:sz w:val="28"/>
          <w:rtl/>
        </w:rPr>
        <w:t xml:space="preserve">, וכי </w:t>
      </w:r>
      <w:r w:rsidR="003B78F7">
        <w:rPr>
          <w:rFonts w:hint="cs"/>
          <w:sz w:val="28"/>
          <w:rtl/>
        </w:rPr>
        <w:t xml:space="preserve">בפועל, פעלה </w:t>
      </w:r>
      <w:r w:rsidR="005C1896">
        <w:rPr>
          <w:rFonts w:hint="cs"/>
          <w:sz w:val="28"/>
          <w:rtl/>
        </w:rPr>
        <w:t xml:space="preserve">עדיין באפיק של זימון לבדיקות בהתאם לסעיף 5 לחוק שירות בטחון. לבסוף, נטען </w:t>
      </w:r>
      <w:r w:rsidR="003B78F7">
        <w:rPr>
          <w:rFonts w:hint="cs"/>
          <w:sz w:val="28"/>
          <w:rtl/>
        </w:rPr>
        <w:t xml:space="preserve">נגד </w:t>
      </w:r>
      <w:r w:rsidR="005C1896">
        <w:rPr>
          <w:rFonts w:hint="cs"/>
          <w:sz w:val="28"/>
          <w:rtl/>
        </w:rPr>
        <w:t>התנהלות</w:t>
      </w:r>
      <w:r w:rsidR="003B78F7">
        <w:rPr>
          <w:rFonts w:hint="cs"/>
          <w:sz w:val="28"/>
          <w:rtl/>
        </w:rPr>
        <w:t>ה</w:t>
      </w:r>
      <w:r w:rsidR="005C1896">
        <w:rPr>
          <w:rFonts w:hint="cs"/>
          <w:sz w:val="28"/>
          <w:rtl/>
        </w:rPr>
        <w:t xml:space="preserve"> </w:t>
      </w:r>
      <w:r w:rsidR="003B78F7">
        <w:rPr>
          <w:rFonts w:hint="cs"/>
          <w:sz w:val="28"/>
          <w:rtl/>
        </w:rPr>
        <w:t xml:space="preserve">של </w:t>
      </w:r>
      <w:r w:rsidR="005C1896">
        <w:rPr>
          <w:rFonts w:hint="cs"/>
          <w:sz w:val="28"/>
          <w:rtl/>
        </w:rPr>
        <w:t>התביעה הצבאית</w:t>
      </w:r>
      <w:r w:rsidR="003B78F7">
        <w:rPr>
          <w:rFonts w:hint="cs"/>
          <w:sz w:val="28"/>
          <w:rtl/>
        </w:rPr>
        <w:t xml:space="preserve">, </w:t>
      </w:r>
      <w:r w:rsidR="005C1896">
        <w:rPr>
          <w:rFonts w:hint="cs"/>
          <w:sz w:val="28"/>
          <w:rtl/>
        </w:rPr>
        <w:t xml:space="preserve">לנוכח "איסוף ראיות </w:t>
      </w:r>
      <w:r w:rsidR="005C1896">
        <w:rPr>
          <w:rFonts w:hint="cs"/>
          <w:sz w:val="28"/>
          <w:rtl/>
        </w:rPr>
        <w:lastRenderedPageBreak/>
        <w:t>בדיעבד", ואף "יצירת ראיות על ידי גורמים שכלל לא מופיעים כעדי תביעה בתיק", לאחר שנחשף קו ההגנה, תוך פגיעה ממשית ביכולתו של המשיב להתגונן</w:t>
      </w:r>
      <w:r w:rsidRPr="008241A5">
        <w:rPr>
          <w:rFonts w:hint="cs"/>
          <w:sz w:val="28"/>
          <w:rtl/>
        </w:rPr>
        <w:t xml:space="preserve">. </w:t>
      </w:r>
    </w:p>
    <w:p w14:paraId="5AC6DB9A" w14:textId="77777777" w:rsidR="00D70000" w:rsidRPr="00D70000" w:rsidRDefault="00D70000" w:rsidP="00EB5939">
      <w:pPr>
        <w:spacing w:line="360" w:lineRule="auto"/>
        <w:ind w:left="-58"/>
        <w:contextualSpacing/>
        <w:jc w:val="both"/>
        <w:rPr>
          <w:sz w:val="6"/>
          <w:szCs w:val="6"/>
        </w:rPr>
      </w:pPr>
    </w:p>
    <w:p w14:paraId="7198C37E" w14:textId="77777777" w:rsidR="008241A5" w:rsidRPr="008241A5" w:rsidRDefault="003C04BB" w:rsidP="002B70E8">
      <w:pPr>
        <w:pStyle w:val="Heading1"/>
        <w:rPr>
          <w:rtl/>
        </w:rPr>
      </w:pPr>
      <w:r>
        <w:rPr>
          <w:rFonts w:hint="cs"/>
          <w:rtl/>
        </w:rPr>
        <w:t>דיון והכרעה</w:t>
      </w:r>
    </w:p>
    <w:p w14:paraId="0C909B9B" w14:textId="77777777" w:rsidR="00862293" w:rsidRDefault="003C04BB" w:rsidP="003920C0">
      <w:pPr>
        <w:spacing w:line="360" w:lineRule="auto"/>
        <w:ind w:left="-58"/>
        <w:contextualSpacing/>
        <w:jc w:val="both"/>
        <w:rPr>
          <w:sz w:val="28"/>
          <w:rtl/>
        </w:rPr>
      </w:pPr>
      <w:r w:rsidRPr="00A12D9B">
        <w:rPr>
          <w:rFonts w:hint="cs"/>
          <w:sz w:val="28"/>
          <w:rtl/>
        </w:rPr>
        <w:t xml:space="preserve">9. </w:t>
      </w:r>
      <w:r w:rsidR="00526E46">
        <w:rPr>
          <w:rFonts w:hint="cs"/>
          <w:sz w:val="28"/>
          <w:rtl/>
        </w:rPr>
        <w:t xml:space="preserve">בסעיף 12(א) לחוק שירות ביטחון נקבעה סמכותו של </w:t>
      </w:r>
      <w:r w:rsidR="00526E46" w:rsidRPr="00526E46">
        <w:rPr>
          <w:rFonts w:hint="cs"/>
          <w:b/>
          <w:bCs/>
          <w:sz w:val="28"/>
          <w:rtl/>
        </w:rPr>
        <w:t>פוקד</w:t>
      </w:r>
      <w:r w:rsidR="00526E46">
        <w:rPr>
          <w:rFonts w:hint="cs"/>
          <w:sz w:val="28"/>
          <w:rtl/>
        </w:rPr>
        <w:t xml:space="preserve"> לקרוא </w:t>
      </w:r>
      <w:r w:rsidR="007D377C">
        <w:rPr>
          <w:rFonts w:hint="cs"/>
          <w:sz w:val="28"/>
          <w:rtl/>
        </w:rPr>
        <w:t xml:space="preserve">ליוצא צבא </w:t>
      </w:r>
      <w:r w:rsidR="00526E46">
        <w:rPr>
          <w:rFonts w:hint="cs"/>
          <w:sz w:val="28"/>
          <w:rtl/>
        </w:rPr>
        <w:t xml:space="preserve">לשירות ביטחון </w:t>
      </w:r>
      <w:r w:rsidR="007D377C">
        <w:rPr>
          <w:rFonts w:hint="cs"/>
          <w:sz w:val="28"/>
          <w:rtl/>
        </w:rPr>
        <w:t xml:space="preserve">גם </w:t>
      </w:r>
      <w:r w:rsidR="007D377C" w:rsidRPr="00E84CD3">
        <w:rPr>
          <w:rFonts w:hint="cs"/>
          <w:b/>
          <w:bCs/>
          <w:sz w:val="28"/>
          <w:rtl/>
        </w:rPr>
        <w:t>ללא</w:t>
      </w:r>
      <w:r w:rsidR="007D377C">
        <w:rPr>
          <w:rFonts w:hint="cs"/>
          <w:sz w:val="28"/>
          <w:rtl/>
        </w:rPr>
        <w:t xml:space="preserve"> קביעת כושר</w:t>
      </w:r>
      <w:r w:rsidR="00984006">
        <w:rPr>
          <w:rFonts w:hint="cs"/>
          <w:sz w:val="28"/>
          <w:rtl/>
        </w:rPr>
        <w:t>ו</w:t>
      </w:r>
      <w:r w:rsidR="007D377C">
        <w:rPr>
          <w:rFonts w:hint="cs"/>
          <w:sz w:val="28"/>
          <w:rtl/>
        </w:rPr>
        <w:t xml:space="preserve"> לשירות</w:t>
      </w:r>
      <w:r w:rsidR="003920C0">
        <w:rPr>
          <w:rFonts w:hint="cs"/>
          <w:sz w:val="28"/>
          <w:rtl/>
        </w:rPr>
        <w:t xml:space="preserve"> "בשל הצורך </w:t>
      </w:r>
      <w:r w:rsidR="003920C0" w:rsidRPr="00984006">
        <w:rPr>
          <w:sz w:val="28"/>
          <w:rtl/>
        </w:rPr>
        <w:t>להיאבק בהשתמטות משירות בטחון</w:t>
      </w:r>
      <w:r w:rsidR="00984006">
        <w:rPr>
          <w:rFonts w:hint="cs"/>
          <w:sz w:val="28"/>
          <w:rtl/>
        </w:rPr>
        <w:t>" (</w:t>
      </w:r>
      <w:r w:rsidR="00984006" w:rsidRPr="00984006">
        <w:rPr>
          <w:sz w:val="28"/>
          <w:rtl/>
        </w:rPr>
        <w:t xml:space="preserve">רע"פ 1057/99 </w:t>
      </w:r>
      <w:r w:rsidR="00984006" w:rsidRPr="00984006">
        <w:rPr>
          <w:b/>
          <w:bCs/>
          <w:sz w:val="28"/>
          <w:rtl/>
        </w:rPr>
        <w:t>יוחייב נ' התובע הצבאי הראשי</w:t>
      </w:r>
      <w:r w:rsidR="00984006" w:rsidRPr="00984006">
        <w:rPr>
          <w:sz w:val="28"/>
          <w:rtl/>
        </w:rPr>
        <w:t>, פ"ד נג(3) 365, 37</w:t>
      </w:r>
      <w:r w:rsidR="003920C0">
        <w:rPr>
          <w:rFonts w:hint="cs"/>
          <w:sz w:val="28"/>
          <w:rtl/>
        </w:rPr>
        <w:t>8</w:t>
      </w:r>
      <w:r w:rsidR="00984006" w:rsidRPr="00984006">
        <w:rPr>
          <w:sz w:val="28"/>
          <w:rtl/>
        </w:rPr>
        <w:t xml:space="preserve"> (1999)</w:t>
      </w:r>
      <w:r w:rsidR="003920C0">
        <w:rPr>
          <w:rFonts w:hint="cs"/>
          <w:sz w:val="28"/>
          <w:rtl/>
        </w:rPr>
        <w:t xml:space="preserve">; </w:t>
      </w:r>
      <w:r w:rsidR="003920C0" w:rsidRPr="00A12D9B">
        <w:rPr>
          <w:sz w:val="28"/>
          <w:rtl/>
        </w:rPr>
        <w:t xml:space="preserve">ע"מ/17,18/15 </w:t>
      </w:r>
      <w:r w:rsidR="003920C0" w:rsidRPr="003920C0">
        <w:rPr>
          <w:b/>
          <w:bCs/>
          <w:sz w:val="28"/>
          <w:rtl/>
        </w:rPr>
        <w:t xml:space="preserve">טור' טקה נ' </w:t>
      </w:r>
      <w:r w:rsidR="00683848">
        <w:rPr>
          <w:rFonts w:hint="cs"/>
          <w:b/>
          <w:bCs/>
          <w:sz w:val="28"/>
          <w:rtl/>
        </w:rPr>
        <w:t>התובע הצבאי הראשי</w:t>
      </w:r>
      <w:r w:rsidR="003920C0" w:rsidRPr="00A12D9B">
        <w:rPr>
          <w:sz w:val="28"/>
          <w:rtl/>
        </w:rPr>
        <w:t xml:space="preserve"> (2015)</w:t>
      </w:r>
      <w:r w:rsidR="00984006" w:rsidRPr="00984006">
        <w:rPr>
          <w:sz w:val="28"/>
          <w:rtl/>
        </w:rPr>
        <w:t>)</w:t>
      </w:r>
      <w:r w:rsidR="00984006">
        <w:rPr>
          <w:rFonts w:hint="cs"/>
          <w:sz w:val="28"/>
          <w:rtl/>
        </w:rPr>
        <w:t xml:space="preserve">. </w:t>
      </w:r>
      <w:r w:rsidR="003920C0">
        <w:rPr>
          <w:rFonts w:hint="cs"/>
          <w:sz w:val="28"/>
          <w:rtl/>
        </w:rPr>
        <w:t>סמכות מיוחדת זו הוכרה כ</w:t>
      </w:r>
      <w:r w:rsidR="003920C0" w:rsidRPr="00A12D9B">
        <w:rPr>
          <w:sz w:val="28"/>
          <w:rtl/>
        </w:rPr>
        <w:t>חריגה</w:t>
      </w:r>
      <w:r w:rsidR="003920C0">
        <w:rPr>
          <w:rFonts w:hint="cs"/>
          <w:sz w:val="28"/>
          <w:rtl/>
        </w:rPr>
        <w:t xml:space="preserve"> וקיצונית (עניין </w:t>
      </w:r>
      <w:r w:rsidR="003920C0" w:rsidRPr="003920C0">
        <w:rPr>
          <w:rFonts w:hint="cs"/>
          <w:b/>
          <w:bCs/>
          <w:sz w:val="28"/>
          <w:rtl/>
        </w:rPr>
        <w:t>יוחייב</w:t>
      </w:r>
      <w:r w:rsidR="003920C0">
        <w:rPr>
          <w:rFonts w:hint="cs"/>
          <w:sz w:val="28"/>
          <w:rtl/>
        </w:rPr>
        <w:t xml:space="preserve"> לעיל)</w:t>
      </w:r>
      <w:r w:rsidR="003920C0" w:rsidRPr="00A12D9B">
        <w:rPr>
          <w:sz w:val="28"/>
          <w:rtl/>
        </w:rPr>
        <w:t xml:space="preserve">, </w:t>
      </w:r>
      <w:r w:rsidR="003920C0">
        <w:rPr>
          <w:rFonts w:hint="cs"/>
          <w:sz w:val="28"/>
          <w:rtl/>
        </w:rPr>
        <w:t>ובפסיקה נקבע שוב ושוב "</w:t>
      </w:r>
      <w:r w:rsidR="003920C0" w:rsidRPr="00A12D9B">
        <w:rPr>
          <w:sz w:val="28"/>
          <w:rtl/>
        </w:rPr>
        <w:t>שיש להפעילה במשורה ובזהירות" (</w:t>
      </w:r>
      <w:r w:rsidR="003920C0">
        <w:rPr>
          <w:rFonts w:hint="cs"/>
          <w:sz w:val="28"/>
          <w:rtl/>
        </w:rPr>
        <w:t xml:space="preserve">למשל, </w:t>
      </w:r>
      <w:r w:rsidR="003920C0" w:rsidRPr="00A12D9B">
        <w:rPr>
          <w:sz w:val="28"/>
          <w:rtl/>
        </w:rPr>
        <w:t xml:space="preserve">ע"מ/75/17 </w:t>
      </w:r>
      <w:r w:rsidR="003920C0" w:rsidRPr="003920C0">
        <w:rPr>
          <w:b/>
          <w:bCs/>
          <w:sz w:val="28"/>
          <w:rtl/>
        </w:rPr>
        <w:t xml:space="preserve">טור' נחמני נ' </w:t>
      </w:r>
      <w:r w:rsidR="00683848">
        <w:rPr>
          <w:rFonts w:hint="cs"/>
          <w:b/>
          <w:bCs/>
          <w:sz w:val="28"/>
          <w:rtl/>
        </w:rPr>
        <w:t>התובע הצבאי הראשי</w:t>
      </w:r>
      <w:r w:rsidR="003920C0" w:rsidRPr="00A12D9B">
        <w:rPr>
          <w:sz w:val="28"/>
          <w:rtl/>
        </w:rPr>
        <w:t xml:space="preserve"> (2017)</w:t>
      </w:r>
      <w:r w:rsidR="003920C0">
        <w:rPr>
          <w:rFonts w:hint="cs"/>
          <w:sz w:val="28"/>
          <w:rtl/>
        </w:rPr>
        <w:t>). נקבע כי "</w:t>
      </w:r>
      <w:r w:rsidR="003920C0" w:rsidRPr="00984006">
        <w:rPr>
          <w:sz w:val="28"/>
          <w:rtl/>
        </w:rPr>
        <w:t xml:space="preserve">סמכות מיוחדת אמורה להיות מופעלת במקרים מיוחדים, ולאו דווקא באופן שגרתי; לכן היא נקבעה כסמכות רשות, והפעלתה </w:t>
      </w:r>
      <w:r w:rsidR="003920C0" w:rsidRPr="003920C0">
        <w:rPr>
          <w:b/>
          <w:bCs/>
          <w:sz w:val="28"/>
          <w:rtl/>
        </w:rPr>
        <w:t>כרוכה בשיקול דעת</w:t>
      </w:r>
      <w:r w:rsidR="003920C0">
        <w:rPr>
          <w:rFonts w:hint="cs"/>
          <w:sz w:val="28"/>
          <w:rtl/>
        </w:rPr>
        <w:t>"</w:t>
      </w:r>
      <w:r w:rsidR="003920C0" w:rsidRPr="00984006">
        <w:rPr>
          <w:sz w:val="28"/>
          <w:rtl/>
        </w:rPr>
        <w:t xml:space="preserve"> (עניין </w:t>
      </w:r>
      <w:r w:rsidR="003920C0" w:rsidRPr="003920C0">
        <w:rPr>
          <w:b/>
          <w:bCs/>
          <w:sz w:val="28"/>
          <w:rtl/>
        </w:rPr>
        <w:t>יוחייב</w:t>
      </w:r>
      <w:r w:rsidR="003920C0">
        <w:rPr>
          <w:rFonts w:hint="cs"/>
          <w:sz w:val="28"/>
          <w:rtl/>
        </w:rPr>
        <w:t xml:space="preserve"> לעיל). </w:t>
      </w:r>
      <w:r w:rsidRPr="00A12D9B">
        <w:rPr>
          <w:sz w:val="28"/>
          <w:rtl/>
        </w:rPr>
        <w:t>בהתאם</w:t>
      </w:r>
      <w:r w:rsidR="003920C0">
        <w:rPr>
          <w:rFonts w:hint="cs"/>
          <w:sz w:val="28"/>
          <w:rtl/>
        </w:rPr>
        <w:t xml:space="preserve"> לכך נקבע</w:t>
      </w:r>
      <w:r w:rsidRPr="00A12D9B">
        <w:rPr>
          <w:sz w:val="28"/>
          <w:rtl/>
        </w:rPr>
        <w:t xml:space="preserve">, </w:t>
      </w:r>
      <w:r w:rsidR="003920C0">
        <w:rPr>
          <w:rFonts w:hint="cs"/>
          <w:sz w:val="28"/>
          <w:rtl/>
        </w:rPr>
        <w:t xml:space="preserve">כי </w:t>
      </w:r>
      <w:r>
        <w:rPr>
          <w:sz w:val="28"/>
          <w:rtl/>
        </w:rPr>
        <w:t>–</w:t>
      </w:r>
      <w:r>
        <w:rPr>
          <w:rFonts w:hint="cs"/>
          <w:sz w:val="28"/>
          <w:rtl/>
        </w:rPr>
        <w:t xml:space="preserve"> </w:t>
      </w:r>
    </w:p>
    <w:p w14:paraId="22AE5344" w14:textId="77777777" w:rsidR="00862293" w:rsidRPr="00862293" w:rsidRDefault="003C04BB" w:rsidP="00862293">
      <w:pPr>
        <w:pStyle w:val="1"/>
        <w:ind w:left="794" w:right="425"/>
        <w:jc w:val="both"/>
        <w:rPr>
          <w:rFonts w:cs="David"/>
          <w:sz w:val="28"/>
          <w:szCs w:val="28"/>
          <w:rtl/>
        </w:rPr>
      </w:pPr>
      <w:r w:rsidRPr="00862293">
        <w:rPr>
          <w:rFonts w:cs="David"/>
          <w:sz w:val="28"/>
          <w:szCs w:val="28"/>
          <w:rtl/>
        </w:rPr>
        <w:t>"משהונחה תשתית ראייתית מתאימה, המבססת, ברמה המנהלית, חוסר שיתוף פעול</w:t>
      </w:r>
      <w:r w:rsidR="003920C0" w:rsidRPr="00862293">
        <w:rPr>
          <w:rFonts w:cs="David" w:hint="cs"/>
          <w:sz w:val="28"/>
          <w:szCs w:val="28"/>
          <w:rtl/>
        </w:rPr>
        <w:t>ה...</w:t>
      </w:r>
      <w:r w:rsidRPr="00862293">
        <w:rPr>
          <w:rFonts w:cs="David"/>
          <w:sz w:val="28"/>
          <w:szCs w:val="28"/>
          <w:rtl/>
        </w:rPr>
        <w:t xml:space="preserve"> לאורך זמן - אין אלא לקבוע כי שיקול דעתו של הפוקד, להורות על גיוסו </w:t>
      </w:r>
      <w:r w:rsidR="00507132" w:rsidRPr="00862293">
        <w:rPr>
          <w:rFonts w:cs="David" w:hint="cs"/>
          <w:sz w:val="28"/>
          <w:szCs w:val="28"/>
          <w:rtl/>
        </w:rPr>
        <w:t>...</w:t>
      </w:r>
      <w:r w:rsidRPr="00862293">
        <w:rPr>
          <w:rFonts w:cs="David"/>
          <w:sz w:val="28"/>
          <w:szCs w:val="28"/>
          <w:rtl/>
        </w:rPr>
        <w:t xml:space="preserve"> מבלי שנקבע כֹ</w:t>
      </w:r>
      <w:r w:rsidR="00507132" w:rsidRPr="00862293">
        <w:rPr>
          <w:rFonts w:cs="David"/>
          <w:sz w:val="28"/>
          <w:szCs w:val="28"/>
          <w:rtl/>
        </w:rPr>
        <w:t>ּ</w:t>
      </w:r>
      <w:r w:rsidRPr="00862293">
        <w:rPr>
          <w:rFonts w:cs="David"/>
          <w:sz w:val="28"/>
          <w:szCs w:val="28"/>
          <w:rtl/>
        </w:rPr>
        <w:t xml:space="preserve">שרו, היה סביר, ומסקנה זו עולה בקנה אחד עם חזקת תקינות המנהל" (עניין </w:t>
      </w:r>
      <w:r w:rsidRPr="00862293">
        <w:rPr>
          <w:rFonts w:cs="David"/>
          <w:b/>
          <w:bCs/>
          <w:sz w:val="28"/>
          <w:szCs w:val="28"/>
          <w:rtl/>
        </w:rPr>
        <w:t>נחמני</w:t>
      </w:r>
      <w:r w:rsidRPr="00862293">
        <w:rPr>
          <w:rFonts w:cs="David"/>
          <w:sz w:val="28"/>
          <w:szCs w:val="28"/>
          <w:rtl/>
        </w:rPr>
        <w:t xml:space="preserve"> לעיל, </w:t>
      </w:r>
      <w:r w:rsidR="00F307E4">
        <w:rPr>
          <w:rFonts w:cs="David" w:hint="cs"/>
          <w:sz w:val="28"/>
          <w:szCs w:val="28"/>
          <w:rtl/>
        </w:rPr>
        <w:t>ב</w:t>
      </w:r>
      <w:r w:rsidRPr="00862293">
        <w:rPr>
          <w:rFonts w:cs="David"/>
          <w:sz w:val="28"/>
          <w:szCs w:val="28"/>
          <w:rtl/>
        </w:rPr>
        <w:t xml:space="preserve">פסקה 20). </w:t>
      </w:r>
    </w:p>
    <w:p w14:paraId="14BD15E6" w14:textId="77777777" w:rsidR="00862293" w:rsidRPr="00862293" w:rsidRDefault="00862293" w:rsidP="00862293">
      <w:pPr>
        <w:pStyle w:val="1"/>
        <w:ind w:left="794" w:right="425"/>
        <w:jc w:val="both"/>
        <w:rPr>
          <w:rFonts w:cs="David"/>
          <w:sz w:val="28"/>
          <w:szCs w:val="28"/>
          <w:rtl/>
        </w:rPr>
      </w:pPr>
    </w:p>
    <w:p w14:paraId="34FDC2E4" w14:textId="77777777" w:rsidR="00A12D9B" w:rsidRDefault="003C04BB" w:rsidP="00862293">
      <w:pPr>
        <w:spacing w:line="360" w:lineRule="auto"/>
        <w:contextualSpacing/>
        <w:jc w:val="both"/>
        <w:rPr>
          <w:sz w:val="28"/>
          <w:rtl/>
        </w:rPr>
      </w:pPr>
      <w:r w:rsidRPr="00A12D9B">
        <w:rPr>
          <w:sz w:val="28"/>
          <w:rtl/>
        </w:rPr>
        <w:t xml:space="preserve">בד בבד, נקבע, כי "חובה על גורמי הגיוס </w:t>
      </w:r>
      <w:r w:rsidRPr="00507132">
        <w:rPr>
          <w:b/>
          <w:bCs/>
          <w:sz w:val="28"/>
          <w:rtl/>
        </w:rPr>
        <w:t>לנקוט מאמץ ולפעול בשקידה ראויה ובאחריות</w:t>
      </w:r>
      <w:r w:rsidRPr="00A12D9B">
        <w:rPr>
          <w:sz w:val="28"/>
          <w:rtl/>
        </w:rPr>
        <w:t xml:space="preserve">, לאיתור המיועד לשירות ביטחון ולזמנו לבדיקות השונות לקביעות כושרו לשרת בצבא. בהמשך, על הפוקד להפעיל </w:t>
      </w:r>
      <w:r w:rsidRPr="00862293">
        <w:rPr>
          <w:b/>
          <w:bCs/>
          <w:sz w:val="28"/>
          <w:rtl/>
        </w:rPr>
        <w:t>שיקול דעת פרטני</w:t>
      </w:r>
      <w:r w:rsidRPr="00A12D9B">
        <w:rPr>
          <w:sz w:val="28"/>
          <w:rtl/>
        </w:rPr>
        <w:t xml:space="preserve">, ביחס לכל מקרה ומקרה, ולהורות על גיוסו של המיועד לשירות על-פי סעיף 12 לחוק שירות ביטחון, רק לאחר </w:t>
      </w:r>
      <w:r w:rsidRPr="00862293">
        <w:rPr>
          <w:sz w:val="28"/>
          <w:rtl/>
        </w:rPr>
        <w:t>שנחה דעתו, כי פעלו די</w:t>
      </w:r>
      <w:r w:rsidRPr="00A12D9B">
        <w:rPr>
          <w:sz w:val="28"/>
          <w:rtl/>
        </w:rPr>
        <w:t xml:space="preserve"> כדי להביא להתייצבותו בלשכת הגיוס" (עניין </w:t>
      </w:r>
      <w:r w:rsidRPr="00507132">
        <w:rPr>
          <w:b/>
          <w:bCs/>
          <w:sz w:val="28"/>
          <w:rtl/>
        </w:rPr>
        <w:t>נחמני</w:t>
      </w:r>
      <w:r w:rsidRPr="00A12D9B">
        <w:rPr>
          <w:sz w:val="28"/>
          <w:rtl/>
        </w:rPr>
        <w:t xml:space="preserve"> לעיל, </w:t>
      </w:r>
      <w:r w:rsidR="00F307E4">
        <w:rPr>
          <w:rFonts w:hint="cs"/>
          <w:sz w:val="28"/>
          <w:rtl/>
        </w:rPr>
        <w:t>ב</w:t>
      </w:r>
      <w:r w:rsidRPr="00A12D9B">
        <w:rPr>
          <w:sz w:val="28"/>
          <w:rtl/>
        </w:rPr>
        <w:t>פסקה 23</w:t>
      </w:r>
      <w:r w:rsidR="009D35F0">
        <w:rPr>
          <w:rFonts w:hint="cs"/>
          <w:sz w:val="28"/>
          <w:rtl/>
        </w:rPr>
        <w:t>. הדגשות הוספו</w:t>
      </w:r>
      <w:r w:rsidRPr="00A12D9B">
        <w:rPr>
          <w:sz w:val="28"/>
          <w:rtl/>
        </w:rPr>
        <w:t xml:space="preserve">; </w:t>
      </w:r>
      <w:r w:rsidR="00507132">
        <w:rPr>
          <w:rFonts w:hint="cs"/>
          <w:sz w:val="28"/>
          <w:rtl/>
        </w:rPr>
        <w:t xml:space="preserve">ע"מ 55/20 </w:t>
      </w:r>
      <w:r w:rsidR="00683848">
        <w:rPr>
          <w:rFonts w:hint="cs"/>
          <w:b/>
          <w:bCs/>
          <w:sz w:val="28"/>
          <w:rtl/>
        </w:rPr>
        <w:t>התובע הצבאי הראשי</w:t>
      </w:r>
      <w:r w:rsidR="00507132" w:rsidRPr="00507132">
        <w:rPr>
          <w:rFonts w:hint="cs"/>
          <w:b/>
          <w:bCs/>
          <w:sz w:val="28"/>
          <w:rtl/>
        </w:rPr>
        <w:t xml:space="preserve"> נ' טור' אלבז</w:t>
      </w:r>
      <w:r w:rsidR="00507132">
        <w:rPr>
          <w:rFonts w:hint="cs"/>
          <w:sz w:val="28"/>
          <w:rtl/>
        </w:rPr>
        <w:t xml:space="preserve">, פסקה 7 (2020); </w:t>
      </w:r>
      <w:r w:rsidRPr="00A12D9B">
        <w:rPr>
          <w:sz w:val="28"/>
          <w:rtl/>
        </w:rPr>
        <w:t xml:space="preserve">ע"מ/76/17 </w:t>
      </w:r>
      <w:r w:rsidRPr="00507132">
        <w:rPr>
          <w:b/>
          <w:bCs/>
          <w:sz w:val="28"/>
          <w:rtl/>
        </w:rPr>
        <w:t xml:space="preserve">טור' שמואלי נ' </w:t>
      </w:r>
      <w:r w:rsidR="00683848">
        <w:rPr>
          <w:rFonts w:hint="cs"/>
          <w:b/>
          <w:bCs/>
          <w:sz w:val="28"/>
          <w:rtl/>
        </w:rPr>
        <w:t>התובע הצבאי הראשי</w:t>
      </w:r>
      <w:r w:rsidRPr="00A12D9B">
        <w:rPr>
          <w:sz w:val="28"/>
          <w:rtl/>
        </w:rPr>
        <w:t xml:space="preserve"> (2017)). </w:t>
      </w:r>
    </w:p>
    <w:p w14:paraId="062A705C" w14:textId="77777777" w:rsidR="007F1DF4" w:rsidRDefault="00927FF4" w:rsidP="00927FF4">
      <w:pPr>
        <w:spacing w:line="360" w:lineRule="auto"/>
        <w:contextualSpacing/>
        <w:jc w:val="both"/>
        <w:rPr>
          <w:sz w:val="28"/>
          <w:rtl/>
        </w:rPr>
      </w:pPr>
      <w:r>
        <w:rPr>
          <w:rFonts w:hint="cs"/>
          <w:sz w:val="28"/>
          <w:rtl/>
        </w:rPr>
        <w:t xml:space="preserve">10. </w:t>
      </w:r>
      <w:r w:rsidR="003C04BB">
        <w:rPr>
          <w:rFonts w:hint="cs"/>
          <w:sz w:val="28"/>
          <w:rtl/>
        </w:rPr>
        <w:t xml:space="preserve">עוד יוזכר, כי </w:t>
      </w:r>
      <w:r w:rsidR="00EC70E6">
        <w:rPr>
          <w:rFonts w:hint="cs"/>
          <w:sz w:val="28"/>
          <w:rtl/>
        </w:rPr>
        <w:t xml:space="preserve">בעת בחינת </w:t>
      </w:r>
      <w:r w:rsidR="000828B9">
        <w:rPr>
          <w:rFonts w:hint="cs"/>
          <w:sz w:val="28"/>
          <w:rtl/>
        </w:rPr>
        <w:t xml:space="preserve">התנהלותה של </w:t>
      </w:r>
      <w:r w:rsidR="00EC70E6">
        <w:rPr>
          <w:rFonts w:hint="cs"/>
          <w:sz w:val="28"/>
          <w:rtl/>
        </w:rPr>
        <w:t xml:space="preserve">הרשות, עומדת ללשכת הגיוס כנקודת מוצא </w:t>
      </w:r>
      <w:r w:rsidR="00EC70E6" w:rsidRPr="00EC70E6">
        <w:rPr>
          <w:rFonts w:hint="cs"/>
          <w:b/>
          <w:bCs/>
          <w:sz w:val="28"/>
          <w:rtl/>
        </w:rPr>
        <w:t>חזקת התקינות המנהלית</w:t>
      </w:r>
      <w:r w:rsidR="00EC70E6">
        <w:rPr>
          <w:rFonts w:hint="cs"/>
          <w:sz w:val="28"/>
          <w:rtl/>
        </w:rPr>
        <w:t xml:space="preserve">. בחינת </w:t>
      </w:r>
      <w:r w:rsidR="000828B9">
        <w:rPr>
          <w:rFonts w:hint="cs"/>
          <w:sz w:val="28"/>
          <w:rtl/>
        </w:rPr>
        <w:t>ה</w:t>
      </w:r>
      <w:r w:rsidR="00EC70E6" w:rsidRPr="00EC70E6">
        <w:rPr>
          <w:sz w:val="28"/>
          <w:rtl/>
        </w:rPr>
        <w:t xml:space="preserve">סבירות </w:t>
      </w:r>
      <w:r w:rsidR="000828B9">
        <w:rPr>
          <w:rFonts w:hint="cs"/>
          <w:sz w:val="28"/>
          <w:rtl/>
        </w:rPr>
        <w:t xml:space="preserve">של </w:t>
      </w:r>
      <w:r w:rsidR="00EC70E6" w:rsidRPr="00EC70E6">
        <w:rPr>
          <w:sz w:val="28"/>
          <w:rtl/>
        </w:rPr>
        <w:t xml:space="preserve">ההחלטה המנהלית, אגב דיון בהליך הפלילי, </w:t>
      </w:r>
      <w:r w:rsidR="00EC70E6">
        <w:rPr>
          <w:rFonts w:hint="cs"/>
          <w:sz w:val="28"/>
          <w:rtl/>
        </w:rPr>
        <w:t xml:space="preserve">נעשית </w:t>
      </w:r>
      <w:r w:rsidR="00EC70E6" w:rsidRPr="00EC70E6">
        <w:rPr>
          <w:sz w:val="28"/>
          <w:rtl/>
        </w:rPr>
        <w:t xml:space="preserve">בדרך של תקיפה </w:t>
      </w:r>
      <w:r w:rsidR="00EC70E6" w:rsidRPr="00EC70E6">
        <w:rPr>
          <w:b/>
          <w:bCs/>
          <w:sz w:val="28"/>
          <w:rtl/>
        </w:rPr>
        <w:t>עקיפה</w:t>
      </w:r>
      <w:r w:rsidR="00EC70E6" w:rsidRPr="00EC70E6">
        <w:rPr>
          <w:sz w:val="28"/>
          <w:rtl/>
        </w:rPr>
        <w:t>, תוך הסתמכות על חזקת החוקיות של ההחלטה המנהלית, על פי העילות של המשפט הציבורי</w:t>
      </w:r>
      <w:r w:rsidR="00EC70E6">
        <w:rPr>
          <w:rFonts w:hint="cs"/>
          <w:sz w:val="28"/>
          <w:rtl/>
        </w:rPr>
        <w:t xml:space="preserve"> (</w:t>
      </w:r>
      <w:r w:rsidR="00EC70E6" w:rsidRPr="00EC70E6">
        <w:rPr>
          <w:sz w:val="28"/>
          <w:rtl/>
        </w:rPr>
        <w:t>ע</w:t>
      </w:r>
      <w:r w:rsidR="00EC70E6">
        <w:rPr>
          <w:rFonts w:hint="cs"/>
          <w:sz w:val="28"/>
          <w:rtl/>
        </w:rPr>
        <w:t>/</w:t>
      </w:r>
      <w:r w:rsidR="00EC70E6" w:rsidRPr="00EC70E6">
        <w:rPr>
          <w:sz w:val="28"/>
          <w:rtl/>
        </w:rPr>
        <w:t xml:space="preserve">111/07 </w:t>
      </w:r>
      <w:r w:rsidR="00EC70E6" w:rsidRPr="00EC70E6">
        <w:rPr>
          <w:b/>
          <w:bCs/>
          <w:sz w:val="28"/>
          <w:rtl/>
        </w:rPr>
        <w:t xml:space="preserve">טור' סמורגונסקי נ' </w:t>
      </w:r>
      <w:r w:rsidR="00683848">
        <w:rPr>
          <w:rFonts w:hint="cs"/>
          <w:b/>
          <w:bCs/>
          <w:sz w:val="28"/>
          <w:rtl/>
        </w:rPr>
        <w:t>התובע הצבאי הראשי</w:t>
      </w:r>
      <w:r w:rsidR="00EC70E6">
        <w:rPr>
          <w:rFonts w:hint="cs"/>
          <w:sz w:val="28"/>
          <w:rtl/>
        </w:rPr>
        <w:t xml:space="preserve">, פסקה 15 (2020) והאסמכתאות שם). המשיב "רשאי לטעון כי צו מנהלי שעליו מתבסס האישום הוא פגום מבחינה משפטית ולכן בטל... אולם צריך... להרים את הנטל הרובץ עליו מכוח חזקת החוקיות ולהוכיח כי הצו פגום ובטל" (ע"פ 1610/93 </w:t>
      </w:r>
      <w:r w:rsidR="00EC70E6" w:rsidRPr="00EC70E6">
        <w:rPr>
          <w:rFonts w:hint="cs"/>
          <w:b/>
          <w:bCs/>
          <w:sz w:val="28"/>
          <w:rtl/>
        </w:rPr>
        <w:t>ותד נ' מדינת ישראל</w:t>
      </w:r>
      <w:r w:rsidR="00EC70E6">
        <w:rPr>
          <w:rFonts w:hint="cs"/>
          <w:sz w:val="28"/>
          <w:rtl/>
        </w:rPr>
        <w:t xml:space="preserve">, פ"ד נ(5) 837, 839 (1993)). </w:t>
      </w:r>
    </w:p>
    <w:p w14:paraId="2525307F" w14:textId="77777777" w:rsidR="006A3A07" w:rsidRDefault="00927FF4" w:rsidP="00EC70E6">
      <w:pPr>
        <w:spacing w:line="360" w:lineRule="auto"/>
        <w:ind w:left="-58"/>
        <w:contextualSpacing/>
        <w:jc w:val="both"/>
        <w:rPr>
          <w:sz w:val="28"/>
          <w:rtl/>
        </w:rPr>
      </w:pPr>
      <w:r>
        <w:rPr>
          <w:rFonts w:hint="cs"/>
          <w:sz w:val="28"/>
          <w:rtl/>
        </w:rPr>
        <w:t>1</w:t>
      </w:r>
      <w:r w:rsidR="003C04BB">
        <w:rPr>
          <w:rFonts w:hint="cs"/>
          <w:sz w:val="28"/>
          <w:rtl/>
        </w:rPr>
        <w:t>1. לבסוף, אף אם עלה בידי ההגנה להצביע על פגם בהתנהלות רשויות הגיוס, הרי שלא כל פגם מוביל</w:t>
      </w:r>
      <w:r w:rsidR="009F095E">
        <w:rPr>
          <w:rFonts w:hint="cs"/>
          <w:sz w:val="28"/>
          <w:rtl/>
        </w:rPr>
        <w:t>,</w:t>
      </w:r>
      <w:r w:rsidR="003C04BB">
        <w:rPr>
          <w:rFonts w:hint="cs"/>
          <w:sz w:val="28"/>
          <w:rtl/>
        </w:rPr>
        <w:t xml:space="preserve"> מניה וביה</w:t>
      </w:r>
      <w:r w:rsidR="009F095E">
        <w:rPr>
          <w:rFonts w:hint="cs"/>
          <w:sz w:val="28"/>
          <w:rtl/>
        </w:rPr>
        <w:t>,</w:t>
      </w:r>
      <w:r w:rsidR="003C04BB">
        <w:rPr>
          <w:rFonts w:hint="cs"/>
          <w:sz w:val="28"/>
          <w:rtl/>
        </w:rPr>
        <w:t xml:space="preserve"> לשלילת תוקפו של צו הקריאה לשירות ביטחון (למשל </w:t>
      </w:r>
      <w:r w:rsidR="00F307E4">
        <w:rPr>
          <w:rFonts w:hint="cs"/>
          <w:sz w:val="28"/>
          <w:rtl/>
        </w:rPr>
        <w:t>עניין</w:t>
      </w:r>
      <w:r w:rsidR="003C04BB" w:rsidRPr="009F095E">
        <w:rPr>
          <w:rFonts w:hint="cs"/>
          <w:b/>
          <w:bCs/>
          <w:sz w:val="28"/>
          <w:rtl/>
        </w:rPr>
        <w:t xml:space="preserve"> זיתוני </w:t>
      </w:r>
      <w:r w:rsidR="00F307E4" w:rsidRPr="00F307E4">
        <w:rPr>
          <w:rFonts w:hint="cs"/>
          <w:sz w:val="28"/>
          <w:rtl/>
        </w:rPr>
        <w:t>לעיל</w:t>
      </w:r>
      <w:r w:rsidR="003C04BB">
        <w:rPr>
          <w:rFonts w:hint="cs"/>
          <w:sz w:val="28"/>
          <w:rtl/>
        </w:rPr>
        <w:t xml:space="preserve">, </w:t>
      </w:r>
      <w:r w:rsidR="00F307E4">
        <w:rPr>
          <w:rFonts w:hint="cs"/>
          <w:sz w:val="28"/>
          <w:rtl/>
        </w:rPr>
        <w:t>ב</w:t>
      </w:r>
      <w:r w:rsidR="003C04BB">
        <w:rPr>
          <w:rFonts w:hint="cs"/>
          <w:sz w:val="28"/>
          <w:rtl/>
        </w:rPr>
        <w:t>פסקאות 14-13)</w:t>
      </w:r>
      <w:r w:rsidR="009F095E">
        <w:rPr>
          <w:rFonts w:hint="cs"/>
          <w:sz w:val="28"/>
          <w:rtl/>
        </w:rPr>
        <w:t xml:space="preserve">. </w:t>
      </w:r>
      <w:r w:rsidR="003C04BB">
        <w:rPr>
          <w:rFonts w:hint="cs"/>
          <w:sz w:val="28"/>
          <w:rtl/>
        </w:rPr>
        <w:t xml:space="preserve">את הפגם יש לבחון בהתאם לתורת הבטלות היחסית </w:t>
      </w:r>
      <w:r w:rsidR="009F095E">
        <w:rPr>
          <w:rFonts w:hint="cs"/>
          <w:sz w:val="28"/>
          <w:rtl/>
        </w:rPr>
        <w:t>(</w:t>
      </w:r>
      <w:r w:rsidR="009F095E" w:rsidRPr="009F095E">
        <w:rPr>
          <w:sz w:val="28"/>
          <w:rtl/>
        </w:rPr>
        <w:t xml:space="preserve">רע"פ 2413/99 </w:t>
      </w:r>
      <w:r w:rsidR="009F095E" w:rsidRPr="009F095E">
        <w:rPr>
          <w:b/>
          <w:bCs/>
          <w:sz w:val="28"/>
          <w:rtl/>
        </w:rPr>
        <w:lastRenderedPageBreak/>
        <w:t xml:space="preserve">טוראי גיספן נ' </w:t>
      </w:r>
      <w:r w:rsidR="00683848">
        <w:rPr>
          <w:rFonts w:hint="cs"/>
          <w:b/>
          <w:bCs/>
          <w:sz w:val="28"/>
          <w:rtl/>
        </w:rPr>
        <w:t>התובע הצבאי הראשי</w:t>
      </w:r>
      <w:r w:rsidR="009F095E" w:rsidRPr="009F095E">
        <w:rPr>
          <w:sz w:val="28"/>
          <w:rtl/>
        </w:rPr>
        <w:t>, נה‏(‏4‏)‏</w:t>
      </w:r>
      <w:r w:rsidR="009F095E">
        <w:rPr>
          <w:rFonts w:hint="cs"/>
          <w:sz w:val="28"/>
          <w:rtl/>
        </w:rPr>
        <w:t xml:space="preserve"> </w:t>
      </w:r>
      <w:r w:rsidR="009F095E" w:rsidRPr="009F095E">
        <w:rPr>
          <w:sz w:val="28"/>
          <w:rtl/>
        </w:rPr>
        <w:t>673</w:t>
      </w:r>
      <w:r w:rsidR="009F095E">
        <w:rPr>
          <w:rFonts w:hint="cs"/>
          <w:sz w:val="28"/>
          <w:rtl/>
        </w:rPr>
        <w:t>, 689</w:t>
      </w:r>
      <w:r w:rsidR="009F095E" w:rsidRPr="009F095E">
        <w:rPr>
          <w:sz w:val="28"/>
          <w:rtl/>
        </w:rPr>
        <w:t xml:space="preserve"> ‏(‏2001‏)‏‏</w:t>
      </w:r>
      <w:r w:rsidR="009F095E">
        <w:rPr>
          <w:rFonts w:hint="cs"/>
          <w:sz w:val="28"/>
          <w:rtl/>
        </w:rPr>
        <w:t>), במסגרתה יבחן בית הדין את נסיבותיו ומאפייניו של המקרה, ובכלל זה את</w:t>
      </w:r>
    </w:p>
    <w:p w14:paraId="1EC23F05" w14:textId="04CE04C8" w:rsidR="006A3A07" w:rsidRPr="006A3A07" w:rsidRDefault="003C04BB" w:rsidP="006A3A07">
      <w:pPr>
        <w:pStyle w:val="1"/>
        <w:ind w:left="794" w:right="425"/>
        <w:jc w:val="both"/>
        <w:rPr>
          <w:rFonts w:ascii="David" w:hAnsi="David" w:cs="David"/>
          <w:sz w:val="28"/>
          <w:szCs w:val="28"/>
          <w:rtl/>
        </w:rPr>
      </w:pPr>
      <w:r w:rsidRPr="006A3A07">
        <w:rPr>
          <w:rFonts w:ascii="David" w:hAnsi="David" w:cs="David"/>
          <w:sz w:val="28"/>
          <w:szCs w:val="28"/>
          <w:rtl/>
        </w:rPr>
        <w:t xml:space="preserve">"מהות הפגם; חומרתה של הפרת החוק שבה מדובר; חשיבות הזכות הנפגעת מן ההפרה ומידת הפגיעה; זהותם של הצדדים והתנהלותם; אופן תקיפתו של הפגם – בתקיפה ישירה או בתקיפה עקיפה; וכן הנזק שעשוי להיגרם לנוגעים בדבר ולצדדים שלישיים" (רע"פ 3080/10 </w:t>
      </w:r>
      <w:r w:rsidRPr="006A3A07">
        <w:rPr>
          <w:rFonts w:ascii="David" w:hAnsi="David" w:cs="David"/>
          <w:b/>
          <w:bCs/>
          <w:sz w:val="28"/>
          <w:szCs w:val="28"/>
          <w:rtl/>
        </w:rPr>
        <w:t xml:space="preserve">טור' סמורגונסקי נ' </w:t>
      </w:r>
      <w:r w:rsidR="00683848">
        <w:rPr>
          <w:rFonts w:ascii="David" w:hAnsi="David" w:cs="David"/>
          <w:b/>
          <w:bCs/>
          <w:sz w:val="28"/>
          <w:szCs w:val="28"/>
          <w:rtl/>
        </w:rPr>
        <w:t>התובע הצבאי הראשי</w:t>
      </w:r>
      <w:r w:rsidRPr="006A3A07">
        <w:rPr>
          <w:rFonts w:ascii="David" w:hAnsi="David" w:cs="David"/>
          <w:sz w:val="28"/>
          <w:szCs w:val="28"/>
          <w:rtl/>
        </w:rPr>
        <w:t>, פסקה 14 (25.12.2012)</w:t>
      </w:r>
      <w:r w:rsidR="00927FF4">
        <w:rPr>
          <w:rFonts w:ascii="David" w:hAnsi="David" w:cs="David" w:hint="cs"/>
          <w:sz w:val="28"/>
          <w:szCs w:val="28"/>
          <w:rtl/>
        </w:rPr>
        <w:t>)</w:t>
      </w:r>
      <w:r w:rsidRPr="006A3A07">
        <w:rPr>
          <w:rFonts w:ascii="David" w:hAnsi="David" w:cs="David"/>
          <w:sz w:val="28"/>
          <w:szCs w:val="28"/>
          <w:rtl/>
        </w:rPr>
        <w:t xml:space="preserve">. </w:t>
      </w:r>
    </w:p>
    <w:p w14:paraId="1CF87637" w14:textId="77777777" w:rsidR="006A3A07" w:rsidRDefault="006A3A07" w:rsidP="006A3A07">
      <w:pPr>
        <w:pStyle w:val="1"/>
        <w:ind w:right="425"/>
        <w:jc w:val="both"/>
        <w:rPr>
          <w:sz w:val="28"/>
          <w:rtl/>
        </w:rPr>
      </w:pPr>
    </w:p>
    <w:p w14:paraId="02DBD5D4" w14:textId="77777777" w:rsidR="002619AB" w:rsidRDefault="003C04BB" w:rsidP="002619AB">
      <w:pPr>
        <w:spacing w:line="360" w:lineRule="auto"/>
        <w:ind w:left="-58"/>
        <w:contextualSpacing/>
        <w:jc w:val="both"/>
        <w:rPr>
          <w:sz w:val="28"/>
          <w:rtl/>
        </w:rPr>
      </w:pPr>
      <w:r>
        <w:rPr>
          <w:rFonts w:hint="cs"/>
          <w:sz w:val="28"/>
          <w:rtl/>
        </w:rPr>
        <w:t xml:space="preserve">12. </w:t>
      </w:r>
      <w:r w:rsidR="000828B9">
        <w:rPr>
          <w:rFonts w:hint="cs"/>
          <w:sz w:val="28"/>
          <w:rtl/>
        </w:rPr>
        <w:t xml:space="preserve">ומכאן לענייננו. </w:t>
      </w:r>
      <w:r>
        <w:rPr>
          <w:rFonts w:hint="cs"/>
          <w:sz w:val="28"/>
          <w:rtl/>
        </w:rPr>
        <w:t>עיון בחומר הראיות מעלה</w:t>
      </w:r>
      <w:r w:rsidR="00E45081">
        <w:rPr>
          <w:rFonts w:hint="cs"/>
          <w:sz w:val="28"/>
          <w:rtl/>
        </w:rPr>
        <w:t>, כקביעת הערכאה קמא,</w:t>
      </w:r>
      <w:r>
        <w:rPr>
          <w:rFonts w:hint="cs"/>
          <w:sz w:val="28"/>
          <w:rtl/>
        </w:rPr>
        <w:t xml:space="preserve"> כי המשיב התייצב אמנם לצו ראשון </w:t>
      </w:r>
      <w:r w:rsidR="00C1477C">
        <w:rPr>
          <w:rFonts w:hint="cs"/>
          <w:sz w:val="28"/>
          <w:rtl/>
        </w:rPr>
        <w:t>ב</w:t>
      </w:r>
      <w:r w:rsidR="00F76908">
        <w:rPr>
          <w:rFonts w:hint="cs"/>
          <w:sz w:val="28"/>
          <w:rtl/>
        </w:rPr>
        <w:t xml:space="preserve"> </w:t>
      </w:r>
      <w:r w:rsidR="00F76908">
        <w:rPr>
          <w:sz w:val="28"/>
          <w:rtl/>
        </w:rPr>
        <w:t>–</w:t>
      </w:r>
      <w:r w:rsidR="00F76908">
        <w:rPr>
          <w:rFonts w:hint="cs"/>
          <w:sz w:val="28"/>
          <w:rtl/>
        </w:rPr>
        <w:t xml:space="preserve"> 18 בנובמבר 2019</w:t>
      </w:r>
      <w:r w:rsidR="00C1477C">
        <w:rPr>
          <w:rFonts w:hint="cs"/>
          <w:sz w:val="28"/>
          <w:rtl/>
        </w:rPr>
        <w:t xml:space="preserve"> </w:t>
      </w:r>
      <w:r w:rsidRPr="00044468">
        <w:rPr>
          <w:sz w:val="28"/>
          <w:rtl/>
        </w:rPr>
        <w:t xml:space="preserve">ובין השנים </w:t>
      </w:r>
      <w:r w:rsidR="00C1477C">
        <w:rPr>
          <w:rFonts w:hint="cs"/>
          <w:sz w:val="28"/>
          <w:rtl/>
        </w:rPr>
        <w:t>2021</w:t>
      </w:r>
      <w:r w:rsidRPr="00044468">
        <w:rPr>
          <w:sz w:val="28"/>
          <w:rtl/>
        </w:rPr>
        <w:t xml:space="preserve"> ל – 2023 הגיש שנה אחרי שנה </w:t>
      </w:r>
      <w:r w:rsidR="00C1477C">
        <w:rPr>
          <w:rFonts w:hint="cs"/>
          <w:sz w:val="28"/>
          <w:rtl/>
        </w:rPr>
        <w:t>"בקשה לצו דחיית שירות מטעמים שבלימודים תורניים לתלמידי ישיבות"</w:t>
      </w:r>
      <w:r w:rsidR="00A873B4">
        <w:rPr>
          <w:rFonts w:hint="cs"/>
          <w:sz w:val="28"/>
          <w:rtl/>
        </w:rPr>
        <w:t>, אלא שעם פקיעת מעמד</w:t>
      </w:r>
      <w:r w:rsidR="000E21F9">
        <w:rPr>
          <w:rFonts w:hint="cs"/>
          <w:sz w:val="28"/>
          <w:rtl/>
        </w:rPr>
        <w:t>ו</w:t>
      </w:r>
      <w:r w:rsidR="00A873B4">
        <w:rPr>
          <w:rFonts w:hint="cs"/>
          <w:sz w:val="28"/>
          <w:rtl/>
        </w:rPr>
        <w:t xml:space="preserve"> </w:t>
      </w:r>
      <w:r w:rsidR="000E21F9">
        <w:rPr>
          <w:rFonts w:hint="cs"/>
          <w:sz w:val="28"/>
          <w:rtl/>
        </w:rPr>
        <w:t>כבן ישיבה ב</w:t>
      </w:r>
      <w:r w:rsidR="00543CC7">
        <w:rPr>
          <w:rFonts w:hint="cs"/>
          <w:sz w:val="28"/>
          <w:rtl/>
        </w:rPr>
        <w:t xml:space="preserve"> </w:t>
      </w:r>
      <w:r w:rsidR="000E21F9">
        <w:rPr>
          <w:sz w:val="28"/>
          <w:rtl/>
        </w:rPr>
        <w:t>–</w:t>
      </w:r>
      <w:r w:rsidR="000E21F9">
        <w:rPr>
          <w:rFonts w:hint="cs"/>
          <w:sz w:val="28"/>
          <w:rtl/>
        </w:rPr>
        <w:t xml:space="preserve"> </w:t>
      </w:r>
      <w:r w:rsidR="00543CC7">
        <w:rPr>
          <w:rFonts w:hint="cs"/>
          <w:sz w:val="28"/>
          <w:rtl/>
        </w:rPr>
        <w:t xml:space="preserve"> 24 ביולי 2024</w:t>
      </w:r>
      <w:r w:rsidR="00A873B4">
        <w:rPr>
          <w:rFonts w:hint="cs"/>
          <w:sz w:val="28"/>
          <w:rtl/>
        </w:rPr>
        <w:t>, שבה וקראה לו הרשות לבדיקות</w:t>
      </w:r>
      <w:r w:rsidR="00543CC7">
        <w:rPr>
          <w:rFonts w:hint="cs"/>
          <w:sz w:val="28"/>
          <w:rtl/>
        </w:rPr>
        <w:t xml:space="preserve"> </w:t>
      </w:r>
      <w:r w:rsidR="00242E47">
        <w:rPr>
          <w:rFonts w:hint="cs"/>
          <w:sz w:val="28"/>
          <w:rtl/>
        </w:rPr>
        <w:t xml:space="preserve">והוא </w:t>
      </w:r>
      <w:r w:rsidR="00242E47" w:rsidRPr="00521BEF">
        <w:rPr>
          <w:rFonts w:hint="cs"/>
          <w:b/>
          <w:bCs/>
          <w:sz w:val="28"/>
          <w:rtl/>
        </w:rPr>
        <w:t xml:space="preserve">נמנע </w:t>
      </w:r>
      <w:r w:rsidR="000828B9">
        <w:rPr>
          <w:rFonts w:hint="cs"/>
          <w:b/>
          <w:bCs/>
          <w:sz w:val="28"/>
          <w:rtl/>
        </w:rPr>
        <w:t xml:space="preserve">מלשתף </w:t>
      </w:r>
      <w:r w:rsidR="00242E47" w:rsidRPr="00521BEF">
        <w:rPr>
          <w:rFonts w:hint="cs"/>
          <w:b/>
          <w:bCs/>
          <w:sz w:val="28"/>
          <w:rtl/>
        </w:rPr>
        <w:t>פעולה</w:t>
      </w:r>
      <w:r w:rsidR="00242E47">
        <w:rPr>
          <w:rFonts w:hint="cs"/>
          <w:sz w:val="28"/>
          <w:rtl/>
        </w:rPr>
        <w:t xml:space="preserve">. הוא לא התייצב ל"צו שני </w:t>
      </w:r>
      <w:r w:rsidR="00242E47">
        <w:rPr>
          <w:sz w:val="28"/>
          <w:rtl/>
        </w:rPr>
        <w:t>–</w:t>
      </w:r>
      <w:r w:rsidR="00242E47">
        <w:rPr>
          <w:rFonts w:hint="cs"/>
          <w:sz w:val="28"/>
          <w:rtl/>
        </w:rPr>
        <w:t xml:space="preserve"> בנים" לבדיקה רפואית ב</w:t>
      </w:r>
      <w:r w:rsidR="00543CC7">
        <w:rPr>
          <w:rFonts w:hint="cs"/>
          <w:sz w:val="28"/>
          <w:rtl/>
        </w:rPr>
        <w:t xml:space="preserve"> </w:t>
      </w:r>
      <w:r w:rsidR="00543CC7">
        <w:rPr>
          <w:sz w:val="28"/>
          <w:rtl/>
        </w:rPr>
        <w:t>–</w:t>
      </w:r>
      <w:r w:rsidR="00543CC7">
        <w:rPr>
          <w:rFonts w:hint="cs"/>
          <w:sz w:val="28"/>
          <w:rtl/>
        </w:rPr>
        <w:t xml:space="preserve"> 6 באוגוסט 2024</w:t>
      </w:r>
      <w:r w:rsidR="00242E47">
        <w:rPr>
          <w:rFonts w:hint="cs"/>
          <w:sz w:val="28"/>
          <w:rtl/>
        </w:rPr>
        <w:t xml:space="preserve"> שאליו זומן באופן "רגיל", וחודש לאחר מכן, ל"צו ראשון </w:t>
      </w:r>
      <w:r w:rsidR="00242E47">
        <w:rPr>
          <w:sz w:val="28"/>
          <w:rtl/>
        </w:rPr>
        <w:t>–</w:t>
      </w:r>
      <w:r w:rsidR="00242E47">
        <w:rPr>
          <w:rFonts w:hint="cs"/>
          <w:sz w:val="28"/>
          <w:rtl/>
        </w:rPr>
        <w:t xml:space="preserve"> </w:t>
      </w:r>
      <w:r w:rsidR="00242E47" w:rsidRPr="00242E47">
        <w:rPr>
          <w:rFonts w:hint="cs"/>
          <w:sz w:val="28"/>
          <w:rtl/>
        </w:rPr>
        <w:t>חרדים" ב</w:t>
      </w:r>
      <w:r w:rsidR="00543CC7">
        <w:rPr>
          <w:rFonts w:hint="cs"/>
          <w:sz w:val="28"/>
          <w:rtl/>
        </w:rPr>
        <w:t xml:space="preserve"> </w:t>
      </w:r>
      <w:r w:rsidR="00543CC7">
        <w:rPr>
          <w:sz w:val="28"/>
          <w:rtl/>
        </w:rPr>
        <w:t>–</w:t>
      </w:r>
      <w:r w:rsidR="00543CC7">
        <w:rPr>
          <w:rFonts w:hint="cs"/>
          <w:sz w:val="28"/>
          <w:rtl/>
        </w:rPr>
        <w:t xml:space="preserve"> 10 בספטמבר 2024 </w:t>
      </w:r>
      <w:r w:rsidR="00242E47" w:rsidRPr="00242E47">
        <w:rPr>
          <w:rFonts w:hint="cs"/>
          <w:sz w:val="28"/>
          <w:rtl/>
        </w:rPr>
        <w:t>שאליו זומן באמצעות מכתב "התראה"</w:t>
      </w:r>
      <w:r w:rsidRPr="00242E47">
        <w:rPr>
          <w:sz w:val="28"/>
          <w:rtl/>
        </w:rPr>
        <w:t>.</w:t>
      </w:r>
      <w:r w:rsidRPr="00242E47">
        <w:rPr>
          <w:rFonts w:hint="cs"/>
          <w:sz w:val="28"/>
          <w:rtl/>
        </w:rPr>
        <w:t xml:space="preserve"> </w:t>
      </w:r>
      <w:r w:rsidR="00E45081">
        <w:rPr>
          <w:rFonts w:hint="cs"/>
          <w:sz w:val="28"/>
          <w:rtl/>
        </w:rPr>
        <w:t>ב</w:t>
      </w:r>
      <w:r w:rsidR="00543CC7">
        <w:rPr>
          <w:rFonts w:hint="cs"/>
          <w:sz w:val="28"/>
          <w:rtl/>
        </w:rPr>
        <w:t xml:space="preserve"> </w:t>
      </w:r>
      <w:r w:rsidR="00543CC7">
        <w:rPr>
          <w:sz w:val="28"/>
          <w:rtl/>
        </w:rPr>
        <w:t>–</w:t>
      </w:r>
      <w:r w:rsidR="00543CC7">
        <w:rPr>
          <w:rFonts w:hint="cs"/>
          <w:sz w:val="28"/>
          <w:rtl/>
        </w:rPr>
        <w:t xml:space="preserve"> 30 בספטמבר 2024 </w:t>
      </w:r>
      <w:r w:rsidR="00E45081">
        <w:rPr>
          <w:rFonts w:hint="cs"/>
          <w:sz w:val="28"/>
          <w:rtl/>
        </w:rPr>
        <w:t xml:space="preserve">עלה בידי נציג לשכת הגיוס לשוחח עם </w:t>
      </w:r>
      <w:r w:rsidR="000828B9">
        <w:rPr>
          <w:rFonts w:hint="cs"/>
          <w:sz w:val="28"/>
          <w:rtl/>
        </w:rPr>
        <w:t xml:space="preserve">המשיב </w:t>
      </w:r>
      <w:r w:rsidR="00E45081">
        <w:rPr>
          <w:rFonts w:hint="cs"/>
          <w:sz w:val="28"/>
          <w:rtl/>
        </w:rPr>
        <w:t xml:space="preserve">ולהעביר לו "נוהל מסודר לפני צו 12", </w:t>
      </w:r>
      <w:r w:rsidR="000828B9">
        <w:rPr>
          <w:rFonts w:hint="cs"/>
          <w:sz w:val="28"/>
          <w:rtl/>
        </w:rPr>
        <w:t>ש</w:t>
      </w:r>
      <w:r w:rsidR="00E45081">
        <w:rPr>
          <w:rFonts w:hint="cs"/>
          <w:sz w:val="28"/>
          <w:rtl/>
        </w:rPr>
        <w:t xml:space="preserve">במסגרתו הובהרה לו חובתו להתייצב להשלמת הליכי הצו הראשון. בתיעוד השיחה נכתב עוד כי "המסר הועבר, אך לא היה שיתוף פעולה". </w:t>
      </w:r>
      <w:r w:rsidR="00242E47" w:rsidRPr="00242E47">
        <w:rPr>
          <w:rFonts w:hint="cs"/>
          <w:sz w:val="28"/>
          <w:rtl/>
        </w:rPr>
        <w:t xml:space="preserve">כחודש ומחצה לאחר מכן, ב </w:t>
      </w:r>
      <w:r w:rsidR="00242E47" w:rsidRPr="00242E47">
        <w:rPr>
          <w:sz w:val="28"/>
          <w:rtl/>
        </w:rPr>
        <w:t>–</w:t>
      </w:r>
      <w:r w:rsidR="00242E47" w:rsidRPr="00242E47">
        <w:rPr>
          <w:rFonts w:hint="cs"/>
          <w:sz w:val="28"/>
          <w:rtl/>
        </w:rPr>
        <w:t xml:space="preserve"> </w:t>
      </w:r>
      <w:r w:rsidR="00543CC7">
        <w:rPr>
          <w:rFonts w:hint="cs"/>
          <w:sz w:val="28"/>
          <w:rtl/>
        </w:rPr>
        <w:t xml:space="preserve">27 באוקטובר 2024 </w:t>
      </w:r>
      <w:r w:rsidR="003464E1">
        <w:rPr>
          <w:rFonts w:hint="cs"/>
          <w:sz w:val="28"/>
          <w:rtl/>
        </w:rPr>
        <w:t>הופק</w:t>
      </w:r>
      <w:r w:rsidR="00242E47" w:rsidRPr="00242E47">
        <w:rPr>
          <w:rFonts w:hint="cs"/>
          <w:sz w:val="28"/>
          <w:rtl/>
        </w:rPr>
        <w:t xml:space="preserve"> מכתב התראה</w:t>
      </w:r>
      <w:r w:rsidR="00242E47">
        <w:rPr>
          <w:rFonts w:hint="cs"/>
          <w:sz w:val="28"/>
          <w:rtl/>
        </w:rPr>
        <w:t xml:space="preserve"> לפני הוצאת צו גיוס לפי סעיף 12 לחוק, וכחודש לאחר מכן</w:t>
      </w:r>
      <w:r w:rsidR="00E45081">
        <w:rPr>
          <w:rFonts w:hint="cs"/>
          <w:sz w:val="28"/>
          <w:rtl/>
        </w:rPr>
        <w:t xml:space="preserve"> ב </w:t>
      </w:r>
      <w:r w:rsidR="00E45081">
        <w:rPr>
          <w:sz w:val="28"/>
          <w:rtl/>
        </w:rPr>
        <w:t>–</w:t>
      </w:r>
      <w:r w:rsidR="00543CC7">
        <w:rPr>
          <w:rFonts w:hint="cs"/>
          <w:sz w:val="28"/>
          <w:rtl/>
        </w:rPr>
        <w:t xml:space="preserve"> 27 בנובמבר 2024</w:t>
      </w:r>
      <w:r w:rsidR="00242E47">
        <w:rPr>
          <w:rFonts w:hint="cs"/>
          <w:sz w:val="28"/>
          <w:rtl/>
        </w:rPr>
        <w:t xml:space="preserve">, נשלח אל כתובתו הרשומה במשרד הפנים "צו התייצבות לשירות ביטחון" </w:t>
      </w:r>
      <w:r w:rsidR="00927FF4">
        <w:rPr>
          <w:rFonts w:hint="cs"/>
          <w:sz w:val="28"/>
          <w:rtl/>
        </w:rPr>
        <w:t xml:space="preserve">לפי סעיף 12 לחוק, </w:t>
      </w:r>
      <w:r w:rsidR="00242E47">
        <w:rPr>
          <w:rFonts w:hint="cs"/>
          <w:sz w:val="28"/>
          <w:rtl/>
        </w:rPr>
        <w:t>המורה על התייצבות לשירות חובה ביום</w:t>
      </w:r>
      <w:r w:rsidR="00543CC7">
        <w:rPr>
          <w:rFonts w:hint="cs"/>
          <w:sz w:val="28"/>
          <w:rtl/>
        </w:rPr>
        <w:t xml:space="preserve"> 28 בינואר 2025</w:t>
      </w:r>
      <w:r w:rsidR="00242E47">
        <w:rPr>
          <w:rFonts w:hint="cs"/>
          <w:sz w:val="28"/>
          <w:rtl/>
        </w:rPr>
        <w:t>.</w:t>
      </w:r>
      <w:r w:rsidR="000E21F9">
        <w:rPr>
          <w:rFonts w:hint="cs"/>
          <w:sz w:val="28"/>
          <w:rtl/>
        </w:rPr>
        <w:t xml:space="preserve"> </w:t>
      </w:r>
      <w:r w:rsidR="00E45081">
        <w:rPr>
          <w:rFonts w:hint="cs"/>
          <w:sz w:val="28"/>
          <w:rtl/>
        </w:rPr>
        <w:t xml:space="preserve">ניסיונות מאוחרים של נציגי לשכת הגיוס ליצור </w:t>
      </w:r>
      <w:r w:rsidR="00927FF4">
        <w:rPr>
          <w:rFonts w:hint="cs"/>
          <w:sz w:val="28"/>
          <w:rtl/>
        </w:rPr>
        <w:t xml:space="preserve">קשר </w:t>
      </w:r>
      <w:r w:rsidR="00E45081">
        <w:rPr>
          <w:rFonts w:hint="cs"/>
          <w:sz w:val="28"/>
          <w:rtl/>
        </w:rPr>
        <w:t>עם המשיב או עם בני משפחתו, לא צלחו ולא היה מענה</w:t>
      </w:r>
      <w:r w:rsidR="000E21F9">
        <w:rPr>
          <w:rFonts w:hint="cs"/>
          <w:sz w:val="28"/>
          <w:rtl/>
        </w:rPr>
        <w:t xml:space="preserve">, עד אשר נעצר. </w:t>
      </w:r>
    </w:p>
    <w:p w14:paraId="46A6E22F" w14:textId="77777777" w:rsidR="000E21F9" w:rsidRDefault="003C04BB" w:rsidP="002619AB">
      <w:pPr>
        <w:spacing w:line="360" w:lineRule="auto"/>
        <w:ind w:left="-58"/>
        <w:contextualSpacing/>
        <w:jc w:val="both"/>
        <w:rPr>
          <w:sz w:val="28"/>
          <w:rtl/>
        </w:rPr>
      </w:pPr>
      <w:r>
        <w:rPr>
          <w:rFonts w:hint="cs"/>
          <w:sz w:val="28"/>
          <w:rtl/>
        </w:rPr>
        <w:t>על פני הדברים עולה</w:t>
      </w:r>
      <w:r w:rsidR="001F6B91">
        <w:rPr>
          <w:rFonts w:hint="cs"/>
          <w:sz w:val="28"/>
          <w:rtl/>
        </w:rPr>
        <w:t>,</w:t>
      </w:r>
      <w:r>
        <w:rPr>
          <w:rFonts w:hint="cs"/>
          <w:sz w:val="28"/>
          <w:rtl/>
        </w:rPr>
        <w:t xml:space="preserve"> אפוא</w:t>
      </w:r>
      <w:r w:rsidR="001F6B91">
        <w:rPr>
          <w:rFonts w:hint="cs"/>
          <w:sz w:val="28"/>
          <w:rtl/>
        </w:rPr>
        <w:t>,</w:t>
      </w:r>
      <w:r>
        <w:rPr>
          <w:rFonts w:hint="cs"/>
          <w:sz w:val="28"/>
          <w:rtl/>
        </w:rPr>
        <w:t xml:space="preserve"> כי בחומר הראיות צו קריאה לשירות ביטחון מכוח צו לפי סעיף 12 </w:t>
      </w:r>
      <w:r w:rsidR="001F6B91">
        <w:rPr>
          <w:rFonts w:hint="cs"/>
          <w:sz w:val="28"/>
          <w:rtl/>
        </w:rPr>
        <w:t xml:space="preserve">לחוק </w:t>
      </w:r>
      <w:r w:rsidR="00927FF4">
        <w:rPr>
          <w:rFonts w:hint="cs"/>
          <w:sz w:val="28"/>
          <w:rtl/>
        </w:rPr>
        <w:t>ו</w:t>
      </w:r>
      <w:r>
        <w:rPr>
          <w:rFonts w:hint="cs"/>
          <w:sz w:val="28"/>
          <w:rtl/>
        </w:rPr>
        <w:t xml:space="preserve">מודעות לקיומו </w:t>
      </w:r>
      <w:r w:rsidR="001F6B91">
        <w:rPr>
          <w:rFonts w:hint="cs"/>
          <w:sz w:val="28"/>
          <w:rtl/>
        </w:rPr>
        <w:t xml:space="preserve">מכוח שליחה לכתובתו הרשומה </w:t>
      </w:r>
      <w:r w:rsidR="00521BEF">
        <w:rPr>
          <w:rFonts w:hint="cs"/>
          <w:sz w:val="28"/>
          <w:rtl/>
        </w:rPr>
        <w:t xml:space="preserve">במשרד הפנים (סעיף 55(ה)(2) לחוק) </w:t>
      </w:r>
      <w:r>
        <w:rPr>
          <w:rFonts w:hint="cs"/>
          <w:sz w:val="28"/>
          <w:rtl/>
        </w:rPr>
        <w:t>הנתמכת בשיחה טלפונית.</w:t>
      </w:r>
      <w:r w:rsidR="00927FF4">
        <w:rPr>
          <w:rFonts w:hint="cs"/>
          <w:sz w:val="28"/>
          <w:rtl/>
        </w:rPr>
        <w:t xml:space="preserve"> נמקד </w:t>
      </w:r>
      <w:r w:rsidR="000828B9">
        <w:rPr>
          <w:rFonts w:hint="cs"/>
          <w:sz w:val="28"/>
          <w:rtl/>
        </w:rPr>
        <w:t>את ה</w:t>
      </w:r>
      <w:r w:rsidR="00927FF4">
        <w:rPr>
          <w:rFonts w:hint="cs"/>
          <w:sz w:val="28"/>
          <w:rtl/>
        </w:rPr>
        <w:t>התייחסות להליכים שקדמו להוצאת צו הגיוס.</w:t>
      </w:r>
    </w:p>
    <w:p w14:paraId="2928B210" w14:textId="77777777" w:rsidR="00D70000" w:rsidRPr="00D70000" w:rsidRDefault="00D70000" w:rsidP="002619AB">
      <w:pPr>
        <w:spacing w:line="360" w:lineRule="auto"/>
        <w:ind w:left="-58"/>
        <w:contextualSpacing/>
        <w:jc w:val="both"/>
        <w:rPr>
          <w:sz w:val="2"/>
          <w:szCs w:val="2"/>
          <w:rtl/>
        </w:rPr>
      </w:pPr>
    </w:p>
    <w:p w14:paraId="0B3FF973" w14:textId="77777777" w:rsidR="001F6B91" w:rsidRDefault="003C04BB" w:rsidP="00DB1AAC">
      <w:pPr>
        <w:pStyle w:val="Heading2"/>
        <w:rPr>
          <w:rtl/>
        </w:rPr>
      </w:pPr>
      <w:r>
        <w:rPr>
          <w:rFonts w:hint="cs"/>
          <w:rtl/>
        </w:rPr>
        <w:t>שקידה מתחייבת טרם הוצאת צו 12</w:t>
      </w:r>
    </w:p>
    <w:p w14:paraId="30516920" w14:textId="77777777" w:rsidR="001F6B91" w:rsidRDefault="003C04BB" w:rsidP="001F6B91">
      <w:pPr>
        <w:spacing w:line="360" w:lineRule="auto"/>
        <w:ind w:left="-58"/>
        <w:contextualSpacing/>
        <w:jc w:val="both"/>
        <w:rPr>
          <w:sz w:val="28"/>
          <w:rtl/>
        </w:rPr>
      </w:pPr>
      <w:r>
        <w:rPr>
          <w:rFonts w:hint="cs"/>
          <w:sz w:val="28"/>
          <w:rtl/>
        </w:rPr>
        <w:t xml:space="preserve">13. </w:t>
      </w:r>
      <w:r w:rsidR="00521BEF">
        <w:rPr>
          <w:rFonts w:hint="cs"/>
          <w:sz w:val="28"/>
          <w:rtl/>
        </w:rPr>
        <w:t xml:space="preserve">בית הדין קמא קבע כי </w:t>
      </w:r>
      <w:r w:rsidRPr="001F6B91">
        <w:rPr>
          <w:sz w:val="28"/>
          <w:rtl/>
        </w:rPr>
        <w:t xml:space="preserve">ביטוי מעשי לדרישות הדין בדבר הזהירות המתחייבת בגיוס לפי סעיף 12 לחוק, הן </w:t>
      </w:r>
      <w:r w:rsidRPr="001F6B91">
        <w:rPr>
          <w:b/>
          <w:bCs/>
          <w:sz w:val="28"/>
          <w:rtl/>
        </w:rPr>
        <w:t>ההנחיות הפנימיות</w:t>
      </w:r>
      <w:r w:rsidRPr="001F6B91">
        <w:rPr>
          <w:sz w:val="28"/>
          <w:rtl/>
        </w:rPr>
        <w:t xml:space="preserve"> של לשכות הגיוס המעוגנות ב"פק"ל לשכות הגיוס – מדור ביקורת" שכותרתן "צו 12", </w:t>
      </w:r>
      <w:r>
        <w:rPr>
          <w:rFonts w:hint="cs"/>
          <w:sz w:val="28"/>
          <w:rtl/>
        </w:rPr>
        <w:t>שבהן</w:t>
      </w:r>
      <w:r w:rsidRPr="001F6B91">
        <w:rPr>
          <w:sz w:val="28"/>
          <w:rtl/>
        </w:rPr>
        <w:t xml:space="preserve"> נקבע </w:t>
      </w:r>
      <w:r>
        <w:rPr>
          <w:rFonts w:hint="cs"/>
          <w:sz w:val="28"/>
          <w:rtl/>
        </w:rPr>
        <w:t>ת</w:t>
      </w:r>
      <w:r w:rsidRPr="001F6B91">
        <w:rPr>
          <w:sz w:val="28"/>
          <w:rtl/>
        </w:rPr>
        <w:t>הליך מובנה, הכולל "מדרג – זימונים" ופירוט הקווים המנחים להפעלת שיקול הדעת הפרטני של הגורם המוסמך טרם מימוש הסמכות המנויה בסעיף</w:t>
      </w:r>
      <w:r>
        <w:rPr>
          <w:rFonts w:hint="cs"/>
          <w:sz w:val="28"/>
          <w:rtl/>
        </w:rPr>
        <w:t xml:space="preserve"> 12 לחוק</w:t>
      </w:r>
      <w:r w:rsidRPr="001F6B91">
        <w:rPr>
          <w:sz w:val="28"/>
          <w:rtl/>
        </w:rPr>
        <w:t xml:space="preserve">. </w:t>
      </w:r>
      <w:r w:rsidR="00256AA8">
        <w:rPr>
          <w:rFonts w:hint="cs"/>
          <w:sz w:val="28"/>
          <w:rtl/>
        </w:rPr>
        <w:t xml:space="preserve">בהחלטתו ציין בית הדין קמא כי לא אחת ניצב פק"ל זה בבסיס הביקורת השיפוטית אחר השקידה הסבירה של רשויות הגיוס </w:t>
      </w:r>
      <w:r w:rsidR="00521BEF">
        <w:rPr>
          <w:rFonts w:hint="cs"/>
          <w:sz w:val="28"/>
          <w:rtl/>
        </w:rPr>
        <w:t>בזימון</w:t>
      </w:r>
      <w:r w:rsidR="00256AA8">
        <w:rPr>
          <w:rFonts w:hint="cs"/>
          <w:sz w:val="28"/>
          <w:rtl/>
        </w:rPr>
        <w:t xml:space="preserve"> </w:t>
      </w:r>
      <w:r w:rsidR="000828B9">
        <w:rPr>
          <w:rFonts w:hint="cs"/>
          <w:sz w:val="28"/>
          <w:rtl/>
        </w:rPr>
        <w:t xml:space="preserve">המיועד לגיוס </w:t>
      </w:r>
      <w:r w:rsidR="00256AA8">
        <w:rPr>
          <w:rFonts w:hint="cs"/>
          <w:sz w:val="28"/>
          <w:rtl/>
        </w:rPr>
        <w:t>טרם הוצאת</w:t>
      </w:r>
      <w:r w:rsidR="000828B9">
        <w:rPr>
          <w:rFonts w:hint="cs"/>
          <w:sz w:val="28"/>
          <w:rtl/>
        </w:rPr>
        <w:t>ו של</w:t>
      </w:r>
      <w:r w:rsidR="00256AA8">
        <w:rPr>
          <w:rFonts w:hint="cs"/>
          <w:sz w:val="28"/>
          <w:rtl/>
        </w:rPr>
        <w:t xml:space="preserve"> צו לפי סעיף 12 לחוק. </w:t>
      </w:r>
      <w:r>
        <w:rPr>
          <w:rFonts w:hint="cs"/>
          <w:sz w:val="28"/>
          <w:rtl/>
        </w:rPr>
        <w:t xml:space="preserve">כעולה מטיעוני התביעה הצבאית, עם פקיעת פרק ג'1 לחוק החל על </w:t>
      </w:r>
      <w:r w:rsidR="000828B9">
        <w:rPr>
          <w:rFonts w:hint="cs"/>
          <w:sz w:val="28"/>
          <w:rtl/>
        </w:rPr>
        <w:t xml:space="preserve">מי </w:t>
      </w:r>
      <w:r w:rsidRPr="001F6B91">
        <w:rPr>
          <w:sz w:val="28"/>
          <w:rtl/>
        </w:rPr>
        <w:t>שהיו במעמד "תורתו אומנותו"</w:t>
      </w:r>
      <w:r>
        <w:rPr>
          <w:rFonts w:hint="cs"/>
          <w:sz w:val="28"/>
          <w:rtl/>
        </w:rPr>
        <w:t xml:space="preserve">, ובכללם המשיב, אומצה </w:t>
      </w:r>
      <w:r w:rsidRPr="006A3A07">
        <w:rPr>
          <w:rFonts w:hint="cs"/>
          <w:b/>
          <w:bCs/>
          <w:sz w:val="28"/>
          <w:rtl/>
        </w:rPr>
        <w:t>מדיניות ייחודית</w:t>
      </w:r>
      <w:r>
        <w:rPr>
          <w:rFonts w:hint="cs"/>
          <w:sz w:val="28"/>
          <w:rtl/>
        </w:rPr>
        <w:t xml:space="preserve">, שהיא </w:t>
      </w:r>
      <w:r>
        <w:rPr>
          <w:rFonts w:hint="cs"/>
          <w:sz w:val="28"/>
          <w:rtl/>
        </w:rPr>
        <w:lastRenderedPageBreak/>
        <w:t>פועל יוצא של צורך השעה</w:t>
      </w:r>
      <w:r w:rsidR="00927FF4">
        <w:rPr>
          <w:rFonts w:hint="cs"/>
          <w:sz w:val="28"/>
          <w:rtl/>
        </w:rPr>
        <w:t xml:space="preserve">. על מדיניות זו ניתן ללמוד מתגובתה המקדמית </w:t>
      </w:r>
      <w:r w:rsidR="00927FF4" w:rsidRPr="006A3A07">
        <w:rPr>
          <w:rFonts w:ascii="David" w:hAnsi="David"/>
          <w:sz w:val="28"/>
          <w:rtl/>
        </w:rPr>
        <w:t>של המדינה</w:t>
      </w:r>
      <w:r w:rsidR="002619AB">
        <w:rPr>
          <w:rFonts w:ascii="David" w:hAnsi="David" w:hint="cs"/>
          <w:sz w:val="28"/>
          <w:rtl/>
        </w:rPr>
        <w:t xml:space="preserve"> לבג"ץ</w:t>
      </w:r>
      <w:r w:rsidR="00927FF4">
        <w:rPr>
          <w:rFonts w:ascii="David" w:hAnsi="David" w:hint="cs"/>
          <w:sz w:val="28"/>
          <w:rtl/>
        </w:rPr>
        <w:t>,</w:t>
      </w:r>
      <w:r w:rsidR="00927FF4" w:rsidRPr="006A3A07">
        <w:rPr>
          <w:rFonts w:ascii="David" w:hAnsi="David"/>
          <w:sz w:val="28"/>
          <w:rtl/>
        </w:rPr>
        <w:t xml:space="preserve"> שבה פורטו פעולות צה"ל להרחבת היקף המגויסים לשירות צבאי מקרב בני הציבור החרדי</w:t>
      </w:r>
      <w:r w:rsidR="00927FF4">
        <w:rPr>
          <w:sz w:val="28"/>
          <w:rtl/>
        </w:rPr>
        <w:t xml:space="preserve"> </w:t>
      </w:r>
      <w:r>
        <w:rPr>
          <w:sz w:val="28"/>
          <w:rtl/>
        </w:rPr>
        <w:t>–</w:t>
      </w:r>
      <w:r>
        <w:rPr>
          <w:rFonts w:hint="cs"/>
          <w:sz w:val="28"/>
          <w:rtl/>
        </w:rPr>
        <w:t xml:space="preserve"> </w:t>
      </w:r>
    </w:p>
    <w:p w14:paraId="3E3ABAE1" w14:textId="77777777" w:rsidR="006A3A07" w:rsidRPr="006A3A07" w:rsidRDefault="003C04BB" w:rsidP="006A3A07">
      <w:pPr>
        <w:pStyle w:val="1"/>
        <w:ind w:left="794" w:right="425"/>
        <w:jc w:val="both"/>
        <w:rPr>
          <w:rFonts w:ascii="David" w:hAnsi="David" w:cs="David"/>
          <w:sz w:val="28"/>
          <w:szCs w:val="28"/>
          <w:rtl/>
        </w:rPr>
      </w:pPr>
      <w:r w:rsidRPr="006A3A07">
        <w:rPr>
          <w:rFonts w:ascii="David" w:hAnsi="David" w:cs="David"/>
          <w:sz w:val="28"/>
          <w:szCs w:val="28"/>
          <w:rtl/>
        </w:rPr>
        <w:t>"מלש"ב שלא התייצב לצו ראשון, 'יזומן פעם נוספת להשלמת הליכי הצו הראשון; אם הוא לא יתייצב גם לזימון השני, ייעשו ניסיונות לאתר אותו באופן טלפוני; ולאחר מכן, אם הוא לא יתייצב, בחלוף פרק הזמן הקבוע בנהלי רשויות הגיוס, יישלח אליו מכתב המזהיר כי אם לא יתייצב להשלמת הליכי צו ראשון – יוצא בעניינו של המלש"ב צו התייצבות לשירות ביטחון מכוח סעיף 12 לחוק שירות בטחון, המאפשר לגייס את המלש"ב לשירות צבאי אף שכושרו הרפואי טרם נקבע. אם המלש"ב לא יתייצב על אף האמור במכתב ההתראה – יוצא בעניינו צו גיוס (המכונה 'צו 12') ובהמשך, אם לא יתייצב, הוא יוכרז כ'משתמט'. לאחר הוצאת צו 12, ככלל, פרטי המלש"בים עוברים למשטרת ישראל לטובת אכיפת חובת ההתייצבות" (בג</w:t>
      </w:r>
      <w:r w:rsidR="00927FF4">
        <w:rPr>
          <w:rFonts w:ascii="David" w:hAnsi="David" w:cs="David" w:hint="cs"/>
          <w:sz w:val="28"/>
          <w:szCs w:val="28"/>
          <w:rtl/>
        </w:rPr>
        <w:t>"</w:t>
      </w:r>
      <w:r w:rsidRPr="006A3A07">
        <w:rPr>
          <w:rFonts w:ascii="David" w:hAnsi="David" w:cs="David"/>
          <w:sz w:val="28"/>
          <w:szCs w:val="28"/>
          <w:rtl/>
        </w:rPr>
        <w:t>ץ 5819/24</w:t>
      </w:r>
      <w:r w:rsidR="00927FF4">
        <w:rPr>
          <w:rFonts w:ascii="David" w:hAnsi="David" w:cs="David" w:hint="cs"/>
          <w:sz w:val="28"/>
          <w:szCs w:val="28"/>
          <w:rtl/>
        </w:rPr>
        <w:t xml:space="preserve"> </w:t>
      </w:r>
      <w:r w:rsidRPr="006A3A07">
        <w:rPr>
          <w:rFonts w:ascii="David" w:hAnsi="David" w:cs="David"/>
          <w:b/>
          <w:bCs/>
          <w:sz w:val="28"/>
          <w:szCs w:val="28"/>
          <w:rtl/>
        </w:rPr>
        <w:t>התנועה למען איכות השלטון בישראל נ' שר הביטחון</w:t>
      </w:r>
      <w:r w:rsidRPr="006A3A07">
        <w:rPr>
          <w:rFonts w:ascii="David" w:hAnsi="David" w:cs="David"/>
          <w:sz w:val="28"/>
          <w:szCs w:val="28"/>
          <w:rtl/>
        </w:rPr>
        <w:t xml:space="preserve">, פסקה 12 (19.11.2025)). </w:t>
      </w:r>
    </w:p>
    <w:p w14:paraId="6E2023CD" w14:textId="77777777" w:rsidR="006A3A07" w:rsidRDefault="006A3A07" w:rsidP="006A3A07">
      <w:pPr>
        <w:spacing w:line="360" w:lineRule="auto"/>
        <w:ind w:left="-58"/>
        <w:contextualSpacing/>
        <w:jc w:val="both"/>
        <w:rPr>
          <w:sz w:val="28"/>
          <w:rtl/>
        </w:rPr>
      </w:pPr>
    </w:p>
    <w:p w14:paraId="620A560C" w14:textId="77777777" w:rsidR="003C754D" w:rsidRDefault="003C04BB" w:rsidP="001A01F5">
      <w:pPr>
        <w:spacing w:line="360" w:lineRule="auto"/>
        <w:ind w:left="-58"/>
        <w:contextualSpacing/>
        <w:jc w:val="both"/>
        <w:rPr>
          <w:sz w:val="28"/>
          <w:rtl/>
        </w:rPr>
      </w:pPr>
      <w:r>
        <w:rPr>
          <w:rFonts w:hint="cs"/>
          <w:sz w:val="28"/>
          <w:rtl/>
        </w:rPr>
        <w:t xml:space="preserve"> </w:t>
      </w:r>
      <w:r w:rsidR="006A3A07">
        <w:rPr>
          <w:rFonts w:hint="cs"/>
          <w:sz w:val="28"/>
          <w:rtl/>
        </w:rPr>
        <w:t xml:space="preserve">14. </w:t>
      </w:r>
      <w:r w:rsidR="00256AA8">
        <w:rPr>
          <w:rFonts w:hint="cs"/>
          <w:sz w:val="28"/>
          <w:rtl/>
        </w:rPr>
        <w:t xml:space="preserve">ביטוי למדיניות זו נמצא בחומר הראיות </w:t>
      </w:r>
      <w:r w:rsidR="00927FF4">
        <w:rPr>
          <w:rFonts w:hint="cs"/>
          <w:sz w:val="28"/>
          <w:rtl/>
        </w:rPr>
        <w:t xml:space="preserve">גם </w:t>
      </w:r>
      <w:r w:rsidR="009A44B3">
        <w:rPr>
          <w:rFonts w:hint="cs"/>
          <w:sz w:val="28"/>
          <w:rtl/>
        </w:rPr>
        <w:t xml:space="preserve">בתיק זה, </w:t>
      </w:r>
      <w:r w:rsidR="00256AA8">
        <w:rPr>
          <w:rFonts w:hint="cs"/>
          <w:sz w:val="28"/>
          <w:rtl/>
        </w:rPr>
        <w:t xml:space="preserve">במסמך </w:t>
      </w:r>
      <w:r>
        <w:rPr>
          <w:rFonts w:hint="cs"/>
          <w:sz w:val="28"/>
          <w:rtl/>
        </w:rPr>
        <w:t xml:space="preserve">מיום </w:t>
      </w:r>
      <w:r w:rsidR="002619AB">
        <w:rPr>
          <w:rFonts w:hint="cs"/>
          <w:sz w:val="28"/>
          <w:rtl/>
        </w:rPr>
        <w:t>14 בנובמבר 2024</w:t>
      </w:r>
      <w:r>
        <w:rPr>
          <w:rFonts w:hint="cs"/>
          <w:sz w:val="28"/>
          <w:rtl/>
        </w:rPr>
        <w:t>,</w:t>
      </w:r>
      <w:r w:rsidR="00927FF4">
        <w:rPr>
          <w:rFonts w:hint="cs"/>
          <w:sz w:val="28"/>
          <w:rtl/>
        </w:rPr>
        <w:t xml:space="preserve"> שכותרתו</w:t>
      </w:r>
      <w:r>
        <w:rPr>
          <w:rFonts w:hint="cs"/>
          <w:sz w:val="28"/>
          <w:rtl/>
        </w:rPr>
        <w:t xml:space="preserve"> </w:t>
      </w:r>
      <w:r w:rsidR="00256AA8">
        <w:rPr>
          <w:rFonts w:hint="cs"/>
          <w:sz w:val="28"/>
          <w:rtl/>
        </w:rPr>
        <w:t xml:space="preserve">"אישור מרוכז להכרזת צווי גיוס מתוקף </w:t>
      </w:r>
      <w:r w:rsidR="009A44B3">
        <w:rPr>
          <w:rFonts w:hint="cs"/>
          <w:sz w:val="28"/>
          <w:rtl/>
        </w:rPr>
        <w:t>סעיף</w:t>
      </w:r>
      <w:r w:rsidR="00927FF4">
        <w:rPr>
          <w:rFonts w:hint="cs"/>
          <w:sz w:val="28"/>
          <w:rtl/>
        </w:rPr>
        <w:t xml:space="preserve"> </w:t>
      </w:r>
      <w:r w:rsidR="009A44B3">
        <w:rPr>
          <w:rFonts w:hint="cs"/>
          <w:sz w:val="28"/>
          <w:rtl/>
        </w:rPr>
        <w:t>12 לאוכ' מבוטלי מעמד 'תורתו אומנותו' לאור ביטול פרק ג'1 לחוק</w:t>
      </w:r>
      <w:r>
        <w:rPr>
          <w:rFonts w:hint="cs"/>
          <w:sz w:val="28"/>
          <w:rtl/>
        </w:rPr>
        <w:t>"</w:t>
      </w:r>
      <w:r w:rsidR="009A44B3">
        <w:rPr>
          <w:rFonts w:hint="cs"/>
          <w:sz w:val="28"/>
          <w:rtl/>
        </w:rPr>
        <w:t xml:space="preserve">. </w:t>
      </w:r>
      <w:r>
        <w:rPr>
          <w:rFonts w:hint="cs"/>
          <w:sz w:val="28"/>
          <w:rtl/>
        </w:rPr>
        <w:t>מסמך זה</w:t>
      </w:r>
      <w:r w:rsidR="000828B9">
        <w:rPr>
          <w:rFonts w:hint="cs"/>
          <w:sz w:val="28"/>
          <w:rtl/>
        </w:rPr>
        <w:t xml:space="preserve">, בחתימתה של </w:t>
      </w:r>
      <w:r>
        <w:rPr>
          <w:rFonts w:hint="cs"/>
          <w:sz w:val="28"/>
          <w:rtl/>
        </w:rPr>
        <w:t xml:space="preserve">סגנית מפקד מיטב לגיוס </w:t>
      </w:r>
      <w:r>
        <w:rPr>
          <w:sz w:val="28"/>
          <w:rtl/>
        </w:rPr>
        <w:t>–</w:t>
      </w:r>
      <w:r>
        <w:rPr>
          <w:rFonts w:hint="cs"/>
          <w:sz w:val="28"/>
          <w:rtl/>
        </w:rPr>
        <w:t xml:space="preserve"> סא"ל טגניה, מאשר הכרזת גיוס מכוח צו 12 לכל הנמנים עם אוכלוסייה זו, על-פי מדיניות הפוקד והמדרג </w:t>
      </w:r>
      <w:r w:rsidR="00927FF4">
        <w:rPr>
          <w:rFonts w:hint="cs"/>
          <w:sz w:val="28"/>
          <w:rtl/>
        </w:rPr>
        <w:t>הנלווה לה</w:t>
      </w:r>
      <w:r>
        <w:rPr>
          <w:rFonts w:hint="cs"/>
          <w:sz w:val="28"/>
          <w:rtl/>
        </w:rPr>
        <w:t xml:space="preserve"> ומחייב את הפוקדים ב"תיעוד ואישור תיק מלא". בית הדין קמא עמד על הקושי הנעוץ בעובדה שמדיניות זו לא </w:t>
      </w:r>
      <w:r w:rsidR="00927FF4">
        <w:rPr>
          <w:rFonts w:hint="cs"/>
          <w:sz w:val="28"/>
          <w:rtl/>
        </w:rPr>
        <w:t xml:space="preserve">צורפה לחומר הראיות ולא </w:t>
      </w:r>
      <w:r>
        <w:rPr>
          <w:rFonts w:hint="cs"/>
          <w:sz w:val="28"/>
          <w:rtl/>
        </w:rPr>
        <w:t>הוצגה</w:t>
      </w:r>
      <w:r w:rsidR="00927FF4">
        <w:rPr>
          <w:rFonts w:hint="cs"/>
          <w:sz w:val="28"/>
          <w:rtl/>
        </w:rPr>
        <w:t xml:space="preserve"> במעמד הדיון. נקבע</w:t>
      </w:r>
      <w:r w:rsidR="00543CC7">
        <w:rPr>
          <w:rFonts w:hint="cs"/>
          <w:sz w:val="28"/>
          <w:rtl/>
        </w:rPr>
        <w:t>, כזכור,</w:t>
      </w:r>
      <w:r>
        <w:rPr>
          <w:rFonts w:hint="cs"/>
          <w:sz w:val="28"/>
          <w:rtl/>
        </w:rPr>
        <w:t xml:space="preserve"> כי </w:t>
      </w:r>
      <w:r w:rsidR="00927FF4">
        <w:rPr>
          <w:rFonts w:hint="cs"/>
          <w:sz w:val="28"/>
          <w:rtl/>
        </w:rPr>
        <w:t xml:space="preserve">בהעדרה, </w:t>
      </w:r>
      <w:r w:rsidR="00C97EC1">
        <w:rPr>
          <w:rFonts w:hint="cs"/>
          <w:sz w:val="28"/>
          <w:rtl/>
        </w:rPr>
        <w:t>הגם שסטייה מנוהל פנימי אינה מביאה לבטלות הצו, אלא נבחנת בראי תורת הבטלות היחסית, מתחייבת בנסיבות מקרה זה</w:t>
      </w:r>
      <w:r w:rsidR="00004CBA">
        <w:rPr>
          <w:rFonts w:hint="cs"/>
          <w:sz w:val="28"/>
          <w:rtl/>
        </w:rPr>
        <w:t>,</w:t>
      </w:r>
      <w:r>
        <w:rPr>
          <w:rFonts w:hint="cs"/>
          <w:sz w:val="28"/>
          <w:rtl/>
        </w:rPr>
        <w:t xml:space="preserve"> "בחינה דקדקנית" של </w:t>
      </w:r>
      <w:r w:rsidR="000828B9">
        <w:rPr>
          <w:rFonts w:hint="cs"/>
          <w:sz w:val="28"/>
          <w:rtl/>
        </w:rPr>
        <w:t xml:space="preserve">פעולת </w:t>
      </w:r>
      <w:r>
        <w:rPr>
          <w:rFonts w:hint="cs"/>
          <w:sz w:val="28"/>
          <w:rtl/>
        </w:rPr>
        <w:t>הרשות</w:t>
      </w:r>
      <w:r w:rsidR="00C97EC1">
        <w:rPr>
          <w:rFonts w:hint="cs"/>
          <w:sz w:val="28"/>
          <w:rtl/>
        </w:rPr>
        <w:t>.</w:t>
      </w:r>
    </w:p>
    <w:p w14:paraId="4193FDD3" w14:textId="77777777" w:rsidR="00996867" w:rsidRPr="00996867" w:rsidRDefault="003C04BB" w:rsidP="001A01F5">
      <w:pPr>
        <w:spacing w:line="360" w:lineRule="auto"/>
        <w:ind w:left="-58"/>
        <w:contextualSpacing/>
        <w:jc w:val="both"/>
        <w:rPr>
          <w:sz w:val="28"/>
          <w:rtl/>
        </w:rPr>
      </w:pPr>
      <w:r>
        <w:rPr>
          <w:rFonts w:hint="cs"/>
          <w:sz w:val="28"/>
          <w:rtl/>
        </w:rPr>
        <w:t xml:space="preserve">15. </w:t>
      </w:r>
      <w:r w:rsidR="006A3A07">
        <w:rPr>
          <w:rFonts w:hint="cs"/>
          <w:sz w:val="28"/>
          <w:rtl/>
        </w:rPr>
        <w:t>אף במעמד הדיון בערעור</w:t>
      </w:r>
      <w:r w:rsidR="00256AA8">
        <w:rPr>
          <w:rFonts w:hint="cs"/>
          <w:sz w:val="28"/>
          <w:rtl/>
        </w:rPr>
        <w:t xml:space="preserve"> </w:t>
      </w:r>
      <w:r>
        <w:rPr>
          <w:rFonts w:hint="cs"/>
          <w:sz w:val="28"/>
          <w:rtl/>
        </w:rPr>
        <w:t>לא הוצגה המדיניות הייחודית</w:t>
      </w:r>
      <w:r w:rsidR="000828B9">
        <w:rPr>
          <w:rFonts w:hint="cs"/>
          <w:sz w:val="28"/>
          <w:rtl/>
        </w:rPr>
        <w:t xml:space="preserve">, שמכוחה </w:t>
      </w:r>
      <w:r w:rsidR="009D5F15">
        <w:rPr>
          <w:rFonts w:hint="cs"/>
          <w:sz w:val="28"/>
          <w:rtl/>
        </w:rPr>
        <w:t xml:space="preserve">קוצרו השלבים וצומצמו </w:t>
      </w:r>
      <w:r w:rsidR="00C97EC1">
        <w:rPr>
          <w:rFonts w:hint="cs"/>
          <w:sz w:val="28"/>
          <w:rtl/>
        </w:rPr>
        <w:t xml:space="preserve">הדרישות </w:t>
      </w:r>
      <w:r w:rsidR="000828B9">
        <w:rPr>
          <w:rFonts w:hint="cs"/>
          <w:sz w:val="28"/>
          <w:rtl/>
        </w:rPr>
        <w:t xml:space="preserve">הנוהגות ברגיל להוכחה של </w:t>
      </w:r>
      <w:r w:rsidR="00C97EC1">
        <w:rPr>
          <w:rFonts w:hint="cs"/>
          <w:sz w:val="28"/>
          <w:rtl/>
        </w:rPr>
        <w:t>חוסר שיתוף הפעולה</w:t>
      </w:r>
      <w:r w:rsidR="000828B9">
        <w:rPr>
          <w:rFonts w:hint="cs"/>
          <w:sz w:val="28"/>
          <w:rtl/>
        </w:rPr>
        <w:t xml:space="preserve"> בקביעת הכושר הרפואי</w:t>
      </w:r>
      <w:r>
        <w:rPr>
          <w:rFonts w:hint="cs"/>
          <w:sz w:val="28"/>
          <w:rtl/>
        </w:rPr>
        <w:t xml:space="preserve">. </w:t>
      </w:r>
      <w:r w:rsidR="00256AA8">
        <w:rPr>
          <w:rFonts w:hint="cs"/>
          <w:sz w:val="28"/>
          <w:rtl/>
        </w:rPr>
        <w:t>מפי התובע נמסר כי לא עלה בידי התביעה לאתר</w:t>
      </w:r>
      <w:r>
        <w:rPr>
          <w:rFonts w:hint="cs"/>
          <w:sz w:val="28"/>
          <w:rtl/>
        </w:rPr>
        <w:t>ה</w:t>
      </w:r>
      <w:r w:rsidR="00927FF4">
        <w:rPr>
          <w:rFonts w:ascii="David" w:hAnsi="David"/>
          <w:sz w:val="28"/>
          <w:rtl/>
        </w:rPr>
        <w:t>ּ</w:t>
      </w:r>
      <w:r>
        <w:rPr>
          <w:rFonts w:hint="cs"/>
          <w:sz w:val="28"/>
          <w:rtl/>
        </w:rPr>
        <w:t xml:space="preserve">. </w:t>
      </w:r>
      <w:r w:rsidR="00EC668E">
        <w:rPr>
          <w:rFonts w:hint="cs"/>
          <w:sz w:val="28"/>
          <w:rtl/>
        </w:rPr>
        <w:t xml:space="preserve">כידוע, </w:t>
      </w:r>
      <w:r w:rsidR="00232E56">
        <w:rPr>
          <w:rFonts w:hint="cs"/>
          <w:sz w:val="28"/>
          <w:rtl/>
        </w:rPr>
        <w:t>"</w:t>
      </w:r>
      <w:r w:rsidR="00232E56" w:rsidRPr="00232E56">
        <w:rPr>
          <w:sz w:val="28"/>
          <w:rtl/>
        </w:rPr>
        <w:t>שיקול דעתן של רשויות מערכת הביטחון בתחום כוח האדם, ובפרט כאשר מדובר בענייני פרוצדורה – הינו רחב במיוחד</w:t>
      </w:r>
      <w:r w:rsidR="00EC668E">
        <w:rPr>
          <w:rFonts w:hint="cs"/>
          <w:sz w:val="28"/>
          <w:rtl/>
        </w:rPr>
        <w:t>" (</w:t>
      </w:r>
      <w:r w:rsidR="00232E56" w:rsidRPr="00232E56">
        <w:rPr>
          <w:sz w:val="28"/>
          <w:rtl/>
        </w:rPr>
        <w:t xml:space="preserve">בג"ץ 1882/21 </w:t>
      </w:r>
      <w:r w:rsidR="00232E56" w:rsidRPr="00232E56">
        <w:rPr>
          <w:b/>
          <w:bCs/>
          <w:sz w:val="28"/>
          <w:rtl/>
        </w:rPr>
        <w:t>ווייס נ' שר הביטחון</w:t>
      </w:r>
      <w:r w:rsidR="00232E56">
        <w:rPr>
          <w:rFonts w:hint="cs"/>
          <w:sz w:val="28"/>
          <w:rtl/>
        </w:rPr>
        <w:t xml:space="preserve">, פסקה 15 </w:t>
      </w:r>
      <w:r w:rsidR="00232E56" w:rsidRPr="00232E56">
        <w:rPr>
          <w:sz w:val="28"/>
          <w:rtl/>
        </w:rPr>
        <w:t>(17.6.2021)</w:t>
      </w:r>
      <w:r w:rsidR="00EC668E">
        <w:rPr>
          <w:rFonts w:hint="cs"/>
          <w:sz w:val="28"/>
          <w:rtl/>
        </w:rPr>
        <w:t>).</w:t>
      </w:r>
      <w:r w:rsidR="00232E56">
        <w:rPr>
          <w:rFonts w:hint="cs"/>
          <w:sz w:val="28"/>
          <w:rtl/>
        </w:rPr>
        <w:t xml:space="preserve"> </w:t>
      </w:r>
      <w:r w:rsidR="00EC668E">
        <w:rPr>
          <w:rFonts w:hint="cs"/>
          <w:sz w:val="28"/>
          <w:rtl/>
        </w:rPr>
        <w:t xml:space="preserve">הנחיות פנימיות </w:t>
      </w:r>
      <w:r w:rsidR="00EC668E">
        <w:rPr>
          <w:sz w:val="28"/>
          <w:rtl/>
        </w:rPr>
        <w:t>–</w:t>
      </w:r>
      <w:r w:rsidR="00EC668E">
        <w:rPr>
          <w:rFonts w:hint="cs"/>
          <w:sz w:val="28"/>
          <w:rtl/>
        </w:rPr>
        <w:t xml:space="preserve"> וזהו מעמדו של פק"ל לשכות הגיוס </w:t>
      </w:r>
      <w:r w:rsidR="00EC668E">
        <w:rPr>
          <w:sz w:val="28"/>
          <w:rtl/>
        </w:rPr>
        <w:t>–</w:t>
      </w:r>
      <w:r w:rsidR="00EC668E">
        <w:rPr>
          <w:rFonts w:hint="cs"/>
          <w:sz w:val="28"/>
          <w:rtl/>
        </w:rPr>
        <w:t xml:space="preserve"> </w:t>
      </w:r>
      <w:r w:rsidR="00F85902">
        <w:rPr>
          <w:rFonts w:hint="cs"/>
          <w:sz w:val="28"/>
          <w:rtl/>
        </w:rPr>
        <w:t xml:space="preserve"> </w:t>
      </w:r>
      <w:r w:rsidR="00EC668E">
        <w:rPr>
          <w:rFonts w:hint="cs"/>
          <w:sz w:val="28"/>
          <w:rtl/>
        </w:rPr>
        <w:t xml:space="preserve">הן אמצעי </w:t>
      </w:r>
      <w:r w:rsidR="00F85902">
        <w:rPr>
          <w:rFonts w:hint="cs"/>
          <w:sz w:val="28"/>
          <w:rtl/>
        </w:rPr>
        <w:t xml:space="preserve">להבניית </w:t>
      </w:r>
      <w:r w:rsidR="00EC668E">
        <w:rPr>
          <w:rFonts w:hint="cs"/>
          <w:sz w:val="28"/>
          <w:rtl/>
        </w:rPr>
        <w:t>"</w:t>
      </w:r>
      <w:r w:rsidR="00F85902" w:rsidRPr="00F85902">
        <w:rPr>
          <w:sz w:val="28"/>
          <w:rtl/>
        </w:rPr>
        <w:t>אופן הפעלת שיקול הדעת על ידי הרשות, במטרה לוודא פעולה שוויונית ולא שרירותית</w:t>
      </w:r>
      <w:r w:rsidR="00F85902">
        <w:rPr>
          <w:rFonts w:hint="cs"/>
          <w:sz w:val="28"/>
          <w:rtl/>
        </w:rPr>
        <w:t xml:space="preserve">" </w:t>
      </w:r>
      <w:r w:rsidR="00004CBA">
        <w:rPr>
          <w:rFonts w:hint="cs"/>
          <w:sz w:val="28"/>
          <w:rtl/>
        </w:rPr>
        <w:t xml:space="preserve">(ע"מ 55/23 </w:t>
      </w:r>
      <w:r w:rsidR="00683848">
        <w:rPr>
          <w:rFonts w:hint="cs"/>
          <w:b/>
          <w:bCs/>
          <w:sz w:val="28"/>
          <w:rtl/>
        </w:rPr>
        <w:t>התובע הצבאי הראשי</w:t>
      </w:r>
      <w:r w:rsidR="00004CBA" w:rsidRPr="00F85902">
        <w:rPr>
          <w:rFonts w:hint="cs"/>
          <w:b/>
          <w:bCs/>
          <w:sz w:val="28"/>
          <w:rtl/>
        </w:rPr>
        <w:t xml:space="preserve"> נ' טור' </w:t>
      </w:r>
      <w:r w:rsidR="00927FF4">
        <w:rPr>
          <w:rFonts w:hint="cs"/>
          <w:b/>
          <w:bCs/>
          <w:sz w:val="28"/>
          <w:rtl/>
        </w:rPr>
        <w:t>בן הרוש</w:t>
      </w:r>
      <w:r w:rsidR="00F85902">
        <w:rPr>
          <w:rFonts w:hint="cs"/>
          <w:sz w:val="28"/>
          <w:rtl/>
        </w:rPr>
        <w:t>, פסקה 17</w:t>
      </w:r>
      <w:r w:rsidR="00004CBA">
        <w:rPr>
          <w:rFonts w:hint="cs"/>
          <w:sz w:val="28"/>
          <w:rtl/>
        </w:rPr>
        <w:t xml:space="preserve"> (2023)), </w:t>
      </w:r>
      <w:r w:rsidR="00EC668E" w:rsidRPr="00996867">
        <w:rPr>
          <w:rFonts w:hint="cs"/>
          <w:sz w:val="28"/>
          <w:rtl/>
        </w:rPr>
        <w:t xml:space="preserve">אך הן </w:t>
      </w:r>
      <w:r w:rsidR="00EC668E" w:rsidRPr="00996867">
        <w:rPr>
          <w:rFonts w:hint="cs"/>
          <w:b/>
          <w:bCs/>
          <w:sz w:val="28"/>
          <w:rtl/>
        </w:rPr>
        <w:t>אינן</w:t>
      </w:r>
      <w:r w:rsidR="00EC668E" w:rsidRPr="00996867">
        <w:rPr>
          <w:rFonts w:hint="cs"/>
          <w:sz w:val="28"/>
          <w:rtl/>
        </w:rPr>
        <w:t xml:space="preserve"> מקבעות את פעולת הרשות,</w:t>
      </w:r>
      <w:r>
        <w:rPr>
          <w:rFonts w:hint="cs"/>
          <w:sz w:val="28"/>
          <w:rtl/>
        </w:rPr>
        <w:t xml:space="preserve"> ו</w:t>
      </w:r>
      <w:r w:rsidR="00EC668E" w:rsidRPr="00996867">
        <w:rPr>
          <w:rFonts w:hint="cs"/>
          <w:sz w:val="28"/>
          <w:rtl/>
        </w:rPr>
        <w:t xml:space="preserve">מאפשרות </w:t>
      </w:r>
      <w:r w:rsidRPr="00996867">
        <w:rPr>
          <w:sz w:val="28"/>
          <w:rtl/>
        </w:rPr>
        <w:t xml:space="preserve">לסטות מההנחיות במקרים מיוחדים שבהם קמה הצדקה מתאימה לכך </w:t>
      </w:r>
      <w:r w:rsidR="00EC668E">
        <w:rPr>
          <w:rFonts w:hint="cs"/>
          <w:sz w:val="28"/>
          <w:rtl/>
        </w:rPr>
        <w:t xml:space="preserve">(עע"ם 6329/20 </w:t>
      </w:r>
      <w:r w:rsidR="00EC668E" w:rsidRPr="00996867">
        <w:rPr>
          <w:rFonts w:hint="cs"/>
          <w:b/>
          <w:bCs/>
          <w:sz w:val="28"/>
          <w:rtl/>
        </w:rPr>
        <w:t>זומר נ' הממונה על חופש המידע במשרד המשפטים</w:t>
      </w:r>
      <w:r>
        <w:rPr>
          <w:rFonts w:hint="cs"/>
          <w:sz w:val="28"/>
          <w:rtl/>
        </w:rPr>
        <w:t xml:space="preserve">, פסקאות 15-14 </w:t>
      </w:r>
      <w:r w:rsidR="00EC668E">
        <w:rPr>
          <w:rFonts w:hint="cs"/>
          <w:sz w:val="28"/>
          <w:rtl/>
        </w:rPr>
        <w:t xml:space="preserve">(6.7.2022)). </w:t>
      </w:r>
      <w:r>
        <w:rPr>
          <w:rFonts w:hint="cs"/>
          <w:sz w:val="28"/>
          <w:rtl/>
        </w:rPr>
        <w:t xml:space="preserve">זאת ועוד, </w:t>
      </w:r>
      <w:r w:rsidR="00EC668E">
        <w:rPr>
          <w:rFonts w:hint="cs"/>
          <w:sz w:val="28"/>
          <w:rtl/>
        </w:rPr>
        <w:t xml:space="preserve">"שינוי נסיבות וחלוף הזמן עשויים לחייב לעיתים את הרשות לערוך בחינה מחודשת של המדיניות" (בר"ם 1126/18 </w:t>
      </w:r>
      <w:r w:rsidR="00EC668E" w:rsidRPr="00996867">
        <w:rPr>
          <w:rFonts w:hint="cs"/>
          <w:b/>
          <w:bCs/>
          <w:sz w:val="28"/>
          <w:rtl/>
        </w:rPr>
        <w:t>זרגוזי נ' רשות האוכלוסין וההגירה משרד הפנים</w:t>
      </w:r>
      <w:r>
        <w:rPr>
          <w:rFonts w:hint="cs"/>
          <w:sz w:val="28"/>
          <w:rtl/>
        </w:rPr>
        <w:t>, פסקאות 63, 71-70</w:t>
      </w:r>
      <w:r w:rsidR="00EC668E">
        <w:rPr>
          <w:rFonts w:hint="cs"/>
          <w:sz w:val="28"/>
          <w:rtl/>
        </w:rPr>
        <w:t xml:space="preserve"> (30.9.2021)). </w:t>
      </w:r>
      <w:r>
        <w:rPr>
          <w:rFonts w:hint="cs"/>
          <w:sz w:val="28"/>
          <w:rtl/>
        </w:rPr>
        <w:t>נפסק,</w:t>
      </w:r>
      <w:r w:rsidR="00004CBA">
        <w:rPr>
          <w:rFonts w:hint="cs"/>
          <w:sz w:val="28"/>
          <w:rtl/>
        </w:rPr>
        <w:t xml:space="preserve"> כי כאשר הנחי</w:t>
      </w:r>
      <w:r w:rsidR="001A01F5">
        <w:rPr>
          <w:rFonts w:hint="cs"/>
          <w:sz w:val="28"/>
          <w:rtl/>
        </w:rPr>
        <w:t>ות</w:t>
      </w:r>
      <w:r w:rsidR="00004CBA">
        <w:rPr>
          <w:rFonts w:hint="cs"/>
          <w:sz w:val="28"/>
          <w:rtl/>
        </w:rPr>
        <w:t xml:space="preserve"> משפיע</w:t>
      </w:r>
      <w:r w:rsidR="001A01F5">
        <w:rPr>
          <w:rFonts w:hint="cs"/>
          <w:sz w:val="28"/>
          <w:rtl/>
        </w:rPr>
        <w:t>ות</w:t>
      </w:r>
      <w:r w:rsidR="00004CBA">
        <w:rPr>
          <w:rFonts w:hint="cs"/>
          <w:sz w:val="28"/>
          <w:rtl/>
        </w:rPr>
        <w:t xml:space="preserve"> באורח משמעותי על </w:t>
      </w:r>
      <w:r w:rsidR="001A01F5">
        <w:rPr>
          <w:rFonts w:hint="cs"/>
          <w:sz w:val="28"/>
          <w:rtl/>
        </w:rPr>
        <w:t>זכותו של הפרט,</w:t>
      </w:r>
      <w:r w:rsidR="00004CBA">
        <w:rPr>
          <w:rFonts w:hint="cs"/>
          <w:sz w:val="28"/>
          <w:rtl/>
        </w:rPr>
        <w:t xml:space="preserve"> על </w:t>
      </w:r>
      <w:r w:rsidR="00004CBA">
        <w:rPr>
          <w:rFonts w:hint="cs"/>
          <w:sz w:val="28"/>
          <w:rtl/>
        </w:rPr>
        <w:lastRenderedPageBreak/>
        <w:t xml:space="preserve">הרשות להציגן </w:t>
      </w:r>
      <w:r w:rsidR="001A01F5">
        <w:rPr>
          <w:rFonts w:hint="cs"/>
          <w:sz w:val="28"/>
          <w:rtl/>
        </w:rPr>
        <w:t xml:space="preserve">ולפרסמן </w:t>
      </w:r>
      <w:r w:rsidR="00004CBA">
        <w:rPr>
          <w:rFonts w:hint="cs"/>
          <w:sz w:val="28"/>
          <w:rtl/>
        </w:rPr>
        <w:t>(עע"ם 4614/05</w:t>
      </w:r>
      <w:r w:rsidR="001A01F5">
        <w:rPr>
          <w:rFonts w:hint="cs"/>
          <w:sz w:val="28"/>
          <w:rtl/>
        </w:rPr>
        <w:t>, 6626</w:t>
      </w:r>
      <w:r w:rsidR="00004CBA">
        <w:rPr>
          <w:rFonts w:hint="cs"/>
          <w:sz w:val="28"/>
          <w:rtl/>
        </w:rPr>
        <w:t xml:space="preserve"> </w:t>
      </w:r>
      <w:r w:rsidR="00004CBA" w:rsidRPr="001A01F5">
        <w:rPr>
          <w:rFonts w:hint="cs"/>
          <w:b/>
          <w:bCs/>
          <w:sz w:val="28"/>
          <w:rtl/>
        </w:rPr>
        <w:t>מדינת ישראל נ' אורן</w:t>
      </w:r>
      <w:r w:rsidR="001A01F5" w:rsidRPr="001A01F5">
        <w:rPr>
          <w:rFonts w:hint="cs"/>
          <w:b/>
          <w:bCs/>
          <w:sz w:val="28"/>
          <w:rtl/>
        </w:rPr>
        <w:t xml:space="preserve"> ואח'</w:t>
      </w:r>
      <w:r w:rsidR="001A01F5">
        <w:rPr>
          <w:rFonts w:hint="cs"/>
          <w:sz w:val="28"/>
          <w:rtl/>
        </w:rPr>
        <w:t xml:space="preserve">, פ"ד סא(1) 211, 257 </w:t>
      </w:r>
      <w:r w:rsidR="00004CBA">
        <w:rPr>
          <w:rFonts w:hint="cs"/>
          <w:sz w:val="28"/>
          <w:rtl/>
        </w:rPr>
        <w:t>(2006))</w:t>
      </w:r>
      <w:r w:rsidR="00C97EC1">
        <w:rPr>
          <w:rFonts w:hint="cs"/>
          <w:sz w:val="28"/>
          <w:rtl/>
        </w:rPr>
        <w:t>.</w:t>
      </w:r>
      <w:r w:rsidRPr="00996867">
        <w:rPr>
          <w:rtl/>
        </w:rPr>
        <w:t xml:space="preserve"> </w:t>
      </w:r>
    </w:p>
    <w:p w14:paraId="657D5DF8" w14:textId="77777777" w:rsidR="001F6B91" w:rsidRDefault="003C04BB" w:rsidP="00DB1AAC">
      <w:pPr>
        <w:spacing w:line="360" w:lineRule="auto"/>
        <w:ind w:left="-58"/>
        <w:contextualSpacing/>
        <w:jc w:val="both"/>
        <w:rPr>
          <w:sz w:val="28"/>
          <w:rtl/>
        </w:rPr>
      </w:pPr>
      <w:r>
        <w:rPr>
          <w:rFonts w:hint="cs"/>
          <w:sz w:val="28"/>
          <w:rtl/>
        </w:rPr>
        <w:t>16.</w:t>
      </w:r>
      <w:r w:rsidR="00004CBA">
        <w:rPr>
          <w:rFonts w:hint="cs"/>
          <w:sz w:val="28"/>
          <w:rtl/>
        </w:rPr>
        <w:t xml:space="preserve"> </w:t>
      </w:r>
      <w:r w:rsidR="00521BEF">
        <w:rPr>
          <w:rFonts w:hint="cs"/>
          <w:sz w:val="28"/>
          <w:rtl/>
        </w:rPr>
        <w:t>מן המקובץ</w:t>
      </w:r>
      <w:r w:rsidR="00004CBA">
        <w:rPr>
          <w:rFonts w:hint="cs"/>
          <w:sz w:val="28"/>
          <w:rtl/>
        </w:rPr>
        <w:t xml:space="preserve"> </w:t>
      </w:r>
      <w:r w:rsidR="002A2359">
        <w:rPr>
          <w:rFonts w:hint="cs"/>
          <w:sz w:val="28"/>
          <w:rtl/>
        </w:rPr>
        <w:t>עולה</w:t>
      </w:r>
      <w:r w:rsidR="00521BEF">
        <w:rPr>
          <w:rFonts w:hint="cs"/>
          <w:sz w:val="28"/>
          <w:rtl/>
        </w:rPr>
        <w:t>,</w:t>
      </w:r>
      <w:r w:rsidR="002A2359">
        <w:rPr>
          <w:rFonts w:hint="cs"/>
          <w:sz w:val="28"/>
          <w:rtl/>
        </w:rPr>
        <w:t xml:space="preserve"> כי </w:t>
      </w:r>
      <w:r w:rsidR="001A01F5" w:rsidRPr="00C97EC1">
        <w:rPr>
          <w:b/>
          <w:bCs/>
          <w:sz w:val="28"/>
          <w:rtl/>
        </w:rPr>
        <w:t>אין</w:t>
      </w:r>
      <w:r w:rsidR="001A01F5" w:rsidRPr="00004CBA">
        <w:rPr>
          <w:sz w:val="28"/>
          <w:rtl/>
        </w:rPr>
        <w:t xml:space="preserve"> </w:t>
      </w:r>
      <w:r w:rsidR="001A01F5">
        <w:rPr>
          <w:rFonts w:hint="cs"/>
          <w:sz w:val="28"/>
          <w:rtl/>
        </w:rPr>
        <w:t>בעדכונה ו</w:t>
      </w:r>
      <w:r w:rsidR="00004CBA" w:rsidRPr="00004CBA">
        <w:rPr>
          <w:sz w:val="28"/>
          <w:rtl/>
        </w:rPr>
        <w:t>באימוצה של מדיניות עדכנית</w:t>
      </w:r>
      <w:r w:rsidR="00B706E5">
        <w:rPr>
          <w:rFonts w:hint="cs"/>
          <w:sz w:val="28"/>
          <w:rtl/>
        </w:rPr>
        <w:t>, ביחס לפק"ל לשכות הגיוס הקיים, ובשים לב לצרכי השעה,</w:t>
      </w:r>
      <w:r w:rsidR="00004CBA" w:rsidRPr="00004CBA">
        <w:rPr>
          <w:sz w:val="28"/>
          <w:rtl/>
        </w:rPr>
        <w:t xml:space="preserve"> כדי לגרוע מחוקיות צו </w:t>
      </w:r>
      <w:r w:rsidR="00521BEF">
        <w:rPr>
          <w:rFonts w:hint="cs"/>
          <w:sz w:val="28"/>
          <w:rtl/>
        </w:rPr>
        <w:t xml:space="preserve">הקריאה לשירות בטחון לפי סעיף 12 </w:t>
      </w:r>
      <w:r w:rsidR="00004CBA" w:rsidRPr="00004CBA">
        <w:rPr>
          <w:sz w:val="28"/>
          <w:rtl/>
        </w:rPr>
        <w:t>שהוצא למשי</w:t>
      </w:r>
      <w:r w:rsidR="001A01F5">
        <w:rPr>
          <w:rFonts w:hint="cs"/>
          <w:sz w:val="28"/>
          <w:rtl/>
        </w:rPr>
        <w:t>ב</w:t>
      </w:r>
      <w:r w:rsidR="00004CBA">
        <w:rPr>
          <w:rFonts w:hint="cs"/>
          <w:sz w:val="28"/>
          <w:rtl/>
        </w:rPr>
        <w:t xml:space="preserve"> (</w:t>
      </w:r>
      <w:r w:rsidR="00683848">
        <w:rPr>
          <w:rFonts w:hint="cs"/>
          <w:sz w:val="28"/>
          <w:rtl/>
        </w:rPr>
        <w:t>עניין</w:t>
      </w:r>
      <w:r w:rsidRPr="00C97EC1">
        <w:rPr>
          <w:rFonts w:hint="cs"/>
          <w:b/>
          <w:bCs/>
          <w:sz w:val="28"/>
          <w:rtl/>
        </w:rPr>
        <w:t xml:space="preserve"> קצנטיני</w:t>
      </w:r>
      <w:r w:rsidR="00B706E5" w:rsidRPr="00683848">
        <w:rPr>
          <w:rFonts w:hint="cs"/>
          <w:sz w:val="28"/>
          <w:rtl/>
        </w:rPr>
        <w:t xml:space="preserve"> </w:t>
      </w:r>
      <w:r w:rsidR="00683848">
        <w:rPr>
          <w:rFonts w:hint="cs"/>
          <w:sz w:val="28"/>
          <w:rtl/>
        </w:rPr>
        <w:t>לעיל</w:t>
      </w:r>
      <w:r>
        <w:rPr>
          <w:rFonts w:hint="cs"/>
          <w:sz w:val="28"/>
          <w:rtl/>
        </w:rPr>
        <w:t xml:space="preserve">, </w:t>
      </w:r>
      <w:r w:rsidR="00683848">
        <w:rPr>
          <w:rFonts w:hint="cs"/>
          <w:sz w:val="28"/>
          <w:rtl/>
        </w:rPr>
        <w:t>ב</w:t>
      </w:r>
      <w:r>
        <w:rPr>
          <w:rFonts w:hint="cs"/>
          <w:sz w:val="28"/>
          <w:rtl/>
        </w:rPr>
        <w:t>פסקה 11)</w:t>
      </w:r>
      <w:r w:rsidR="00004CBA" w:rsidRPr="00004CBA">
        <w:rPr>
          <w:sz w:val="28"/>
          <w:rtl/>
        </w:rPr>
        <w:t>.</w:t>
      </w:r>
      <w:r w:rsidR="002A2359">
        <w:rPr>
          <w:rFonts w:hint="cs"/>
          <w:sz w:val="28"/>
          <w:rtl/>
        </w:rPr>
        <w:t xml:space="preserve"> ה</w:t>
      </w:r>
      <w:r w:rsidRPr="00C97EC1">
        <w:rPr>
          <w:sz w:val="28"/>
          <w:rtl/>
        </w:rPr>
        <w:t xml:space="preserve">מסמך בחתימת סגנית מפקד מיטב לגיוס סא"ל טגניה, מבסס את </w:t>
      </w:r>
      <w:r w:rsidR="00521BEF">
        <w:rPr>
          <w:rFonts w:hint="cs"/>
          <w:sz w:val="28"/>
          <w:rtl/>
        </w:rPr>
        <w:t>חזקת התקינות המנהלית</w:t>
      </w:r>
      <w:r w:rsidRPr="00C97EC1">
        <w:rPr>
          <w:sz w:val="28"/>
          <w:rtl/>
        </w:rPr>
        <w:t xml:space="preserve"> </w:t>
      </w:r>
      <w:r w:rsidR="00B706E5">
        <w:rPr>
          <w:rFonts w:hint="cs"/>
          <w:sz w:val="28"/>
          <w:rtl/>
        </w:rPr>
        <w:t xml:space="preserve">בדבר קיומה של </w:t>
      </w:r>
      <w:r w:rsidRPr="00C97EC1">
        <w:rPr>
          <w:sz w:val="28"/>
          <w:rtl/>
        </w:rPr>
        <w:t xml:space="preserve">מדיניות אחידה וסדורה גם ביחס לאוכלוסיית </w:t>
      </w:r>
      <w:r w:rsidR="0025604E">
        <w:rPr>
          <w:rFonts w:hint="cs"/>
          <w:sz w:val="28"/>
          <w:rtl/>
        </w:rPr>
        <w:t>המועמדים לשירות ביטחון ש</w:t>
      </w:r>
      <w:r w:rsidRPr="00C97EC1">
        <w:rPr>
          <w:sz w:val="28"/>
          <w:rtl/>
        </w:rPr>
        <w:t>בוטל</w:t>
      </w:r>
      <w:r w:rsidR="0025604E">
        <w:rPr>
          <w:rFonts w:hint="cs"/>
          <w:sz w:val="28"/>
          <w:rtl/>
        </w:rPr>
        <w:t xml:space="preserve"> בעניינם</w:t>
      </w:r>
      <w:r w:rsidRPr="00C97EC1">
        <w:rPr>
          <w:sz w:val="28"/>
          <w:rtl/>
        </w:rPr>
        <w:t xml:space="preserve"> מעמד "תורתו אומנותו" לאחר </w:t>
      </w:r>
      <w:r w:rsidR="0025604E">
        <w:rPr>
          <w:rFonts w:hint="cs"/>
          <w:sz w:val="28"/>
          <w:rtl/>
        </w:rPr>
        <w:t xml:space="preserve">פקיעת </w:t>
      </w:r>
      <w:r w:rsidRPr="00C97EC1">
        <w:rPr>
          <w:sz w:val="28"/>
          <w:rtl/>
        </w:rPr>
        <w:t>פרק ג'1 לחוק</w:t>
      </w:r>
      <w:r w:rsidR="00521BEF">
        <w:rPr>
          <w:rFonts w:hint="cs"/>
          <w:sz w:val="28"/>
          <w:rtl/>
        </w:rPr>
        <w:t xml:space="preserve">. מכל מקום, </w:t>
      </w:r>
      <w:r w:rsidR="002A2359" w:rsidRPr="00C97EC1">
        <w:rPr>
          <w:rFonts w:hint="cs"/>
          <w:b/>
          <w:bCs/>
          <w:sz w:val="28"/>
          <w:rtl/>
        </w:rPr>
        <w:t>ראוי היה כי המדיניות העדכנית תוצג</w:t>
      </w:r>
      <w:r w:rsidR="001A01F5">
        <w:rPr>
          <w:rFonts w:hint="cs"/>
          <w:sz w:val="28"/>
          <w:rtl/>
        </w:rPr>
        <w:t xml:space="preserve">. </w:t>
      </w:r>
      <w:r w:rsidR="002A2359" w:rsidRPr="00543CC7">
        <w:rPr>
          <w:rFonts w:hint="cs"/>
          <w:b/>
          <w:bCs/>
          <w:sz w:val="28"/>
          <w:u w:val="single"/>
          <w:rtl/>
        </w:rPr>
        <w:t>חזקה על גורמי התביעה הצבאית כי יתנו דעתם לכך</w:t>
      </w:r>
      <w:r w:rsidR="001A01F5" w:rsidRPr="00543CC7">
        <w:rPr>
          <w:rFonts w:hint="cs"/>
          <w:b/>
          <w:bCs/>
          <w:sz w:val="28"/>
          <w:u w:val="single"/>
          <w:rtl/>
        </w:rPr>
        <w:t xml:space="preserve"> וייערכו בהתאם</w:t>
      </w:r>
      <w:r w:rsidR="002A2359">
        <w:rPr>
          <w:rFonts w:hint="cs"/>
          <w:sz w:val="28"/>
          <w:rtl/>
        </w:rPr>
        <w:t xml:space="preserve">. </w:t>
      </w:r>
    </w:p>
    <w:p w14:paraId="37593008" w14:textId="77777777" w:rsidR="00D70000" w:rsidRPr="00D70000" w:rsidRDefault="00D70000" w:rsidP="00DB1AAC">
      <w:pPr>
        <w:spacing w:line="360" w:lineRule="auto"/>
        <w:ind w:left="-58"/>
        <w:contextualSpacing/>
        <w:jc w:val="both"/>
        <w:rPr>
          <w:sz w:val="8"/>
          <w:szCs w:val="8"/>
          <w:rtl/>
        </w:rPr>
      </w:pPr>
    </w:p>
    <w:p w14:paraId="158AD687" w14:textId="77777777" w:rsidR="00C97EC1" w:rsidRPr="00C97EC1" w:rsidRDefault="003C04BB" w:rsidP="00DB1AAC">
      <w:pPr>
        <w:pStyle w:val="Heading2"/>
        <w:rPr>
          <w:rtl/>
        </w:rPr>
      </w:pPr>
      <w:r w:rsidRPr="00C97EC1">
        <w:rPr>
          <w:rFonts w:hint="cs"/>
          <w:rtl/>
        </w:rPr>
        <w:t>שיקול דעת פרטני</w:t>
      </w:r>
    </w:p>
    <w:p w14:paraId="0A54ADF2" w14:textId="194DCFBD" w:rsidR="00FE75FE" w:rsidRDefault="003C04BB" w:rsidP="001113A7">
      <w:pPr>
        <w:spacing w:line="360" w:lineRule="auto"/>
        <w:ind w:left="-58"/>
        <w:contextualSpacing/>
        <w:jc w:val="both"/>
        <w:rPr>
          <w:sz w:val="28"/>
          <w:rtl/>
        </w:rPr>
      </w:pPr>
      <w:r>
        <w:rPr>
          <w:rFonts w:hint="cs"/>
          <w:sz w:val="28"/>
          <w:rtl/>
        </w:rPr>
        <w:t>17</w:t>
      </w:r>
      <w:r w:rsidR="00044468">
        <w:rPr>
          <w:rFonts w:hint="cs"/>
          <w:sz w:val="28"/>
          <w:rtl/>
        </w:rPr>
        <w:t xml:space="preserve">. מוקשית יותר בראי הדין היא </w:t>
      </w:r>
      <w:r w:rsidR="00044468" w:rsidRPr="00044468">
        <w:rPr>
          <w:rFonts w:hint="cs"/>
          <w:b/>
          <w:bCs/>
          <w:sz w:val="28"/>
          <w:rtl/>
        </w:rPr>
        <w:t xml:space="preserve">סוגיית </w:t>
      </w:r>
      <w:r w:rsidR="001113A7">
        <w:rPr>
          <w:rFonts w:hint="cs"/>
          <w:b/>
          <w:bCs/>
          <w:sz w:val="28"/>
          <w:rtl/>
        </w:rPr>
        <w:t xml:space="preserve">הפעלתו של </w:t>
      </w:r>
      <w:r w:rsidR="00044468" w:rsidRPr="00044468">
        <w:rPr>
          <w:rFonts w:hint="cs"/>
          <w:b/>
          <w:bCs/>
          <w:sz w:val="28"/>
          <w:rtl/>
        </w:rPr>
        <w:t>שיקול דעת פרטני</w:t>
      </w:r>
      <w:r w:rsidR="00556E92">
        <w:rPr>
          <w:rFonts w:hint="cs"/>
          <w:sz w:val="28"/>
          <w:rtl/>
        </w:rPr>
        <w:t xml:space="preserve"> בנסיבותיו של מקרה זה. </w:t>
      </w:r>
      <w:r w:rsidR="00DB1AAC">
        <w:rPr>
          <w:rFonts w:hint="cs"/>
          <w:sz w:val="28"/>
          <w:rtl/>
        </w:rPr>
        <w:t>במכתבה של סא"ל טגניה נכתב אמנם כי היא "מאשרת בזאת, הכרזת צו גיוס מתוקף סעיף 12 לחש"ב, לכלל המלש"בים אשר עמדו בתנאים לעיל, בין אם אותרו ע"י לשכת הגיוס ובין אם לאו", אולם "מבלי שנעשה ניסיון ממשי לאתרם, ומבלי שהופעל שיקול דעת פרטני לגבי כל אחד מהם", אין ניתן לומר כי מכתב זה עונה לדרישות הדין (</w:t>
      </w:r>
      <w:r w:rsidR="00543CC7">
        <w:rPr>
          <w:rFonts w:hint="cs"/>
          <w:sz w:val="28"/>
          <w:rtl/>
        </w:rPr>
        <w:t>עניין</w:t>
      </w:r>
      <w:r w:rsidR="00DB1AAC" w:rsidRPr="00DB1AAC">
        <w:rPr>
          <w:rFonts w:hint="cs"/>
          <w:b/>
          <w:bCs/>
          <w:sz w:val="28"/>
          <w:rtl/>
        </w:rPr>
        <w:t xml:space="preserve"> עאיק </w:t>
      </w:r>
      <w:r w:rsidR="00543CC7" w:rsidRPr="00543CC7">
        <w:rPr>
          <w:rFonts w:hint="cs"/>
          <w:sz w:val="28"/>
          <w:rtl/>
        </w:rPr>
        <w:t>לעיל</w:t>
      </w:r>
      <w:r w:rsidR="00DB1AAC">
        <w:rPr>
          <w:rFonts w:hint="cs"/>
          <w:sz w:val="28"/>
          <w:rtl/>
        </w:rPr>
        <w:t xml:space="preserve">, </w:t>
      </w:r>
      <w:r w:rsidR="00543CC7">
        <w:rPr>
          <w:rFonts w:hint="cs"/>
          <w:sz w:val="28"/>
          <w:rtl/>
        </w:rPr>
        <w:t>ב</w:t>
      </w:r>
      <w:r w:rsidR="00DB1AAC">
        <w:rPr>
          <w:rFonts w:hint="cs"/>
          <w:sz w:val="28"/>
          <w:rtl/>
        </w:rPr>
        <w:t>פסקה 7). ביום 12.10.2026</w:t>
      </w:r>
      <w:r w:rsidR="001113A7">
        <w:rPr>
          <w:rFonts w:hint="cs"/>
          <w:sz w:val="28"/>
          <w:rtl/>
        </w:rPr>
        <w:t>, שבוע ימים לאחר הגשתו של כתב האישום, ו</w:t>
      </w:r>
      <w:r w:rsidR="00DB1AAC">
        <w:rPr>
          <w:rFonts w:hint="cs"/>
          <w:sz w:val="28"/>
          <w:rtl/>
        </w:rPr>
        <w:t>בעקבות פניית</w:t>
      </w:r>
      <w:r w:rsidR="001113A7">
        <w:rPr>
          <w:rFonts w:hint="cs"/>
          <w:sz w:val="28"/>
          <w:rtl/>
        </w:rPr>
        <w:t>ה</w:t>
      </w:r>
      <w:r w:rsidR="00DB1AAC">
        <w:rPr>
          <w:rFonts w:hint="cs"/>
          <w:sz w:val="28"/>
          <w:rtl/>
        </w:rPr>
        <w:t xml:space="preserve"> </w:t>
      </w:r>
      <w:r w:rsidR="001113A7">
        <w:rPr>
          <w:rFonts w:hint="cs"/>
          <w:sz w:val="28"/>
          <w:rtl/>
        </w:rPr>
        <w:t>של התביעה ל</w:t>
      </w:r>
      <w:r w:rsidR="00992610">
        <w:rPr>
          <w:rFonts w:hint="cs"/>
          <w:sz w:val="28"/>
          <w:rtl/>
        </w:rPr>
        <w:t xml:space="preserve">לשכת הגיוס </w:t>
      </w:r>
      <w:r w:rsidR="001113A7">
        <w:rPr>
          <w:rFonts w:hint="cs"/>
          <w:sz w:val="28"/>
          <w:rtl/>
        </w:rPr>
        <w:t xml:space="preserve">שעסקה </w:t>
      </w:r>
      <w:r w:rsidR="00992610">
        <w:rPr>
          <w:rFonts w:hint="cs"/>
          <w:sz w:val="28"/>
          <w:rtl/>
        </w:rPr>
        <w:t>בעניינו של המשיב</w:t>
      </w:r>
      <w:r w:rsidR="00DB1AAC">
        <w:rPr>
          <w:rFonts w:hint="cs"/>
          <w:sz w:val="28"/>
          <w:rtl/>
        </w:rPr>
        <w:t xml:space="preserve">, התקבלה התייחסות </w:t>
      </w:r>
      <w:r w:rsidR="001113A7">
        <w:rPr>
          <w:rFonts w:hint="cs"/>
          <w:sz w:val="28"/>
          <w:rtl/>
        </w:rPr>
        <w:t xml:space="preserve">סגנית מפקד הלשכה, </w:t>
      </w:r>
      <w:r w:rsidR="00B53442">
        <w:rPr>
          <w:rFonts w:hint="cs"/>
          <w:sz w:val="28"/>
          <w:rtl/>
        </w:rPr>
        <w:t xml:space="preserve">רס"ן ורון, </w:t>
      </w:r>
      <w:r w:rsidR="00992610">
        <w:rPr>
          <w:rFonts w:hint="cs"/>
          <w:sz w:val="28"/>
          <w:rtl/>
        </w:rPr>
        <w:t xml:space="preserve">שבה נכתב, </w:t>
      </w:r>
      <w:r w:rsidR="00DB1AAC">
        <w:rPr>
          <w:rFonts w:hint="cs"/>
          <w:sz w:val="28"/>
          <w:rtl/>
        </w:rPr>
        <w:t xml:space="preserve">כי </w:t>
      </w:r>
      <w:r w:rsidR="00992610">
        <w:rPr>
          <w:rFonts w:hint="cs"/>
          <w:sz w:val="28"/>
          <w:rtl/>
        </w:rPr>
        <w:t>בעקבות אי התייצבות</w:t>
      </w:r>
      <w:r w:rsidR="001113A7">
        <w:rPr>
          <w:rFonts w:hint="cs"/>
          <w:sz w:val="28"/>
          <w:rtl/>
        </w:rPr>
        <w:t>ו של</w:t>
      </w:r>
      <w:r w:rsidR="00992610">
        <w:rPr>
          <w:rFonts w:hint="cs"/>
          <w:sz w:val="28"/>
          <w:rtl/>
        </w:rPr>
        <w:t xml:space="preserve"> המשיב לזימונים</w:t>
      </w:r>
      <w:r w:rsidR="001113A7">
        <w:rPr>
          <w:rFonts w:hint="cs"/>
          <w:sz w:val="28"/>
          <w:rtl/>
        </w:rPr>
        <w:t xml:space="preserve"> </w:t>
      </w:r>
      <w:r w:rsidR="00992610">
        <w:rPr>
          <w:rFonts w:hint="cs"/>
          <w:sz w:val="28"/>
          <w:rtl/>
        </w:rPr>
        <w:t>"הועלה אליי המלש"ב לבחינה לצורך העלאה לחוסר שת"פ"</w:t>
      </w:r>
      <w:r w:rsidR="001113A7">
        <w:rPr>
          <w:rFonts w:hint="cs"/>
          <w:sz w:val="28"/>
          <w:rtl/>
        </w:rPr>
        <w:t xml:space="preserve">. </w:t>
      </w:r>
      <w:r w:rsidR="00992610">
        <w:rPr>
          <w:rFonts w:hint="cs"/>
          <w:sz w:val="28"/>
          <w:rtl/>
        </w:rPr>
        <w:t>בהמשך לכך כתבה ש</w:t>
      </w:r>
      <w:r w:rsidR="001113A7">
        <w:rPr>
          <w:rFonts w:hint="cs"/>
          <w:sz w:val="28"/>
          <w:rtl/>
        </w:rPr>
        <w:t xml:space="preserve">עניינו של </w:t>
      </w:r>
      <w:r w:rsidR="00992610">
        <w:rPr>
          <w:rFonts w:hint="cs"/>
          <w:sz w:val="28"/>
          <w:rtl/>
        </w:rPr>
        <w:t>המשיב הועלה כחלק מקבוצה שנבדקה, ולאחר שהיא בחנה את הזימונים, האינדיקציות והנתונים, החליטה לאשרו למעמד של "חוסר שת"פ" למשך 30 ימים כנדרש</w:t>
      </w:r>
      <w:r w:rsidR="00B53442">
        <w:rPr>
          <w:rFonts w:hint="cs"/>
          <w:sz w:val="28"/>
          <w:rtl/>
        </w:rPr>
        <w:t>. אף שציינה כי א</w:t>
      </w:r>
      <w:r w:rsidR="003F5789">
        <w:rPr>
          <w:rFonts w:hint="cs"/>
          <w:sz w:val="28"/>
          <w:rtl/>
        </w:rPr>
        <w:t>ושר</w:t>
      </w:r>
      <w:r w:rsidR="00B53442">
        <w:rPr>
          <w:rFonts w:hint="cs"/>
          <w:sz w:val="28"/>
          <w:rtl/>
        </w:rPr>
        <w:t>ה אורכ</w:t>
      </w:r>
      <w:r w:rsidR="003F5789">
        <w:rPr>
          <w:rFonts w:hint="cs"/>
          <w:sz w:val="28"/>
          <w:rtl/>
        </w:rPr>
        <w:t>ה</w:t>
      </w:r>
      <w:r w:rsidR="00B53442">
        <w:rPr>
          <w:rFonts w:hint="cs"/>
          <w:sz w:val="28"/>
          <w:rtl/>
        </w:rPr>
        <w:t xml:space="preserve"> במערכת המתוקשבת, </w:t>
      </w:r>
      <w:r w:rsidR="00521BEF">
        <w:rPr>
          <w:rFonts w:hint="cs"/>
          <w:sz w:val="28"/>
          <w:rtl/>
        </w:rPr>
        <w:t xml:space="preserve">אישור זה </w:t>
      </w:r>
      <w:r w:rsidR="00521BEF">
        <w:rPr>
          <w:rFonts w:hint="cs"/>
          <w:b/>
          <w:bCs/>
          <w:sz w:val="28"/>
          <w:rtl/>
        </w:rPr>
        <w:t xml:space="preserve">אינו בנמצא </w:t>
      </w:r>
      <w:r w:rsidR="00521BEF" w:rsidRPr="00521BEF">
        <w:rPr>
          <w:rFonts w:hint="cs"/>
          <w:sz w:val="28"/>
          <w:rtl/>
        </w:rPr>
        <w:t>ו</w:t>
      </w:r>
      <w:r w:rsidR="00992610" w:rsidRPr="00521BEF">
        <w:rPr>
          <w:rFonts w:hint="cs"/>
          <w:sz w:val="28"/>
          <w:rtl/>
        </w:rPr>
        <w:t>לא הוצג</w:t>
      </w:r>
      <w:r w:rsidR="00992610">
        <w:rPr>
          <w:rFonts w:hint="cs"/>
          <w:sz w:val="28"/>
          <w:rtl/>
        </w:rPr>
        <w:t>.</w:t>
      </w:r>
      <w:r w:rsidR="00B53442">
        <w:rPr>
          <w:rFonts w:hint="cs"/>
          <w:sz w:val="28"/>
          <w:rtl/>
        </w:rPr>
        <w:t xml:space="preserve"> </w:t>
      </w:r>
      <w:r w:rsidR="00992610">
        <w:rPr>
          <w:rFonts w:hint="cs"/>
          <w:sz w:val="28"/>
          <w:rtl/>
        </w:rPr>
        <w:t xml:space="preserve">בהודעה נוספת הבהירה רס"ן ורון כי "העלאה לצו 12" נעשתה בשיקול דעת פוקד </w:t>
      </w:r>
      <w:r w:rsidR="00992610">
        <w:rPr>
          <w:sz w:val="28"/>
          <w:rtl/>
        </w:rPr>
        <w:t>–</w:t>
      </w:r>
      <w:r w:rsidR="00992610">
        <w:rPr>
          <w:rFonts w:hint="cs"/>
          <w:sz w:val="28"/>
          <w:rtl/>
        </w:rPr>
        <w:t xml:space="preserve"> על ידי בחינתה שלה, וכי אין תיעוד </w:t>
      </w:r>
      <w:r w:rsidR="000842A7">
        <w:rPr>
          <w:rFonts w:hint="cs"/>
          <w:sz w:val="28"/>
          <w:rtl/>
        </w:rPr>
        <w:t xml:space="preserve">במערכת </w:t>
      </w:r>
      <w:r w:rsidR="00992610">
        <w:rPr>
          <w:rFonts w:hint="cs"/>
          <w:sz w:val="28"/>
          <w:rtl/>
        </w:rPr>
        <w:t xml:space="preserve">להפעלת שיקול הדעת הפרטני האמור "לאור שינוי במערכות המידע בעניין הכרזות המשתמטים". </w:t>
      </w:r>
    </w:p>
    <w:p w14:paraId="6DA1D987" w14:textId="77777777" w:rsidR="008C3295" w:rsidRDefault="003C04BB" w:rsidP="00556E92">
      <w:pPr>
        <w:spacing w:line="360" w:lineRule="auto"/>
        <w:ind w:left="-58"/>
        <w:contextualSpacing/>
        <w:jc w:val="both"/>
        <w:rPr>
          <w:sz w:val="28"/>
          <w:rtl/>
        </w:rPr>
      </w:pPr>
      <w:r>
        <w:rPr>
          <w:rFonts w:hint="cs"/>
          <w:sz w:val="28"/>
          <w:rtl/>
        </w:rPr>
        <w:t xml:space="preserve">18. </w:t>
      </w:r>
      <w:r w:rsidR="00992610">
        <w:rPr>
          <w:rFonts w:hint="cs"/>
          <w:sz w:val="28"/>
          <w:rtl/>
        </w:rPr>
        <w:t xml:space="preserve">חרף הפערים המסוימים בחומר הראיות והעובדה כי אין המדובר </w:t>
      </w:r>
      <w:r w:rsidR="00992610" w:rsidRPr="00992610">
        <w:rPr>
          <w:rFonts w:hint="cs"/>
          <w:b/>
          <w:bCs/>
          <w:sz w:val="28"/>
          <w:rtl/>
        </w:rPr>
        <w:t xml:space="preserve">באישור </w:t>
      </w:r>
      <w:r>
        <w:rPr>
          <w:rFonts w:hint="cs"/>
          <w:b/>
          <w:bCs/>
          <w:sz w:val="28"/>
          <w:rtl/>
        </w:rPr>
        <w:t>מערכת מזמן אמת אלא בדיעבד</w:t>
      </w:r>
      <w:r w:rsidR="00992610">
        <w:rPr>
          <w:rFonts w:hint="cs"/>
          <w:sz w:val="28"/>
          <w:rtl/>
        </w:rPr>
        <w:t xml:space="preserve">, </w:t>
      </w:r>
      <w:r w:rsidR="00726E06">
        <w:rPr>
          <w:rFonts w:hint="cs"/>
          <w:sz w:val="28"/>
          <w:rtl/>
        </w:rPr>
        <w:t>הרי ש</w:t>
      </w:r>
      <w:r w:rsidR="00992610">
        <w:rPr>
          <w:rFonts w:hint="cs"/>
          <w:sz w:val="28"/>
          <w:rtl/>
        </w:rPr>
        <w:t xml:space="preserve">אלמלא </w:t>
      </w:r>
      <w:r w:rsidR="00992610" w:rsidRPr="00FE75FE">
        <w:rPr>
          <w:rFonts w:hint="cs"/>
          <w:b/>
          <w:bCs/>
          <w:sz w:val="28"/>
          <w:rtl/>
        </w:rPr>
        <w:t>הזימונים המאוחרים</w:t>
      </w:r>
      <w:r w:rsidR="00992610">
        <w:rPr>
          <w:rFonts w:hint="cs"/>
          <w:sz w:val="28"/>
          <w:rtl/>
        </w:rPr>
        <w:t xml:space="preserve"> שעליהם אעמוד להלן, די </w:t>
      </w:r>
      <w:r>
        <w:rPr>
          <w:rFonts w:hint="cs"/>
          <w:sz w:val="28"/>
          <w:rtl/>
        </w:rPr>
        <w:t>היה</w:t>
      </w:r>
      <w:r w:rsidR="00726E06">
        <w:rPr>
          <w:rFonts w:hint="cs"/>
          <w:sz w:val="28"/>
          <w:rtl/>
        </w:rPr>
        <w:t xml:space="preserve"> בהודעותיה של רס"ן ורון, בשלב דיוני של ראיות לכאורה,</w:t>
      </w:r>
      <w:r>
        <w:rPr>
          <w:rFonts w:hint="cs"/>
          <w:sz w:val="28"/>
          <w:rtl/>
        </w:rPr>
        <w:t xml:space="preserve"> כדי למלא אחר דרישת שיקול הדעת הפרטני,</w:t>
      </w:r>
      <w:r w:rsidR="00992610">
        <w:rPr>
          <w:rFonts w:hint="cs"/>
          <w:sz w:val="28"/>
          <w:rtl/>
        </w:rPr>
        <w:t xml:space="preserve"> זאת </w:t>
      </w:r>
      <w:r w:rsidR="000F213D">
        <w:rPr>
          <w:rFonts w:hint="cs"/>
          <w:sz w:val="28"/>
          <w:rtl/>
        </w:rPr>
        <w:t>לאור חזקת התקינות המנהלית</w:t>
      </w:r>
      <w:r w:rsidR="000842A7">
        <w:rPr>
          <w:rFonts w:hint="cs"/>
          <w:sz w:val="28"/>
          <w:rtl/>
        </w:rPr>
        <w:t>,</w:t>
      </w:r>
      <w:r w:rsidR="000F213D">
        <w:rPr>
          <w:rFonts w:hint="cs"/>
          <w:sz w:val="28"/>
          <w:rtl/>
        </w:rPr>
        <w:t xml:space="preserve"> הנתמכת ב</w:t>
      </w:r>
      <w:r>
        <w:rPr>
          <w:rFonts w:hint="cs"/>
          <w:sz w:val="28"/>
          <w:rtl/>
        </w:rPr>
        <w:t xml:space="preserve">תיעוד ממערכת לשכת הגיוס </w:t>
      </w:r>
      <w:r w:rsidR="00992610">
        <w:rPr>
          <w:rFonts w:hint="cs"/>
          <w:sz w:val="28"/>
          <w:rtl/>
        </w:rPr>
        <w:t>בנוגע ל</w:t>
      </w:r>
      <w:r>
        <w:rPr>
          <w:rFonts w:hint="cs"/>
          <w:sz w:val="28"/>
          <w:rtl/>
        </w:rPr>
        <w:t xml:space="preserve">המלצה על </w:t>
      </w:r>
      <w:r w:rsidR="00992610">
        <w:rPr>
          <w:rFonts w:hint="cs"/>
          <w:sz w:val="28"/>
          <w:rtl/>
        </w:rPr>
        <w:t>הכרזת ההשתמטות</w:t>
      </w:r>
      <w:r w:rsidR="00726E06">
        <w:rPr>
          <w:rFonts w:hint="cs"/>
          <w:sz w:val="28"/>
          <w:rtl/>
        </w:rPr>
        <w:t xml:space="preserve"> </w:t>
      </w:r>
      <w:r>
        <w:rPr>
          <w:rFonts w:hint="cs"/>
          <w:sz w:val="28"/>
          <w:rtl/>
        </w:rPr>
        <w:t xml:space="preserve">ובו, בין היתר, פרטי </w:t>
      </w:r>
      <w:r w:rsidR="00992610">
        <w:rPr>
          <w:rFonts w:hint="cs"/>
          <w:sz w:val="28"/>
          <w:rtl/>
        </w:rPr>
        <w:t>השתלשלות תואמ</w:t>
      </w:r>
      <w:r>
        <w:rPr>
          <w:rFonts w:hint="cs"/>
          <w:sz w:val="28"/>
          <w:rtl/>
        </w:rPr>
        <w:t>ים, בנוגע לחוסר שיתוף הפעולה של המשיב</w:t>
      </w:r>
      <w:r w:rsidR="000F213D">
        <w:rPr>
          <w:rFonts w:hint="cs"/>
          <w:sz w:val="28"/>
          <w:rtl/>
        </w:rPr>
        <w:t xml:space="preserve"> (ראו, בדומה, </w:t>
      </w:r>
      <w:r>
        <w:rPr>
          <w:rFonts w:hint="cs"/>
          <w:sz w:val="28"/>
          <w:rtl/>
        </w:rPr>
        <w:t xml:space="preserve">ע"מ 43/16 </w:t>
      </w:r>
      <w:r w:rsidRPr="00FE75FE">
        <w:rPr>
          <w:rFonts w:hint="cs"/>
          <w:b/>
          <w:bCs/>
          <w:sz w:val="28"/>
          <w:rtl/>
        </w:rPr>
        <w:t xml:space="preserve">טור' קליינבוק נ' </w:t>
      </w:r>
      <w:r w:rsidR="000F213D">
        <w:rPr>
          <w:rFonts w:hint="cs"/>
          <w:b/>
          <w:bCs/>
          <w:sz w:val="28"/>
          <w:rtl/>
        </w:rPr>
        <w:t>התובע הצבאי הראשי</w:t>
      </w:r>
      <w:r>
        <w:rPr>
          <w:rFonts w:hint="cs"/>
          <w:sz w:val="28"/>
          <w:rtl/>
        </w:rPr>
        <w:t xml:space="preserve">, פסקאות 13-12 (2016)). </w:t>
      </w:r>
    </w:p>
    <w:p w14:paraId="75230E38" w14:textId="77777777" w:rsidR="00172187" w:rsidRDefault="003C04BB" w:rsidP="00556E92">
      <w:pPr>
        <w:spacing w:line="360" w:lineRule="auto"/>
        <w:ind w:left="-58"/>
        <w:contextualSpacing/>
        <w:jc w:val="both"/>
        <w:rPr>
          <w:sz w:val="28"/>
          <w:rtl/>
        </w:rPr>
      </w:pPr>
      <w:r>
        <w:rPr>
          <w:rFonts w:hint="cs"/>
          <w:sz w:val="28"/>
          <w:rtl/>
        </w:rPr>
        <w:t xml:space="preserve">19. אלא שבנסיבות הייחודיות של מקרה זה, </w:t>
      </w:r>
      <w:r w:rsidRPr="008C3295">
        <w:rPr>
          <w:rFonts w:hint="cs"/>
          <w:b/>
          <w:bCs/>
          <w:sz w:val="28"/>
          <w:rtl/>
        </w:rPr>
        <w:t>לאחר</w:t>
      </w:r>
      <w:r>
        <w:rPr>
          <w:rFonts w:hint="cs"/>
          <w:sz w:val="28"/>
          <w:rtl/>
        </w:rPr>
        <w:t xml:space="preserve"> שהוצא צו המאשר את </w:t>
      </w:r>
      <w:r w:rsidR="00521BEF">
        <w:rPr>
          <w:rFonts w:hint="cs"/>
          <w:sz w:val="28"/>
          <w:rtl/>
        </w:rPr>
        <w:t>הגיוס</w:t>
      </w:r>
      <w:r>
        <w:rPr>
          <w:rFonts w:hint="cs"/>
          <w:sz w:val="28"/>
          <w:rtl/>
        </w:rPr>
        <w:t xml:space="preserve"> ללא קביעת כושר לשירות, שבה הרשות וקראה למשיב בשתי קריאות שונות להתייצב לבדיקות רפואיות. </w:t>
      </w:r>
      <w:r>
        <w:rPr>
          <w:rFonts w:hint="cs"/>
          <w:sz w:val="28"/>
          <w:rtl/>
        </w:rPr>
        <w:lastRenderedPageBreak/>
        <w:t>קריאה אחת</w:t>
      </w:r>
      <w:r w:rsidR="004F666C">
        <w:rPr>
          <w:rFonts w:hint="cs"/>
          <w:sz w:val="28"/>
          <w:rtl/>
        </w:rPr>
        <w:t>, כזכור,</w:t>
      </w:r>
      <w:r>
        <w:rPr>
          <w:rFonts w:hint="cs"/>
          <w:sz w:val="28"/>
          <w:rtl/>
        </w:rPr>
        <w:t xml:space="preserve"> מיום</w:t>
      </w:r>
      <w:r w:rsidR="000842A7">
        <w:rPr>
          <w:rFonts w:hint="cs"/>
          <w:sz w:val="28"/>
          <w:rtl/>
        </w:rPr>
        <w:t xml:space="preserve"> 2 בינואר 2025, </w:t>
      </w:r>
      <w:r>
        <w:rPr>
          <w:rFonts w:hint="cs"/>
          <w:sz w:val="28"/>
          <w:rtl/>
        </w:rPr>
        <w:t xml:space="preserve">במדרג זימונים של "מברק", אף היא ל"צו ראשון  - חרדים", </w:t>
      </w:r>
      <w:r w:rsidR="00796D3C">
        <w:rPr>
          <w:rFonts w:hint="cs"/>
          <w:sz w:val="28"/>
          <w:rtl/>
        </w:rPr>
        <w:t>קריאה</w:t>
      </w:r>
      <w:r>
        <w:rPr>
          <w:rFonts w:hint="cs"/>
          <w:sz w:val="28"/>
          <w:rtl/>
        </w:rPr>
        <w:t xml:space="preserve"> נוספת ביום </w:t>
      </w:r>
      <w:r w:rsidR="000842A7">
        <w:rPr>
          <w:rFonts w:hint="cs"/>
          <w:sz w:val="28"/>
          <w:rtl/>
        </w:rPr>
        <w:t xml:space="preserve">23 בינואר 2025, </w:t>
      </w:r>
      <w:r>
        <w:rPr>
          <w:rFonts w:hint="cs"/>
          <w:sz w:val="28"/>
          <w:rtl/>
        </w:rPr>
        <w:t xml:space="preserve">לבדיקה רפואית ספציפית "בדיקת עומק ראייה </w:t>
      </w:r>
      <w:r>
        <w:rPr>
          <w:sz w:val="28"/>
          <w:rtl/>
        </w:rPr>
        <w:t>–</w:t>
      </w:r>
      <w:r>
        <w:rPr>
          <w:rFonts w:hint="cs"/>
          <w:sz w:val="28"/>
          <w:rtl/>
        </w:rPr>
        <w:t xml:space="preserve"> טטימוס".</w:t>
      </w:r>
    </w:p>
    <w:p w14:paraId="5CE5760D" w14:textId="77777777" w:rsidR="004F666C" w:rsidRDefault="003C04BB" w:rsidP="004F666C">
      <w:pPr>
        <w:spacing w:line="360" w:lineRule="auto"/>
        <w:ind w:left="-58"/>
        <w:contextualSpacing/>
        <w:jc w:val="both"/>
        <w:rPr>
          <w:sz w:val="28"/>
          <w:rtl/>
        </w:rPr>
      </w:pPr>
      <w:r>
        <w:rPr>
          <w:rFonts w:hint="cs"/>
          <w:sz w:val="28"/>
          <w:rtl/>
        </w:rPr>
        <w:t>20. התובע המלומד טען</w:t>
      </w:r>
      <w:r w:rsidR="000842A7">
        <w:rPr>
          <w:rFonts w:hint="cs"/>
          <w:sz w:val="28"/>
          <w:rtl/>
        </w:rPr>
        <w:t>, כאמור,</w:t>
      </w:r>
      <w:r>
        <w:rPr>
          <w:rFonts w:hint="cs"/>
          <w:sz w:val="28"/>
          <w:rtl/>
        </w:rPr>
        <w:t xml:space="preserve"> כי העובדה שהרשות ביקשה פעם נוספת </w:t>
      </w:r>
      <w:r w:rsidR="000F213D">
        <w:rPr>
          <w:rFonts w:hint="cs"/>
          <w:sz w:val="28"/>
          <w:rtl/>
        </w:rPr>
        <w:t xml:space="preserve">לזמן את המשיב </w:t>
      </w:r>
      <w:r>
        <w:rPr>
          <w:rFonts w:hint="cs"/>
          <w:sz w:val="28"/>
          <w:rtl/>
        </w:rPr>
        <w:t>לבדיקות רפואיות בניסיון לקדם את קביעת נתוניו, אינה גורעת מחוקיות הקריאה לגיוס בצו לפי סעיף</w:t>
      </w:r>
      <w:r w:rsidR="004F666C">
        <w:rPr>
          <w:rFonts w:hint="cs"/>
          <w:sz w:val="28"/>
          <w:rtl/>
        </w:rPr>
        <w:t xml:space="preserve"> </w:t>
      </w:r>
      <w:r>
        <w:rPr>
          <w:rFonts w:hint="cs"/>
          <w:sz w:val="28"/>
          <w:rtl/>
        </w:rPr>
        <w:t xml:space="preserve">12 לחוק, </w:t>
      </w:r>
      <w:r w:rsidR="00D1022F">
        <w:rPr>
          <w:rFonts w:hint="cs"/>
          <w:sz w:val="28"/>
          <w:rtl/>
        </w:rPr>
        <w:t>אלא מלמדת על הגינות הרשות</w:t>
      </w:r>
      <w:r w:rsidR="000F213D">
        <w:rPr>
          <w:rFonts w:hint="cs"/>
          <w:sz w:val="28"/>
          <w:rtl/>
        </w:rPr>
        <w:t>, בעוד המשיב עצמו - ממילא לא התייצב לאף אחת מן הקריאות</w:t>
      </w:r>
      <w:r w:rsidR="005721AC">
        <w:rPr>
          <w:rFonts w:hint="cs"/>
          <w:sz w:val="28"/>
          <w:rtl/>
        </w:rPr>
        <w:t>.</w:t>
      </w:r>
      <w:r w:rsidR="000F213D">
        <w:rPr>
          <w:rFonts w:hint="cs"/>
          <w:sz w:val="28"/>
          <w:rtl/>
        </w:rPr>
        <w:t xml:space="preserve"> </w:t>
      </w:r>
      <w:r w:rsidR="0025604E">
        <w:rPr>
          <w:rFonts w:hint="cs"/>
          <w:sz w:val="28"/>
          <w:rtl/>
        </w:rPr>
        <w:t>אלא שבהיעדר תימוכין ל</w:t>
      </w:r>
      <w:r w:rsidR="00AB704D">
        <w:rPr>
          <w:rFonts w:hint="cs"/>
          <w:sz w:val="28"/>
          <w:rtl/>
        </w:rPr>
        <w:t>כך</w:t>
      </w:r>
      <w:r w:rsidR="0025604E">
        <w:rPr>
          <w:rFonts w:hint="cs"/>
          <w:sz w:val="28"/>
          <w:rtl/>
        </w:rPr>
        <w:t xml:space="preserve">, </w:t>
      </w:r>
      <w:r w:rsidR="00521BEF" w:rsidRPr="00521BEF">
        <w:rPr>
          <w:rFonts w:hint="cs"/>
          <w:sz w:val="28"/>
          <w:rtl/>
        </w:rPr>
        <w:t xml:space="preserve">הקריאות </w:t>
      </w:r>
      <w:r w:rsidR="00521BEF">
        <w:rPr>
          <w:rFonts w:hint="cs"/>
          <w:sz w:val="28"/>
          <w:rtl/>
        </w:rPr>
        <w:t>ל</w:t>
      </w:r>
      <w:r w:rsidR="00521BEF" w:rsidRPr="00521BEF">
        <w:rPr>
          <w:rFonts w:hint="cs"/>
          <w:sz w:val="28"/>
          <w:rtl/>
        </w:rPr>
        <w:t>בדיקות רפואיות נוספות</w:t>
      </w:r>
      <w:r w:rsidR="000F213D">
        <w:rPr>
          <w:rFonts w:hint="cs"/>
          <w:sz w:val="28"/>
          <w:rtl/>
        </w:rPr>
        <w:t>, ובכללן בדיקה רפואית קונקרטית,</w:t>
      </w:r>
      <w:r w:rsidR="00521BEF" w:rsidRPr="00521BEF">
        <w:rPr>
          <w:rFonts w:hint="cs"/>
          <w:sz w:val="28"/>
          <w:rtl/>
        </w:rPr>
        <w:t xml:space="preserve"> </w:t>
      </w:r>
      <w:r w:rsidR="00F83FCC">
        <w:rPr>
          <w:rFonts w:hint="cs"/>
          <w:sz w:val="28"/>
          <w:rtl/>
        </w:rPr>
        <w:t xml:space="preserve">עשויות ללמד </w:t>
      </w:r>
      <w:r w:rsidR="0025604E">
        <w:rPr>
          <w:rFonts w:hint="cs"/>
          <w:sz w:val="28"/>
          <w:rtl/>
        </w:rPr>
        <w:t xml:space="preserve">דווקא </w:t>
      </w:r>
      <w:r w:rsidR="00F83FCC">
        <w:rPr>
          <w:rFonts w:hint="cs"/>
          <w:sz w:val="28"/>
          <w:rtl/>
        </w:rPr>
        <w:t xml:space="preserve">על אי-מיצויו של </w:t>
      </w:r>
      <w:r>
        <w:rPr>
          <w:rFonts w:hint="cs"/>
          <w:sz w:val="28"/>
          <w:rtl/>
        </w:rPr>
        <w:t xml:space="preserve">הבירור הרפואי הנדרש </w:t>
      </w:r>
      <w:r w:rsidR="00F83FCC">
        <w:rPr>
          <w:rFonts w:hint="cs"/>
          <w:sz w:val="28"/>
          <w:rtl/>
        </w:rPr>
        <w:t xml:space="preserve">בעניינו של המשיב, </w:t>
      </w:r>
      <w:r w:rsidR="00521BEF">
        <w:rPr>
          <w:rFonts w:hint="cs"/>
          <w:sz w:val="28"/>
          <w:rtl/>
        </w:rPr>
        <w:t>טרם הוצאת הצו</w:t>
      </w:r>
      <w:r w:rsidR="00F83FCC">
        <w:rPr>
          <w:rFonts w:hint="cs"/>
          <w:sz w:val="28"/>
          <w:rtl/>
        </w:rPr>
        <w:t xml:space="preserve">, ועל </w:t>
      </w:r>
      <w:r w:rsidR="005721AC">
        <w:rPr>
          <w:rFonts w:hint="cs"/>
          <w:sz w:val="28"/>
          <w:rtl/>
        </w:rPr>
        <w:t>ה</w:t>
      </w:r>
      <w:r w:rsidR="00F83FCC">
        <w:rPr>
          <w:rFonts w:hint="cs"/>
          <w:sz w:val="28"/>
          <w:rtl/>
        </w:rPr>
        <w:t xml:space="preserve">חסר </w:t>
      </w:r>
      <w:r w:rsidR="005721AC">
        <w:rPr>
          <w:rFonts w:hint="cs"/>
          <w:sz w:val="28"/>
          <w:rtl/>
        </w:rPr>
        <w:t>ה</w:t>
      </w:r>
      <w:r w:rsidR="00F83FCC">
        <w:rPr>
          <w:rFonts w:hint="cs"/>
          <w:sz w:val="28"/>
          <w:rtl/>
        </w:rPr>
        <w:t xml:space="preserve">ראייתי </w:t>
      </w:r>
      <w:r w:rsidR="005721AC">
        <w:rPr>
          <w:rFonts w:hint="cs"/>
          <w:sz w:val="28"/>
          <w:rtl/>
        </w:rPr>
        <w:t xml:space="preserve">שהוביל </w:t>
      </w:r>
      <w:r w:rsidR="00F83FCC">
        <w:rPr>
          <w:rFonts w:hint="cs"/>
          <w:sz w:val="28"/>
          <w:rtl/>
        </w:rPr>
        <w:t xml:space="preserve">למסקנה בדבר הצורך הרפואי של המשיב בבדיקה </w:t>
      </w:r>
      <w:r w:rsidR="005721AC">
        <w:rPr>
          <w:rFonts w:hint="cs"/>
          <w:sz w:val="28"/>
          <w:rtl/>
        </w:rPr>
        <w:t xml:space="preserve">ייחודית זו </w:t>
      </w:r>
      <w:r w:rsidR="00F83FCC">
        <w:rPr>
          <w:rFonts w:hint="cs"/>
          <w:sz w:val="28"/>
          <w:rtl/>
        </w:rPr>
        <w:t>לכתחילה, ככל שהדבר חייב קשר שלו עם לשכת הגיוס</w:t>
      </w:r>
      <w:r w:rsidR="00521BEF">
        <w:rPr>
          <w:rFonts w:hint="cs"/>
          <w:sz w:val="28"/>
          <w:rtl/>
        </w:rPr>
        <w:t xml:space="preserve"> </w:t>
      </w:r>
      <w:r w:rsidR="00D1022F">
        <w:rPr>
          <w:sz w:val="28"/>
          <w:rtl/>
        </w:rPr>
        <w:t>–</w:t>
      </w:r>
      <w:r w:rsidR="00D1022F">
        <w:rPr>
          <w:rFonts w:hint="cs"/>
          <w:sz w:val="28"/>
          <w:rtl/>
        </w:rPr>
        <w:t xml:space="preserve"> </w:t>
      </w:r>
      <w:r w:rsidR="00F83FCC">
        <w:rPr>
          <w:rFonts w:hint="cs"/>
          <w:sz w:val="28"/>
          <w:rtl/>
        </w:rPr>
        <w:t xml:space="preserve">שאלות שהן </w:t>
      </w:r>
      <w:r w:rsidR="00F83FCC" w:rsidRPr="000842A7">
        <w:rPr>
          <w:rFonts w:hint="cs"/>
          <w:b/>
          <w:bCs/>
          <w:sz w:val="28"/>
          <w:rtl/>
        </w:rPr>
        <w:t>בבסיס</w:t>
      </w:r>
      <w:r w:rsidR="00F83FCC">
        <w:rPr>
          <w:rFonts w:hint="cs"/>
          <w:sz w:val="28"/>
          <w:rtl/>
        </w:rPr>
        <w:t xml:space="preserve"> </w:t>
      </w:r>
      <w:r w:rsidR="00796D3C">
        <w:rPr>
          <w:rFonts w:hint="cs"/>
          <w:sz w:val="28"/>
          <w:rtl/>
        </w:rPr>
        <w:t xml:space="preserve">הדרישה </w:t>
      </w:r>
      <w:r w:rsidR="00796D3C" w:rsidRPr="000842A7">
        <w:rPr>
          <w:rFonts w:hint="cs"/>
          <w:b/>
          <w:bCs/>
          <w:sz w:val="28"/>
          <w:rtl/>
        </w:rPr>
        <w:t>לשקידה סבירה</w:t>
      </w:r>
      <w:r w:rsidR="00D1022F" w:rsidRPr="000842A7">
        <w:rPr>
          <w:rFonts w:hint="cs"/>
          <w:b/>
          <w:bCs/>
          <w:sz w:val="28"/>
          <w:rtl/>
        </w:rPr>
        <w:t xml:space="preserve"> ו</w:t>
      </w:r>
      <w:r w:rsidR="00796D3C" w:rsidRPr="000842A7">
        <w:rPr>
          <w:rFonts w:hint="cs"/>
          <w:b/>
          <w:bCs/>
          <w:sz w:val="28"/>
          <w:rtl/>
        </w:rPr>
        <w:t>ל</w:t>
      </w:r>
      <w:r w:rsidR="00D1022F" w:rsidRPr="000842A7">
        <w:rPr>
          <w:rFonts w:hint="cs"/>
          <w:b/>
          <w:bCs/>
          <w:sz w:val="28"/>
          <w:rtl/>
        </w:rPr>
        <w:t>שיקול הדעת הפרטני</w:t>
      </w:r>
      <w:r w:rsidR="00D1022F">
        <w:rPr>
          <w:rFonts w:hint="cs"/>
          <w:sz w:val="28"/>
          <w:rtl/>
        </w:rPr>
        <w:t xml:space="preserve"> שמחייב הדין</w:t>
      </w:r>
      <w:r w:rsidR="00AB704D">
        <w:rPr>
          <w:rFonts w:hint="cs"/>
          <w:sz w:val="28"/>
          <w:rtl/>
        </w:rPr>
        <w:t xml:space="preserve">, לקראת הוצאת צו לפי סעיף 12 </w:t>
      </w:r>
      <w:r w:rsidR="00DE292D">
        <w:rPr>
          <w:rFonts w:hint="cs"/>
          <w:sz w:val="28"/>
          <w:rtl/>
        </w:rPr>
        <w:t>לחוק</w:t>
      </w:r>
      <w:r>
        <w:rPr>
          <w:rFonts w:hint="cs"/>
          <w:sz w:val="28"/>
          <w:rtl/>
        </w:rPr>
        <w:t xml:space="preserve">. </w:t>
      </w:r>
      <w:r w:rsidR="00722961">
        <w:rPr>
          <w:rFonts w:hint="cs"/>
          <w:sz w:val="28"/>
          <w:rtl/>
        </w:rPr>
        <w:t xml:space="preserve">בשאלות אלה יש, בנסיבות המיוחדות, כדי לכרסם </w:t>
      </w:r>
      <w:r>
        <w:rPr>
          <w:rFonts w:hint="cs"/>
          <w:sz w:val="28"/>
          <w:rtl/>
        </w:rPr>
        <w:t>בחזקת תקינות המנהל</w:t>
      </w:r>
      <w:r w:rsidR="00521BEF">
        <w:rPr>
          <w:rFonts w:hint="cs"/>
          <w:sz w:val="28"/>
          <w:rtl/>
        </w:rPr>
        <w:t>.</w:t>
      </w:r>
      <w:r w:rsidR="00796D3C">
        <w:rPr>
          <w:rFonts w:hint="cs"/>
          <w:sz w:val="28"/>
          <w:rtl/>
        </w:rPr>
        <w:t xml:space="preserve"> </w:t>
      </w:r>
    </w:p>
    <w:p w14:paraId="69EEA65D" w14:textId="77777777" w:rsidR="00796D3C" w:rsidRDefault="00521BEF" w:rsidP="004F666C">
      <w:pPr>
        <w:spacing w:line="360" w:lineRule="auto"/>
        <w:ind w:left="-58"/>
        <w:contextualSpacing/>
        <w:jc w:val="both"/>
        <w:rPr>
          <w:sz w:val="28"/>
          <w:rtl/>
        </w:rPr>
      </w:pPr>
      <w:r>
        <w:rPr>
          <w:rFonts w:hint="cs"/>
          <w:sz w:val="28"/>
          <w:rtl/>
        </w:rPr>
        <w:t>כידוע,</w:t>
      </w:r>
      <w:r w:rsidR="00796D3C">
        <w:rPr>
          <w:rFonts w:hint="cs"/>
          <w:sz w:val="28"/>
          <w:rtl/>
        </w:rPr>
        <w:t xml:space="preserve"> </w:t>
      </w:r>
      <w:r w:rsidR="00796D3C" w:rsidRPr="00796D3C">
        <w:rPr>
          <w:sz w:val="28"/>
          <w:rtl/>
        </w:rPr>
        <w:t xml:space="preserve">"אחד מכללי היסוד של המשפט </w:t>
      </w:r>
      <w:r w:rsidR="00722961" w:rsidRPr="00796D3C">
        <w:rPr>
          <w:rFonts w:hint="cs"/>
          <w:sz w:val="28"/>
          <w:rtl/>
        </w:rPr>
        <w:t>המנהלי</w:t>
      </w:r>
      <w:r w:rsidR="00796D3C" w:rsidRPr="00796D3C">
        <w:rPr>
          <w:sz w:val="28"/>
          <w:rtl/>
        </w:rPr>
        <w:t xml:space="preserve"> עניינו בתשתית העובדתית שעל בסיסה בוחרת הרשות </w:t>
      </w:r>
      <w:r w:rsidR="00722961" w:rsidRPr="00796D3C">
        <w:rPr>
          <w:rFonts w:hint="cs"/>
          <w:sz w:val="28"/>
          <w:rtl/>
        </w:rPr>
        <w:t>המנהלית</w:t>
      </w:r>
      <w:r w:rsidR="00796D3C" w:rsidRPr="00796D3C">
        <w:rPr>
          <w:sz w:val="28"/>
          <w:rtl/>
        </w:rPr>
        <w:t xml:space="preserve"> כיצד להפעיל את סמכותה" (בג"ץ 8647/22 </w:t>
      </w:r>
      <w:r w:rsidR="00796D3C" w:rsidRPr="00796D3C">
        <w:rPr>
          <w:b/>
          <w:bCs/>
          <w:sz w:val="28"/>
          <w:rtl/>
        </w:rPr>
        <w:t>האגודה לזכויות האזרח בישראל נ' משרד הרווחה והביטחון החברתי</w:t>
      </w:r>
      <w:r w:rsidR="00796D3C" w:rsidRPr="00796D3C">
        <w:rPr>
          <w:sz w:val="28"/>
          <w:rtl/>
        </w:rPr>
        <w:t>, פסקה 81 (18.9.2025))</w:t>
      </w:r>
      <w:r w:rsidR="00796D3C">
        <w:rPr>
          <w:rFonts w:hint="cs"/>
          <w:sz w:val="28"/>
          <w:rtl/>
        </w:rPr>
        <w:t xml:space="preserve">, </w:t>
      </w:r>
      <w:r w:rsidR="00796D3C" w:rsidRPr="00796D3C">
        <w:rPr>
          <w:sz w:val="28"/>
          <w:rtl/>
        </w:rPr>
        <w:t xml:space="preserve">וככל שהפגיעה בזכות היא קשה יותר, נדרשת תשתית עובדתית מהימנה ומשכנעת יותר (בג"ץ 987/94 </w:t>
      </w:r>
      <w:r w:rsidR="00796D3C" w:rsidRPr="00796D3C">
        <w:rPr>
          <w:b/>
          <w:bCs/>
          <w:sz w:val="28"/>
          <w:rtl/>
        </w:rPr>
        <w:t>יורונט קווי זהב (1992) בע"מ נ' שרת התקשורת</w:t>
      </w:r>
      <w:r w:rsidR="00796D3C" w:rsidRPr="00796D3C">
        <w:rPr>
          <w:sz w:val="28"/>
          <w:rtl/>
        </w:rPr>
        <w:t>, פ"ד מ"ח(5) 412, 425 (1994))</w:t>
      </w:r>
      <w:r w:rsidR="00796D3C">
        <w:rPr>
          <w:rFonts w:hint="cs"/>
          <w:sz w:val="28"/>
          <w:rtl/>
        </w:rPr>
        <w:t xml:space="preserve">; </w:t>
      </w:r>
      <w:r w:rsidR="00796D3C" w:rsidRPr="00796D3C">
        <w:rPr>
          <w:sz w:val="28"/>
          <w:rtl/>
        </w:rPr>
        <w:t>וביישום להחלטות הפוקד להוצאת צו 12 לחוק שירות ביטחון</w:t>
      </w:r>
      <w:r w:rsidR="000842A7">
        <w:rPr>
          <w:rFonts w:hint="cs"/>
          <w:sz w:val="28"/>
          <w:rtl/>
        </w:rPr>
        <w:t xml:space="preserve"> </w:t>
      </w:r>
      <w:r w:rsidR="00796D3C" w:rsidRPr="00796D3C">
        <w:rPr>
          <w:sz w:val="28"/>
          <w:rtl/>
        </w:rPr>
        <w:t xml:space="preserve">תוך הידרשות למלוא הנתונים הרלוונטיים, ראו למשל: עניין </w:t>
      </w:r>
      <w:r w:rsidR="00796D3C" w:rsidRPr="00796D3C">
        <w:rPr>
          <w:b/>
          <w:bCs/>
          <w:sz w:val="28"/>
          <w:rtl/>
        </w:rPr>
        <w:t>אלבז</w:t>
      </w:r>
      <w:r w:rsidR="00796D3C" w:rsidRPr="00796D3C">
        <w:rPr>
          <w:sz w:val="28"/>
          <w:rtl/>
        </w:rPr>
        <w:t xml:space="preserve"> לעיל, </w:t>
      </w:r>
      <w:r w:rsidR="000842A7">
        <w:rPr>
          <w:rFonts w:hint="cs"/>
          <w:sz w:val="28"/>
          <w:rtl/>
        </w:rPr>
        <w:t>ב</w:t>
      </w:r>
      <w:r w:rsidR="00796D3C" w:rsidRPr="00796D3C">
        <w:rPr>
          <w:sz w:val="28"/>
          <w:rtl/>
        </w:rPr>
        <w:t xml:space="preserve">פסקה 9; ע"מ 7/18 </w:t>
      </w:r>
      <w:r w:rsidR="00796D3C" w:rsidRPr="00796D3C">
        <w:rPr>
          <w:b/>
          <w:bCs/>
          <w:sz w:val="28"/>
          <w:rtl/>
        </w:rPr>
        <w:t xml:space="preserve">טור' לוי נ' </w:t>
      </w:r>
      <w:r w:rsidR="00683848">
        <w:rPr>
          <w:b/>
          <w:bCs/>
          <w:sz w:val="28"/>
          <w:rtl/>
        </w:rPr>
        <w:t>התובע הצבאי הראשי</w:t>
      </w:r>
      <w:r w:rsidR="00796D3C" w:rsidRPr="00796D3C">
        <w:rPr>
          <w:sz w:val="28"/>
          <w:rtl/>
        </w:rPr>
        <w:t>, פסקה 22 (2018))</w:t>
      </w:r>
      <w:r w:rsidR="00722961">
        <w:rPr>
          <w:rFonts w:hint="cs"/>
          <w:sz w:val="28"/>
          <w:rtl/>
        </w:rPr>
        <w:t>.</w:t>
      </w:r>
    </w:p>
    <w:p w14:paraId="03712F3B" w14:textId="77777777" w:rsidR="00C102C8" w:rsidRDefault="00683848" w:rsidP="00556E92">
      <w:pPr>
        <w:spacing w:line="360" w:lineRule="auto"/>
        <w:ind w:left="-58"/>
        <w:contextualSpacing/>
        <w:jc w:val="both"/>
        <w:rPr>
          <w:sz w:val="28"/>
          <w:rtl/>
        </w:rPr>
      </w:pPr>
      <w:r>
        <w:rPr>
          <w:rFonts w:hint="cs"/>
          <w:sz w:val="28"/>
          <w:rtl/>
        </w:rPr>
        <w:t>21</w:t>
      </w:r>
      <w:r w:rsidR="00796D3C">
        <w:rPr>
          <w:rFonts w:hint="cs"/>
          <w:sz w:val="28"/>
          <w:rtl/>
        </w:rPr>
        <w:t xml:space="preserve">. </w:t>
      </w:r>
      <w:r w:rsidR="003C04BB">
        <w:rPr>
          <w:rFonts w:hint="cs"/>
          <w:sz w:val="28"/>
          <w:rtl/>
        </w:rPr>
        <w:t>בכך גם שונה המקרה שלפנינו מ</w:t>
      </w:r>
      <w:r w:rsidR="00521BEF">
        <w:rPr>
          <w:rFonts w:hint="cs"/>
          <w:sz w:val="28"/>
          <w:rtl/>
        </w:rPr>
        <w:t>המקרים שאליהם הפנה התובע. ב</w:t>
      </w:r>
      <w:r w:rsidR="003C04BB">
        <w:rPr>
          <w:rFonts w:hint="cs"/>
          <w:sz w:val="28"/>
          <w:rtl/>
        </w:rPr>
        <w:t xml:space="preserve">עניין </w:t>
      </w:r>
      <w:r w:rsidR="003C04BB" w:rsidRPr="008E6AD4">
        <w:rPr>
          <w:rFonts w:hint="cs"/>
          <w:b/>
          <w:bCs/>
          <w:sz w:val="28"/>
          <w:rtl/>
        </w:rPr>
        <w:t>קצ</w:t>
      </w:r>
      <w:r w:rsidR="008E6AD4" w:rsidRPr="008E6AD4">
        <w:rPr>
          <w:rFonts w:hint="cs"/>
          <w:b/>
          <w:bCs/>
          <w:sz w:val="28"/>
          <w:rtl/>
        </w:rPr>
        <w:t>נ</w:t>
      </w:r>
      <w:r w:rsidR="003C04BB" w:rsidRPr="008E6AD4">
        <w:rPr>
          <w:rFonts w:hint="cs"/>
          <w:b/>
          <w:bCs/>
          <w:sz w:val="28"/>
          <w:rtl/>
        </w:rPr>
        <w:t>טיני</w:t>
      </w:r>
      <w:r w:rsidR="003C04BB">
        <w:rPr>
          <w:rFonts w:hint="cs"/>
          <w:sz w:val="28"/>
          <w:rtl/>
        </w:rPr>
        <w:t xml:space="preserve"> </w:t>
      </w:r>
      <w:r w:rsidR="003C04BB">
        <w:rPr>
          <w:sz w:val="28"/>
          <w:rtl/>
        </w:rPr>
        <w:t>–</w:t>
      </w:r>
      <w:r w:rsidR="00521BEF">
        <w:rPr>
          <w:rFonts w:hint="cs"/>
          <w:sz w:val="28"/>
          <w:rtl/>
        </w:rPr>
        <w:t xml:space="preserve"> </w:t>
      </w:r>
      <w:r w:rsidR="008E6AD4">
        <w:rPr>
          <w:rFonts w:hint="cs"/>
          <w:sz w:val="28"/>
          <w:rtl/>
        </w:rPr>
        <w:t xml:space="preserve">לא נמצא פגם </w:t>
      </w:r>
      <w:r w:rsidR="00796D3C">
        <w:rPr>
          <w:rFonts w:hint="cs"/>
          <w:sz w:val="28"/>
          <w:rtl/>
        </w:rPr>
        <w:t xml:space="preserve">בנתונים הרפואיים שעמדו לנגד עיני הפוקד, טרם </w:t>
      </w:r>
      <w:r w:rsidR="008E6AD4">
        <w:rPr>
          <w:rFonts w:hint="cs"/>
          <w:sz w:val="28"/>
          <w:rtl/>
        </w:rPr>
        <w:t>הוצאת צו גיוס לפי סעיף 12 לחוק, והזימון היה לראיון המתמקד בעברו הפלילי</w:t>
      </w:r>
      <w:r w:rsidR="00796D3C">
        <w:rPr>
          <w:rFonts w:hint="cs"/>
          <w:sz w:val="28"/>
          <w:rtl/>
        </w:rPr>
        <w:t>;</w:t>
      </w:r>
      <w:r w:rsidR="003C04BB">
        <w:rPr>
          <w:rFonts w:hint="cs"/>
          <w:sz w:val="28"/>
          <w:rtl/>
        </w:rPr>
        <w:t xml:space="preserve"> </w:t>
      </w:r>
      <w:r w:rsidR="00F307E4">
        <w:rPr>
          <w:rFonts w:hint="cs"/>
          <w:sz w:val="28"/>
          <w:rtl/>
        </w:rPr>
        <w:t>בעניי</w:t>
      </w:r>
      <w:r w:rsidR="00F307E4">
        <w:rPr>
          <w:rFonts w:hint="eastAsia"/>
          <w:sz w:val="28"/>
          <w:rtl/>
        </w:rPr>
        <w:t>ן</w:t>
      </w:r>
      <w:r w:rsidR="00572663">
        <w:rPr>
          <w:rFonts w:hint="cs"/>
          <w:sz w:val="28"/>
          <w:rtl/>
        </w:rPr>
        <w:t xml:space="preserve"> </w:t>
      </w:r>
      <w:r w:rsidR="00572663" w:rsidRPr="00572663">
        <w:rPr>
          <w:rFonts w:hint="cs"/>
          <w:b/>
          <w:bCs/>
          <w:sz w:val="28"/>
          <w:rtl/>
        </w:rPr>
        <w:t>זיתוני</w:t>
      </w:r>
      <w:r w:rsidR="00572663">
        <w:rPr>
          <w:rFonts w:hint="cs"/>
          <w:sz w:val="28"/>
          <w:rtl/>
        </w:rPr>
        <w:t xml:space="preserve"> </w:t>
      </w:r>
      <w:r w:rsidR="00572663">
        <w:rPr>
          <w:sz w:val="28"/>
          <w:rtl/>
        </w:rPr>
        <w:t>–</w:t>
      </w:r>
      <w:r w:rsidR="00521BEF">
        <w:rPr>
          <w:rFonts w:hint="cs"/>
          <w:sz w:val="28"/>
          <w:rtl/>
        </w:rPr>
        <w:t xml:space="preserve"> </w:t>
      </w:r>
      <w:r w:rsidR="00572663">
        <w:rPr>
          <w:rFonts w:hint="cs"/>
          <w:sz w:val="28"/>
          <w:rtl/>
        </w:rPr>
        <w:t>התייצב המלש"ב מיוזמתו לאחר שהוצא צו לפי סעיף 12</w:t>
      </w:r>
      <w:r w:rsidR="00796D3C">
        <w:rPr>
          <w:rFonts w:hint="cs"/>
          <w:sz w:val="28"/>
          <w:rtl/>
        </w:rPr>
        <w:t>;</w:t>
      </w:r>
      <w:r w:rsidR="00572663">
        <w:rPr>
          <w:rFonts w:hint="cs"/>
          <w:sz w:val="28"/>
          <w:rtl/>
        </w:rPr>
        <w:t xml:space="preserve"> </w:t>
      </w:r>
      <w:r w:rsidR="00521BEF">
        <w:rPr>
          <w:rFonts w:hint="cs"/>
          <w:sz w:val="28"/>
          <w:rtl/>
        </w:rPr>
        <w:t>וב</w:t>
      </w:r>
      <w:r w:rsidR="00572663">
        <w:rPr>
          <w:rFonts w:hint="cs"/>
          <w:sz w:val="28"/>
          <w:rtl/>
        </w:rPr>
        <w:t xml:space="preserve">עניין </w:t>
      </w:r>
      <w:r w:rsidR="00572663" w:rsidRPr="00572663">
        <w:rPr>
          <w:rFonts w:hint="cs"/>
          <w:b/>
          <w:bCs/>
          <w:sz w:val="28"/>
          <w:rtl/>
        </w:rPr>
        <w:t>בטיט</w:t>
      </w:r>
      <w:r w:rsidR="00572663">
        <w:rPr>
          <w:rFonts w:hint="cs"/>
          <w:sz w:val="28"/>
          <w:rtl/>
        </w:rPr>
        <w:t xml:space="preserve"> </w:t>
      </w:r>
      <w:r w:rsidR="00572663">
        <w:rPr>
          <w:sz w:val="28"/>
          <w:rtl/>
        </w:rPr>
        <w:t>–</w:t>
      </w:r>
      <w:r w:rsidR="00521BEF">
        <w:rPr>
          <w:rFonts w:hint="cs"/>
          <w:sz w:val="28"/>
          <w:rtl/>
        </w:rPr>
        <w:t xml:space="preserve"> </w:t>
      </w:r>
      <w:r w:rsidR="00572663">
        <w:rPr>
          <w:rFonts w:hint="cs"/>
          <w:sz w:val="28"/>
          <w:rtl/>
        </w:rPr>
        <w:t xml:space="preserve">הופעל שיקול דעת פרטני על רקע התייצבות </w:t>
      </w:r>
      <w:r w:rsidR="00796D3C">
        <w:rPr>
          <w:rFonts w:hint="cs"/>
          <w:sz w:val="28"/>
          <w:rtl/>
        </w:rPr>
        <w:t xml:space="preserve">המלש"ב, </w:t>
      </w:r>
      <w:r w:rsidR="00572663">
        <w:rPr>
          <w:rFonts w:hint="cs"/>
          <w:sz w:val="28"/>
          <w:rtl/>
        </w:rPr>
        <w:t xml:space="preserve">אך סירוב נמשך </w:t>
      </w:r>
      <w:r w:rsidR="00796D3C">
        <w:rPr>
          <w:rFonts w:hint="cs"/>
          <w:sz w:val="28"/>
          <w:rtl/>
        </w:rPr>
        <w:t xml:space="preserve">שלו </w:t>
      </w:r>
      <w:r w:rsidR="00572663">
        <w:rPr>
          <w:rFonts w:hint="cs"/>
          <w:sz w:val="28"/>
          <w:rtl/>
        </w:rPr>
        <w:t xml:space="preserve">לבצע בדיקות רפואיות, שבעקבותיו ניסיון לבדיקה רפואית "מקוצרת" </w:t>
      </w:r>
      <w:r w:rsidR="00572663" w:rsidRPr="00796D3C">
        <w:rPr>
          <w:rFonts w:hint="cs"/>
          <w:b/>
          <w:bCs/>
          <w:sz w:val="28"/>
          <w:rtl/>
        </w:rPr>
        <w:t>לאחר</w:t>
      </w:r>
      <w:r w:rsidR="00572663">
        <w:rPr>
          <w:rFonts w:hint="cs"/>
          <w:sz w:val="28"/>
          <w:rtl/>
        </w:rPr>
        <w:t xml:space="preserve"> הוצאת הצו</w:t>
      </w:r>
      <w:r w:rsidR="00796D3C">
        <w:rPr>
          <w:rFonts w:hint="cs"/>
          <w:sz w:val="28"/>
          <w:rtl/>
        </w:rPr>
        <w:t>,</w:t>
      </w:r>
      <w:r w:rsidR="00572663">
        <w:rPr>
          <w:rFonts w:hint="cs"/>
          <w:sz w:val="28"/>
          <w:rtl/>
        </w:rPr>
        <w:t xml:space="preserve"> </w:t>
      </w:r>
      <w:r w:rsidR="00572663" w:rsidRPr="00796D3C">
        <w:rPr>
          <w:rFonts w:hint="cs"/>
          <w:b/>
          <w:bCs/>
          <w:sz w:val="28"/>
          <w:rtl/>
        </w:rPr>
        <w:t>לא</w:t>
      </w:r>
      <w:r w:rsidR="00572663">
        <w:rPr>
          <w:rFonts w:hint="cs"/>
          <w:sz w:val="28"/>
          <w:rtl/>
        </w:rPr>
        <w:t xml:space="preserve"> אושר </w:t>
      </w:r>
      <w:r w:rsidR="00521BEF">
        <w:rPr>
          <w:rFonts w:hint="cs"/>
          <w:sz w:val="28"/>
          <w:rtl/>
        </w:rPr>
        <w:t xml:space="preserve">לבסוף </w:t>
      </w:r>
      <w:r w:rsidR="00572663">
        <w:rPr>
          <w:rFonts w:hint="cs"/>
          <w:sz w:val="28"/>
          <w:rtl/>
        </w:rPr>
        <w:t>על ידי הפוקד</w:t>
      </w:r>
      <w:r w:rsidR="003C04BB">
        <w:rPr>
          <w:rFonts w:hint="cs"/>
          <w:sz w:val="28"/>
          <w:rtl/>
        </w:rPr>
        <w:t xml:space="preserve">. </w:t>
      </w:r>
      <w:r w:rsidR="00521BEF">
        <w:rPr>
          <w:rFonts w:hint="cs"/>
          <w:sz w:val="28"/>
          <w:rtl/>
        </w:rPr>
        <w:t>במקרה דנן, תיבחן</w:t>
      </w:r>
      <w:r w:rsidR="003C04BB">
        <w:rPr>
          <w:rFonts w:hint="cs"/>
          <w:sz w:val="28"/>
          <w:rtl/>
        </w:rPr>
        <w:t xml:space="preserve"> בהליך העיקרי </w:t>
      </w:r>
      <w:r w:rsidR="00521BEF">
        <w:rPr>
          <w:rFonts w:hint="cs"/>
          <w:sz w:val="28"/>
          <w:rtl/>
        </w:rPr>
        <w:t xml:space="preserve">השאלה </w:t>
      </w:r>
      <w:r w:rsidR="003C04BB">
        <w:rPr>
          <w:rFonts w:hint="cs"/>
          <w:sz w:val="28"/>
          <w:rtl/>
        </w:rPr>
        <w:t xml:space="preserve">האם </w:t>
      </w:r>
      <w:r w:rsidR="00722961">
        <w:rPr>
          <w:rFonts w:hint="cs"/>
          <w:sz w:val="28"/>
          <w:rtl/>
        </w:rPr>
        <w:t xml:space="preserve">ענייניו הרפואיים של המשיב עמדו, בזמן אמת, לנגד עיניה של </w:t>
      </w:r>
      <w:r w:rsidR="003C04BB">
        <w:rPr>
          <w:rFonts w:hint="cs"/>
          <w:sz w:val="28"/>
          <w:rtl/>
        </w:rPr>
        <w:t>סגנית מפקד</w:t>
      </w:r>
      <w:r w:rsidR="00722961">
        <w:rPr>
          <w:rFonts w:hint="cs"/>
          <w:sz w:val="28"/>
          <w:rtl/>
        </w:rPr>
        <w:t>ת</w:t>
      </w:r>
      <w:r w:rsidR="003C04BB">
        <w:rPr>
          <w:rFonts w:hint="cs"/>
          <w:sz w:val="28"/>
          <w:rtl/>
        </w:rPr>
        <w:t xml:space="preserve"> לשכת הגיוס</w:t>
      </w:r>
      <w:r w:rsidR="00722961">
        <w:rPr>
          <w:rFonts w:hint="cs"/>
          <w:sz w:val="28"/>
          <w:rtl/>
        </w:rPr>
        <w:t xml:space="preserve">, בעת שקיבלה את ההחלטה לאשר </w:t>
      </w:r>
      <w:r w:rsidR="00122DF9">
        <w:rPr>
          <w:rFonts w:hint="cs"/>
          <w:sz w:val="28"/>
          <w:rtl/>
        </w:rPr>
        <w:t>את גיוסו ללא קביעת כושרו לשירות</w:t>
      </w:r>
      <w:r w:rsidR="003C04BB">
        <w:rPr>
          <w:rFonts w:hint="cs"/>
          <w:sz w:val="28"/>
          <w:rtl/>
        </w:rPr>
        <w:t>.</w:t>
      </w:r>
    </w:p>
    <w:p w14:paraId="282D9E10" w14:textId="77777777" w:rsidR="008F7BE4" w:rsidRDefault="00683848" w:rsidP="009756D9">
      <w:pPr>
        <w:spacing w:line="360" w:lineRule="auto"/>
        <w:ind w:left="-58"/>
        <w:contextualSpacing/>
        <w:jc w:val="both"/>
        <w:rPr>
          <w:sz w:val="28"/>
          <w:rtl/>
        </w:rPr>
      </w:pPr>
      <w:r>
        <w:rPr>
          <w:rFonts w:hint="cs"/>
          <w:sz w:val="28"/>
          <w:rtl/>
        </w:rPr>
        <w:t>22</w:t>
      </w:r>
      <w:r w:rsidR="003C04BB">
        <w:rPr>
          <w:rFonts w:hint="cs"/>
          <w:sz w:val="28"/>
          <w:rtl/>
        </w:rPr>
        <w:t xml:space="preserve">. </w:t>
      </w:r>
      <w:r w:rsidR="00796D3C">
        <w:rPr>
          <w:rFonts w:hint="cs"/>
          <w:sz w:val="28"/>
          <w:rtl/>
        </w:rPr>
        <w:t xml:space="preserve">סברתי </w:t>
      </w:r>
      <w:r w:rsidR="00521BEF">
        <w:rPr>
          <w:rFonts w:hint="cs"/>
          <w:sz w:val="28"/>
          <w:rtl/>
        </w:rPr>
        <w:t xml:space="preserve">אף </w:t>
      </w:r>
      <w:r w:rsidR="00796D3C">
        <w:rPr>
          <w:rFonts w:hint="cs"/>
          <w:sz w:val="28"/>
          <w:rtl/>
        </w:rPr>
        <w:t xml:space="preserve">כי </w:t>
      </w:r>
      <w:r w:rsidR="00122DF9" w:rsidRPr="00796D3C">
        <w:rPr>
          <w:rFonts w:hint="cs"/>
          <w:b/>
          <w:bCs/>
          <w:sz w:val="28"/>
          <w:rtl/>
        </w:rPr>
        <w:t>אין</w:t>
      </w:r>
      <w:r w:rsidR="00122DF9">
        <w:rPr>
          <w:rFonts w:hint="cs"/>
          <w:sz w:val="28"/>
          <w:rtl/>
        </w:rPr>
        <w:t xml:space="preserve"> להתעלם מ</w:t>
      </w:r>
      <w:r w:rsidR="00796D3C">
        <w:rPr>
          <w:rFonts w:hint="cs"/>
          <w:sz w:val="28"/>
          <w:rtl/>
        </w:rPr>
        <w:t xml:space="preserve">ן </w:t>
      </w:r>
      <w:r w:rsidR="003C04BB">
        <w:rPr>
          <w:rFonts w:hint="cs"/>
          <w:sz w:val="28"/>
          <w:rtl/>
        </w:rPr>
        <w:t xml:space="preserve">העובדה </w:t>
      </w:r>
      <w:r w:rsidR="00FD2695">
        <w:rPr>
          <w:rFonts w:hint="cs"/>
          <w:sz w:val="28"/>
          <w:rtl/>
        </w:rPr>
        <w:t xml:space="preserve">שהודעתה של </w:t>
      </w:r>
      <w:r w:rsidR="00722961">
        <w:rPr>
          <w:rFonts w:hint="cs"/>
          <w:sz w:val="28"/>
          <w:rtl/>
        </w:rPr>
        <w:t xml:space="preserve">רס"ן ורון </w:t>
      </w:r>
      <w:r w:rsidR="004546B2">
        <w:rPr>
          <w:rFonts w:hint="cs"/>
          <w:sz w:val="28"/>
          <w:rtl/>
        </w:rPr>
        <w:t>בדבר הפעלת שיקול דעת פרטני מיום</w:t>
      </w:r>
      <w:r w:rsidR="000842A7">
        <w:rPr>
          <w:rFonts w:hint="cs"/>
          <w:sz w:val="28"/>
          <w:rtl/>
        </w:rPr>
        <w:t xml:space="preserve"> 12 באוקטובר 2026</w:t>
      </w:r>
      <w:r w:rsidR="004546B2">
        <w:rPr>
          <w:rFonts w:hint="cs"/>
          <w:sz w:val="28"/>
          <w:rtl/>
        </w:rPr>
        <w:t xml:space="preserve">, </w:t>
      </w:r>
      <w:r w:rsidR="00122DF9">
        <w:rPr>
          <w:rFonts w:hint="cs"/>
          <w:sz w:val="28"/>
          <w:rtl/>
        </w:rPr>
        <w:t xml:space="preserve">שהיא ראיה </w:t>
      </w:r>
      <w:r w:rsidR="00122DF9" w:rsidRPr="00796D3C">
        <w:rPr>
          <w:rFonts w:hint="cs"/>
          <w:b/>
          <w:bCs/>
          <w:sz w:val="28"/>
          <w:rtl/>
        </w:rPr>
        <w:t>מהותית</w:t>
      </w:r>
      <w:r w:rsidR="00796D3C">
        <w:rPr>
          <w:rFonts w:hint="cs"/>
          <w:sz w:val="28"/>
          <w:rtl/>
        </w:rPr>
        <w:t>,</w:t>
      </w:r>
      <w:r w:rsidR="00122DF9">
        <w:rPr>
          <w:rFonts w:hint="cs"/>
          <w:sz w:val="28"/>
          <w:rtl/>
        </w:rPr>
        <w:t xml:space="preserve"> </w:t>
      </w:r>
      <w:r w:rsidR="00FD2695">
        <w:rPr>
          <w:rFonts w:hint="cs"/>
          <w:sz w:val="28"/>
          <w:rtl/>
        </w:rPr>
        <w:t xml:space="preserve">צורפה לחומר הראיות, </w:t>
      </w:r>
      <w:r w:rsidR="00FD2695" w:rsidRPr="00122DF9">
        <w:rPr>
          <w:rFonts w:hint="cs"/>
          <w:b/>
          <w:bCs/>
          <w:sz w:val="28"/>
          <w:rtl/>
        </w:rPr>
        <w:t>שבוע לאחר הגשת כתב האישום</w:t>
      </w:r>
      <w:r w:rsidR="00FD2695">
        <w:rPr>
          <w:rFonts w:hint="cs"/>
          <w:sz w:val="28"/>
          <w:rtl/>
        </w:rPr>
        <w:t xml:space="preserve">, כ"השלמת ראיה" מאוחרת, </w:t>
      </w:r>
      <w:r w:rsidR="004546B2">
        <w:rPr>
          <w:rFonts w:hint="cs"/>
          <w:sz w:val="28"/>
          <w:rtl/>
        </w:rPr>
        <w:t xml:space="preserve">וזאת </w:t>
      </w:r>
      <w:r w:rsidR="00FD2695" w:rsidRPr="004546B2">
        <w:rPr>
          <w:rFonts w:hint="cs"/>
          <w:b/>
          <w:bCs/>
          <w:sz w:val="28"/>
          <w:rtl/>
        </w:rPr>
        <w:t>לאחר</w:t>
      </w:r>
      <w:r w:rsidR="00FD2695">
        <w:rPr>
          <w:rFonts w:hint="cs"/>
          <w:sz w:val="28"/>
          <w:rtl/>
        </w:rPr>
        <w:t xml:space="preserve"> שההגנה הציגה טענותיה</w:t>
      </w:r>
      <w:r w:rsidR="004546B2">
        <w:rPr>
          <w:rFonts w:hint="cs"/>
          <w:sz w:val="28"/>
          <w:rtl/>
        </w:rPr>
        <w:t xml:space="preserve"> בהקשר זה</w:t>
      </w:r>
      <w:r w:rsidR="00FD2695">
        <w:rPr>
          <w:rFonts w:hint="cs"/>
          <w:sz w:val="28"/>
          <w:rtl/>
        </w:rPr>
        <w:t xml:space="preserve"> </w:t>
      </w:r>
      <w:r w:rsidR="004546B2">
        <w:rPr>
          <w:rFonts w:hint="cs"/>
          <w:sz w:val="28"/>
          <w:rtl/>
        </w:rPr>
        <w:t xml:space="preserve">(ראו פרוטוקול דיון המעצר </w:t>
      </w:r>
      <w:r w:rsidR="009756D9">
        <w:rPr>
          <w:rFonts w:hint="cs"/>
          <w:sz w:val="28"/>
          <w:rtl/>
        </w:rPr>
        <w:t xml:space="preserve">בבית הדין המחוזי </w:t>
      </w:r>
      <w:r w:rsidR="004546B2">
        <w:rPr>
          <w:rFonts w:hint="cs"/>
          <w:sz w:val="28"/>
          <w:rtl/>
        </w:rPr>
        <w:t>מיום</w:t>
      </w:r>
      <w:r w:rsidR="000842A7">
        <w:rPr>
          <w:rFonts w:hint="cs"/>
          <w:sz w:val="28"/>
          <w:rtl/>
        </w:rPr>
        <w:t xml:space="preserve"> 11 באוקטובר 2026</w:t>
      </w:r>
      <w:r w:rsidR="004546B2">
        <w:rPr>
          <w:rFonts w:hint="cs"/>
          <w:sz w:val="28"/>
          <w:rtl/>
        </w:rPr>
        <w:t>)</w:t>
      </w:r>
      <w:r w:rsidR="00122DF9">
        <w:rPr>
          <w:rFonts w:hint="cs"/>
          <w:sz w:val="28"/>
          <w:rtl/>
        </w:rPr>
        <w:t xml:space="preserve">. </w:t>
      </w:r>
      <w:r w:rsidR="00122DF9">
        <w:rPr>
          <w:rFonts w:hint="cs"/>
          <w:sz w:val="28"/>
          <w:rtl/>
        </w:rPr>
        <w:lastRenderedPageBreak/>
        <w:t>התנהלות זו</w:t>
      </w:r>
      <w:r w:rsidR="00FD2695">
        <w:rPr>
          <w:rFonts w:hint="cs"/>
          <w:sz w:val="28"/>
          <w:rtl/>
        </w:rPr>
        <w:t xml:space="preserve"> מעוררת </w:t>
      </w:r>
      <w:r w:rsidR="00FD2695" w:rsidRPr="004546B2">
        <w:rPr>
          <w:rFonts w:hint="cs"/>
          <w:b/>
          <w:bCs/>
          <w:sz w:val="28"/>
          <w:rtl/>
        </w:rPr>
        <w:t>אי נוחות</w:t>
      </w:r>
      <w:r w:rsidR="00FD2695">
        <w:rPr>
          <w:rFonts w:hint="cs"/>
          <w:sz w:val="28"/>
          <w:rtl/>
        </w:rPr>
        <w:t xml:space="preserve"> וראויה למשקל במסגרת התמונה הכוללת. כידוע, </w:t>
      </w:r>
      <w:r w:rsidR="004546B2">
        <w:rPr>
          <w:rFonts w:hint="cs"/>
          <w:sz w:val="28"/>
          <w:rtl/>
        </w:rPr>
        <w:t>אחד מביטוייה המובהקים של ה</w:t>
      </w:r>
      <w:r w:rsidR="00FD2695">
        <w:rPr>
          <w:rFonts w:hint="cs"/>
          <w:sz w:val="28"/>
          <w:rtl/>
        </w:rPr>
        <w:t xml:space="preserve">זכות </w:t>
      </w:r>
      <w:r w:rsidR="004546B2">
        <w:rPr>
          <w:rFonts w:hint="cs"/>
          <w:sz w:val="28"/>
          <w:rtl/>
        </w:rPr>
        <w:t xml:space="preserve">להליך הוגן היא זכותו של נאשם לבנות את קו הגנתו </w:t>
      </w:r>
      <w:r w:rsidR="006413EE">
        <w:rPr>
          <w:rFonts w:hint="cs"/>
          <w:sz w:val="28"/>
          <w:rtl/>
        </w:rPr>
        <w:t xml:space="preserve">בהליך העיקרי ואף בשלב ההשגה על מעצרו, </w:t>
      </w:r>
      <w:r w:rsidR="004546B2">
        <w:rPr>
          <w:rFonts w:hint="cs"/>
          <w:sz w:val="28"/>
          <w:rtl/>
        </w:rPr>
        <w:t xml:space="preserve">בהתאם לחומר הראיות </w:t>
      </w:r>
      <w:r w:rsidR="009756D9">
        <w:rPr>
          <w:rFonts w:hint="cs"/>
          <w:sz w:val="28"/>
          <w:rtl/>
        </w:rPr>
        <w:t>שנאסף</w:t>
      </w:r>
      <w:r w:rsidR="004546B2">
        <w:rPr>
          <w:rFonts w:hint="cs"/>
          <w:sz w:val="28"/>
          <w:rtl/>
        </w:rPr>
        <w:t xml:space="preserve"> עם הגשת כתב האישום </w:t>
      </w:r>
      <w:r w:rsidR="00FD2695">
        <w:rPr>
          <w:rFonts w:hint="cs"/>
          <w:sz w:val="28"/>
          <w:rtl/>
        </w:rPr>
        <w:t>(</w:t>
      </w:r>
      <w:r w:rsidR="006413EE">
        <w:rPr>
          <w:rFonts w:hint="cs"/>
          <w:sz w:val="28"/>
          <w:rtl/>
        </w:rPr>
        <w:t>סעיף 74(א)</w:t>
      </w:r>
      <w:r w:rsidR="009756D9">
        <w:rPr>
          <w:rFonts w:hint="cs"/>
          <w:sz w:val="28"/>
          <w:rtl/>
        </w:rPr>
        <w:t xml:space="preserve">(1) </w:t>
      </w:r>
      <w:r w:rsidR="006413EE">
        <w:rPr>
          <w:rFonts w:hint="cs"/>
          <w:sz w:val="28"/>
          <w:rtl/>
        </w:rPr>
        <w:t>לחוק סדר הדין ה</w:t>
      </w:r>
      <w:r w:rsidR="009756D9">
        <w:rPr>
          <w:rFonts w:hint="cs"/>
          <w:sz w:val="28"/>
          <w:rtl/>
        </w:rPr>
        <w:t>פ</w:t>
      </w:r>
      <w:r w:rsidR="006413EE">
        <w:rPr>
          <w:rFonts w:hint="cs"/>
          <w:sz w:val="28"/>
          <w:rtl/>
        </w:rPr>
        <w:t xml:space="preserve">לילי, התשמ"ב </w:t>
      </w:r>
      <w:r w:rsidR="006413EE">
        <w:rPr>
          <w:sz w:val="28"/>
          <w:rtl/>
        </w:rPr>
        <w:t>–</w:t>
      </w:r>
      <w:r w:rsidR="006413EE">
        <w:rPr>
          <w:rFonts w:hint="cs"/>
          <w:sz w:val="28"/>
          <w:rtl/>
        </w:rPr>
        <w:t xml:space="preserve"> 1982; ובפסיקה ראו </w:t>
      </w:r>
      <w:r w:rsidR="00FD2695">
        <w:rPr>
          <w:rFonts w:hint="cs"/>
          <w:sz w:val="28"/>
          <w:rtl/>
        </w:rPr>
        <w:t xml:space="preserve">ע"פ 7218/22 </w:t>
      </w:r>
      <w:r w:rsidR="00FD2695" w:rsidRPr="00FD2695">
        <w:rPr>
          <w:rFonts w:hint="cs"/>
          <w:b/>
          <w:bCs/>
          <w:sz w:val="28"/>
          <w:rtl/>
        </w:rPr>
        <w:t>אלמלח נ' מדינת ישראל</w:t>
      </w:r>
      <w:r w:rsidR="004546B2" w:rsidRPr="004546B2">
        <w:rPr>
          <w:rFonts w:hint="cs"/>
          <w:sz w:val="28"/>
          <w:rtl/>
        </w:rPr>
        <w:t>, פסקה 126</w:t>
      </w:r>
      <w:r w:rsidR="00FD2695">
        <w:rPr>
          <w:rFonts w:hint="cs"/>
          <w:sz w:val="28"/>
          <w:rtl/>
        </w:rPr>
        <w:t xml:space="preserve"> (</w:t>
      </w:r>
      <w:r w:rsidR="004546B2">
        <w:rPr>
          <w:rFonts w:hint="cs"/>
          <w:sz w:val="28"/>
          <w:rtl/>
        </w:rPr>
        <w:t>29.1.2025</w:t>
      </w:r>
      <w:r w:rsidR="00FD2695">
        <w:rPr>
          <w:rFonts w:hint="cs"/>
          <w:sz w:val="28"/>
          <w:rtl/>
        </w:rPr>
        <w:t>))</w:t>
      </w:r>
      <w:r w:rsidR="004546B2">
        <w:rPr>
          <w:rFonts w:hint="cs"/>
          <w:sz w:val="28"/>
          <w:rtl/>
        </w:rPr>
        <w:t>. במקרים המתאימים, להתנהלות זו עשויה להיות השלכה גם על שאלת המעצר</w:t>
      </w:r>
      <w:r w:rsidR="004546B2" w:rsidRPr="004546B2">
        <w:rPr>
          <w:rtl/>
        </w:rPr>
        <w:t xml:space="preserve"> </w:t>
      </w:r>
      <w:r w:rsidR="004546B2">
        <w:rPr>
          <w:rFonts w:hint="cs"/>
          <w:sz w:val="28"/>
          <w:rtl/>
        </w:rPr>
        <w:t xml:space="preserve">(בש"פ 3048/19 </w:t>
      </w:r>
      <w:r w:rsidR="004546B2" w:rsidRPr="004546B2">
        <w:rPr>
          <w:rFonts w:hint="cs"/>
          <w:b/>
          <w:bCs/>
          <w:sz w:val="28"/>
          <w:rtl/>
        </w:rPr>
        <w:t>פלוני נ' מדינת ישראל</w:t>
      </w:r>
      <w:r w:rsidR="004546B2">
        <w:rPr>
          <w:rFonts w:hint="cs"/>
          <w:sz w:val="28"/>
          <w:rtl/>
        </w:rPr>
        <w:t xml:space="preserve"> (8.5.2019); בש"פ 8821/17 </w:t>
      </w:r>
      <w:r w:rsidR="004546B2" w:rsidRPr="004546B2">
        <w:rPr>
          <w:rFonts w:hint="cs"/>
          <w:b/>
          <w:bCs/>
          <w:sz w:val="28"/>
          <w:rtl/>
        </w:rPr>
        <w:t>בן דוד נ' מדינת ישראל</w:t>
      </w:r>
      <w:r w:rsidR="004546B2">
        <w:rPr>
          <w:rFonts w:hint="cs"/>
          <w:sz w:val="28"/>
          <w:rtl/>
        </w:rPr>
        <w:t xml:space="preserve"> (22.11.2017)</w:t>
      </w:r>
      <w:r>
        <w:rPr>
          <w:rFonts w:hint="cs"/>
          <w:sz w:val="28"/>
          <w:rtl/>
        </w:rPr>
        <w:t xml:space="preserve">; ע"מ 70248-11-25 </w:t>
      </w:r>
      <w:r w:rsidRPr="00683848">
        <w:rPr>
          <w:rFonts w:hint="cs"/>
          <w:b/>
          <w:bCs/>
          <w:sz w:val="28"/>
          <w:rtl/>
        </w:rPr>
        <w:t>טור' ברמי נ' התובע הצבאי הראשי</w:t>
      </w:r>
      <w:r>
        <w:rPr>
          <w:rFonts w:hint="cs"/>
          <w:sz w:val="28"/>
          <w:rtl/>
        </w:rPr>
        <w:t xml:space="preserve"> (2025)</w:t>
      </w:r>
      <w:r w:rsidR="004546B2">
        <w:rPr>
          <w:rFonts w:hint="cs"/>
          <w:sz w:val="28"/>
          <w:rtl/>
        </w:rPr>
        <w:t xml:space="preserve">). </w:t>
      </w:r>
      <w:r w:rsidR="009756D9">
        <w:rPr>
          <w:rFonts w:hint="cs"/>
          <w:sz w:val="28"/>
          <w:rtl/>
        </w:rPr>
        <w:t xml:space="preserve">גם בנסיבות מקרה זה ראוי היה שגורמי התביעה הצבאית ישקדו על איסוף </w:t>
      </w:r>
      <w:r w:rsidR="009756D9" w:rsidRPr="000842A7">
        <w:rPr>
          <w:rFonts w:hint="cs"/>
          <w:b/>
          <w:bCs/>
          <w:sz w:val="28"/>
          <w:rtl/>
        </w:rPr>
        <w:t>מלוא</w:t>
      </w:r>
      <w:r w:rsidR="009756D9">
        <w:rPr>
          <w:rFonts w:hint="cs"/>
          <w:sz w:val="28"/>
          <w:rtl/>
        </w:rPr>
        <w:t xml:space="preserve"> החומר מלשכת הגיוס לפני הגשת כתב האישום. </w:t>
      </w:r>
    </w:p>
    <w:p w14:paraId="5C46E4C7" w14:textId="77777777" w:rsidR="00D70000" w:rsidRPr="00D70000" w:rsidRDefault="00D70000" w:rsidP="009756D9">
      <w:pPr>
        <w:spacing w:line="360" w:lineRule="auto"/>
        <w:ind w:left="-58"/>
        <w:contextualSpacing/>
        <w:jc w:val="both"/>
        <w:rPr>
          <w:sz w:val="16"/>
          <w:szCs w:val="16"/>
          <w:rtl/>
        </w:rPr>
      </w:pPr>
    </w:p>
    <w:p w14:paraId="7915850E" w14:textId="77777777" w:rsidR="008F7BE4" w:rsidRPr="008F7BE4" w:rsidRDefault="003C04BB" w:rsidP="00796D3C">
      <w:pPr>
        <w:pStyle w:val="Heading1"/>
      </w:pPr>
      <w:r w:rsidRPr="008F7BE4">
        <w:rPr>
          <w:rFonts w:hint="cs"/>
          <w:rtl/>
        </w:rPr>
        <w:t>סוף דבר</w:t>
      </w:r>
    </w:p>
    <w:p w14:paraId="499E6199" w14:textId="77777777" w:rsidR="008F7BE4" w:rsidRDefault="009756D9" w:rsidP="009756D9">
      <w:pPr>
        <w:spacing w:line="360" w:lineRule="auto"/>
        <w:contextualSpacing/>
        <w:jc w:val="both"/>
        <w:rPr>
          <w:sz w:val="28"/>
          <w:rtl/>
        </w:rPr>
      </w:pPr>
      <w:r>
        <w:rPr>
          <w:rFonts w:hint="cs"/>
          <w:sz w:val="28"/>
          <w:rtl/>
        </w:rPr>
        <w:t>2</w:t>
      </w:r>
      <w:r w:rsidR="00DE292D">
        <w:rPr>
          <w:rFonts w:hint="cs"/>
          <w:sz w:val="28"/>
          <w:rtl/>
        </w:rPr>
        <w:t>3</w:t>
      </w:r>
      <w:r>
        <w:rPr>
          <w:rFonts w:hint="cs"/>
          <w:sz w:val="28"/>
          <w:rtl/>
        </w:rPr>
        <w:t xml:space="preserve">. </w:t>
      </w:r>
      <w:r w:rsidRPr="009756D9">
        <w:rPr>
          <w:sz w:val="28"/>
          <w:rtl/>
        </w:rPr>
        <w:t>טרם חתימה אעיר כי לא נעלמה מעיניי עובדת אי התייצבות המשיב גם לשני הזימונים המאוחרים להוצאת הצו. אין חולק</w:t>
      </w:r>
      <w:r>
        <w:rPr>
          <w:rFonts w:hint="cs"/>
          <w:sz w:val="28"/>
          <w:rtl/>
        </w:rPr>
        <w:t xml:space="preserve">, </w:t>
      </w:r>
      <w:r w:rsidRPr="009756D9">
        <w:rPr>
          <w:sz w:val="28"/>
          <w:rtl/>
        </w:rPr>
        <w:t>כי מן הראיות לכאורה עולה תמונה כוללת של אי שיתוף פעולה נמשך מצד המשיב, שהוא שיקול מהותי שיש לשקלל בראי הבטלות היחסית.</w:t>
      </w:r>
      <w:r>
        <w:rPr>
          <w:rFonts w:hint="cs"/>
          <w:sz w:val="28"/>
          <w:rtl/>
        </w:rPr>
        <w:t xml:space="preserve"> </w:t>
      </w:r>
      <w:r w:rsidR="003C04BB" w:rsidRPr="008F7BE4">
        <w:rPr>
          <w:sz w:val="28"/>
          <w:rtl/>
        </w:rPr>
        <w:t xml:space="preserve">סימני השאלה אינם שומטים את הקרקע תחת פוטנציאל הראיות לכאורה והסיכוי הסביר להרשעתו של </w:t>
      </w:r>
      <w:r w:rsidR="008E6AD4">
        <w:rPr>
          <w:rFonts w:hint="cs"/>
          <w:sz w:val="28"/>
          <w:rtl/>
        </w:rPr>
        <w:t>המשיב</w:t>
      </w:r>
      <w:r w:rsidR="003C04BB" w:rsidRPr="008F7BE4">
        <w:rPr>
          <w:sz w:val="28"/>
          <w:rtl/>
        </w:rPr>
        <w:t xml:space="preserve"> במיוחס לו (</w:t>
      </w:r>
      <w:r w:rsidR="008E6AD4" w:rsidRPr="008F7BE4">
        <w:rPr>
          <w:sz w:val="28"/>
          <w:rtl/>
        </w:rPr>
        <w:t xml:space="preserve">בש"פ 8087/95 </w:t>
      </w:r>
      <w:r w:rsidR="008E6AD4" w:rsidRPr="008F7BE4">
        <w:rPr>
          <w:b/>
          <w:bCs/>
          <w:sz w:val="28"/>
          <w:rtl/>
        </w:rPr>
        <w:t>זאדה נ' מדינת ישראל</w:t>
      </w:r>
      <w:r w:rsidR="008E6AD4" w:rsidRPr="008F7BE4">
        <w:rPr>
          <w:rFonts w:hint="cs"/>
          <w:sz w:val="28"/>
          <w:rtl/>
        </w:rPr>
        <w:t xml:space="preserve">, </w:t>
      </w:r>
      <w:r w:rsidR="008E6AD4" w:rsidRPr="008F7BE4">
        <w:rPr>
          <w:sz w:val="28"/>
          <w:rtl/>
        </w:rPr>
        <w:t>פ"ד נ(ג) 133, 151 (1996))</w:t>
      </w:r>
      <w:r w:rsidR="003C04BB" w:rsidRPr="008F7BE4">
        <w:rPr>
          <w:sz w:val="28"/>
          <w:rtl/>
        </w:rPr>
        <w:t xml:space="preserve">. </w:t>
      </w:r>
    </w:p>
    <w:p w14:paraId="5C12F9A1" w14:textId="77777777" w:rsidR="008F7BE4" w:rsidRPr="009756D9" w:rsidRDefault="009756D9" w:rsidP="009756D9">
      <w:pPr>
        <w:spacing w:line="360" w:lineRule="auto"/>
        <w:contextualSpacing/>
        <w:jc w:val="both"/>
        <w:rPr>
          <w:sz w:val="28"/>
        </w:rPr>
      </w:pPr>
      <w:r>
        <w:rPr>
          <w:rFonts w:hint="cs"/>
          <w:sz w:val="28"/>
          <w:rtl/>
        </w:rPr>
        <w:t>2</w:t>
      </w:r>
      <w:r w:rsidR="00DE292D">
        <w:rPr>
          <w:rFonts w:hint="cs"/>
          <w:sz w:val="28"/>
          <w:rtl/>
        </w:rPr>
        <w:t>4</w:t>
      </w:r>
      <w:r>
        <w:rPr>
          <w:rFonts w:hint="cs"/>
          <w:sz w:val="28"/>
          <w:rtl/>
        </w:rPr>
        <w:t xml:space="preserve">. </w:t>
      </w:r>
      <w:r w:rsidR="003C04BB" w:rsidRPr="008F7BE4">
        <w:rPr>
          <w:rFonts w:hint="cs"/>
          <w:sz w:val="28"/>
          <w:rtl/>
        </w:rPr>
        <w:t>מש</w:t>
      </w:r>
      <w:r w:rsidR="00AB704D">
        <w:rPr>
          <w:rFonts w:hint="cs"/>
          <w:sz w:val="28"/>
          <w:rtl/>
        </w:rPr>
        <w:t xml:space="preserve">נאספו </w:t>
      </w:r>
      <w:r w:rsidR="003C04BB" w:rsidRPr="008F7BE4">
        <w:rPr>
          <w:rFonts w:hint="cs"/>
          <w:sz w:val="28"/>
          <w:rtl/>
        </w:rPr>
        <w:t xml:space="preserve">ראיות לכאורה להשתמטות מן השירות הצבאי בת למעלה מ </w:t>
      </w:r>
      <w:r w:rsidR="003C04BB" w:rsidRPr="008F7BE4">
        <w:rPr>
          <w:sz w:val="28"/>
          <w:rtl/>
        </w:rPr>
        <w:t>–</w:t>
      </w:r>
      <w:r w:rsidR="003C04BB" w:rsidRPr="008F7BE4">
        <w:rPr>
          <w:rFonts w:hint="cs"/>
          <w:sz w:val="28"/>
          <w:rtl/>
        </w:rPr>
        <w:t xml:space="preserve"> 600 ימים, שלא הסתיימה אלא </w:t>
      </w:r>
      <w:r w:rsidR="003C04BB" w:rsidRPr="008F7BE4">
        <w:rPr>
          <w:rFonts w:hint="cs"/>
          <w:b/>
          <w:bCs/>
          <w:sz w:val="28"/>
          <w:rtl/>
        </w:rPr>
        <w:t>במעצרו</w:t>
      </w:r>
      <w:r w:rsidR="003C04BB" w:rsidRPr="008F7BE4">
        <w:rPr>
          <w:rFonts w:hint="cs"/>
          <w:sz w:val="28"/>
          <w:rtl/>
        </w:rPr>
        <w:t xml:space="preserve"> של המשיב, בהתאם להלכה הפסוקה, מתקיימת עילת המעצר הקלאסית של החשש להמלטות מאימת הדין</w:t>
      </w:r>
      <w:r w:rsidR="008E6AD4">
        <w:rPr>
          <w:rFonts w:hint="cs"/>
          <w:sz w:val="28"/>
          <w:rtl/>
        </w:rPr>
        <w:t xml:space="preserve"> </w:t>
      </w:r>
      <w:r w:rsidR="008E6AD4" w:rsidRPr="008F7BE4">
        <w:rPr>
          <w:rFonts w:hint="cs"/>
          <w:sz w:val="28"/>
          <w:rtl/>
        </w:rPr>
        <w:t>(</w:t>
      </w:r>
      <w:r w:rsidR="008E6AD4">
        <w:rPr>
          <w:rFonts w:hint="cs"/>
          <w:sz w:val="28"/>
          <w:rtl/>
        </w:rPr>
        <w:t xml:space="preserve">למשל, ע"מ 26-24/21 </w:t>
      </w:r>
      <w:r w:rsidR="008E6AD4" w:rsidRPr="008E6AD4">
        <w:rPr>
          <w:rFonts w:hint="cs"/>
          <w:b/>
          <w:bCs/>
          <w:sz w:val="28"/>
          <w:rtl/>
        </w:rPr>
        <w:t xml:space="preserve">טור' התרסי נ' </w:t>
      </w:r>
      <w:r w:rsidR="00683848">
        <w:rPr>
          <w:rFonts w:hint="cs"/>
          <w:b/>
          <w:bCs/>
          <w:sz w:val="28"/>
          <w:rtl/>
        </w:rPr>
        <w:t>התובע הצבאי הראשי</w:t>
      </w:r>
      <w:r w:rsidR="008E6AD4">
        <w:rPr>
          <w:rFonts w:hint="cs"/>
          <w:sz w:val="28"/>
          <w:rtl/>
        </w:rPr>
        <w:t>, פסקה 86 (2021)</w:t>
      </w:r>
      <w:r w:rsidR="008E6AD4" w:rsidRPr="008F7BE4">
        <w:rPr>
          <w:rFonts w:hint="cs"/>
          <w:sz w:val="28"/>
          <w:rtl/>
        </w:rPr>
        <w:t>)</w:t>
      </w:r>
      <w:r w:rsidR="008E6AD4">
        <w:rPr>
          <w:rFonts w:hint="cs"/>
          <w:sz w:val="28"/>
          <w:rtl/>
        </w:rPr>
        <w:t xml:space="preserve">, </w:t>
      </w:r>
      <w:r w:rsidR="003C04BB" w:rsidRPr="008F7BE4">
        <w:rPr>
          <w:rFonts w:hint="cs"/>
          <w:sz w:val="28"/>
          <w:rtl/>
        </w:rPr>
        <w:t>לצד עילות המעצר הייחודיות למסגרת הצבאית והן מסוכנות צבאית וחשש לפגיעה חריפה במשמעת הצבאית</w:t>
      </w:r>
      <w:r>
        <w:rPr>
          <w:rFonts w:hint="cs"/>
          <w:sz w:val="28"/>
          <w:rtl/>
        </w:rPr>
        <w:t>.</w:t>
      </w:r>
      <w:r w:rsidR="004F666C">
        <w:rPr>
          <w:rFonts w:hint="cs"/>
          <w:sz w:val="28"/>
          <w:rtl/>
        </w:rPr>
        <w:t xml:space="preserve"> </w:t>
      </w:r>
      <w:r w:rsidR="003C04BB" w:rsidRPr="008F7BE4">
        <w:rPr>
          <w:rFonts w:hint="cs"/>
          <w:sz w:val="28"/>
          <w:rtl/>
        </w:rPr>
        <w:t>עוצמתן גבוהה עוד יותר כשההשתמטות הנטענת כולה היא במהלך מלחמה רב-זירתית קשה ונמשכת (ע"מ</w:t>
      </w:r>
      <w:r w:rsidR="008E6AD4">
        <w:rPr>
          <w:rFonts w:hint="cs"/>
          <w:sz w:val="28"/>
          <w:rtl/>
        </w:rPr>
        <w:t xml:space="preserve"> 23443-03-25 </w:t>
      </w:r>
      <w:r w:rsidR="008E6AD4" w:rsidRPr="008E6AD4">
        <w:rPr>
          <w:rFonts w:hint="cs"/>
          <w:b/>
          <w:bCs/>
          <w:sz w:val="28"/>
          <w:rtl/>
        </w:rPr>
        <w:t xml:space="preserve">טור' גוב נ' </w:t>
      </w:r>
      <w:r w:rsidR="00683848">
        <w:rPr>
          <w:rFonts w:hint="cs"/>
          <w:b/>
          <w:bCs/>
          <w:sz w:val="28"/>
          <w:rtl/>
        </w:rPr>
        <w:t>התובע הצבאי הראשי</w:t>
      </w:r>
      <w:r w:rsidR="008E6AD4">
        <w:rPr>
          <w:rFonts w:hint="cs"/>
          <w:sz w:val="28"/>
          <w:rtl/>
        </w:rPr>
        <w:t>, פסקה 19 (2025)</w:t>
      </w:r>
      <w:r w:rsidR="003C04BB" w:rsidRPr="008F7BE4">
        <w:rPr>
          <w:rFonts w:hint="cs"/>
          <w:sz w:val="28"/>
          <w:rtl/>
        </w:rPr>
        <w:t xml:space="preserve">). </w:t>
      </w:r>
    </w:p>
    <w:p w14:paraId="5EFF8787" w14:textId="77777777" w:rsidR="009756D9" w:rsidRDefault="009756D9" w:rsidP="009756D9">
      <w:pPr>
        <w:spacing w:line="360" w:lineRule="auto"/>
        <w:contextualSpacing/>
        <w:jc w:val="both"/>
        <w:rPr>
          <w:b/>
          <w:bCs/>
          <w:sz w:val="28"/>
          <w:rtl/>
        </w:rPr>
      </w:pPr>
      <w:r>
        <w:rPr>
          <w:rFonts w:hint="cs"/>
          <w:sz w:val="28"/>
          <w:rtl/>
        </w:rPr>
        <w:t>2</w:t>
      </w:r>
      <w:r w:rsidR="00DE292D">
        <w:rPr>
          <w:rFonts w:hint="cs"/>
          <w:sz w:val="28"/>
          <w:rtl/>
        </w:rPr>
        <w:t>5</w:t>
      </w:r>
      <w:r>
        <w:rPr>
          <w:rFonts w:hint="cs"/>
          <w:sz w:val="28"/>
          <w:rtl/>
        </w:rPr>
        <w:t xml:space="preserve">. </w:t>
      </w:r>
      <w:r w:rsidR="003C04BB" w:rsidRPr="008F7BE4">
        <w:rPr>
          <w:rFonts w:hint="cs"/>
          <w:sz w:val="28"/>
          <w:rtl/>
        </w:rPr>
        <w:t>עם זאת, כמפורט לעיל, מתעוררות במקרה דנן שאלות משפטיות וראייתיות כבדות משקל, המחייבות ליבון והעמקה</w:t>
      </w:r>
      <w:r w:rsidR="003E64E4">
        <w:rPr>
          <w:rFonts w:hint="cs"/>
          <w:sz w:val="28"/>
          <w:rtl/>
        </w:rPr>
        <w:t xml:space="preserve">, </w:t>
      </w:r>
      <w:r w:rsidR="003C04BB" w:rsidRPr="008F7BE4">
        <w:rPr>
          <w:rFonts w:hint="cs"/>
          <w:sz w:val="28"/>
          <w:rtl/>
        </w:rPr>
        <w:t>המשליכות על הנכונות להסתפק בחלופת  מעצר (ראו</w:t>
      </w:r>
      <w:r w:rsidR="00FA2BD2">
        <w:rPr>
          <w:rFonts w:hint="cs"/>
          <w:sz w:val="28"/>
          <w:rtl/>
        </w:rPr>
        <w:t xml:space="preserve"> בדומה ע"מ 5/13 </w:t>
      </w:r>
      <w:r w:rsidR="00FA2BD2" w:rsidRPr="00FA2BD2">
        <w:rPr>
          <w:rFonts w:hint="cs"/>
          <w:b/>
          <w:bCs/>
          <w:sz w:val="28"/>
          <w:rtl/>
        </w:rPr>
        <w:t>התובע הצבאי הראשי נ' טור' מלחם</w:t>
      </w:r>
      <w:r w:rsidR="00FA2BD2">
        <w:rPr>
          <w:rFonts w:hint="cs"/>
          <w:sz w:val="28"/>
          <w:rtl/>
        </w:rPr>
        <w:t xml:space="preserve"> (2013); וכן</w:t>
      </w:r>
      <w:r w:rsidR="003C04BB" w:rsidRPr="008F7BE4">
        <w:rPr>
          <w:rFonts w:hint="cs"/>
          <w:sz w:val="28"/>
          <w:rtl/>
        </w:rPr>
        <w:t xml:space="preserve">, </w:t>
      </w:r>
      <w:r w:rsidR="00F307E4">
        <w:rPr>
          <w:rFonts w:hint="cs"/>
          <w:sz w:val="28"/>
          <w:rtl/>
        </w:rPr>
        <w:t>עניין</w:t>
      </w:r>
      <w:r w:rsidR="003C04BB" w:rsidRPr="008F7BE4">
        <w:rPr>
          <w:rFonts w:hint="cs"/>
          <w:b/>
          <w:bCs/>
          <w:sz w:val="28"/>
          <w:rtl/>
        </w:rPr>
        <w:t xml:space="preserve"> אלבז</w:t>
      </w:r>
      <w:r w:rsidR="003C04BB" w:rsidRPr="008F7BE4">
        <w:rPr>
          <w:rFonts w:hint="cs"/>
          <w:sz w:val="28"/>
          <w:rtl/>
        </w:rPr>
        <w:t xml:space="preserve"> </w:t>
      </w:r>
      <w:r w:rsidR="00F307E4">
        <w:rPr>
          <w:rFonts w:hint="cs"/>
          <w:sz w:val="28"/>
          <w:rtl/>
        </w:rPr>
        <w:t>לעיל</w:t>
      </w:r>
      <w:r w:rsidR="003C04BB" w:rsidRPr="008F7BE4">
        <w:rPr>
          <w:rFonts w:hint="cs"/>
          <w:sz w:val="28"/>
          <w:rtl/>
        </w:rPr>
        <w:t>; ע</w:t>
      </w:r>
      <w:r w:rsidR="003C04BB" w:rsidRPr="008F7BE4">
        <w:rPr>
          <w:sz w:val="28"/>
          <w:rtl/>
        </w:rPr>
        <w:t>"</w:t>
      </w:r>
      <w:r w:rsidR="003C04BB" w:rsidRPr="008F7BE4">
        <w:rPr>
          <w:rFonts w:hint="cs"/>
          <w:sz w:val="28"/>
          <w:rtl/>
        </w:rPr>
        <w:t>מ</w:t>
      </w:r>
      <w:r w:rsidR="003C04BB" w:rsidRPr="008F7BE4">
        <w:rPr>
          <w:sz w:val="28"/>
          <w:rtl/>
        </w:rPr>
        <w:t xml:space="preserve"> 12/20</w:t>
      </w:r>
      <w:r w:rsidR="003C04BB" w:rsidRPr="008F7BE4">
        <w:rPr>
          <w:b/>
          <w:bCs/>
          <w:sz w:val="28"/>
          <w:rtl/>
        </w:rPr>
        <w:t xml:space="preserve"> </w:t>
      </w:r>
      <w:r w:rsidR="00683848">
        <w:rPr>
          <w:rFonts w:hint="cs"/>
          <w:b/>
          <w:bCs/>
          <w:sz w:val="28"/>
          <w:rtl/>
        </w:rPr>
        <w:t>התובע הצבאי הראשי</w:t>
      </w:r>
      <w:r w:rsidR="003C04BB" w:rsidRPr="008F7BE4">
        <w:rPr>
          <w:b/>
          <w:bCs/>
          <w:sz w:val="28"/>
          <w:rtl/>
        </w:rPr>
        <w:t xml:space="preserve"> </w:t>
      </w:r>
      <w:r w:rsidR="003C04BB" w:rsidRPr="008F7BE4">
        <w:rPr>
          <w:rFonts w:hint="cs"/>
          <w:b/>
          <w:bCs/>
          <w:sz w:val="28"/>
          <w:rtl/>
        </w:rPr>
        <w:t>נ</w:t>
      </w:r>
      <w:r w:rsidR="003C04BB" w:rsidRPr="008F7BE4">
        <w:rPr>
          <w:b/>
          <w:bCs/>
          <w:sz w:val="28"/>
          <w:rtl/>
        </w:rPr>
        <w:t xml:space="preserve">' </w:t>
      </w:r>
      <w:r w:rsidR="003C04BB" w:rsidRPr="008F7BE4">
        <w:rPr>
          <w:rFonts w:hint="cs"/>
          <w:b/>
          <w:bCs/>
          <w:sz w:val="28"/>
          <w:rtl/>
        </w:rPr>
        <w:t>טור</w:t>
      </w:r>
      <w:r w:rsidR="003C04BB" w:rsidRPr="008F7BE4">
        <w:rPr>
          <w:b/>
          <w:bCs/>
          <w:sz w:val="28"/>
          <w:rtl/>
        </w:rPr>
        <w:t xml:space="preserve">' </w:t>
      </w:r>
      <w:r w:rsidR="003C04BB" w:rsidRPr="008F7BE4">
        <w:rPr>
          <w:rFonts w:hint="cs"/>
          <w:b/>
          <w:bCs/>
          <w:sz w:val="28"/>
          <w:rtl/>
        </w:rPr>
        <w:t>חדד</w:t>
      </w:r>
      <w:r w:rsidR="003C04BB" w:rsidRPr="008F7BE4">
        <w:rPr>
          <w:b/>
          <w:bCs/>
          <w:sz w:val="28"/>
          <w:rtl/>
        </w:rPr>
        <w:t xml:space="preserve"> </w:t>
      </w:r>
      <w:r w:rsidR="003C04BB" w:rsidRPr="008F7BE4">
        <w:rPr>
          <w:sz w:val="28"/>
          <w:rtl/>
        </w:rPr>
        <w:t>(2020</w:t>
      </w:r>
      <w:r w:rsidR="003C04BB" w:rsidRPr="008F7BE4">
        <w:rPr>
          <w:rFonts w:hint="cs"/>
          <w:sz w:val="28"/>
          <w:rtl/>
        </w:rPr>
        <w:t>))</w:t>
      </w:r>
      <w:r w:rsidR="00122DF9">
        <w:rPr>
          <w:rFonts w:hint="cs"/>
          <w:sz w:val="28"/>
          <w:rtl/>
        </w:rPr>
        <w:t>.</w:t>
      </w:r>
      <w:r w:rsidR="003C04BB" w:rsidRPr="008F7BE4">
        <w:rPr>
          <w:rFonts w:hint="cs"/>
          <w:sz w:val="28"/>
          <w:rtl/>
        </w:rPr>
        <w:t xml:space="preserve"> </w:t>
      </w:r>
      <w:r w:rsidR="00122DF9">
        <w:rPr>
          <w:rFonts w:hint="cs"/>
          <w:sz w:val="28"/>
          <w:rtl/>
        </w:rPr>
        <w:t xml:space="preserve">לאור </w:t>
      </w:r>
      <w:r w:rsidR="00722961">
        <w:rPr>
          <w:rFonts w:hint="cs"/>
          <w:sz w:val="28"/>
          <w:rtl/>
        </w:rPr>
        <w:t xml:space="preserve">השאלות </w:t>
      </w:r>
      <w:r w:rsidR="00122DF9">
        <w:rPr>
          <w:rFonts w:hint="cs"/>
          <w:sz w:val="28"/>
          <w:rtl/>
        </w:rPr>
        <w:t>הנוגעות לאופן הפעלת שיקול הדעת, ל</w:t>
      </w:r>
      <w:r w:rsidR="00122DF9" w:rsidRPr="008F7BE4">
        <w:rPr>
          <w:rFonts w:hint="cs"/>
          <w:sz w:val="28"/>
          <w:rtl/>
        </w:rPr>
        <w:t>חללים הראייתיים</w:t>
      </w:r>
      <w:r w:rsidR="00122DF9">
        <w:rPr>
          <w:rFonts w:hint="cs"/>
          <w:sz w:val="28"/>
          <w:rtl/>
        </w:rPr>
        <w:t xml:space="preserve"> הנוספים</w:t>
      </w:r>
      <w:r w:rsidR="00122DF9" w:rsidRPr="008F7BE4">
        <w:rPr>
          <w:rFonts w:hint="cs"/>
          <w:sz w:val="28"/>
          <w:rtl/>
        </w:rPr>
        <w:t xml:space="preserve"> </w:t>
      </w:r>
      <w:r w:rsidR="00122DF9">
        <w:rPr>
          <w:rFonts w:hint="cs"/>
          <w:sz w:val="28"/>
          <w:rtl/>
        </w:rPr>
        <w:t>עליהם עמד בית הדין קמא</w:t>
      </w:r>
      <w:r w:rsidR="00722961">
        <w:rPr>
          <w:rFonts w:hint="cs"/>
          <w:sz w:val="28"/>
          <w:rtl/>
        </w:rPr>
        <w:t xml:space="preserve"> (גם אם ניתן היה להתגבר עליהם, אילו עמדו לבדם)</w:t>
      </w:r>
      <w:r>
        <w:rPr>
          <w:rFonts w:hint="cs"/>
          <w:sz w:val="28"/>
          <w:rtl/>
        </w:rPr>
        <w:t>, להתנהלות התביעה הצבאית ב"השלמת ראיה מאוחרת"</w:t>
      </w:r>
      <w:r w:rsidR="00122DF9">
        <w:rPr>
          <w:rFonts w:hint="cs"/>
          <w:sz w:val="28"/>
          <w:rtl/>
        </w:rPr>
        <w:t xml:space="preserve"> </w:t>
      </w:r>
      <w:r w:rsidR="00122DF9" w:rsidRPr="008F7BE4">
        <w:rPr>
          <w:rFonts w:hint="cs"/>
          <w:sz w:val="28"/>
          <w:rtl/>
        </w:rPr>
        <w:t>ו</w:t>
      </w:r>
      <w:r w:rsidR="00122DF9">
        <w:rPr>
          <w:rFonts w:hint="cs"/>
          <w:sz w:val="28"/>
          <w:rtl/>
        </w:rPr>
        <w:t>ל</w:t>
      </w:r>
      <w:r w:rsidR="00122DF9" w:rsidRPr="008F7BE4">
        <w:rPr>
          <w:rFonts w:hint="cs"/>
          <w:sz w:val="28"/>
          <w:rtl/>
        </w:rPr>
        <w:t>תקופת ההיעדרות הכוללת</w:t>
      </w:r>
      <w:r w:rsidR="003E64E4">
        <w:rPr>
          <w:rFonts w:hint="cs"/>
          <w:sz w:val="28"/>
          <w:rtl/>
        </w:rPr>
        <w:t>,</w:t>
      </w:r>
      <w:r w:rsidR="00122DF9">
        <w:rPr>
          <w:rFonts w:hint="cs"/>
          <w:sz w:val="28"/>
          <w:rtl/>
        </w:rPr>
        <w:t xml:space="preserve"> </w:t>
      </w:r>
      <w:r w:rsidR="00722961">
        <w:rPr>
          <w:rFonts w:hint="cs"/>
          <w:sz w:val="28"/>
          <w:rtl/>
        </w:rPr>
        <w:t>הרי ש</w:t>
      </w:r>
      <w:r w:rsidR="00FD2695">
        <w:rPr>
          <w:rFonts w:hint="cs"/>
          <w:sz w:val="28"/>
          <w:rtl/>
        </w:rPr>
        <w:t>"</w:t>
      </w:r>
      <w:r w:rsidR="00FD2695" w:rsidRPr="008F7BE4">
        <w:rPr>
          <w:rFonts w:ascii="David" w:hAnsi="David"/>
          <w:sz w:val="28"/>
          <w:rtl/>
        </w:rPr>
        <w:t xml:space="preserve">אף אם תאמר, שבנסיבות דנן </w:t>
      </w:r>
      <w:r w:rsidR="003C04BB" w:rsidRPr="008F7BE4">
        <w:rPr>
          <w:rFonts w:hint="cs"/>
          <w:sz w:val="28"/>
          <w:rtl/>
        </w:rPr>
        <w:t>-</w:t>
      </w:r>
      <w:r w:rsidR="00FD2695" w:rsidRPr="00FD2695">
        <w:rPr>
          <w:rFonts w:ascii="David" w:hAnsi="David"/>
          <w:sz w:val="28"/>
          <w:rtl/>
        </w:rPr>
        <w:t xml:space="preserve"> </w:t>
      </w:r>
      <w:r w:rsidR="00FD2695" w:rsidRPr="008F7BE4">
        <w:rPr>
          <w:rFonts w:ascii="David" w:hAnsi="David"/>
          <w:sz w:val="28"/>
          <w:rtl/>
        </w:rPr>
        <w:t>המדובר</w:t>
      </w:r>
      <w:r w:rsidR="00FD2695" w:rsidRPr="008F7BE4">
        <w:rPr>
          <w:rFonts w:ascii="David" w:hAnsi="David"/>
          <w:b/>
          <w:bCs/>
          <w:sz w:val="28"/>
          <w:rtl/>
        </w:rPr>
        <w:t xml:space="preserve"> </w:t>
      </w:r>
      <w:r w:rsidR="00FD2695" w:rsidRPr="008F7BE4">
        <w:rPr>
          <w:rFonts w:ascii="David" w:hAnsi="David"/>
          <w:sz w:val="28"/>
          <w:rtl/>
        </w:rPr>
        <w:t>במקרה 'גבולי', אשר איפשר הגעה לתוצאה אחרת</w:t>
      </w:r>
      <w:r w:rsidR="00722961">
        <w:rPr>
          <w:rFonts w:ascii="David" w:hAnsi="David" w:hint="cs"/>
          <w:sz w:val="28"/>
          <w:rtl/>
        </w:rPr>
        <w:t xml:space="preserve"> -</w:t>
      </w:r>
      <w:r w:rsidR="00722961" w:rsidRPr="008F7BE4">
        <w:rPr>
          <w:rFonts w:ascii="David" w:hAnsi="David"/>
          <w:sz w:val="28"/>
          <w:rtl/>
        </w:rPr>
        <w:t xml:space="preserve"> </w:t>
      </w:r>
      <w:r w:rsidR="00FD2695" w:rsidRPr="008F7BE4">
        <w:rPr>
          <w:rFonts w:ascii="David" w:hAnsi="David"/>
          <w:sz w:val="28"/>
          <w:rtl/>
        </w:rPr>
        <w:t>אין הדבר מצדיק התערבות בהחלטת הערכאה קמא"</w:t>
      </w:r>
      <w:r w:rsidR="00722961">
        <w:rPr>
          <w:rFonts w:ascii="David" w:hAnsi="David" w:hint="cs"/>
          <w:sz w:val="28"/>
          <w:rtl/>
        </w:rPr>
        <w:t xml:space="preserve"> </w:t>
      </w:r>
      <w:r w:rsidR="00FD2695" w:rsidRPr="008F7BE4">
        <w:rPr>
          <w:rFonts w:ascii="David" w:hAnsi="David"/>
          <w:sz w:val="28"/>
          <w:rtl/>
        </w:rPr>
        <w:t xml:space="preserve">(ע"מ/24/00 </w:t>
      </w:r>
      <w:r w:rsidR="00683848">
        <w:rPr>
          <w:rFonts w:ascii="David" w:hAnsi="David" w:hint="cs"/>
          <w:b/>
          <w:bCs/>
          <w:sz w:val="28"/>
          <w:rtl/>
        </w:rPr>
        <w:t>התובע הצבאי הראשי</w:t>
      </w:r>
      <w:r w:rsidR="00FD2695" w:rsidRPr="008F7BE4">
        <w:rPr>
          <w:rFonts w:ascii="David" w:hAnsi="David"/>
          <w:b/>
          <w:bCs/>
          <w:sz w:val="28"/>
          <w:rtl/>
        </w:rPr>
        <w:t xml:space="preserve"> נ' רב"ט חבושה </w:t>
      </w:r>
      <w:r w:rsidR="00FD2695" w:rsidRPr="008F7BE4">
        <w:rPr>
          <w:rFonts w:ascii="David" w:hAnsi="David"/>
          <w:sz w:val="28"/>
          <w:rtl/>
        </w:rPr>
        <w:t>(2000))</w:t>
      </w:r>
      <w:r>
        <w:rPr>
          <w:rFonts w:ascii="David" w:hAnsi="David" w:hint="cs"/>
          <w:sz w:val="28"/>
          <w:rtl/>
        </w:rPr>
        <w:t xml:space="preserve">. </w:t>
      </w:r>
    </w:p>
    <w:p w14:paraId="0BFF316B" w14:textId="77777777" w:rsidR="008F7BE4" w:rsidRPr="009756D9" w:rsidRDefault="009756D9" w:rsidP="009756D9">
      <w:pPr>
        <w:spacing w:line="360" w:lineRule="auto"/>
        <w:contextualSpacing/>
        <w:jc w:val="both"/>
        <w:rPr>
          <w:b/>
          <w:bCs/>
          <w:sz w:val="28"/>
          <w:rtl/>
        </w:rPr>
      </w:pPr>
      <w:r w:rsidRPr="009756D9">
        <w:rPr>
          <w:rFonts w:hint="cs"/>
          <w:sz w:val="28"/>
          <w:rtl/>
        </w:rPr>
        <w:lastRenderedPageBreak/>
        <w:t>2</w:t>
      </w:r>
      <w:r w:rsidR="00DE292D">
        <w:rPr>
          <w:rFonts w:hint="cs"/>
          <w:sz w:val="28"/>
          <w:rtl/>
        </w:rPr>
        <w:t>6</w:t>
      </w:r>
      <w:r w:rsidRPr="009756D9">
        <w:rPr>
          <w:rFonts w:hint="cs"/>
          <w:sz w:val="28"/>
          <w:rtl/>
        </w:rPr>
        <w:t xml:space="preserve">. </w:t>
      </w:r>
      <w:r w:rsidR="003C04BB" w:rsidRPr="008F7BE4">
        <w:rPr>
          <w:rFonts w:hint="cs"/>
          <w:sz w:val="28"/>
          <w:rtl/>
        </w:rPr>
        <w:t xml:space="preserve">ערעור התביעה נדחה, אפוא. החלטת בית הדין קמא </w:t>
      </w:r>
      <w:r w:rsidR="00722961">
        <w:rPr>
          <w:rFonts w:hint="cs"/>
          <w:sz w:val="28"/>
          <w:rtl/>
        </w:rPr>
        <w:t xml:space="preserve">להורות על שחרורו של המשיב </w:t>
      </w:r>
      <w:r w:rsidR="003C04BB" w:rsidRPr="008F7BE4">
        <w:rPr>
          <w:rFonts w:hint="cs"/>
          <w:sz w:val="28"/>
          <w:rtl/>
        </w:rPr>
        <w:t>למעצר פתוח במיטב</w:t>
      </w:r>
      <w:r w:rsidR="00722961">
        <w:rPr>
          <w:rFonts w:hint="cs"/>
          <w:sz w:val="28"/>
          <w:rtl/>
        </w:rPr>
        <w:t>, עד תום ההליכים המשפטיים בעניינו,</w:t>
      </w:r>
      <w:r w:rsidR="003C04BB" w:rsidRPr="008F7BE4">
        <w:rPr>
          <w:rFonts w:hint="cs"/>
          <w:sz w:val="28"/>
          <w:rtl/>
        </w:rPr>
        <w:t xml:space="preserve"> עומדת בעינה. </w:t>
      </w:r>
    </w:p>
    <w:p w14:paraId="58179483" w14:textId="77777777" w:rsidR="008F7BE4" w:rsidRPr="008F7BE4" w:rsidRDefault="008F7BE4" w:rsidP="008F7BE4">
      <w:pPr>
        <w:spacing w:line="360" w:lineRule="auto"/>
        <w:ind w:left="-58"/>
        <w:contextualSpacing/>
        <w:jc w:val="both"/>
        <w:rPr>
          <w:sz w:val="28"/>
          <w:rtl/>
        </w:rPr>
      </w:pPr>
    </w:p>
    <w:p w14:paraId="1BA939BD" w14:textId="77777777" w:rsidR="00796D3C" w:rsidRDefault="00722961" w:rsidP="009756D9">
      <w:pPr>
        <w:spacing w:line="360" w:lineRule="auto"/>
        <w:ind w:left="-58"/>
        <w:contextualSpacing/>
        <w:jc w:val="both"/>
        <w:rPr>
          <w:sz w:val="28"/>
        </w:rPr>
      </w:pPr>
      <w:bookmarkStart w:id="5" w:name="Nitan"/>
      <w:r>
        <w:rPr>
          <w:rFonts w:hint="cs"/>
          <w:sz w:val="28"/>
          <w:rtl/>
        </w:rPr>
        <w:t xml:space="preserve">נימוקי ההחלטה </w:t>
      </w:r>
      <w:r w:rsidR="003C04BB" w:rsidRPr="008F7BE4">
        <w:rPr>
          <w:rFonts w:hint="cs"/>
          <w:sz w:val="28"/>
          <w:rtl/>
        </w:rPr>
        <w:t>ניתנ</w:t>
      </w:r>
      <w:r w:rsidR="009756D9">
        <w:rPr>
          <w:rFonts w:hint="cs"/>
          <w:sz w:val="28"/>
          <w:rtl/>
        </w:rPr>
        <w:t>ו</w:t>
      </w:r>
      <w:r w:rsidR="003C04BB" w:rsidRPr="008F7BE4">
        <w:rPr>
          <w:sz w:val="28"/>
          <w:rtl/>
        </w:rPr>
        <w:t xml:space="preserve"> </w:t>
      </w:r>
      <w:r w:rsidR="003C04BB" w:rsidRPr="008F7BE4">
        <w:rPr>
          <w:rFonts w:hint="cs"/>
          <w:sz w:val="28"/>
          <w:rtl/>
        </w:rPr>
        <w:t>היום</w:t>
      </w:r>
      <w:r w:rsidR="003C04BB" w:rsidRPr="008F7BE4">
        <w:rPr>
          <w:sz w:val="28"/>
          <w:rtl/>
        </w:rPr>
        <w:t xml:space="preserve">, </w:t>
      </w:r>
      <w:r w:rsidR="00683848">
        <w:rPr>
          <w:rFonts w:hint="cs"/>
          <w:sz w:val="28"/>
          <w:rtl/>
        </w:rPr>
        <w:t>ח'</w:t>
      </w:r>
      <w:r w:rsidR="00683848" w:rsidRPr="008F7BE4">
        <w:rPr>
          <w:sz w:val="28"/>
          <w:rtl/>
        </w:rPr>
        <w:t xml:space="preserve"> </w:t>
      </w:r>
      <w:r w:rsidR="003C04BB" w:rsidRPr="008F7BE4">
        <w:rPr>
          <w:rFonts w:hint="cs"/>
          <w:sz w:val="28"/>
          <w:rtl/>
        </w:rPr>
        <w:t>בחש</w:t>
      </w:r>
      <w:r w:rsidR="009756D9">
        <w:rPr>
          <w:rFonts w:hint="cs"/>
          <w:sz w:val="28"/>
          <w:rtl/>
        </w:rPr>
        <w:t>ו</w:t>
      </w:r>
      <w:r w:rsidR="003C04BB" w:rsidRPr="008F7BE4">
        <w:rPr>
          <w:rFonts w:hint="cs"/>
          <w:sz w:val="28"/>
          <w:rtl/>
        </w:rPr>
        <w:t>ון</w:t>
      </w:r>
      <w:r w:rsidR="003C04BB" w:rsidRPr="008F7BE4">
        <w:rPr>
          <w:sz w:val="28"/>
          <w:rtl/>
        </w:rPr>
        <w:t xml:space="preserve"> </w:t>
      </w:r>
      <w:r w:rsidR="003C04BB" w:rsidRPr="008F7BE4">
        <w:rPr>
          <w:rFonts w:hint="cs"/>
          <w:sz w:val="28"/>
          <w:rtl/>
        </w:rPr>
        <w:t>התשפ</w:t>
      </w:r>
      <w:r w:rsidR="003C04BB" w:rsidRPr="008F7BE4">
        <w:rPr>
          <w:sz w:val="28"/>
          <w:rtl/>
        </w:rPr>
        <w:t>"</w:t>
      </w:r>
      <w:r w:rsidR="009756D9">
        <w:rPr>
          <w:rFonts w:hint="cs"/>
          <w:sz w:val="28"/>
          <w:rtl/>
        </w:rPr>
        <w:t>ז</w:t>
      </w:r>
      <w:r w:rsidR="003C04BB" w:rsidRPr="008F7BE4">
        <w:rPr>
          <w:sz w:val="28"/>
          <w:rtl/>
        </w:rPr>
        <w:t xml:space="preserve">, </w:t>
      </w:r>
      <w:r w:rsidR="00683848">
        <w:rPr>
          <w:rFonts w:hint="cs"/>
          <w:sz w:val="28"/>
          <w:rtl/>
        </w:rPr>
        <w:t>19</w:t>
      </w:r>
      <w:r w:rsidR="00683848" w:rsidRPr="008F7BE4">
        <w:rPr>
          <w:sz w:val="28"/>
          <w:rtl/>
        </w:rPr>
        <w:t xml:space="preserve"> </w:t>
      </w:r>
      <w:r w:rsidR="003C04BB" w:rsidRPr="008F7BE4">
        <w:rPr>
          <w:rFonts w:hint="cs"/>
          <w:sz w:val="28"/>
          <w:rtl/>
        </w:rPr>
        <w:t>באוקטובר</w:t>
      </w:r>
      <w:r w:rsidR="003C04BB" w:rsidRPr="008F7BE4">
        <w:rPr>
          <w:sz w:val="28"/>
          <w:rtl/>
        </w:rPr>
        <w:t xml:space="preserve"> 202</w:t>
      </w:r>
      <w:r w:rsidR="003C04BB" w:rsidRPr="008F7BE4">
        <w:rPr>
          <w:rFonts w:hint="cs"/>
          <w:sz w:val="28"/>
          <w:rtl/>
        </w:rPr>
        <w:t>6</w:t>
      </w:r>
      <w:r w:rsidR="003C04BB" w:rsidRPr="008F7BE4">
        <w:rPr>
          <w:sz w:val="28"/>
          <w:rtl/>
        </w:rPr>
        <w:t xml:space="preserve">, </w:t>
      </w:r>
      <w:r w:rsidR="009756D9">
        <w:rPr>
          <w:rFonts w:hint="cs"/>
          <w:sz w:val="28"/>
          <w:rtl/>
        </w:rPr>
        <w:t>ויועברו לצדדים באמצעות המזכירות</w:t>
      </w:r>
      <w:r w:rsidR="003C04BB" w:rsidRPr="008F7BE4">
        <w:rPr>
          <w:sz w:val="28"/>
          <w:rtl/>
        </w:rPr>
        <w:t xml:space="preserve">. </w:t>
      </w:r>
      <w:bookmarkStart w:id="6" w:name="_Hlk56007148"/>
      <w:bookmarkEnd w:id="5"/>
    </w:p>
    <w:p w14:paraId="52960966" w14:textId="77777777" w:rsidR="00C6765A" w:rsidRPr="008241A5" w:rsidRDefault="00C6765A" w:rsidP="009756D9">
      <w:pPr>
        <w:spacing w:line="360" w:lineRule="auto"/>
        <w:ind w:left="-58"/>
        <w:contextualSpacing/>
        <w:jc w:val="both"/>
        <w:rPr>
          <w:sz w:val="28"/>
          <w:rtl/>
        </w:rPr>
      </w:pPr>
    </w:p>
    <w:bookmarkEnd w:id="6"/>
    <w:p w14:paraId="4618BA76" w14:textId="12103513" w:rsidR="00796D3C" w:rsidRPr="008241A5" w:rsidRDefault="00C6765A" w:rsidP="00796D3C">
      <w:pPr>
        <w:spacing w:after="0" w:line="240" w:lineRule="auto"/>
        <w:ind w:left="5193" w:right="-142"/>
        <w:jc w:val="both"/>
        <w:rPr>
          <w:rFonts w:ascii="Times New Roman" w:eastAsia="Times New Roman" w:hAnsi="Times New Roman"/>
          <w:b/>
          <w:bCs/>
          <w:sz w:val="28"/>
          <w:rtl/>
        </w:rPr>
      </w:pPr>
      <w:r>
        <w:rPr>
          <w:rFonts w:ascii="Times New Roman" w:eastAsia="Times New Roman" w:hAnsi="Times New Roman" w:hint="cs"/>
          <w:b/>
          <w:bCs/>
          <w:sz w:val="28"/>
          <w:rtl/>
        </w:rPr>
        <w:t xml:space="preserve">            </w:t>
      </w:r>
      <w:r w:rsidR="00796D3C" w:rsidRPr="008241A5">
        <w:rPr>
          <w:rFonts w:ascii="Times New Roman" w:eastAsia="Times New Roman" w:hAnsi="Times New Roman" w:hint="cs"/>
          <w:b/>
          <w:bCs/>
          <w:sz w:val="28"/>
          <w:rtl/>
        </w:rPr>
        <w:t>______________________</w:t>
      </w:r>
    </w:p>
    <w:p w14:paraId="0F0B9957" w14:textId="2C3ABE41" w:rsidR="00796D3C" w:rsidRDefault="00796D3C" w:rsidP="00C6765A">
      <w:pPr>
        <w:spacing w:after="0" w:line="360" w:lineRule="auto"/>
        <w:jc w:val="right"/>
        <w:rPr>
          <w:rFonts w:ascii="Times New Roman" w:eastAsia="Times New Roman" w:hAnsi="Times New Roman"/>
          <w:b/>
          <w:bCs/>
          <w:sz w:val="28"/>
        </w:rPr>
      </w:pPr>
      <w:r w:rsidRPr="008241A5">
        <w:rPr>
          <w:rFonts w:ascii="Times New Roman" w:eastAsia="Times New Roman" w:hAnsi="Times New Roman" w:hint="cs"/>
          <w:b/>
          <w:bCs/>
          <w:sz w:val="28"/>
          <w:rtl/>
        </w:rPr>
        <w:t xml:space="preserve">                                                           </w:t>
      </w:r>
      <w:r w:rsidR="00C6765A">
        <w:rPr>
          <w:rFonts w:ascii="Times New Roman" w:eastAsia="Times New Roman" w:hAnsi="Times New Roman" w:hint="cs"/>
          <w:b/>
          <w:bCs/>
          <w:sz w:val="28"/>
          <w:rtl/>
        </w:rPr>
        <w:t xml:space="preserve">                              אל"ם          מיכל              שחר</w:t>
      </w:r>
      <w:r w:rsidR="00F307E4">
        <w:rPr>
          <w:rFonts w:ascii="Times New Roman" w:eastAsia="Times New Roman" w:hAnsi="Times New Roman"/>
          <w:b/>
          <w:bCs/>
          <w:sz w:val="28"/>
          <w:rtl/>
        </w:rPr>
        <w:tab/>
      </w:r>
      <w:r w:rsidR="00F307E4">
        <w:rPr>
          <w:rFonts w:ascii="Times New Roman" w:eastAsia="Times New Roman" w:hAnsi="Times New Roman"/>
          <w:b/>
          <w:bCs/>
          <w:sz w:val="28"/>
          <w:rtl/>
        </w:rPr>
        <w:tab/>
      </w:r>
      <w:r w:rsidR="00C6765A">
        <w:rPr>
          <w:rFonts w:ascii="Times New Roman" w:eastAsia="Times New Roman" w:hAnsi="Times New Roman"/>
          <w:b/>
          <w:bCs/>
          <w:sz w:val="28"/>
        </w:rPr>
        <w:t xml:space="preserve">                                                     </w:t>
      </w:r>
      <w:r w:rsidR="00C6765A">
        <w:rPr>
          <w:rFonts w:ascii="Times New Roman" w:eastAsia="Times New Roman" w:hAnsi="Times New Roman" w:hint="cs"/>
          <w:b/>
          <w:bCs/>
          <w:sz w:val="28"/>
          <w:rtl/>
        </w:rPr>
        <w:t xml:space="preserve">           </w:t>
      </w:r>
      <w:r>
        <w:rPr>
          <w:rFonts w:ascii="Times New Roman" w:eastAsia="Times New Roman" w:hAnsi="Times New Roman" w:hint="cs"/>
          <w:b/>
          <w:bCs/>
          <w:sz w:val="28"/>
          <w:rtl/>
        </w:rPr>
        <w:t>שופטת ביה"ד הצבאי לערעורים</w:t>
      </w:r>
    </w:p>
    <w:p w14:paraId="1A92AD81" w14:textId="77777777" w:rsidR="00C6765A" w:rsidRDefault="00C6765A" w:rsidP="00796D3C">
      <w:pPr>
        <w:jc w:val="both"/>
        <w:rPr>
          <w:rFonts w:ascii="Times New Roman" w:eastAsia="Times New Roman" w:hAnsi="Times New Roman"/>
          <w:b/>
          <w:bCs/>
          <w:sz w:val="28"/>
          <w:rtl/>
        </w:rPr>
      </w:pPr>
    </w:p>
    <w:p w14:paraId="0B0B3DD9" w14:textId="77777777" w:rsidR="00C6765A" w:rsidRPr="00382B3F" w:rsidRDefault="00C6765A" w:rsidP="00C6765A">
      <w:pPr>
        <w:ind w:left="-58" w:right="-630"/>
        <w:rPr>
          <w:rFonts w:ascii="David" w:hAnsi="David"/>
          <w:b/>
          <w:bCs/>
          <w:sz w:val="28"/>
          <w:rtl/>
        </w:rPr>
      </w:pPr>
      <w:r w:rsidRPr="00382B3F">
        <w:rPr>
          <w:rFonts w:ascii="David" w:hAnsi="David"/>
          <w:b/>
          <w:bCs/>
          <w:sz w:val="28"/>
          <w:rtl/>
        </w:rPr>
        <w:t xml:space="preserve">חתימת המגיה:   _______________________________  </w:t>
      </w:r>
      <w:r>
        <w:rPr>
          <w:rFonts w:ascii="David" w:hAnsi="David" w:hint="cs"/>
          <w:b/>
          <w:bCs/>
          <w:sz w:val="28"/>
          <w:rtl/>
        </w:rPr>
        <w:t xml:space="preserve">  </w:t>
      </w:r>
      <w:r w:rsidRPr="00382B3F">
        <w:rPr>
          <w:rFonts w:ascii="David" w:hAnsi="David"/>
          <w:b/>
          <w:bCs/>
          <w:sz w:val="28"/>
          <w:rtl/>
        </w:rPr>
        <w:t xml:space="preserve">העתק       נאמן       למקור             </w:t>
      </w:r>
    </w:p>
    <w:p w14:paraId="495057DE" w14:textId="77777777" w:rsidR="00C6765A" w:rsidRPr="00382B3F" w:rsidRDefault="00C6765A" w:rsidP="00C6765A">
      <w:pPr>
        <w:ind w:left="-58" w:right="-630"/>
        <w:rPr>
          <w:rFonts w:ascii="David" w:hAnsi="David"/>
          <w:b/>
          <w:bCs/>
          <w:sz w:val="28"/>
          <w:rtl/>
        </w:rPr>
      </w:pPr>
      <w:r w:rsidRPr="00382B3F">
        <w:rPr>
          <w:rFonts w:ascii="David" w:hAnsi="David"/>
          <w:b/>
          <w:bCs/>
          <w:sz w:val="28"/>
          <w:rtl/>
        </w:rPr>
        <w:t xml:space="preserve">                                                                                                   </w:t>
      </w:r>
      <w:r>
        <w:rPr>
          <w:rFonts w:ascii="David" w:hAnsi="David" w:hint="cs"/>
          <w:b/>
          <w:bCs/>
          <w:sz w:val="28"/>
          <w:rtl/>
        </w:rPr>
        <w:t xml:space="preserve">  </w:t>
      </w:r>
      <w:r w:rsidRPr="00382B3F">
        <w:rPr>
          <w:rFonts w:ascii="David" w:hAnsi="David"/>
          <w:b/>
          <w:bCs/>
          <w:sz w:val="28"/>
          <w:rtl/>
        </w:rPr>
        <w:t xml:space="preserve">  רס"ל        מיקה     אשרוב</w:t>
      </w:r>
    </w:p>
    <w:p w14:paraId="2A47B5AB" w14:textId="77777777" w:rsidR="00C6765A" w:rsidRPr="00E74DA2" w:rsidRDefault="00C6765A" w:rsidP="00C6765A">
      <w:pPr>
        <w:ind w:left="-58" w:right="-630"/>
        <w:rPr>
          <w:rFonts w:ascii="David" w:hAnsi="David"/>
          <w:b/>
          <w:bCs/>
          <w:sz w:val="28"/>
          <w:rtl/>
        </w:rPr>
      </w:pPr>
      <w:r w:rsidRPr="00382B3F">
        <w:rPr>
          <w:rFonts w:ascii="David" w:hAnsi="David"/>
          <w:b/>
          <w:bCs/>
          <w:sz w:val="28"/>
          <w:rtl/>
        </w:rPr>
        <w:t xml:space="preserve"> תאריך:   ____________________________________  </w:t>
      </w:r>
      <w:r>
        <w:rPr>
          <w:rFonts w:ascii="David" w:hAnsi="David" w:hint="cs"/>
          <w:b/>
          <w:bCs/>
          <w:sz w:val="28"/>
          <w:rtl/>
        </w:rPr>
        <w:t xml:space="preserve">  </w:t>
      </w:r>
      <w:r w:rsidRPr="00382B3F">
        <w:rPr>
          <w:rFonts w:ascii="David" w:hAnsi="David"/>
          <w:b/>
          <w:bCs/>
          <w:sz w:val="28"/>
          <w:rtl/>
        </w:rPr>
        <w:t>קצינת         בית         הדין</w:t>
      </w:r>
    </w:p>
    <w:p w14:paraId="4B066975" w14:textId="77777777" w:rsidR="00796D3C" w:rsidRPr="00796D3C" w:rsidRDefault="00796D3C" w:rsidP="00796D3C">
      <w:pPr>
        <w:rPr>
          <w:rFonts w:ascii="Times New Roman" w:eastAsia="Times New Roman" w:hAnsi="Times New Roman"/>
          <w:sz w:val="28"/>
          <w:rtl/>
        </w:rPr>
      </w:pPr>
    </w:p>
    <w:sectPr w:rsidR="00796D3C" w:rsidRPr="00796D3C" w:rsidSect="00C6765A">
      <w:headerReference w:type="default" r:id="rId9"/>
      <w:footerReference w:type="default" r:id="rId10"/>
      <w:pgSz w:w="11906" w:h="16838"/>
      <w:pgMar w:top="1418" w:right="1418" w:bottom="1418" w:left="141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49710" w14:textId="77777777" w:rsidR="00F311F0" w:rsidRDefault="00F311F0">
      <w:pPr>
        <w:spacing w:after="0" w:line="240" w:lineRule="auto"/>
      </w:pPr>
      <w:r>
        <w:separator/>
      </w:r>
    </w:p>
  </w:endnote>
  <w:endnote w:type="continuationSeparator" w:id="0">
    <w:p w14:paraId="5B0A6866" w14:textId="77777777" w:rsidR="00F311F0" w:rsidRDefault="00F31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2927" w14:textId="77777777" w:rsidR="00C6765A" w:rsidRPr="00C6765A" w:rsidRDefault="00C6765A">
    <w:pPr>
      <w:pStyle w:val="Footer"/>
      <w:jc w:val="center"/>
      <w:rPr>
        <w:rFonts w:ascii="David" w:hAnsi="David"/>
        <w:sz w:val="28"/>
        <w:szCs w:val="36"/>
      </w:rPr>
    </w:pPr>
    <w:r w:rsidRPr="00C6765A">
      <w:rPr>
        <w:rFonts w:ascii="David" w:hAnsi="David"/>
        <w:sz w:val="28"/>
        <w:szCs w:val="36"/>
      </w:rPr>
      <w:fldChar w:fldCharType="begin"/>
    </w:r>
    <w:r w:rsidRPr="00C6765A">
      <w:rPr>
        <w:rFonts w:ascii="David" w:hAnsi="David"/>
        <w:sz w:val="28"/>
        <w:szCs w:val="36"/>
      </w:rPr>
      <w:instrText xml:space="preserve"> PAGE   \* MERGEFORMAT </w:instrText>
    </w:r>
    <w:r w:rsidRPr="00C6765A">
      <w:rPr>
        <w:rFonts w:ascii="David" w:hAnsi="David"/>
        <w:sz w:val="28"/>
        <w:szCs w:val="36"/>
      </w:rPr>
      <w:fldChar w:fldCharType="separate"/>
    </w:r>
    <w:r w:rsidRPr="00C6765A">
      <w:rPr>
        <w:rFonts w:ascii="David" w:hAnsi="David"/>
        <w:noProof/>
        <w:sz w:val="28"/>
        <w:szCs w:val="36"/>
      </w:rPr>
      <w:t>2</w:t>
    </w:r>
    <w:r w:rsidRPr="00C6765A">
      <w:rPr>
        <w:rFonts w:ascii="David" w:hAnsi="David"/>
        <w:noProof/>
        <w:sz w:val="28"/>
        <w:szCs w:val="36"/>
      </w:rPr>
      <w:fldChar w:fldCharType="end"/>
    </w:r>
  </w:p>
  <w:p w14:paraId="08FE0A61" w14:textId="77777777" w:rsidR="00122DF9" w:rsidRDefault="00122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9284" w14:textId="77777777" w:rsidR="00F311F0" w:rsidRDefault="00F311F0">
      <w:pPr>
        <w:spacing w:after="0" w:line="240" w:lineRule="auto"/>
      </w:pPr>
      <w:r>
        <w:separator/>
      </w:r>
    </w:p>
  </w:footnote>
  <w:footnote w:type="continuationSeparator" w:id="0">
    <w:p w14:paraId="10D50135" w14:textId="77777777" w:rsidR="00F311F0" w:rsidRDefault="00F31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2E13" w14:textId="1FB1D51A" w:rsidR="00C6765A" w:rsidRDefault="00CB0ACC" w:rsidP="00C6765A">
    <w:pPr>
      <w:pStyle w:val="Header"/>
      <w:jc w:val="right"/>
    </w:pPr>
    <w:r>
      <w:rPr>
        <w:rFonts w:hint="cs"/>
        <w:rtl/>
      </w:rPr>
      <w:t>ב ל מ " ס</w:t>
    </w:r>
    <w:r w:rsidR="00C6765A">
      <w:t xml:space="preserve">          </w:t>
    </w:r>
    <w:r w:rsidR="00C6765A">
      <w:rPr>
        <w:rFonts w:hint="cs"/>
        <w:rtl/>
      </w:rPr>
      <w:t xml:space="preserve">                           </w:t>
    </w:r>
    <w:r w:rsidR="002A5947">
      <w:rPr>
        <w:rFonts w:hint="cs"/>
        <w:rtl/>
      </w:rPr>
      <w:t xml:space="preserve">ע"מ </w:t>
    </w:r>
    <w:r w:rsidR="00C6765A">
      <w:rPr>
        <w:rFonts w:hint="cs"/>
        <w:rtl/>
      </w:rPr>
      <w:t xml:space="preserve">41582-10-26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AB85D"/>
    <w:multiLevelType w:val="multilevel"/>
    <w:tmpl w:val="D696EDE0"/>
    <w:lvl w:ilvl="0">
      <w:start w:val="1"/>
      <w:numFmt w:val="decimal"/>
      <w:lvlText w:val="%1."/>
      <w:lvlJc w:val="left"/>
      <w:pPr>
        <w:ind w:left="720" w:right="360" w:hanging="360"/>
      </w:pPr>
      <w:rPr>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5B0A3F"/>
    <w:multiLevelType w:val="hybridMultilevel"/>
    <w:tmpl w:val="E004AC3E"/>
    <w:lvl w:ilvl="0" w:tplc="B756F2DC">
      <w:start w:val="1"/>
      <w:numFmt w:val="decimal"/>
      <w:suff w:val="space"/>
      <w:lvlText w:val="%1."/>
      <w:lvlJc w:val="left"/>
      <w:pPr>
        <w:ind w:left="0" w:firstLine="0"/>
      </w:pPr>
      <w:rPr>
        <w:rFonts w:cs="David" w:hint="default"/>
        <w:b w:val="0"/>
        <w:bCs w:val="0"/>
        <w:lang w:val="en-US"/>
      </w:rPr>
    </w:lvl>
    <w:lvl w:ilvl="1" w:tplc="F1584CEE" w:tentative="1">
      <w:start w:val="1"/>
      <w:numFmt w:val="lowerLetter"/>
      <w:lvlText w:val="%2."/>
      <w:lvlJc w:val="left"/>
      <w:pPr>
        <w:ind w:left="1022" w:hanging="360"/>
      </w:pPr>
    </w:lvl>
    <w:lvl w:ilvl="2" w:tplc="B80E6A70" w:tentative="1">
      <w:start w:val="1"/>
      <w:numFmt w:val="lowerRoman"/>
      <w:lvlText w:val="%3."/>
      <w:lvlJc w:val="right"/>
      <w:pPr>
        <w:ind w:left="1742" w:hanging="180"/>
      </w:pPr>
    </w:lvl>
    <w:lvl w:ilvl="3" w:tplc="D8ACDF74" w:tentative="1">
      <w:start w:val="1"/>
      <w:numFmt w:val="decimal"/>
      <w:lvlText w:val="%4."/>
      <w:lvlJc w:val="left"/>
      <w:pPr>
        <w:ind w:left="2462" w:hanging="360"/>
      </w:pPr>
    </w:lvl>
    <w:lvl w:ilvl="4" w:tplc="2088657E" w:tentative="1">
      <w:start w:val="1"/>
      <w:numFmt w:val="lowerLetter"/>
      <w:lvlText w:val="%5."/>
      <w:lvlJc w:val="left"/>
      <w:pPr>
        <w:ind w:left="3182" w:hanging="360"/>
      </w:pPr>
    </w:lvl>
    <w:lvl w:ilvl="5" w:tplc="322C212E" w:tentative="1">
      <w:start w:val="1"/>
      <w:numFmt w:val="lowerRoman"/>
      <w:lvlText w:val="%6."/>
      <w:lvlJc w:val="right"/>
      <w:pPr>
        <w:ind w:left="3902" w:hanging="180"/>
      </w:pPr>
    </w:lvl>
    <w:lvl w:ilvl="6" w:tplc="58E82542" w:tentative="1">
      <w:start w:val="1"/>
      <w:numFmt w:val="decimal"/>
      <w:lvlText w:val="%7."/>
      <w:lvlJc w:val="left"/>
      <w:pPr>
        <w:ind w:left="4622" w:hanging="360"/>
      </w:pPr>
    </w:lvl>
    <w:lvl w:ilvl="7" w:tplc="A5F41D86" w:tentative="1">
      <w:start w:val="1"/>
      <w:numFmt w:val="lowerLetter"/>
      <w:lvlText w:val="%8."/>
      <w:lvlJc w:val="left"/>
      <w:pPr>
        <w:ind w:left="5342" w:hanging="360"/>
      </w:pPr>
    </w:lvl>
    <w:lvl w:ilvl="8" w:tplc="FC001D7A" w:tentative="1">
      <w:start w:val="1"/>
      <w:numFmt w:val="lowerRoman"/>
      <w:lvlText w:val="%9."/>
      <w:lvlJc w:val="right"/>
      <w:pPr>
        <w:ind w:left="6062" w:hanging="180"/>
      </w:pPr>
    </w:lvl>
  </w:abstractNum>
  <w:abstractNum w:abstractNumId="2" w15:restartNumberingAfterBreak="0">
    <w:nsid w:val="6EE0581C"/>
    <w:multiLevelType w:val="hybridMultilevel"/>
    <w:tmpl w:val="3BAA3CA2"/>
    <w:lvl w:ilvl="0" w:tplc="945E7DE4">
      <w:start w:val="6"/>
      <w:numFmt w:val="decimal"/>
      <w:lvlText w:val="%1."/>
      <w:lvlJc w:val="left"/>
      <w:pPr>
        <w:ind w:left="302" w:hanging="360"/>
      </w:pPr>
      <w:rPr>
        <w:rFonts w:hint="default"/>
      </w:rPr>
    </w:lvl>
    <w:lvl w:ilvl="1" w:tplc="022A83CE" w:tentative="1">
      <w:start w:val="1"/>
      <w:numFmt w:val="lowerLetter"/>
      <w:lvlText w:val="%2."/>
      <w:lvlJc w:val="left"/>
      <w:pPr>
        <w:ind w:left="1022" w:hanging="360"/>
      </w:pPr>
    </w:lvl>
    <w:lvl w:ilvl="2" w:tplc="03B0D230" w:tentative="1">
      <w:start w:val="1"/>
      <w:numFmt w:val="lowerRoman"/>
      <w:lvlText w:val="%3."/>
      <w:lvlJc w:val="right"/>
      <w:pPr>
        <w:ind w:left="1742" w:hanging="180"/>
      </w:pPr>
    </w:lvl>
    <w:lvl w:ilvl="3" w:tplc="03702BDE" w:tentative="1">
      <w:start w:val="1"/>
      <w:numFmt w:val="decimal"/>
      <w:lvlText w:val="%4."/>
      <w:lvlJc w:val="left"/>
      <w:pPr>
        <w:ind w:left="2462" w:hanging="360"/>
      </w:pPr>
    </w:lvl>
    <w:lvl w:ilvl="4" w:tplc="3462E49E" w:tentative="1">
      <w:start w:val="1"/>
      <w:numFmt w:val="lowerLetter"/>
      <w:lvlText w:val="%5."/>
      <w:lvlJc w:val="left"/>
      <w:pPr>
        <w:ind w:left="3182" w:hanging="360"/>
      </w:pPr>
    </w:lvl>
    <w:lvl w:ilvl="5" w:tplc="41E8D652" w:tentative="1">
      <w:start w:val="1"/>
      <w:numFmt w:val="lowerRoman"/>
      <w:lvlText w:val="%6."/>
      <w:lvlJc w:val="right"/>
      <w:pPr>
        <w:ind w:left="3902" w:hanging="180"/>
      </w:pPr>
    </w:lvl>
    <w:lvl w:ilvl="6" w:tplc="87DC9F18" w:tentative="1">
      <w:start w:val="1"/>
      <w:numFmt w:val="decimal"/>
      <w:lvlText w:val="%7."/>
      <w:lvlJc w:val="left"/>
      <w:pPr>
        <w:ind w:left="4622" w:hanging="360"/>
      </w:pPr>
    </w:lvl>
    <w:lvl w:ilvl="7" w:tplc="EF4CFD04" w:tentative="1">
      <w:start w:val="1"/>
      <w:numFmt w:val="lowerLetter"/>
      <w:lvlText w:val="%8."/>
      <w:lvlJc w:val="left"/>
      <w:pPr>
        <w:ind w:left="5342" w:hanging="360"/>
      </w:pPr>
    </w:lvl>
    <w:lvl w:ilvl="8" w:tplc="4EBCE85C" w:tentative="1">
      <w:start w:val="1"/>
      <w:numFmt w:val="lowerRoman"/>
      <w:lvlText w:val="%9."/>
      <w:lvlJc w:val="right"/>
      <w:pPr>
        <w:ind w:left="6062" w:hanging="180"/>
      </w:pPr>
    </w:lvl>
  </w:abstractNum>
  <w:num w:numId="1" w16cid:durableId="295917593">
    <w:abstractNumId w:val="1"/>
  </w:num>
  <w:num w:numId="2" w16cid:durableId="1961567569">
    <w:abstractNumId w:val="2"/>
  </w:num>
  <w:num w:numId="3" w16cid:durableId="1127773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526"/>
    <w:rsid w:val="00004CBA"/>
    <w:rsid w:val="00044468"/>
    <w:rsid w:val="000828B9"/>
    <w:rsid w:val="000842A7"/>
    <w:rsid w:val="000A6928"/>
    <w:rsid w:val="000D37A3"/>
    <w:rsid w:val="000E21F9"/>
    <w:rsid w:val="000F213D"/>
    <w:rsid w:val="000F5F1D"/>
    <w:rsid w:val="001113A7"/>
    <w:rsid w:val="001208B8"/>
    <w:rsid w:val="00122DF9"/>
    <w:rsid w:val="00140749"/>
    <w:rsid w:val="00155E6A"/>
    <w:rsid w:val="00164F05"/>
    <w:rsid w:val="00172187"/>
    <w:rsid w:val="001A01F5"/>
    <w:rsid w:val="001B440B"/>
    <w:rsid w:val="001C59A7"/>
    <w:rsid w:val="001D1B8A"/>
    <w:rsid w:val="001D52CE"/>
    <w:rsid w:val="001F6B91"/>
    <w:rsid w:val="00232E56"/>
    <w:rsid w:val="00233501"/>
    <w:rsid w:val="00242E47"/>
    <w:rsid w:val="00251192"/>
    <w:rsid w:val="0025604E"/>
    <w:rsid w:val="00256AA8"/>
    <w:rsid w:val="002619AB"/>
    <w:rsid w:val="002A2359"/>
    <w:rsid w:val="002A5947"/>
    <w:rsid w:val="002B70E8"/>
    <w:rsid w:val="002C5C61"/>
    <w:rsid w:val="00321221"/>
    <w:rsid w:val="00321E13"/>
    <w:rsid w:val="00343E45"/>
    <w:rsid w:val="003464E1"/>
    <w:rsid w:val="00380D64"/>
    <w:rsid w:val="00387655"/>
    <w:rsid w:val="003920C0"/>
    <w:rsid w:val="003A450F"/>
    <w:rsid w:val="003B78F7"/>
    <w:rsid w:val="003C04BB"/>
    <w:rsid w:val="003C1BFF"/>
    <w:rsid w:val="003C754D"/>
    <w:rsid w:val="003E64E4"/>
    <w:rsid w:val="003F5789"/>
    <w:rsid w:val="00425526"/>
    <w:rsid w:val="004324AA"/>
    <w:rsid w:val="004538A7"/>
    <w:rsid w:val="004546B2"/>
    <w:rsid w:val="004F666C"/>
    <w:rsid w:val="00507132"/>
    <w:rsid w:val="00511969"/>
    <w:rsid w:val="00513BD9"/>
    <w:rsid w:val="00521BEF"/>
    <w:rsid w:val="00526E46"/>
    <w:rsid w:val="00543CC7"/>
    <w:rsid w:val="00556E92"/>
    <w:rsid w:val="005721AC"/>
    <w:rsid w:val="00572663"/>
    <w:rsid w:val="005934DB"/>
    <w:rsid w:val="005C1896"/>
    <w:rsid w:val="005C3EE4"/>
    <w:rsid w:val="00602BA6"/>
    <w:rsid w:val="00624A3B"/>
    <w:rsid w:val="00625C31"/>
    <w:rsid w:val="006413EE"/>
    <w:rsid w:val="00675485"/>
    <w:rsid w:val="00683848"/>
    <w:rsid w:val="006850CC"/>
    <w:rsid w:val="006A3A07"/>
    <w:rsid w:val="006B0C41"/>
    <w:rsid w:val="00722961"/>
    <w:rsid w:val="00726E06"/>
    <w:rsid w:val="00773B26"/>
    <w:rsid w:val="00781B10"/>
    <w:rsid w:val="00785279"/>
    <w:rsid w:val="00796D3C"/>
    <w:rsid w:val="007D377C"/>
    <w:rsid w:val="007D7E44"/>
    <w:rsid w:val="007E4624"/>
    <w:rsid w:val="007F1DF4"/>
    <w:rsid w:val="008241A5"/>
    <w:rsid w:val="00833108"/>
    <w:rsid w:val="00834A55"/>
    <w:rsid w:val="00862293"/>
    <w:rsid w:val="0087214B"/>
    <w:rsid w:val="0088420C"/>
    <w:rsid w:val="008A66C5"/>
    <w:rsid w:val="008A701E"/>
    <w:rsid w:val="008B6182"/>
    <w:rsid w:val="008C3295"/>
    <w:rsid w:val="008D4AD7"/>
    <w:rsid w:val="008E6AD4"/>
    <w:rsid w:val="008F3242"/>
    <w:rsid w:val="008F745B"/>
    <w:rsid w:val="008F7BE4"/>
    <w:rsid w:val="00904536"/>
    <w:rsid w:val="00911F98"/>
    <w:rsid w:val="00921C14"/>
    <w:rsid w:val="00927FF4"/>
    <w:rsid w:val="009675EE"/>
    <w:rsid w:val="00970B62"/>
    <w:rsid w:val="009756D9"/>
    <w:rsid w:val="00984006"/>
    <w:rsid w:val="00992610"/>
    <w:rsid w:val="00996867"/>
    <w:rsid w:val="009A44B3"/>
    <w:rsid w:val="009B757C"/>
    <w:rsid w:val="009D35F0"/>
    <w:rsid w:val="009D5F15"/>
    <w:rsid w:val="009D6C63"/>
    <w:rsid w:val="009F095E"/>
    <w:rsid w:val="00A11431"/>
    <w:rsid w:val="00A119D9"/>
    <w:rsid w:val="00A12254"/>
    <w:rsid w:val="00A12D9B"/>
    <w:rsid w:val="00A53927"/>
    <w:rsid w:val="00A873B4"/>
    <w:rsid w:val="00AA3998"/>
    <w:rsid w:val="00AB704D"/>
    <w:rsid w:val="00AC0486"/>
    <w:rsid w:val="00AE7C9A"/>
    <w:rsid w:val="00B21647"/>
    <w:rsid w:val="00B53442"/>
    <w:rsid w:val="00B706E5"/>
    <w:rsid w:val="00BD5AA6"/>
    <w:rsid w:val="00BE2768"/>
    <w:rsid w:val="00C061F0"/>
    <w:rsid w:val="00C102C8"/>
    <w:rsid w:val="00C1477C"/>
    <w:rsid w:val="00C65120"/>
    <w:rsid w:val="00C6640F"/>
    <w:rsid w:val="00C6765A"/>
    <w:rsid w:val="00C676AE"/>
    <w:rsid w:val="00C77591"/>
    <w:rsid w:val="00C97EC1"/>
    <w:rsid w:val="00CA69AB"/>
    <w:rsid w:val="00CA7186"/>
    <w:rsid w:val="00CB0ACC"/>
    <w:rsid w:val="00CB1B7D"/>
    <w:rsid w:val="00CD1CB6"/>
    <w:rsid w:val="00D1022F"/>
    <w:rsid w:val="00D66448"/>
    <w:rsid w:val="00D70000"/>
    <w:rsid w:val="00DB1AAC"/>
    <w:rsid w:val="00DE292D"/>
    <w:rsid w:val="00DE7AC6"/>
    <w:rsid w:val="00E020B2"/>
    <w:rsid w:val="00E0488C"/>
    <w:rsid w:val="00E45081"/>
    <w:rsid w:val="00E82C2B"/>
    <w:rsid w:val="00E84CD3"/>
    <w:rsid w:val="00EB1510"/>
    <w:rsid w:val="00EB5939"/>
    <w:rsid w:val="00EC668E"/>
    <w:rsid w:val="00EC70E6"/>
    <w:rsid w:val="00ED4C73"/>
    <w:rsid w:val="00EE5A5A"/>
    <w:rsid w:val="00F10F8C"/>
    <w:rsid w:val="00F139E6"/>
    <w:rsid w:val="00F307E4"/>
    <w:rsid w:val="00F311F0"/>
    <w:rsid w:val="00F33EFF"/>
    <w:rsid w:val="00F37E89"/>
    <w:rsid w:val="00F76908"/>
    <w:rsid w:val="00F82115"/>
    <w:rsid w:val="00F83FCC"/>
    <w:rsid w:val="00F85902"/>
    <w:rsid w:val="00FA2BD2"/>
    <w:rsid w:val="00FD2695"/>
    <w:rsid w:val="00FD5225"/>
    <w:rsid w:val="00FE75E7"/>
    <w:rsid w:val="00FE75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17184"/>
  <w15:chartTrackingRefBased/>
  <w15:docId w15:val="{15B60B46-CD94-476A-8280-818FAB5E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1A5"/>
    <w:pPr>
      <w:bidi/>
      <w:spacing w:after="200" w:line="276" w:lineRule="auto"/>
    </w:pPr>
    <w:rPr>
      <w:rFonts w:ascii="Calibri" w:eastAsia="Calibri" w:hAnsi="Calibri" w:cs="David"/>
      <w:sz w:val="22"/>
      <w:szCs w:val="28"/>
    </w:rPr>
  </w:style>
  <w:style w:type="paragraph" w:styleId="Heading1">
    <w:name w:val="heading 1"/>
    <w:basedOn w:val="Normal"/>
    <w:next w:val="Normal"/>
    <w:link w:val="Heading1Char"/>
    <w:uiPriority w:val="9"/>
    <w:qFormat/>
    <w:rsid w:val="002B70E8"/>
    <w:pPr>
      <w:keepNext/>
      <w:keepLines/>
      <w:spacing w:before="360" w:after="80"/>
      <w:outlineLvl w:val="0"/>
    </w:pPr>
    <w:rPr>
      <w:rFonts w:ascii="Aptos Display" w:eastAsia="Times New Roman" w:hAnsi="Aptos Display"/>
      <w:bCs/>
      <w:sz w:val="40"/>
      <w:u w:val="single"/>
    </w:rPr>
  </w:style>
  <w:style w:type="paragraph" w:styleId="Heading2">
    <w:name w:val="heading 2"/>
    <w:basedOn w:val="Normal"/>
    <w:next w:val="Normal"/>
    <w:link w:val="Heading2Char"/>
    <w:uiPriority w:val="9"/>
    <w:unhideWhenUsed/>
    <w:qFormat/>
    <w:rsid w:val="00DB1AAC"/>
    <w:pPr>
      <w:keepNext/>
      <w:keepLines/>
      <w:spacing w:before="160" w:after="80"/>
      <w:outlineLvl w:val="1"/>
    </w:pPr>
    <w:rPr>
      <w:rFonts w:ascii="Aptos Display" w:eastAsia="Times New Roman" w:hAnsi="Aptos Display"/>
      <w:bCs/>
      <w:sz w:val="32"/>
    </w:rPr>
  </w:style>
  <w:style w:type="paragraph" w:styleId="Heading3">
    <w:name w:val="heading 3"/>
    <w:basedOn w:val="Normal"/>
    <w:next w:val="Normal"/>
    <w:link w:val="Heading3Char"/>
    <w:uiPriority w:val="9"/>
    <w:semiHidden/>
    <w:unhideWhenUsed/>
    <w:qFormat/>
    <w:rsid w:val="00425526"/>
    <w:pPr>
      <w:keepNext/>
      <w:keepLines/>
      <w:spacing w:before="160" w:after="80"/>
      <w:outlineLvl w:val="2"/>
    </w:pPr>
    <w:rPr>
      <w:rFonts w:eastAsia="Times New Roman" w:cs="Times New Roman"/>
      <w:color w:val="0F4761"/>
      <w:sz w:val="28"/>
    </w:rPr>
  </w:style>
  <w:style w:type="paragraph" w:styleId="Heading4">
    <w:name w:val="heading 4"/>
    <w:basedOn w:val="Normal"/>
    <w:next w:val="Normal"/>
    <w:link w:val="Heading4Char"/>
    <w:uiPriority w:val="9"/>
    <w:semiHidden/>
    <w:unhideWhenUsed/>
    <w:qFormat/>
    <w:rsid w:val="00425526"/>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425526"/>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425526"/>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425526"/>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425526"/>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425526"/>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70E8"/>
    <w:rPr>
      <w:rFonts w:ascii="Aptos Display" w:eastAsia="Times New Roman" w:hAnsi="Aptos Display" w:cs="David"/>
      <w:bCs/>
      <w:kern w:val="0"/>
      <w:sz w:val="40"/>
      <w:szCs w:val="28"/>
      <w:u w:val="single"/>
    </w:rPr>
  </w:style>
  <w:style w:type="character" w:customStyle="1" w:styleId="Heading2Char">
    <w:name w:val="Heading 2 Char"/>
    <w:link w:val="Heading2"/>
    <w:uiPriority w:val="9"/>
    <w:rsid w:val="00DB1AAC"/>
    <w:rPr>
      <w:rFonts w:ascii="Aptos Display" w:eastAsia="Times New Roman" w:hAnsi="Aptos Display" w:cs="David"/>
      <w:bCs/>
      <w:kern w:val="0"/>
      <w:sz w:val="32"/>
      <w:szCs w:val="28"/>
    </w:rPr>
  </w:style>
  <w:style w:type="character" w:customStyle="1" w:styleId="Heading3Char">
    <w:name w:val="Heading 3 Char"/>
    <w:link w:val="Heading3"/>
    <w:uiPriority w:val="9"/>
    <w:semiHidden/>
    <w:rsid w:val="00425526"/>
    <w:rPr>
      <w:rFonts w:eastAsia="Times New Roman" w:cs="Times New Roman"/>
      <w:color w:val="0F4761"/>
      <w:sz w:val="28"/>
      <w:szCs w:val="28"/>
    </w:rPr>
  </w:style>
  <w:style w:type="character" w:customStyle="1" w:styleId="Heading4Char">
    <w:name w:val="Heading 4 Char"/>
    <w:link w:val="Heading4"/>
    <w:uiPriority w:val="9"/>
    <w:semiHidden/>
    <w:rsid w:val="00425526"/>
    <w:rPr>
      <w:rFonts w:eastAsia="Times New Roman" w:cs="Times New Roman"/>
      <w:i/>
      <w:iCs/>
      <w:color w:val="0F4761"/>
    </w:rPr>
  </w:style>
  <w:style w:type="character" w:customStyle="1" w:styleId="Heading5Char">
    <w:name w:val="Heading 5 Char"/>
    <w:link w:val="Heading5"/>
    <w:uiPriority w:val="9"/>
    <w:semiHidden/>
    <w:rsid w:val="00425526"/>
    <w:rPr>
      <w:rFonts w:eastAsia="Times New Roman" w:cs="Times New Roman"/>
      <w:color w:val="0F4761"/>
    </w:rPr>
  </w:style>
  <w:style w:type="character" w:customStyle="1" w:styleId="Heading6Char">
    <w:name w:val="Heading 6 Char"/>
    <w:link w:val="Heading6"/>
    <w:uiPriority w:val="9"/>
    <w:semiHidden/>
    <w:rsid w:val="00425526"/>
    <w:rPr>
      <w:rFonts w:eastAsia="Times New Roman" w:cs="Times New Roman"/>
      <w:i/>
      <w:iCs/>
      <w:color w:val="595959"/>
    </w:rPr>
  </w:style>
  <w:style w:type="character" w:customStyle="1" w:styleId="Heading7Char">
    <w:name w:val="Heading 7 Char"/>
    <w:link w:val="Heading7"/>
    <w:uiPriority w:val="9"/>
    <w:semiHidden/>
    <w:rsid w:val="00425526"/>
    <w:rPr>
      <w:rFonts w:eastAsia="Times New Roman" w:cs="Times New Roman"/>
      <w:color w:val="595959"/>
    </w:rPr>
  </w:style>
  <w:style w:type="character" w:customStyle="1" w:styleId="Heading8Char">
    <w:name w:val="Heading 8 Char"/>
    <w:link w:val="Heading8"/>
    <w:uiPriority w:val="9"/>
    <w:semiHidden/>
    <w:rsid w:val="00425526"/>
    <w:rPr>
      <w:rFonts w:eastAsia="Times New Roman" w:cs="Times New Roman"/>
      <w:i/>
      <w:iCs/>
      <w:color w:val="272727"/>
    </w:rPr>
  </w:style>
  <w:style w:type="character" w:customStyle="1" w:styleId="Heading9Char">
    <w:name w:val="Heading 9 Char"/>
    <w:link w:val="Heading9"/>
    <w:uiPriority w:val="9"/>
    <w:semiHidden/>
    <w:rsid w:val="00425526"/>
    <w:rPr>
      <w:rFonts w:eastAsia="Times New Roman" w:cs="Times New Roman"/>
      <w:color w:val="272727"/>
    </w:rPr>
  </w:style>
  <w:style w:type="paragraph" w:styleId="Title">
    <w:name w:val="Title"/>
    <w:basedOn w:val="Normal"/>
    <w:next w:val="Normal"/>
    <w:link w:val="TitleChar"/>
    <w:uiPriority w:val="10"/>
    <w:qFormat/>
    <w:rsid w:val="00425526"/>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link w:val="Title"/>
    <w:uiPriority w:val="10"/>
    <w:rsid w:val="00425526"/>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425526"/>
    <w:pPr>
      <w:numPr>
        <w:ilvl w:val="1"/>
      </w:numPr>
    </w:pPr>
    <w:rPr>
      <w:rFonts w:eastAsia="Times New Roman" w:cs="Times New Roman"/>
      <w:color w:val="595959"/>
      <w:spacing w:val="15"/>
      <w:sz w:val="28"/>
    </w:rPr>
  </w:style>
  <w:style w:type="character" w:customStyle="1" w:styleId="SubtitleChar">
    <w:name w:val="Subtitle Char"/>
    <w:link w:val="Subtitle"/>
    <w:uiPriority w:val="11"/>
    <w:rsid w:val="00425526"/>
    <w:rPr>
      <w:rFonts w:eastAsia="Times New Roman" w:cs="Times New Roman"/>
      <w:color w:val="595959"/>
      <w:spacing w:val="15"/>
      <w:sz w:val="28"/>
      <w:szCs w:val="28"/>
    </w:rPr>
  </w:style>
  <w:style w:type="paragraph" w:styleId="Quote">
    <w:name w:val="Quote"/>
    <w:basedOn w:val="Normal"/>
    <w:next w:val="Normal"/>
    <w:link w:val="QuoteChar"/>
    <w:uiPriority w:val="29"/>
    <w:qFormat/>
    <w:rsid w:val="00425526"/>
    <w:pPr>
      <w:spacing w:before="160"/>
      <w:jc w:val="center"/>
    </w:pPr>
    <w:rPr>
      <w:i/>
      <w:iCs/>
      <w:color w:val="404040"/>
    </w:rPr>
  </w:style>
  <w:style w:type="character" w:customStyle="1" w:styleId="QuoteChar">
    <w:name w:val="Quote Char"/>
    <w:link w:val="Quote"/>
    <w:uiPriority w:val="29"/>
    <w:rsid w:val="00425526"/>
    <w:rPr>
      <w:i/>
      <w:iCs/>
      <w:color w:val="404040"/>
    </w:rPr>
  </w:style>
  <w:style w:type="paragraph" w:styleId="ListParagraph">
    <w:name w:val="List Paragraph"/>
    <w:basedOn w:val="Normal"/>
    <w:uiPriority w:val="34"/>
    <w:qFormat/>
    <w:rsid w:val="00425526"/>
    <w:pPr>
      <w:ind w:left="720"/>
      <w:contextualSpacing/>
    </w:pPr>
  </w:style>
  <w:style w:type="character" w:styleId="IntenseEmphasis">
    <w:name w:val="Intense Emphasis"/>
    <w:uiPriority w:val="21"/>
    <w:qFormat/>
    <w:rsid w:val="00425526"/>
    <w:rPr>
      <w:i/>
      <w:iCs/>
      <w:color w:val="0F4761"/>
    </w:rPr>
  </w:style>
  <w:style w:type="paragraph" w:styleId="IntenseQuote">
    <w:name w:val="Intense Quote"/>
    <w:basedOn w:val="Normal"/>
    <w:next w:val="Normal"/>
    <w:link w:val="IntenseQuoteChar"/>
    <w:uiPriority w:val="30"/>
    <w:qFormat/>
    <w:rsid w:val="0042552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425526"/>
    <w:rPr>
      <w:i/>
      <w:iCs/>
      <w:color w:val="0F4761"/>
    </w:rPr>
  </w:style>
  <w:style w:type="character" w:styleId="IntenseReference">
    <w:name w:val="Intense Reference"/>
    <w:uiPriority w:val="32"/>
    <w:qFormat/>
    <w:rsid w:val="00425526"/>
    <w:rPr>
      <w:b/>
      <w:bCs/>
      <w:smallCaps/>
      <w:color w:val="0F4761"/>
      <w:spacing w:val="5"/>
    </w:rPr>
  </w:style>
  <w:style w:type="paragraph" w:customStyle="1" w:styleId="1">
    <w:name w:val="פיסקת רשימה1"/>
    <w:basedOn w:val="Normal"/>
    <w:uiPriority w:val="34"/>
    <w:qFormat/>
    <w:rsid w:val="008241A5"/>
    <w:pPr>
      <w:spacing w:after="0" w:line="240" w:lineRule="auto"/>
      <w:ind w:left="720"/>
      <w:contextualSpacing/>
    </w:pPr>
    <w:rPr>
      <w:rFonts w:ascii="Times New Roman" w:eastAsia="Times New Roman" w:hAnsi="Times New Roman" w:cs="Times New Roman"/>
      <w:sz w:val="24"/>
      <w:szCs w:val="24"/>
    </w:rPr>
  </w:style>
  <w:style w:type="paragraph" w:styleId="BodyText">
    <w:name w:val="Body Text"/>
    <w:basedOn w:val="Normal"/>
    <w:link w:val="BodyTextChar"/>
    <w:unhideWhenUsed/>
    <w:rsid w:val="008241A5"/>
    <w:pPr>
      <w:autoSpaceDE w:val="0"/>
      <w:autoSpaceDN w:val="0"/>
      <w:spacing w:after="0" w:line="360" w:lineRule="auto"/>
      <w:jc w:val="both"/>
    </w:pPr>
    <w:rPr>
      <w:rFonts w:ascii="Times New Roman" w:eastAsia="Times New Roman" w:hAnsi="Times New Roman" w:cs="Narkisim"/>
      <w:b/>
      <w:bCs/>
      <w:sz w:val="20"/>
    </w:rPr>
  </w:style>
  <w:style w:type="character" w:customStyle="1" w:styleId="BodyTextChar">
    <w:name w:val="Body Text Char"/>
    <w:link w:val="BodyText"/>
    <w:rsid w:val="008241A5"/>
    <w:rPr>
      <w:rFonts w:ascii="Times New Roman" w:eastAsia="Times New Roman" w:hAnsi="Times New Roman" w:cs="Narkisim"/>
      <w:b/>
      <w:bCs/>
      <w:kern w:val="0"/>
      <w:sz w:val="20"/>
      <w:szCs w:val="28"/>
    </w:rPr>
  </w:style>
  <w:style w:type="character" w:styleId="Hyperlink">
    <w:name w:val="Hyperlink"/>
    <w:uiPriority w:val="99"/>
    <w:unhideWhenUsed/>
    <w:rsid w:val="008241A5"/>
    <w:rPr>
      <w:color w:val="0000FF"/>
      <w:u w:val="single"/>
    </w:rPr>
  </w:style>
  <w:style w:type="paragraph" w:styleId="Header">
    <w:name w:val="header"/>
    <w:basedOn w:val="Normal"/>
    <w:link w:val="HeaderChar"/>
    <w:uiPriority w:val="99"/>
    <w:unhideWhenUsed/>
    <w:rsid w:val="00122DF9"/>
    <w:pPr>
      <w:tabs>
        <w:tab w:val="center" w:pos="4153"/>
        <w:tab w:val="right" w:pos="8306"/>
      </w:tabs>
      <w:spacing w:after="0" w:line="240" w:lineRule="auto"/>
    </w:pPr>
  </w:style>
  <w:style w:type="character" w:customStyle="1" w:styleId="HeaderChar">
    <w:name w:val="Header Char"/>
    <w:link w:val="Header"/>
    <w:uiPriority w:val="99"/>
    <w:rsid w:val="00122DF9"/>
    <w:rPr>
      <w:rFonts w:ascii="Calibri" w:eastAsia="Calibri" w:hAnsi="Calibri" w:cs="David"/>
      <w:kern w:val="0"/>
      <w:sz w:val="22"/>
      <w:szCs w:val="28"/>
    </w:rPr>
  </w:style>
  <w:style w:type="paragraph" w:styleId="Footer">
    <w:name w:val="footer"/>
    <w:basedOn w:val="Normal"/>
    <w:link w:val="FooterChar"/>
    <w:uiPriority w:val="99"/>
    <w:unhideWhenUsed/>
    <w:rsid w:val="00122DF9"/>
    <w:pPr>
      <w:tabs>
        <w:tab w:val="center" w:pos="4153"/>
        <w:tab w:val="right" w:pos="8306"/>
      </w:tabs>
      <w:spacing w:after="0" w:line="240" w:lineRule="auto"/>
    </w:pPr>
  </w:style>
  <w:style w:type="character" w:customStyle="1" w:styleId="FooterChar">
    <w:name w:val="Footer Char"/>
    <w:link w:val="Footer"/>
    <w:uiPriority w:val="99"/>
    <w:rsid w:val="00122DF9"/>
    <w:rPr>
      <w:rFonts w:ascii="Calibri" w:eastAsia="Calibri" w:hAnsi="Calibri" w:cs="David"/>
      <w:kern w:val="0"/>
      <w:sz w:val="22"/>
      <w:szCs w:val="28"/>
    </w:rPr>
  </w:style>
  <w:style w:type="paragraph" w:styleId="Revision">
    <w:name w:val="Revision"/>
    <w:hidden/>
    <w:uiPriority w:val="99"/>
    <w:semiHidden/>
    <w:rsid w:val="00785279"/>
    <w:rPr>
      <w:rFonts w:ascii="Calibri" w:eastAsia="Calibri" w:hAnsi="Calibri" w:cs="David"/>
      <w:sz w:val="22"/>
      <w:szCs w:val="28"/>
    </w:rPr>
  </w:style>
  <w:style w:type="character" w:styleId="CommentReference">
    <w:name w:val="annotation reference"/>
    <w:uiPriority w:val="99"/>
    <w:semiHidden/>
    <w:unhideWhenUsed/>
    <w:rsid w:val="00785279"/>
    <w:rPr>
      <w:sz w:val="16"/>
      <w:szCs w:val="16"/>
    </w:rPr>
  </w:style>
  <w:style w:type="paragraph" w:styleId="CommentText">
    <w:name w:val="annotation text"/>
    <w:basedOn w:val="Normal"/>
    <w:link w:val="CommentTextChar"/>
    <w:uiPriority w:val="99"/>
    <w:unhideWhenUsed/>
    <w:rsid w:val="00785279"/>
    <w:pPr>
      <w:spacing w:line="240" w:lineRule="auto"/>
    </w:pPr>
    <w:rPr>
      <w:sz w:val="20"/>
      <w:szCs w:val="20"/>
    </w:rPr>
  </w:style>
  <w:style w:type="character" w:customStyle="1" w:styleId="CommentTextChar">
    <w:name w:val="Comment Text Char"/>
    <w:link w:val="CommentText"/>
    <w:uiPriority w:val="99"/>
    <w:rsid w:val="00785279"/>
    <w:rPr>
      <w:rFonts w:ascii="Calibri" w:eastAsia="Calibri" w:hAnsi="Calibri" w:cs="David"/>
      <w:kern w:val="0"/>
      <w:sz w:val="20"/>
      <w:szCs w:val="20"/>
    </w:rPr>
  </w:style>
  <w:style w:type="paragraph" w:styleId="CommentSubject">
    <w:name w:val="annotation subject"/>
    <w:basedOn w:val="CommentText"/>
    <w:next w:val="CommentText"/>
    <w:link w:val="CommentSubjectChar"/>
    <w:uiPriority w:val="99"/>
    <w:semiHidden/>
    <w:unhideWhenUsed/>
    <w:rsid w:val="00785279"/>
    <w:rPr>
      <w:b/>
      <w:bCs/>
    </w:rPr>
  </w:style>
  <w:style w:type="character" w:customStyle="1" w:styleId="CommentSubjectChar">
    <w:name w:val="Comment Subject Char"/>
    <w:link w:val="CommentSubject"/>
    <w:uiPriority w:val="99"/>
    <w:semiHidden/>
    <w:rsid w:val="00785279"/>
    <w:rPr>
      <w:rFonts w:ascii="Calibri" w:eastAsia="Calibri" w:hAnsi="Calibri" w:cs="David"/>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12</Pages>
  <Words>3688</Words>
  <Characters>21025</Characters>
  <Application>Microsoft Office Word</Application>
  <DocSecurity>0</DocSecurity>
  <Lines>175</Lines>
  <Paragraphs>49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מיכל שחר-אל"ם</dc:creator>
  <cp:keywords/>
  <cp:lastModifiedBy>נאיה שלום</cp:lastModifiedBy>
  <cp:revision>10</cp:revision>
  <dcterms:created xsi:type="dcterms:W3CDTF">2026-10-19T09:44:00Z</dcterms:created>
  <dcterms:modified xsi:type="dcterms:W3CDTF">2026-10-19T12:56:00Z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1b9bfc-c426-492e-a46c-1a922d5fe54b_Enabled">
    <vt:lpwstr>true</vt:lpwstr>
  </property>
  <property fmtid="{D5CDD505-2E9C-101B-9397-08002B2CF9AE}" pid="3" name="MSIP_Label_701b9bfc-c426-492e-a46c-1a922d5fe54b_SetDate">
    <vt:lpwstr>2026-10-18T13:55:20Z</vt:lpwstr>
  </property>
  <property fmtid="{D5CDD505-2E9C-101B-9397-08002B2CF9AE}" pid="4" name="MSIP_Label_701b9bfc-c426-492e-a46c-1a922d5fe54b_Method">
    <vt:lpwstr>Privileged</vt:lpwstr>
  </property>
  <property fmtid="{D5CDD505-2E9C-101B-9397-08002B2CF9AE}" pid="5" name="MSIP_Label_701b9bfc-c426-492e-a46c-1a922d5fe54b_Name">
    <vt:lpwstr>בלמ"ס</vt:lpwstr>
  </property>
  <property fmtid="{D5CDD505-2E9C-101B-9397-08002B2CF9AE}" pid="6" name="MSIP_Label_701b9bfc-c426-492e-a46c-1a922d5fe54b_SiteId">
    <vt:lpwstr>78820852-55fa-450b-908d-45c0d911e76b</vt:lpwstr>
  </property>
  <property fmtid="{D5CDD505-2E9C-101B-9397-08002B2CF9AE}" pid="7" name="MSIP_Label_701b9bfc-c426-492e-a46c-1a922d5fe54b_ActionId">
    <vt:lpwstr>bd53a401-6cfd-4a45-a527-f8f9d4c75db3</vt:lpwstr>
  </property>
  <property fmtid="{D5CDD505-2E9C-101B-9397-08002B2CF9AE}" pid="8" name="MSIP_Label_701b9bfc-c426-492e-a46c-1a922d5fe54b_ContentBits">
    <vt:lpwstr>1</vt:lpwstr>
  </property>
  <property fmtid="{D5CDD505-2E9C-101B-9397-08002B2CF9AE}" pid="9" name="MSIP_Label_701b9bfc-c426-492e-a46c-1a922d5fe54b_Tag">
    <vt:lpwstr>10, 0, 1, 1</vt:lpwstr>
  </property>
</Properties>
</file>