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C4F0" w14:textId="61E5CD4C" w:rsidR="00F71A5A" w:rsidRPr="00F71A5A" w:rsidRDefault="00F71A5A" w:rsidP="00F71A5A">
      <w:pPr>
        <w:tabs>
          <w:tab w:val="right" w:pos="6328"/>
        </w:tabs>
        <w:spacing w:line="480" w:lineRule="auto"/>
        <w:ind w:left="1985" w:right="1985"/>
        <w:rPr>
          <w:rtl/>
        </w:rPr>
      </w:pPr>
      <w:bookmarkStart w:id="0" w:name="_Hlk149821736"/>
      <w:bookmarkStart w:id="1" w:name="_Hlk149824479"/>
      <w:r w:rsidRPr="00164FD0">
        <w:rPr>
          <w:noProof/>
        </w:rPr>
        <w:drawing>
          <wp:inline distT="0" distB="0" distL="0" distR="0" wp14:anchorId="5BBA1E33" wp14:editId="0E256EEF">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D1D8996" wp14:editId="01341344">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6FBF057" w14:textId="2B2FDB7B" w:rsidR="00665CB8" w:rsidRPr="00FD2DDA" w:rsidRDefault="00665CB8" w:rsidP="00F71A5A">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0A3FF64E" w14:textId="77777777" w:rsidR="00665CB8" w:rsidRPr="00FD2DDA" w:rsidRDefault="00665CB8" w:rsidP="00665CB8">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52D8B763" w14:textId="77777777" w:rsidR="00665CB8" w:rsidRPr="00BB5867" w:rsidRDefault="00665CB8" w:rsidP="00665CB8">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שופטת</w:t>
      </w:r>
    </w:p>
    <w:p w14:paraId="5F00303A" w14:textId="7FF43A59" w:rsidR="00665CB8" w:rsidRDefault="00665CB8" w:rsidP="00665CB8">
      <w:pPr>
        <w:rPr>
          <w:rFonts w:ascii="David" w:hAnsi="David" w:cs="David"/>
          <w:sz w:val="28"/>
          <w:szCs w:val="28"/>
          <w:rtl/>
        </w:rPr>
      </w:pPr>
      <w:r w:rsidRPr="00FD2DDA">
        <w:rPr>
          <w:rFonts w:ascii="David" w:hAnsi="David" w:cs="David" w:hint="cs"/>
          <w:sz w:val="28"/>
          <w:szCs w:val="28"/>
          <w:rtl/>
        </w:rPr>
        <w:t>בעניין:</w:t>
      </w:r>
    </w:p>
    <w:p w14:paraId="576F6965" w14:textId="77777777" w:rsidR="00665CB8" w:rsidRPr="00665CB8" w:rsidRDefault="00665CB8" w:rsidP="00665CB8">
      <w:pPr>
        <w:rPr>
          <w:rFonts w:ascii="David" w:hAnsi="David" w:cs="David"/>
          <w:sz w:val="14"/>
          <w:szCs w:val="14"/>
          <w:rtl/>
        </w:rPr>
      </w:pPr>
    </w:p>
    <w:p w14:paraId="2546FD29" w14:textId="49C9B91C" w:rsidR="00665CB8" w:rsidRPr="00FD2DDA" w:rsidRDefault="00665CB8" w:rsidP="00EA38F6">
      <w:pPr>
        <w:jc w:val="center"/>
        <w:rPr>
          <w:rFonts w:ascii="David" w:hAnsi="David" w:cs="David"/>
          <w:sz w:val="28"/>
          <w:szCs w:val="28"/>
          <w:rtl/>
        </w:rPr>
      </w:pPr>
      <w:r>
        <w:rPr>
          <w:rFonts w:ascii="David" w:hAnsi="David" w:cs="David" w:hint="cs"/>
          <w:b/>
          <w:bCs/>
          <w:sz w:val="28"/>
          <w:szCs w:val="28"/>
          <w:rtl/>
        </w:rPr>
        <w:t>ב/</w:t>
      </w:r>
      <w:r w:rsidR="00EA38F6">
        <w:rPr>
          <w:rFonts w:ascii="David" w:hAnsi="David" w:cs="David" w:hint="cs"/>
          <w:b/>
          <w:bCs/>
          <w:sz w:val="28"/>
          <w:szCs w:val="28"/>
        </w:rPr>
        <w:t>XXXXXXX</w:t>
      </w:r>
      <w:r>
        <w:rPr>
          <w:rFonts w:ascii="David" w:hAnsi="David" w:cs="David" w:hint="cs"/>
          <w:b/>
          <w:bCs/>
          <w:sz w:val="28"/>
          <w:szCs w:val="28"/>
          <w:rtl/>
        </w:rPr>
        <w:t xml:space="preserve"> טור' </w:t>
      </w:r>
      <w:r w:rsidR="00EA38F6">
        <w:rPr>
          <w:rFonts w:ascii="David" w:hAnsi="David" w:cs="David" w:hint="cs"/>
          <w:b/>
          <w:bCs/>
          <w:sz w:val="28"/>
          <w:szCs w:val="28"/>
          <w:rtl/>
        </w:rPr>
        <w:t>ד' ש'</w:t>
      </w:r>
      <w:r w:rsidRPr="00FD2DDA">
        <w:rPr>
          <w:rFonts w:ascii="David" w:hAnsi="David" w:cs="David" w:hint="cs"/>
          <w:b/>
          <w:bCs/>
          <w:sz w:val="28"/>
          <w:szCs w:val="28"/>
          <w:rtl/>
        </w:rPr>
        <w:t>–</w:t>
      </w:r>
      <w:r w:rsidRPr="00FD2DDA">
        <w:rPr>
          <w:rFonts w:ascii="David" w:hAnsi="David" w:cs="David" w:hint="cs"/>
          <w:sz w:val="28"/>
          <w:szCs w:val="28"/>
          <w:rtl/>
        </w:rPr>
        <w:t xml:space="preserve"> המ</w:t>
      </w:r>
      <w:r>
        <w:rPr>
          <w:rFonts w:ascii="David" w:hAnsi="David" w:cs="David" w:hint="cs"/>
          <w:sz w:val="28"/>
          <w:szCs w:val="28"/>
          <w:rtl/>
        </w:rPr>
        <w:t>בקש</w:t>
      </w:r>
      <w:r w:rsidRPr="00FD2DDA">
        <w:rPr>
          <w:rFonts w:ascii="David" w:hAnsi="David" w:cs="David" w:hint="cs"/>
          <w:sz w:val="28"/>
          <w:szCs w:val="28"/>
          <w:rtl/>
        </w:rPr>
        <w:t xml:space="preserve"> (ע"י ב"כ,</w:t>
      </w:r>
      <w:r>
        <w:rPr>
          <w:rFonts w:ascii="David" w:hAnsi="David" w:cs="David" w:hint="cs"/>
          <w:sz w:val="28"/>
          <w:szCs w:val="28"/>
          <w:rtl/>
        </w:rPr>
        <w:t xml:space="preserve"> רס"ן דביר אופיר</w:t>
      </w:r>
      <w:r w:rsidRPr="00FD2DDA">
        <w:rPr>
          <w:rFonts w:ascii="David" w:hAnsi="David" w:cs="David" w:hint="cs"/>
          <w:sz w:val="28"/>
          <w:szCs w:val="28"/>
          <w:rtl/>
        </w:rPr>
        <w:t>)</w:t>
      </w:r>
    </w:p>
    <w:p w14:paraId="2F6ACA70" w14:textId="77777777" w:rsidR="00665CB8" w:rsidRPr="00FD2DDA" w:rsidRDefault="00665CB8" w:rsidP="00665CB8">
      <w:pPr>
        <w:jc w:val="center"/>
        <w:rPr>
          <w:rFonts w:ascii="David" w:hAnsi="David" w:cs="David"/>
          <w:sz w:val="28"/>
          <w:szCs w:val="28"/>
          <w:rtl/>
        </w:rPr>
      </w:pPr>
    </w:p>
    <w:p w14:paraId="2EE4FB89" w14:textId="682B3010" w:rsidR="00665CB8" w:rsidRDefault="00665CB8" w:rsidP="00665CB8">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5BDFD6FD" w14:textId="77777777" w:rsidR="00665CB8" w:rsidRPr="00665CB8" w:rsidRDefault="00665CB8" w:rsidP="00665CB8">
      <w:pPr>
        <w:spacing w:after="360"/>
        <w:jc w:val="center"/>
        <w:rPr>
          <w:rFonts w:ascii="David" w:hAnsi="David" w:cs="David"/>
          <w:b/>
          <w:bCs/>
          <w:sz w:val="14"/>
          <w:szCs w:val="14"/>
          <w:rtl/>
        </w:rPr>
      </w:pPr>
    </w:p>
    <w:p w14:paraId="2192903C" w14:textId="22B3F0A5" w:rsidR="00665CB8" w:rsidRDefault="00665CB8" w:rsidP="00665CB8">
      <w:pPr>
        <w:spacing w:after="120"/>
        <w:jc w:val="center"/>
        <w:rPr>
          <w:rFonts w:ascii="David" w:hAnsi="David" w:cs="David"/>
          <w:sz w:val="28"/>
          <w:szCs w:val="28"/>
          <w:rtl/>
        </w:rPr>
      </w:pPr>
      <w:r>
        <w:rPr>
          <w:rFonts w:ascii="David" w:hAnsi="David" w:cs="David" w:hint="cs"/>
          <w:b/>
          <w:bCs/>
          <w:sz w:val="28"/>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תכלת מרדכי </w:t>
      </w:r>
      <w:proofErr w:type="spellStart"/>
      <w:r>
        <w:rPr>
          <w:rFonts w:ascii="David" w:hAnsi="David" w:cs="David" w:hint="cs"/>
          <w:sz w:val="28"/>
          <w:szCs w:val="28"/>
          <w:rtl/>
        </w:rPr>
        <w:t>פיגנסון</w:t>
      </w:r>
      <w:proofErr w:type="spellEnd"/>
      <w:r w:rsidRPr="00FD2DDA">
        <w:rPr>
          <w:rFonts w:ascii="David" w:hAnsi="David" w:cs="David" w:hint="cs"/>
          <w:sz w:val="28"/>
          <w:szCs w:val="28"/>
          <w:rtl/>
        </w:rPr>
        <w:t>)</w:t>
      </w:r>
    </w:p>
    <w:p w14:paraId="6C23BFE2" w14:textId="77777777" w:rsidR="00665CB8" w:rsidRPr="00FD2DDA" w:rsidRDefault="00665CB8" w:rsidP="00665CB8">
      <w:pPr>
        <w:spacing w:after="120"/>
        <w:jc w:val="center"/>
        <w:rPr>
          <w:rFonts w:ascii="David" w:hAnsi="David" w:cs="David"/>
          <w:sz w:val="28"/>
          <w:szCs w:val="28"/>
          <w:rtl/>
        </w:rPr>
      </w:pPr>
    </w:p>
    <w:p w14:paraId="0EB422FE" w14:textId="77777777" w:rsidR="00665CB8" w:rsidRPr="00FD2DDA" w:rsidRDefault="00665CB8" w:rsidP="00665CB8">
      <w:pPr>
        <w:spacing w:after="360" w:line="360" w:lineRule="auto"/>
        <w:rPr>
          <w:rFonts w:ascii="David" w:hAnsi="David" w:cs="David"/>
          <w:b/>
          <w:bCs/>
          <w:sz w:val="28"/>
          <w:szCs w:val="28"/>
          <w:u w:val="single"/>
          <w:rtl/>
        </w:rPr>
      </w:pPr>
    </w:p>
    <w:bookmarkEnd w:id="0"/>
    <w:p w14:paraId="2FAF31E8" w14:textId="3E68C41E" w:rsidR="00665CB8" w:rsidRDefault="00665CB8" w:rsidP="00665CB8">
      <w:pPr>
        <w:spacing w:after="360" w:line="360" w:lineRule="auto"/>
        <w:jc w:val="both"/>
        <w:rPr>
          <w:rFonts w:ascii="David" w:hAnsi="David" w:cs="David"/>
          <w:sz w:val="28"/>
          <w:szCs w:val="28"/>
          <w:rtl/>
        </w:rPr>
      </w:pPr>
      <w:r>
        <w:rPr>
          <w:rFonts w:ascii="David" w:hAnsi="David" w:cs="David" w:hint="cs"/>
          <w:sz w:val="28"/>
          <w:szCs w:val="28"/>
          <w:rtl/>
        </w:rPr>
        <w:t>בקשה לעיכוב תשלום פיצויים. הבקשה נדחתה.</w:t>
      </w:r>
    </w:p>
    <w:p w14:paraId="1423EA99" w14:textId="77777777" w:rsidR="00665CB8" w:rsidRDefault="00665CB8" w:rsidP="00665CB8">
      <w:pPr>
        <w:spacing w:after="360" w:line="360" w:lineRule="auto"/>
        <w:jc w:val="both"/>
        <w:rPr>
          <w:rFonts w:ascii="David" w:hAnsi="David" w:cs="David"/>
          <w:sz w:val="28"/>
          <w:szCs w:val="28"/>
          <w:rtl/>
        </w:rPr>
      </w:pPr>
    </w:p>
    <w:bookmarkEnd w:id="1"/>
    <w:p w14:paraId="67FC2BC2" w14:textId="715CB244" w:rsidR="007B7648" w:rsidRDefault="007B7648" w:rsidP="00D93A6C">
      <w:pPr>
        <w:tabs>
          <w:tab w:val="left" w:pos="232"/>
        </w:tabs>
        <w:spacing w:after="0" w:line="348"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502790DC" w14:textId="77777777" w:rsidR="004B6DC8" w:rsidRDefault="004B6DC8" w:rsidP="00D93A6C">
      <w:pPr>
        <w:tabs>
          <w:tab w:val="left" w:pos="232"/>
        </w:tabs>
        <w:spacing w:after="0" w:line="348" w:lineRule="auto"/>
        <w:ind w:left="-52"/>
        <w:rPr>
          <w:rFonts w:ascii="David" w:hAnsi="David" w:cs="David"/>
          <w:b/>
          <w:bCs/>
          <w:sz w:val="28"/>
          <w:szCs w:val="28"/>
          <w:u w:val="single"/>
          <w:rtl/>
        </w:rPr>
      </w:pPr>
    </w:p>
    <w:p w14:paraId="18ED2A88" w14:textId="413511B0" w:rsidR="004755A2" w:rsidRDefault="005551D6" w:rsidP="00297532">
      <w:pPr>
        <w:numPr>
          <w:ilvl w:val="0"/>
          <w:numId w:val="1"/>
        </w:numPr>
        <w:tabs>
          <w:tab w:val="left" w:pos="282"/>
        </w:tabs>
        <w:spacing w:after="0" w:line="360" w:lineRule="auto"/>
        <w:ind w:left="0" w:firstLine="0"/>
        <w:jc w:val="both"/>
        <w:rPr>
          <w:rFonts w:cs="David"/>
          <w:sz w:val="28"/>
          <w:szCs w:val="28"/>
        </w:rPr>
      </w:pPr>
      <w:r w:rsidRPr="00797C3A">
        <w:rPr>
          <w:rFonts w:ascii="Times New Roman" w:eastAsia="Times New Roman" w:hAnsi="Times New Roman" w:cs="David" w:hint="cs"/>
          <w:sz w:val="20"/>
          <w:szCs w:val="28"/>
          <w:rtl/>
        </w:rPr>
        <w:t xml:space="preserve">המבקש, </w:t>
      </w:r>
      <w:r w:rsidR="004755A2">
        <w:rPr>
          <w:rFonts w:ascii="Times New Roman" w:eastAsia="Times New Roman" w:hAnsi="Times New Roman" w:cs="David" w:hint="cs"/>
          <w:sz w:val="20"/>
          <w:szCs w:val="28"/>
          <w:rtl/>
        </w:rPr>
        <w:t xml:space="preserve">טור' </w:t>
      </w:r>
      <w:r w:rsidR="00EA38F6">
        <w:rPr>
          <w:rFonts w:ascii="Times New Roman" w:eastAsia="Times New Roman" w:hAnsi="Times New Roman" w:cs="David" w:hint="cs"/>
          <w:sz w:val="20"/>
          <w:szCs w:val="28"/>
          <w:rtl/>
        </w:rPr>
        <w:t>ד' ש'</w:t>
      </w:r>
      <w:r w:rsidR="000E1C9A" w:rsidRPr="00797C3A">
        <w:rPr>
          <w:rFonts w:ascii="Times New Roman" w:eastAsia="Times New Roman" w:hAnsi="Times New Roman" w:cs="David" w:hint="cs"/>
          <w:sz w:val="20"/>
          <w:szCs w:val="28"/>
          <w:rtl/>
        </w:rPr>
        <w:t xml:space="preserve">, </w:t>
      </w:r>
      <w:r w:rsidR="00453953" w:rsidRPr="00797C3A">
        <w:rPr>
          <w:rFonts w:ascii="Times New Roman" w:eastAsia="Times New Roman" w:hAnsi="Times New Roman" w:cs="David" w:hint="cs"/>
          <w:sz w:val="20"/>
          <w:szCs w:val="28"/>
          <w:rtl/>
        </w:rPr>
        <w:t xml:space="preserve">הורשע לאחר שמיעת ראיות </w:t>
      </w:r>
      <w:r w:rsidR="004755A2">
        <w:rPr>
          <w:rFonts w:ascii="Times New Roman" w:eastAsia="Times New Roman" w:hAnsi="Times New Roman" w:cs="David" w:hint="cs"/>
          <w:sz w:val="20"/>
          <w:szCs w:val="28"/>
          <w:rtl/>
        </w:rPr>
        <w:t xml:space="preserve">בחמישה פרטי אישום המייחסים לו מעשה מגונה, </w:t>
      </w:r>
      <w:r w:rsidR="00453953" w:rsidRPr="00797C3A">
        <w:rPr>
          <w:rFonts w:cs="David" w:hint="cs"/>
          <w:sz w:val="28"/>
          <w:szCs w:val="28"/>
          <w:rtl/>
        </w:rPr>
        <w:t xml:space="preserve">לפי </w:t>
      </w:r>
      <w:r w:rsidR="004755A2">
        <w:rPr>
          <w:rFonts w:cs="David" w:hint="cs"/>
          <w:sz w:val="28"/>
          <w:szCs w:val="28"/>
          <w:rtl/>
        </w:rPr>
        <w:t>סעיף 348(ג)</w:t>
      </w:r>
      <w:r w:rsidR="00453953" w:rsidRPr="00797C3A">
        <w:rPr>
          <w:rFonts w:cs="David" w:hint="cs"/>
          <w:sz w:val="28"/>
          <w:szCs w:val="28"/>
          <w:rtl/>
        </w:rPr>
        <w:t xml:space="preserve"> לחוק העונשין, התשל"ז-1977</w:t>
      </w:r>
      <w:r w:rsidR="00453953" w:rsidRPr="00797C3A">
        <w:rPr>
          <w:rFonts w:ascii="Times New Roman" w:eastAsia="Times New Roman" w:hAnsi="Times New Roman" w:cs="David" w:hint="cs"/>
          <w:sz w:val="20"/>
          <w:szCs w:val="28"/>
          <w:rtl/>
        </w:rPr>
        <w:t xml:space="preserve"> וב</w:t>
      </w:r>
      <w:r w:rsidR="004755A2">
        <w:rPr>
          <w:rFonts w:ascii="Times New Roman" w:eastAsia="Times New Roman" w:hAnsi="Times New Roman" w:cs="David" w:hint="cs"/>
          <w:sz w:val="20"/>
          <w:szCs w:val="28"/>
          <w:rtl/>
        </w:rPr>
        <w:t>שני פרטי אישום</w:t>
      </w:r>
      <w:r w:rsidR="00453953" w:rsidRPr="00797C3A">
        <w:rPr>
          <w:rFonts w:ascii="Times New Roman" w:eastAsia="Times New Roman" w:hAnsi="Times New Roman" w:cs="David" w:hint="cs"/>
          <w:sz w:val="20"/>
          <w:szCs w:val="28"/>
          <w:rtl/>
        </w:rPr>
        <w:t xml:space="preserve"> </w:t>
      </w:r>
      <w:r w:rsidR="004755A2">
        <w:rPr>
          <w:rFonts w:ascii="Times New Roman" w:eastAsia="Times New Roman" w:hAnsi="Times New Roman" w:cs="David" w:hint="cs"/>
          <w:sz w:val="20"/>
          <w:szCs w:val="28"/>
          <w:rtl/>
        </w:rPr>
        <w:t xml:space="preserve">שעניינם הטרדה מינית, לפי סעיף 3(א)(5) לחוק למניעת הטרדה מינית, </w:t>
      </w:r>
      <w:proofErr w:type="spellStart"/>
      <w:r w:rsidR="004755A2">
        <w:rPr>
          <w:rFonts w:ascii="Times New Roman" w:eastAsia="Times New Roman" w:hAnsi="Times New Roman" w:cs="David" w:hint="cs"/>
          <w:sz w:val="20"/>
          <w:szCs w:val="28"/>
          <w:rtl/>
        </w:rPr>
        <w:t>התשנ"ח</w:t>
      </w:r>
      <w:proofErr w:type="spellEnd"/>
      <w:r w:rsidR="004755A2">
        <w:rPr>
          <w:rFonts w:ascii="Times New Roman" w:eastAsia="Times New Roman" w:hAnsi="Times New Roman" w:cs="David" w:hint="cs"/>
          <w:sz w:val="20"/>
          <w:szCs w:val="28"/>
          <w:rtl/>
        </w:rPr>
        <w:t xml:space="preserve"> </w:t>
      </w:r>
      <w:r w:rsidR="004755A2">
        <w:rPr>
          <w:rFonts w:ascii="Times New Roman" w:eastAsia="Times New Roman" w:hAnsi="Times New Roman" w:cs="David"/>
          <w:sz w:val="20"/>
          <w:szCs w:val="28"/>
          <w:rtl/>
        </w:rPr>
        <w:t>–</w:t>
      </w:r>
      <w:r w:rsidR="004755A2">
        <w:rPr>
          <w:rFonts w:ascii="Times New Roman" w:eastAsia="Times New Roman" w:hAnsi="Times New Roman" w:cs="David" w:hint="cs"/>
          <w:sz w:val="20"/>
          <w:szCs w:val="28"/>
          <w:rtl/>
        </w:rPr>
        <w:t xml:space="preserve"> 1998. </w:t>
      </w:r>
      <w:r w:rsidR="004755A2">
        <w:rPr>
          <w:rFonts w:cs="David" w:hint="cs"/>
          <w:sz w:val="28"/>
          <w:szCs w:val="28"/>
          <w:rtl/>
        </w:rPr>
        <w:t>לצד זאת זוכה המבקש באופן חלקי ממספר סעיפי משנה בפרטי אישום מסוימים ובאופן מלא ממספר פרטי אישום נוספים (בעבירות של מעשה מגונה והטרדה מינית).</w:t>
      </w:r>
      <w:r w:rsidR="004755A2" w:rsidRPr="00E656FF">
        <w:rPr>
          <w:rFonts w:cs="David" w:hint="cs"/>
          <w:sz w:val="28"/>
          <w:szCs w:val="28"/>
          <w:rtl/>
        </w:rPr>
        <w:t xml:space="preserve"> </w:t>
      </w:r>
      <w:r w:rsidR="004755A2">
        <w:rPr>
          <w:rFonts w:cs="David" w:hint="cs"/>
          <w:sz w:val="28"/>
          <w:szCs w:val="28"/>
          <w:rtl/>
        </w:rPr>
        <w:t xml:space="preserve">עניינה של ההרשעה במגעים ואמירות של המבקש כלפי ארבע נפגעות עבירה שונות, שהיו חניכות בקורס מצ"ח בצוותא עמו, בתקופה שבה בוצעו העבירות (שלהי שנת 2021 עד ראשית שנת 2022).  </w:t>
      </w:r>
    </w:p>
    <w:p w14:paraId="5D855861" w14:textId="77777777" w:rsidR="004755A2" w:rsidRDefault="004755A2"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lastRenderedPageBreak/>
        <w:t>בעקבות הרשעתו נגזר על המבקש, בדעת רוב, עונש של 210 ימי מאסר בפועל, בדרך של עבודה צבאית, ואילו שופט המיעוט סבר כי יש להשית עליו</w:t>
      </w:r>
      <w:r w:rsidR="00D55A75">
        <w:rPr>
          <w:rFonts w:cs="David" w:hint="cs"/>
          <w:sz w:val="28"/>
          <w:szCs w:val="28"/>
          <w:rtl/>
        </w:rPr>
        <w:t xml:space="preserve"> עונש של </w:t>
      </w:r>
      <w:r>
        <w:rPr>
          <w:rFonts w:cs="David" w:hint="cs"/>
          <w:sz w:val="28"/>
          <w:szCs w:val="28"/>
          <w:rtl/>
        </w:rPr>
        <w:t>225 ימי מאסר בפועל, מתוכם 75 ימים בכליאה ממשית והיתרה בעבודה צבאית. עוד הושתו על המשיב, על דעת כל השופטים, עונשי מאסר מותנה ונקבע כי עליו לשלם פיצויים לארבע נפגעות העבירה בסכום כולל של 6,100 ש"ח.</w:t>
      </w:r>
      <w:r w:rsidR="00081EBF">
        <w:rPr>
          <w:rFonts w:cs="David" w:hint="cs"/>
          <w:sz w:val="28"/>
          <w:szCs w:val="28"/>
          <w:rtl/>
        </w:rPr>
        <w:t xml:space="preserve"> גזר הדין ניתן ביום 9 ביולי 2025, ונקבע בו כי </w:t>
      </w:r>
      <w:r w:rsidR="00B90E85">
        <w:rPr>
          <w:rFonts w:cs="David" w:hint="cs"/>
          <w:sz w:val="28"/>
          <w:szCs w:val="28"/>
          <w:rtl/>
        </w:rPr>
        <w:t>המבקש</w:t>
      </w:r>
      <w:r w:rsidR="00081EBF">
        <w:rPr>
          <w:rFonts w:cs="David" w:hint="cs"/>
          <w:sz w:val="28"/>
          <w:szCs w:val="28"/>
          <w:rtl/>
        </w:rPr>
        <w:t xml:space="preserve"> ישלם את הפיצויים שנפסקו "תוך חודש מהיום, אלא אם ערכאת הערעור תקבע אחרת". </w:t>
      </w:r>
    </w:p>
    <w:p w14:paraId="5F9C6B2F" w14:textId="596579FB" w:rsidR="00BF128B" w:rsidRPr="00D1529B" w:rsidRDefault="00BF128B" w:rsidP="00297532">
      <w:pPr>
        <w:numPr>
          <w:ilvl w:val="0"/>
          <w:numId w:val="1"/>
        </w:numPr>
        <w:tabs>
          <w:tab w:val="left" w:pos="282"/>
        </w:tabs>
        <w:spacing w:after="0" w:line="360" w:lineRule="auto"/>
        <w:ind w:left="0" w:firstLine="0"/>
        <w:jc w:val="both"/>
        <w:rPr>
          <w:rFonts w:cs="David"/>
          <w:sz w:val="28"/>
          <w:szCs w:val="28"/>
        </w:rPr>
      </w:pPr>
      <w:r w:rsidRPr="00D1529B">
        <w:rPr>
          <w:rFonts w:cs="David" w:hint="cs"/>
          <w:sz w:val="28"/>
          <w:szCs w:val="28"/>
          <w:rtl/>
        </w:rPr>
        <w:t xml:space="preserve">שני הצדדים לא השלימו עם פסק דינו של בית הדין קמא. </w:t>
      </w:r>
      <w:r w:rsidR="00081EBF" w:rsidRPr="00D1529B">
        <w:rPr>
          <w:rFonts w:cs="David" w:hint="cs"/>
          <w:sz w:val="28"/>
          <w:szCs w:val="28"/>
          <w:rtl/>
        </w:rPr>
        <w:t xml:space="preserve">ביום 14 ביולי 2025 הגישה ההגנה הודעת ערעור לא מנומקת על הכרעת הדין ועל גזר הדין וביקשה להגיש את נימוקיה עד ליום 10 באוגוסט 2025. </w:t>
      </w:r>
      <w:r w:rsidRPr="00D1529B">
        <w:rPr>
          <w:rFonts w:cs="David" w:hint="cs"/>
          <w:sz w:val="28"/>
          <w:szCs w:val="28"/>
          <w:rtl/>
        </w:rPr>
        <w:t>ביום 23 ביולי 2025 הגישה התביעה הודעת ערעור מנומקת הן ביחס לזיכויו של המבקש מסעיפי אישום מסוימים והן ביחס לקולת העונש</w:t>
      </w:r>
      <w:r w:rsidR="00484046">
        <w:rPr>
          <w:rFonts w:cs="David" w:hint="cs"/>
          <w:sz w:val="28"/>
          <w:szCs w:val="28"/>
          <w:rtl/>
        </w:rPr>
        <w:t xml:space="preserve">. התביעה אף </w:t>
      </w:r>
      <w:r w:rsidRPr="00D1529B">
        <w:rPr>
          <w:rFonts w:cs="David" w:hint="cs"/>
          <w:sz w:val="28"/>
          <w:szCs w:val="28"/>
          <w:rtl/>
        </w:rPr>
        <w:t>ביקשה להחמיר בשיעור הפיצויים ש</w:t>
      </w:r>
      <w:r w:rsidR="00484046">
        <w:rPr>
          <w:rFonts w:cs="David" w:hint="cs"/>
          <w:sz w:val="28"/>
          <w:szCs w:val="28"/>
          <w:rtl/>
        </w:rPr>
        <w:t xml:space="preserve">הושת על </w:t>
      </w:r>
      <w:r w:rsidRPr="00D1529B">
        <w:rPr>
          <w:rFonts w:cs="David" w:hint="cs"/>
          <w:sz w:val="28"/>
          <w:szCs w:val="28"/>
          <w:rtl/>
        </w:rPr>
        <w:t>המבקש. לערעורה צירפה בקשה לדחיית ריצוי עונש</w:t>
      </w:r>
      <w:r w:rsidR="00484046">
        <w:rPr>
          <w:rFonts w:cs="David" w:hint="cs"/>
          <w:sz w:val="28"/>
          <w:szCs w:val="28"/>
          <w:rtl/>
        </w:rPr>
        <w:t xml:space="preserve"> המאסר בפועל</w:t>
      </w:r>
      <w:r w:rsidRPr="00D1529B">
        <w:rPr>
          <w:rFonts w:cs="David" w:hint="cs"/>
          <w:sz w:val="28"/>
          <w:szCs w:val="28"/>
          <w:rtl/>
        </w:rPr>
        <w:t xml:space="preserve"> ש</w:t>
      </w:r>
      <w:r w:rsidR="00484046">
        <w:rPr>
          <w:rFonts w:cs="David" w:hint="cs"/>
          <w:sz w:val="28"/>
          <w:szCs w:val="28"/>
          <w:rtl/>
        </w:rPr>
        <w:t xml:space="preserve">הוטל על </w:t>
      </w:r>
      <w:r w:rsidRPr="00D1529B">
        <w:rPr>
          <w:rFonts w:cs="David" w:hint="cs"/>
          <w:sz w:val="28"/>
          <w:szCs w:val="28"/>
          <w:rtl/>
        </w:rPr>
        <w:t xml:space="preserve">המבקש, אשר התקבלה, לאחר דיון בנוכחות הצדדים, על אף התנגדות ההגנה (ב"ש 61517-07-25 </w:t>
      </w:r>
      <w:r w:rsidRPr="00D1529B">
        <w:rPr>
          <w:rFonts w:cs="David" w:hint="cs"/>
          <w:b/>
          <w:bCs/>
          <w:sz w:val="28"/>
          <w:szCs w:val="28"/>
          <w:rtl/>
        </w:rPr>
        <w:t>התובע הצבאי הראשי נ' טור' ש</w:t>
      </w:r>
      <w:r w:rsidR="00EA38F6">
        <w:rPr>
          <w:rFonts w:cs="David" w:hint="cs"/>
          <w:b/>
          <w:bCs/>
          <w:sz w:val="28"/>
          <w:szCs w:val="28"/>
          <w:rtl/>
        </w:rPr>
        <w:t>'</w:t>
      </w:r>
      <w:r w:rsidRPr="00D1529B">
        <w:rPr>
          <w:rFonts w:cs="David" w:hint="cs"/>
          <w:b/>
          <w:bCs/>
          <w:sz w:val="28"/>
          <w:szCs w:val="28"/>
          <w:rtl/>
        </w:rPr>
        <w:t xml:space="preserve"> </w:t>
      </w:r>
      <w:r w:rsidRPr="00D1529B">
        <w:rPr>
          <w:rFonts w:cs="David" w:hint="cs"/>
          <w:sz w:val="28"/>
          <w:szCs w:val="28"/>
          <w:rtl/>
        </w:rPr>
        <w:t xml:space="preserve">(2025)). </w:t>
      </w:r>
    </w:p>
    <w:p w14:paraId="0EC8E423" w14:textId="77777777" w:rsidR="00081EBF" w:rsidRDefault="00081EBF"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בהודעת הערעור המנומקת</w:t>
      </w:r>
      <w:r w:rsidR="00BF128B">
        <w:rPr>
          <w:rFonts w:cs="David" w:hint="cs"/>
          <w:sz w:val="28"/>
          <w:szCs w:val="28"/>
          <w:rtl/>
        </w:rPr>
        <w:t xml:space="preserve"> שהגישה ביום 10 באוגוסט 2025</w:t>
      </w:r>
      <w:r w:rsidR="009C4A9A">
        <w:rPr>
          <w:rFonts w:cs="David" w:hint="cs"/>
          <w:sz w:val="28"/>
          <w:szCs w:val="28"/>
          <w:rtl/>
        </w:rPr>
        <w:t>,</w:t>
      </w:r>
      <w:r w:rsidR="00BF128B">
        <w:rPr>
          <w:rFonts w:cs="David" w:hint="cs"/>
          <w:sz w:val="28"/>
          <w:szCs w:val="28"/>
          <w:rtl/>
        </w:rPr>
        <w:t xml:space="preserve"> </w:t>
      </w:r>
      <w:r>
        <w:rPr>
          <w:rFonts w:cs="David" w:hint="cs"/>
          <w:sz w:val="28"/>
          <w:szCs w:val="28"/>
          <w:rtl/>
        </w:rPr>
        <w:t xml:space="preserve">טענה </w:t>
      </w:r>
      <w:r w:rsidR="009C4A9A">
        <w:rPr>
          <w:rFonts w:cs="David" w:hint="cs"/>
          <w:sz w:val="28"/>
          <w:szCs w:val="28"/>
          <w:rtl/>
        </w:rPr>
        <w:t xml:space="preserve">ההגנה </w:t>
      </w:r>
      <w:r>
        <w:rPr>
          <w:rFonts w:cs="David" w:hint="cs"/>
          <w:sz w:val="28"/>
          <w:szCs w:val="28"/>
          <w:rtl/>
        </w:rPr>
        <w:t>כנגד הכרעת הדין המרשיעה ולחלופין עתרה להקלה בעונש</w:t>
      </w:r>
      <w:r w:rsidR="00484046">
        <w:rPr>
          <w:rFonts w:cs="David" w:hint="cs"/>
          <w:sz w:val="28"/>
          <w:szCs w:val="28"/>
          <w:rtl/>
        </w:rPr>
        <w:t xml:space="preserve"> המאסר שהוטל על </w:t>
      </w:r>
      <w:r w:rsidR="00BF128B">
        <w:rPr>
          <w:rFonts w:cs="David" w:hint="cs"/>
          <w:sz w:val="28"/>
          <w:szCs w:val="28"/>
          <w:rtl/>
        </w:rPr>
        <w:t>המבקש</w:t>
      </w:r>
      <w:r w:rsidR="00484046">
        <w:rPr>
          <w:rFonts w:cs="David" w:hint="cs"/>
          <w:sz w:val="28"/>
          <w:szCs w:val="28"/>
          <w:rtl/>
        </w:rPr>
        <w:t>. ההגנה ביקשה להקל גם ברכיב הפיצויים, שנפסק, כאמור.</w:t>
      </w:r>
      <w:r>
        <w:rPr>
          <w:rFonts w:cs="David" w:hint="cs"/>
          <w:sz w:val="28"/>
          <w:szCs w:val="28"/>
          <w:rtl/>
        </w:rPr>
        <w:t xml:space="preserve"> לנימוקי הערעור צירפה </w:t>
      </w:r>
      <w:r w:rsidR="00BF128B">
        <w:rPr>
          <w:rFonts w:cs="David" w:hint="cs"/>
          <w:sz w:val="28"/>
          <w:szCs w:val="28"/>
          <w:rtl/>
        </w:rPr>
        <w:t>ההגנה בקשה לדחיית מועד תשלום הפיצויים עד למתן פסק דין בערעור</w:t>
      </w:r>
      <w:r w:rsidR="00F9298A">
        <w:rPr>
          <w:rFonts w:cs="David" w:hint="cs"/>
          <w:sz w:val="28"/>
          <w:szCs w:val="28"/>
          <w:rtl/>
        </w:rPr>
        <w:t>.</w:t>
      </w:r>
      <w:r w:rsidR="00BF128B">
        <w:rPr>
          <w:rFonts w:cs="David" w:hint="cs"/>
          <w:sz w:val="28"/>
          <w:szCs w:val="28"/>
          <w:rtl/>
        </w:rPr>
        <w:t xml:space="preserve"> התביעה התנגדה לבקשה ותשלום הפיצויים עוכב </w:t>
      </w:r>
      <w:r w:rsidR="00465D19">
        <w:rPr>
          <w:rFonts w:cs="David" w:hint="cs"/>
          <w:sz w:val="28"/>
          <w:szCs w:val="28"/>
          <w:rtl/>
        </w:rPr>
        <w:t xml:space="preserve">לפרק זמן קצר, </w:t>
      </w:r>
      <w:r w:rsidR="00BF128B">
        <w:rPr>
          <w:rFonts w:cs="David" w:hint="cs"/>
          <w:sz w:val="28"/>
          <w:szCs w:val="28"/>
          <w:rtl/>
        </w:rPr>
        <w:t xml:space="preserve">עד לדיון בבקשת ההגנה לגופו של עניין. </w:t>
      </w:r>
      <w:r w:rsidR="00F9298A">
        <w:rPr>
          <w:rFonts w:cs="David" w:hint="cs"/>
          <w:sz w:val="28"/>
          <w:szCs w:val="28"/>
          <w:rtl/>
        </w:rPr>
        <w:t xml:space="preserve">במהלך הדיון שהתקיים בפניי ביום 21 באוגוסט 2025, קבעתי כי תשלום הפיצוי יעוכב עד למתן החלטה בבקשת ההגנה. </w:t>
      </w:r>
    </w:p>
    <w:p w14:paraId="4BE4C212" w14:textId="77777777" w:rsidR="00BF128B" w:rsidRDefault="00BF128B"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 xml:space="preserve">ההגנה טוענת בבקשתה כי </w:t>
      </w:r>
      <w:r w:rsidR="00F9298A">
        <w:rPr>
          <w:rFonts w:cs="David" w:hint="cs"/>
          <w:sz w:val="28"/>
          <w:szCs w:val="28"/>
          <w:rtl/>
        </w:rPr>
        <w:t xml:space="preserve">ככל </w:t>
      </w:r>
      <w:r w:rsidR="009C4A9A">
        <w:rPr>
          <w:rFonts w:cs="David" w:hint="cs"/>
          <w:sz w:val="28"/>
          <w:szCs w:val="28"/>
          <w:rtl/>
        </w:rPr>
        <w:t>שיתקבל ערעורה על הכרעת הדין המרשיעה</w:t>
      </w:r>
      <w:r w:rsidR="00F9298A">
        <w:rPr>
          <w:rFonts w:cs="David" w:hint="cs"/>
          <w:sz w:val="28"/>
          <w:szCs w:val="28"/>
          <w:rtl/>
        </w:rPr>
        <w:t xml:space="preserve">, לא תהא עוד כל הצדקה לפיצוי. על כן עתרה שלא </w:t>
      </w:r>
      <w:r w:rsidR="00C4183E">
        <w:rPr>
          <w:rFonts w:cs="David" w:hint="cs"/>
          <w:sz w:val="28"/>
          <w:szCs w:val="28"/>
          <w:rtl/>
        </w:rPr>
        <w:t xml:space="preserve">לשלם את הפיצויים כבר כעת, באופן שעלול לכבול את שיקול דעתה של ערכאת הערעור ולהקשות על השבתם ככל שיתייתר הצורך בתשלומם. </w:t>
      </w:r>
      <w:r w:rsidR="00F9298A">
        <w:rPr>
          <w:rFonts w:cs="David" w:hint="cs"/>
          <w:sz w:val="28"/>
          <w:szCs w:val="28"/>
          <w:rtl/>
        </w:rPr>
        <w:t>כן הפנתה לכך שריצוי עונשו של המבקש עוכב וטענה כי לאור האמור יש לעכב את כל רכיבי העונש</w:t>
      </w:r>
      <w:r w:rsidR="00465D19">
        <w:rPr>
          <w:rFonts w:cs="David" w:hint="cs"/>
          <w:sz w:val="28"/>
          <w:szCs w:val="28"/>
          <w:rtl/>
        </w:rPr>
        <w:t>, לרבות רכיב הפיצויים</w:t>
      </w:r>
      <w:r w:rsidR="00F9298A">
        <w:rPr>
          <w:rFonts w:cs="David" w:hint="cs"/>
          <w:sz w:val="28"/>
          <w:szCs w:val="28"/>
          <w:rtl/>
        </w:rPr>
        <w:t xml:space="preserve">. ההגנה סבורה, כי אין בדחיית </w:t>
      </w:r>
      <w:r w:rsidR="009C4A9A">
        <w:rPr>
          <w:rFonts w:cs="David" w:hint="cs"/>
          <w:sz w:val="28"/>
          <w:szCs w:val="28"/>
          <w:rtl/>
        </w:rPr>
        <w:t xml:space="preserve">תשלום הפיצויים </w:t>
      </w:r>
      <w:r w:rsidR="00F9298A">
        <w:rPr>
          <w:rFonts w:cs="David" w:hint="cs"/>
          <w:sz w:val="28"/>
          <w:szCs w:val="28"/>
          <w:rtl/>
        </w:rPr>
        <w:t xml:space="preserve">כדי </w:t>
      </w:r>
      <w:r w:rsidR="009C4A9A">
        <w:rPr>
          <w:rFonts w:cs="David" w:hint="cs"/>
          <w:sz w:val="28"/>
          <w:szCs w:val="28"/>
          <w:rtl/>
        </w:rPr>
        <w:t xml:space="preserve">להסב </w:t>
      </w:r>
      <w:r w:rsidR="00F9298A">
        <w:rPr>
          <w:rFonts w:cs="David" w:hint="cs"/>
          <w:sz w:val="28"/>
          <w:szCs w:val="28"/>
          <w:rtl/>
        </w:rPr>
        <w:t xml:space="preserve">נזק נוסף לנפגעות העבירה, שכן </w:t>
      </w:r>
      <w:r w:rsidR="00C4183E">
        <w:rPr>
          <w:rFonts w:cs="David" w:hint="cs"/>
          <w:sz w:val="28"/>
          <w:szCs w:val="28"/>
          <w:rtl/>
        </w:rPr>
        <w:t xml:space="preserve">חלקן לא טענו כלל לנזק שנגרם להן בתצהיר שהגישו, ולגבי </w:t>
      </w:r>
      <w:r w:rsidR="009C4A9A">
        <w:rPr>
          <w:rFonts w:cs="David" w:hint="cs"/>
          <w:sz w:val="28"/>
          <w:szCs w:val="28"/>
          <w:rtl/>
        </w:rPr>
        <w:t>נפגעת אחרת, להגנה טענות לגופו של הנזק הנטען</w:t>
      </w:r>
      <w:r w:rsidR="00C4183E">
        <w:rPr>
          <w:rFonts w:cs="David" w:hint="cs"/>
          <w:sz w:val="28"/>
          <w:szCs w:val="28"/>
          <w:rtl/>
        </w:rPr>
        <w:t>. הוטעם עוד, כי חלף זמן רב מאז ביצוע העבירות המיוחסות למשיב, וכי הערעור עתיד להישמע בקרוב, ועל כן</w:t>
      </w:r>
      <w:r w:rsidR="00465D19">
        <w:rPr>
          <w:rFonts w:cs="David" w:hint="cs"/>
          <w:sz w:val="28"/>
          <w:szCs w:val="28"/>
          <w:rtl/>
        </w:rPr>
        <w:t>,</w:t>
      </w:r>
      <w:r w:rsidR="00C4183E">
        <w:rPr>
          <w:rFonts w:cs="David" w:hint="cs"/>
          <w:sz w:val="28"/>
          <w:szCs w:val="28"/>
          <w:rtl/>
        </w:rPr>
        <w:t xml:space="preserve"> </w:t>
      </w:r>
      <w:r w:rsidR="00465D19">
        <w:rPr>
          <w:rFonts w:cs="David" w:hint="cs"/>
          <w:sz w:val="28"/>
          <w:szCs w:val="28"/>
          <w:rtl/>
        </w:rPr>
        <w:t>כ</w:t>
      </w:r>
      <w:r w:rsidR="00C4183E">
        <w:rPr>
          <w:rFonts w:cs="David" w:hint="cs"/>
          <w:sz w:val="28"/>
          <w:szCs w:val="28"/>
          <w:rtl/>
        </w:rPr>
        <w:t>נטען</w:t>
      </w:r>
      <w:r w:rsidR="00465D19">
        <w:rPr>
          <w:rFonts w:cs="David" w:hint="cs"/>
          <w:sz w:val="28"/>
          <w:szCs w:val="28"/>
          <w:rtl/>
        </w:rPr>
        <w:t>,</w:t>
      </w:r>
      <w:r w:rsidR="00C4183E">
        <w:rPr>
          <w:rFonts w:cs="David" w:hint="cs"/>
          <w:sz w:val="28"/>
          <w:szCs w:val="28"/>
          <w:rtl/>
        </w:rPr>
        <w:t xml:space="preserve"> במאזן השיקולים</w:t>
      </w:r>
      <w:r w:rsidR="00F9298A">
        <w:rPr>
          <w:rFonts w:cs="David" w:hint="cs"/>
          <w:sz w:val="28"/>
          <w:szCs w:val="28"/>
          <w:rtl/>
        </w:rPr>
        <w:t xml:space="preserve"> הכולל</w:t>
      </w:r>
      <w:r w:rsidR="00C4183E">
        <w:rPr>
          <w:rFonts w:cs="David" w:hint="cs"/>
          <w:sz w:val="28"/>
          <w:szCs w:val="28"/>
          <w:rtl/>
        </w:rPr>
        <w:t xml:space="preserve">, לא ייגרם כל נזק בשל דחיה קצרה. </w:t>
      </w:r>
    </w:p>
    <w:p w14:paraId="21F5FE96" w14:textId="77777777" w:rsidR="007126E3" w:rsidRDefault="007126E3"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 xml:space="preserve">התביעה </w:t>
      </w:r>
      <w:r w:rsidR="00233015">
        <w:rPr>
          <w:rFonts w:cs="David" w:hint="cs"/>
          <w:sz w:val="28"/>
          <w:szCs w:val="28"/>
          <w:rtl/>
        </w:rPr>
        <w:t xml:space="preserve">התנגדה </w:t>
      </w:r>
      <w:r>
        <w:rPr>
          <w:rFonts w:cs="David" w:hint="cs"/>
          <w:sz w:val="28"/>
          <w:szCs w:val="28"/>
          <w:rtl/>
        </w:rPr>
        <w:t xml:space="preserve">לעיכוב </w:t>
      </w:r>
      <w:r w:rsidR="00BD0239">
        <w:rPr>
          <w:rFonts w:cs="David" w:hint="cs"/>
          <w:sz w:val="28"/>
          <w:szCs w:val="28"/>
          <w:rtl/>
        </w:rPr>
        <w:t>ה</w:t>
      </w:r>
      <w:r>
        <w:rPr>
          <w:rFonts w:cs="David" w:hint="cs"/>
          <w:sz w:val="28"/>
          <w:szCs w:val="28"/>
          <w:rtl/>
        </w:rPr>
        <w:t>ביצוע</w:t>
      </w:r>
      <w:r w:rsidR="00233015">
        <w:rPr>
          <w:rFonts w:cs="David" w:hint="cs"/>
          <w:sz w:val="28"/>
          <w:szCs w:val="28"/>
          <w:rtl/>
        </w:rPr>
        <w:t xml:space="preserve">, והטעימה כי </w:t>
      </w:r>
      <w:r>
        <w:rPr>
          <w:rFonts w:cs="David" w:hint="cs"/>
          <w:sz w:val="28"/>
          <w:szCs w:val="28"/>
          <w:rtl/>
        </w:rPr>
        <w:t>די היה ב</w:t>
      </w:r>
      <w:r w:rsidR="00BD0239">
        <w:rPr>
          <w:rFonts w:cs="David" w:hint="cs"/>
          <w:sz w:val="28"/>
          <w:szCs w:val="28"/>
          <w:rtl/>
        </w:rPr>
        <w:t>אי</w:t>
      </w:r>
      <w:r w:rsidR="00797C3A">
        <w:rPr>
          <w:rFonts w:cs="David" w:hint="cs"/>
          <w:sz w:val="28"/>
          <w:szCs w:val="28"/>
          <w:rtl/>
        </w:rPr>
        <w:t xml:space="preserve"> </w:t>
      </w:r>
      <w:r w:rsidR="00BD0239">
        <w:rPr>
          <w:rFonts w:cs="David" w:hint="cs"/>
          <w:sz w:val="28"/>
          <w:szCs w:val="28"/>
          <w:rtl/>
        </w:rPr>
        <w:t>צירוף עמדת</w:t>
      </w:r>
      <w:r w:rsidR="00233015">
        <w:rPr>
          <w:rFonts w:cs="David" w:hint="cs"/>
          <w:sz w:val="28"/>
          <w:szCs w:val="28"/>
          <w:rtl/>
        </w:rPr>
        <w:t>ן</w:t>
      </w:r>
      <w:r w:rsidR="00BD0239">
        <w:rPr>
          <w:rFonts w:cs="David" w:hint="cs"/>
          <w:sz w:val="28"/>
          <w:szCs w:val="28"/>
          <w:rtl/>
        </w:rPr>
        <w:t xml:space="preserve"> של נפגע</w:t>
      </w:r>
      <w:r w:rsidR="00233015">
        <w:rPr>
          <w:rFonts w:cs="David" w:hint="cs"/>
          <w:sz w:val="28"/>
          <w:szCs w:val="28"/>
          <w:rtl/>
        </w:rPr>
        <w:t>ו</w:t>
      </w:r>
      <w:r w:rsidR="00BD0239">
        <w:rPr>
          <w:rFonts w:cs="David" w:hint="cs"/>
          <w:sz w:val="28"/>
          <w:szCs w:val="28"/>
          <w:rtl/>
        </w:rPr>
        <w:t xml:space="preserve">ת העבירה כדי להביא לדחיית </w:t>
      </w:r>
      <w:r>
        <w:rPr>
          <w:rFonts w:cs="David" w:hint="cs"/>
          <w:sz w:val="28"/>
          <w:szCs w:val="28"/>
          <w:rtl/>
        </w:rPr>
        <w:t>הבקשה על הסף. לגופו של עניין</w:t>
      </w:r>
      <w:r w:rsidR="00BD0239">
        <w:rPr>
          <w:rFonts w:cs="David" w:hint="cs"/>
          <w:sz w:val="28"/>
          <w:szCs w:val="28"/>
          <w:rtl/>
        </w:rPr>
        <w:t>,</w:t>
      </w:r>
      <w:r>
        <w:rPr>
          <w:rFonts w:cs="David" w:hint="cs"/>
          <w:sz w:val="28"/>
          <w:szCs w:val="28"/>
          <w:rtl/>
        </w:rPr>
        <w:t xml:space="preserve"> </w:t>
      </w:r>
      <w:r w:rsidR="00465D19">
        <w:rPr>
          <w:rFonts w:cs="David" w:hint="cs"/>
          <w:sz w:val="28"/>
          <w:szCs w:val="28"/>
          <w:rtl/>
        </w:rPr>
        <w:t>נ</w:t>
      </w:r>
      <w:r w:rsidR="00A87888">
        <w:rPr>
          <w:rFonts w:cs="David" w:hint="cs"/>
          <w:sz w:val="28"/>
          <w:szCs w:val="28"/>
          <w:rtl/>
        </w:rPr>
        <w:t>טע</w:t>
      </w:r>
      <w:r w:rsidR="00465D19">
        <w:rPr>
          <w:rFonts w:cs="David" w:hint="cs"/>
          <w:sz w:val="28"/>
          <w:szCs w:val="28"/>
          <w:rtl/>
        </w:rPr>
        <w:t>ן</w:t>
      </w:r>
      <w:r w:rsidR="00A87888">
        <w:rPr>
          <w:rFonts w:cs="David" w:hint="cs"/>
          <w:sz w:val="28"/>
          <w:szCs w:val="28"/>
          <w:rtl/>
        </w:rPr>
        <w:t xml:space="preserve"> כי </w:t>
      </w:r>
      <w:r w:rsidR="00ED74B8">
        <w:rPr>
          <w:rFonts w:cs="David" w:hint="cs"/>
          <w:sz w:val="28"/>
          <w:szCs w:val="28"/>
          <w:rtl/>
        </w:rPr>
        <w:t xml:space="preserve">אין הצדקה לקבלת הבקשה, שכן תכלית הפיצוי בהליך העונשי </w:t>
      </w:r>
      <w:r w:rsidR="009C4A9A">
        <w:rPr>
          <w:rFonts w:cs="David" w:hint="cs"/>
          <w:sz w:val="28"/>
          <w:szCs w:val="28"/>
          <w:rtl/>
        </w:rPr>
        <w:t xml:space="preserve">היא </w:t>
      </w:r>
      <w:r w:rsidR="00ED74B8">
        <w:rPr>
          <w:rFonts w:cs="David" w:hint="cs"/>
          <w:sz w:val="28"/>
          <w:szCs w:val="28"/>
          <w:rtl/>
        </w:rPr>
        <w:t>להעניק סעד אפקטיבי במסגרת זמנים מצומצמת</w:t>
      </w:r>
      <w:r w:rsidR="009C4A9A">
        <w:rPr>
          <w:rFonts w:cs="David" w:hint="cs"/>
          <w:sz w:val="28"/>
          <w:szCs w:val="28"/>
          <w:rtl/>
        </w:rPr>
        <w:t xml:space="preserve">. </w:t>
      </w:r>
      <w:r w:rsidR="00ED74B8">
        <w:rPr>
          <w:rFonts w:cs="David" w:hint="cs"/>
          <w:sz w:val="28"/>
          <w:szCs w:val="28"/>
          <w:rtl/>
        </w:rPr>
        <w:t xml:space="preserve">הפיצוי הוא בעל מאפיינים אזרחיים מובהקים, וכך גם צריך להיבחן עיכוב </w:t>
      </w:r>
      <w:r w:rsidR="00ED74B8">
        <w:rPr>
          <w:rFonts w:cs="David" w:hint="cs"/>
          <w:sz w:val="28"/>
          <w:szCs w:val="28"/>
          <w:rtl/>
        </w:rPr>
        <w:lastRenderedPageBreak/>
        <w:t>הביצוע</w:t>
      </w:r>
      <w:r w:rsidR="009C4A9A">
        <w:rPr>
          <w:rFonts w:cs="David" w:hint="cs"/>
          <w:sz w:val="28"/>
          <w:szCs w:val="28"/>
          <w:rtl/>
        </w:rPr>
        <w:t>, בראי ה</w:t>
      </w:r>
      <w:r w:rsidR="00ED74B8">
        <w:rPr>
          <w:rFonts w:cs="David" w:hint="cs"/>
          <w:sz w:val="28"/>
          <w:szCs w:val="28"/>
          <w:rtl/>
        </w:rPr>
        <w:t>שיקולים הנהוגים במשפט האזרחי. הוטעם עוד כי ההגנה התנגדה לדחיית ריצוי</w:t>
      </w:r>
      <w:r w:rsidR="009C4A9A">
        <w:rPr>
          <w:rFonts w:cs="David" w:hint="cs"/>
          <w:sz w:val="28"/>
          <w:szCs w:val="28"/>
          <w:rtl/>
        </w:rPr>
        <w:t xml:space="preserve">ו של </w:t>
      </w:r>
      <w:r w:rsidR="00ED74B8">
        <w:rPr>
          <w:rFonts w:cs="David" w:hint="cs"/>
          <w:sz w:val="28"/>
          <w:szCs w:val="28"/>
          <w:rtl/>
        </w:rPr>
        <w:t xml:space="preserve">עונש </w:t>
      </w:r>
      <w:r w:rsidR="009C4A9A">
        <w:rPr>
          <w:rFonts w:cs="David" w:hint="cs"/>
          <w:sz w:val="28"/>
          <w:szCs w:val="28"/>
          <w:rtl/>
        </w:rPr>
        <w:t xml:space="preserve">המאסר, </w:t>
      </w:r>
      <w:r w:rsidR="00ED74B8">
        <w:rPr>
          <w:rFonts w:cs="David" w:hint="cs"/>
          <w:sz w:val="28"/>
          <w:szCs w:val="28"/>
          <w:rtl/>
        </w:rPr>
        <w:t xml:space="preserve">מבלי שציינה כי בכוונתה לבקש את עיכוב תשלום הפיצוי, וכי בערעורה היא מבקשת להשיג כנגד ממצאי מהימנות מובהקים שנקבעו בבית הדין קמא, כך שסיכויי הערעור אינם גבוהים. </w:t>
      </w:r>
      <w:r w:rsidR="00F9298A">
        <w:rPr>
          <w:rFonts w:cs="David" w:hint="cs"/>
          <w:sz w:val="28"/>
          <w:szCs w:val="28"/>
          <w:rtl/>
        </w:rPr>
        <w:t xml:space="preserve">לבסוף נטען, כי </w:t>
      </w:r>
      <w:r w:rsidR="00ED74B8">
        <w:rPr>
          <w:rFonts w:cs="David" w:hint="cs"/>
          <w:sz w:val="28"/>
          <w:szCs w:val="28"/>
          <w:rtl/>
        </w:rPr>
        <w:t xml:space="preserve">לא הוצג כל טעם </w:t>
      </w:r>
      <w:r w:rsidR="00F9298A">
        <w:rPr>
          <w:rFonts w:cs="David" w:hint="cs"/>
          <w:sz w:val="28"/>
          <w:szCs w:val="28"/>
          <w:rtl/>
        </w:rPr>
        <w:t xml:space="preserve">המצביע </w:t>
      </w:r>
      <w:r w:rsidR="00ED74B8">
        <w:rPr>
          <w:rFonts w:cs="David" w:hint="cs"/>
          <w:sz w:val="28"/>
          <w:szCs w:val="28"/>
          <w:rtl/>
        </w:rPr>
        <w:t>מדוע נוטה מאזן הנוחות לטובת המבקש, באופן המצדיק את קבלת הבקשה</w:t>
      </w:r>
      <w:r w:rsidR="00233015">
        <w:rPr>
          <w:rFonts w:cs="David" w:hint="cs"/>
          <w:sz w:val="28"/>
          <w:szCs w:val="28"/>
          <w:rtl/>
        </w:rPr>
        <w:t xml:space="preserve">, וכי נפגעות העבירה שיתפו פעולה לאורך כל ההליך, ועל כן אין סיבה לסבור כי לא ישיבו את תשלום הפיצויים ככל שיתקבל ערעור ההגנה. </w:t>
      </w:r>
    </w:p>
    <w:p w14:paraId="7534965B" w14:textId="77777777" w:rsidR="002604A2" w:rsidRDefault="004B63CD"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 xml:space="preserve">לאחר שמיעת טענות הצדדים מצאתי כי דינה של </w:t>
      </w:r>
      <w:r w:rsidR="00A87888">
        <w:rPr>
          <w:rFonts w:cs="David" w:hint="cs"/>
          <w:sz w:val="28"/>
          <w:szCs w:val="28"/>
          <w:rtl/>
        </w:rPr>
        <w:t>ה</w:t>
      </w:r>
      <w:r>
        <w:rPr>
          <w:rFonts w:cs="David" w:hint="cs"/>
          <w:sz w:val="28"/>
          <w:szCs w:val="28"/>
          <w:rtl/>
        </w:rPr>
        <w:t>בקש</w:t>
      </w:r>
      <w:r w:rsidR="00A87888">
        <w:rPr>
          <w:rFonts w:cs="David" w:hint="cs"/>
          <w:sz w:val="28"/>
          <w:szCs w:val="28"/>
          <w:rtl/>
        </w:rPr>
        <w:t>ה</w:t>
      </w:r>
      <w:r>
        <w:rPr>
          <w:rFonts w:cs="David" w:hint="cs"/>
          <w:sz w:val="28"/>
          <w:szCs w:val="28"/>
          <w:rtl/>
        </w:rPr>
        <w:t xml:space="preserve"> להידחות. </w:t>
      </w:r>
      <w:r w:rsidR="002604A2">
        <w:rPr>
          <w:rFonts w:cs="David" w:hint="cs"/>
          <w:sz w:val="28"/>
          <w:szCs w:val="28"/>
          <w:rtl/>
        </w:rPr>
        <w:t>בפתח הדברים</w:t>
      </w:r>
      <w:r w:rsidR="00A87888">
        <w:rPr>
          <w:rFonts w:cs="David" w:hint="cs"/>
          <w:sz w:val="28"/>
          <w:szCs w:val="28"/>
          <w:rtl/>
        </w:rPr>
        <w:t xml:space="preserve">, לא למותר לציין, כי </w:t>
      </w:r>
      <w:r w:rsidR="009C4A9A">
        <w:rPr>
          <w:rFonts w:cs="David" w:hint="cs"/>
          <w:sz w:val="28"/>
          <w:szCs w:val="28"/>
          <w:rtl/>
        </w:rPr>
        <w:t xml:space="preserve">נקבע </w:t>
      </w:r>
      <w:r w:rsidR="00A87888">
        <w:rPr>
          <w:rFonts w:cs="David" w:hint="cs"/>
          <w:sz w:val="28"/>
          <w:szCs w:val="28"/>
          <w:rtl/>
        </w:rPr>
        <w:t>לא אחת, ש</w:t>
      </w:r>
      <w:r w:rsidR="002604A2">
        <w:rPr>
          <w:rFonts w:cs="David" w:hint="cs"/>
          <w:sz w:val="28"/>
          <w:szCs w:val="28"/>
          <w:rtl/>
        </w:rPr>
        <w:t>די בכך שנפגע</w:t>
      </w:r>
      <w:r w:rsidR="00BF128B">
        <w:rPr>
          <w:rFonts w:cs="David" w:hint="cs"/>
          <w:sz w:val="28"/>
          <w:szCs w:val="28"/>
          <w:rtl/>
        </w:rPr>
        <w:t>ו</w:t>
      </w:r>
      <w:r w:rsidR="002604A2">
        <w:rPr>
          <w:rFonts w:cs="David" w:hint="cs"/>
          <w:sz w:val="28"/>
          <w:szCs w:val="28"/>
          <w:rtl/>
        </w:rPr>
        <w:t>ת העבירה לא צורפ</w:t>
      </w:r>
      <w:r w:rsidR="00BF128B">
        <w:rPr>
          <w:rFonts w:cs="David" w:hint="cs"/>
          <w:sz w:val="28"/>
          <w:szCs w:val="28"/>
          <w:rtl/>
        </w:rPr>
        <w:t>ו</w:t>
      </w:r>
      <w:r w:rsidR="002604A2">
        <w:rPr>
          <w:rFonts w:cs="David" w:hint="cs"/>
          <w:sz w:val="28"/>
          <w:szCs w:val="28"/>
          <w:rtl/>
        </w:rPr>
        <w:t xml:space="preserve"> לבקשה כדי להביא לדחייתה על הסף (ע"פ 4688/22 </w:t>
      </w:r>
      <w:r w:rsidR="002604A2">
        <w:rPr>
          <w:rFonts w:cs="David" w:hint="cs"/>
          <w:b/>
          <w:bCs/>
          <w:sz w:val="28"/>
          <w:szCs w:val="28"/>
          <w:rtl/>
        </w:rPr>
        <w:t>פלוני נ' מדינת ישראל</w:t>
      </w:r>
      <w:r w:rsidR="002604A2">
        <w:rPr>
          <w:rFonts w:cs="David" w:hint="cs"/>
          <w:sz w:val="28"/>
          <w:szCs w:val="28"/>
          <w:rtl/>
        </w:rPr>
        <w:t xml:space="preserve">, בפסקה 3 </w:t>
      </w:r>
      <w:r w:rsidR="000D495A">
        <w:rPr>
          <w:rFonts w:cs="David" w:hint="cs"/>
          <w:sz w:val="28"/>
          <w:szCs w:val="28"/>
          <w:rtl/>
        </w:rPr>
        <w:t xml:space="preserve">והאסמכתאות שם </w:t>
      </w:r>
      <w:r w:rsidR="002604A2">
        <w:rPr>
          <w:rFonts w:cs="David" w:hint="cs"/>
          <w:sz w:val="28"/>
          <w:szCs w:val="28"/>
          <w:rtl/>
        </w:rPr>
        <w:t>(2022)</w:t>
      </w:r>
      <w:r w:rsidR="00F9298A">
        <w:rPr>
          <w:rFonts w:cs="David" w:hint="cs"/>
          <w:sz w:val="28"/>
          <w:szCs w:val="28"/>
          <w:rtl/>
        </w:rPr>
        <w:t xml:space="preserve">; ב"ש 63/22 </w:t>
      </w:r>
      <w:r w:rsidR="00F9298A">
        <w:rPr>
          <w:rFonts w:cs="David" w:hint="cs"/>
          <w:b/>
          <w:bCs/>
          <w:sz w:val="28"/>
          <w:szCs w:val="28"/>
          <w:rtl/>
        </w:rPr>
        <w:t xml:space="preserve">סמ"ר יגר נ' התובע הצבאי הראשי </w:t>
      </w:r>
      <w:r w:rsidR="00F9298A">
        <w:rPr>
          <w:rFonts w:cs="David" w:hint="cs"/>
          <w:sz w:val="28"/>
          <w:szCs w:val="28"/>
          <w:rtl/>
        </w:rPr>
        <w:t>(2022)</w:t>
      </w:r>
      <w:r w:rsidR="002604A2">
        <w:rPr>
          <w:rFonts w:cs="David" w:hint="cs"/>
          <w:sz w:val="28"/>
          <w:szCs w:val="28"/>
          <w:rtl/>
        </w:rPr>
        <w:t xml:space="preserve">). </w:t>
      </w:r>
    </w:p>
    <w:p w14:paraId="7D792767" w14:textId="77777777" w:rsidR="00B35FB4" w:rsidRDefault="002604A2" w:rsidP="00297532">
      <w:pPr>
        <w:numPr>
          <w:ilvl w:val="0"/>
          <w:numId w:val="1"/>
        </w:numPr>
        <w:tabs>
          <w:tab w:val="left" w:pos="282"/>
        </w:tabs>
        <w:spacing w:after="0" w:line="360" w:lineRule="auto"/>
        <w:ind w:left="0" w:firstLine="0"/>
        <w:jc w:val="both"/>
        <w:rPr>
          <w:rFonts w:cs="David"/>
          <w:sz w:val="28"/>
          <w:szCs w:val="28"/>
        </w:rPr>
      </w:pPr>
      <w:r w:rsidRPr="002604A2">
        <w:rPr>
          <w:rFonts w:cs="David" w:hint="cs"/>
          <w:sz w:val="28"/>
          <w:szCs w:val="28"/>
          <w:rtl/>
        </w:rPr>
        <w:t xml:space="preserve">עם זאת, גם לגופם של דברים, </w:t>
      </w:r>
      <w:r w:rsidR="00A87888">
        <w:rPr>
          <w:rFonts w:cs="David" w:hint="cs"/>
          <w:sz w:val="28"/>
          <w:szCs w:val="28"/>
          <w:rtl/>
        </w:rPr>
        <w:t xml:space="preserve">אין הצדקה לקבלת הבקשה. </w:t>
      </w:r>
      <w:r w:rsidR="000D495A">
        <w:rPr>
          <w:rFonts w:cs="David" w:hint="cs"/>
          <w:sz w:val="28"/>
          <w:szCs w:val="28"/>
          <w:rtl/>
        </w:rPr>
        <w:t xml:space="preserve">נפסק זה מכבר, כי פיצוי </w:t>
      </w:r>
      <w:r w:rsidR="00BD0239">
        <w:rPr>
          <w:rFonts w:cs="David" w:hint="cs"/>
          <w:sz w:val="28"/>
          <w:szCs w:val="28"/>
          <w:rtl/>
        </w:rPr>
        <w:t>ל</w:t>
      </w:r>
      <w:r w:rsidR="000D495A">
        <w:rPr>
          <w:rFonts w:cs="David" w:hint="cs"/>
          <w:sz w:val="28"/>
          <w:szCs w:val="28"/>
          <w:rtl/>
        </w:rPr>
        <w:t>נפגע עבירה</w:t>
      </w:r>
      <w:r w:rsidR="00A87888">
        <w:rPr>
          <w:rFonts w:cs="David" w:hint="cs"/>
          <w:sz w:val="28"/>
          <w:szCs w:val="28"/>
          <w:rtl/>
        </w:rPr>
        <w:t>,</w:t>
      </w:r>
      <w:r w:rsidR="000D495A">
        <w:rPr>
          <w:rFonts w:cs="David" w:hint="cs"/>
          <w:sz w:val="28"/>
          <w:szCs w:val="28"/>
          <w:rtl/>
        </w:rPr>
        <w:t xml:space="preserve"> אשר מושת על נאשם שנמצא חייב בדינו, </w:t>
      </w:r>
      <w:r w:rsidR="00E22C5D">
        <w:rPr>
          <w:rFonts w:cs="David" w:hint="cs"/>
          <w:sz w:val="28"/>
          <w:szCs w:val="28"/>
          <w:rtl/>
        </w:rPr>
        <w:t xml:space="preserve">הוא </w:t>
      </w:r>
      <w:r w:rsidR="000D495A">
        <w:rPr>
          <w:rFonts w:cs="David" w:hint="cs"/>
          <w:sz w:val="28"/>
          <w:szCs w:val="28"/>
          <w:rtl/>
        </w:rPr>
        <w:t xml:space="preserve">בעל מאפיינים אזרחיים מובהקים </w:t>
      </w:r>
      <w:r w:rsidR="00A87888">
        <w:rPr>
          <w:rFonts w:cs="David" w:hint="cs"/>
          <w:sz w:val="28"/>
          <w:szCs w:val="28"/>
          <w:rtl/>
        </w:rPr>
        <w:t>-</w:t>
      </w:r>
      <w:r w:rsidR="000D495A">
        <w:rPr>
          <w:rFonts w:cs="David" w:hint="cs"/>
          <w:sz w:val="28"/>
          <w:szCs w:val="28"/>
          <w:rtl/>
        </w:rPr>
        <w:t xml:space="preserve"> ומכאן שגם עיכוב ביצוע</w:t>
      </w:r>
      <w:r w:rsidR="00E22C5D">
        <w:rPr>
          <w:rFonts w:cs="David" w:hint="cs"/>
          <w:sz w:val="28"/>
          <w:szCs w:val="28"/>
          <w:rtl/>
        </w:rPr>
        <w:t xml:space="preserve">ו </w:t>
      </w:r>
      <w:r w:rsidR="000D495A">
        <w:rPr>
          <w:rFonts w:cs="David" w:hint="cs"/>
          <w:sz w:val="28"/>
          <w:szCs w:val="28"/>
          <w:rtl/>
        </w:rPr>
        <w:t xml:space="preserve">צריך </w:t>
      </w:r>
      <w:r w:rsidR="00465D19">
        <w:rPr>
          <w:rFonts w:cs="David" w:hint="cs"/>
          <w:sz w:val="28"/>
          <w:szCs w:val="28"/>
          <w:rtl/>
        </w:rPr>
        <w:t>לה</w:t>
      </w:r>
      <w:r w:rsidR="000D495A">
        <w:rPr>
          <w:rFonts w:cs="David" w:hint="cs"/>
          <w:sz w:val="28"/>
          <w:szCs w:val="28"/>
          <w:rtl/>
        </w:rPr>
        <w:t>יבחן באספקלריית השיקולים הנוהגים במשפט האזרחי</w:t>
      </w:r>
      <w:r w:rsidR="00E22C5D">
        <w:rPr>
          <w:rFonts w:cs="David" w:hint="cs"/>
          <w:sz w:val="28"/>
          <w:szCs w:val="28"/>
          <w:rtl/>
        </w:rPr>
        <w:t xml:space="preserve">. </w:t>
      </w:r>
      <w:r w:rsidR="000D495A">
        <w:rPr>
          <w:rFonts w:cs="David" w:hint="cs"/>
          <w:sz w:val="28"/>
          <w:szCs w:val="28"/>
          <w:rtl/>
        </w:rPr>
        <w:t xml:space="preserve">על המבקש </w:t>
      </w:r>
      <w:r w:rsidR="00E22C5D">
        <w:rPr>
          <w:rFonts w:cs="David" w:hint="cs"/>
          <w:sz w:val="28"/>
          <w:szCs w:val="28"/>
          <w:rtl/>
        </w:rPr>
        <w:t xml:space="preserve">את העיכוב </w:t>
      </w:r>
      <w:r w:rsidR="000D495A">
        <w:rPr>
          <w:rFonts w:cs="David" w:hint="cs"/>
          <w:sz w:val="28"/>
          <w:szCs w:val="28"/>
          <w:rtl/>
        </w:rPr>
        <w:t xml:space="preserve">מוטל </w:t>
      </w:r>
      <w:r w:rsidR="00E22C5D">
        <w:rPr>
          <w:rFonts w:cs="David" w:hint="cs"/>
          <w:sz w:val="28"/>
          <w:szCs w:val="28"/>
          <w:rtl/>
        </w:rPr>
        <w:t xml:space="preserve">אפוא </w:t>
      </w:r>
      <w:r w:rsidR="000D495A">
        <w:rPr>
          <w:rFonts w:cs="David" w:hint="cs"/>
          <w:sz w:val="28"/>
          <w:szCs w:val="28"/>
          <w:rtl/>
        </w:rPr>
        <w:t xml:space="preserve">הנטל לשכנע כי סיכויי </w:t>
      </w:r>
      <w:r w:rsidR="00D93A6C">
        <w:rPr>
          <w:rFonts w:cs="David" w:hint="cs"/>
          <w:sz w:val="28"/>
          <w:szCs w:val="28"/>
          <w:rtl/>
        </w:rPr>
        <w:t>ה</w:t>
      </w:r>
      <w:r w:rsidR="000D495A">
        <w:rPr>
          <w:rFonts w:cs="David" w:hint="cs"/>
          <w:sz w:val="28"/>
          <w:szCs w:val="28"/>
          <w:rtl/>
        </w:rPr>
        <w:t>ערעור להתקבל טובים</w:t>
      </w:r>
      <w:r w:rsidR="00E22C5D">
        <w:rPr>
          <w:rFonts w:cs="David" w:hint="cs"/>
          <w:sz w:val="28"/>
          <w:szCs w:val="28"/>
          <w:rtl/>
        </w:rPr>
        <w:t>,</w:t>
      </w:r>
      <w:r w:rsidR="000D495A">
        <w:rPr>
          <w:rFonts w:cs="David" w:hint="cs"/>
          <w:sz w:val="28"/>
          <w:szCs w:val="28"/>
          <w:rtl/>
        </w:rPr>
        <w:t xml:space="preserve"> ו</w:t>
      </w:r>
      <w:r w:rsidR="00E22C5D">
        <w:rPr>
          <w:rFonts w:cs="David" w:hint="cs"/>
          <w:sz w:val="28"/>
          <w:szCs w:val="28"/>
          <w:rtl/>
        </w:rPr>
        <w:t xml:space="preserve">כי </w:t>
      </w:r>
      <w:r w:rsidR="000D495A">
        <w:rPr>
          <w:rFonts w:cs="David" w:hint="cs"/>
          <w:sz w:val="28"/>
          <w:szCs w:val="28"/>
          <w:rtl/>
        </w:rPr>
        <w:t>מאזן הנוחות נוטה במובהק לטובת עיכוב הביצוע (</w:t>
      </w:r>
      <w:r w:rsidR="00D427FF">
        <w:rPr>
          <w:rFonts w:cs="David" w:hint="cs"/>
          <w:sz w:val="28"/>
          <w:szCs w:val="28"/>
          <w:rtl/>
        </w:rPr>
        <w:t xml:space="preserve">ע"פ 4549/23 </w:t>
      </w:r>
      <w:r w:rsidR="00D427FF">
        <w:rPr>
          <w:rFonts w:cs="David" w:hint="cs"/>
          <w:b/>
          <w:bCs/>
          <w:sz w:val="28"/>
          <w:szCs w:val="28"/>
          <w:rtl/>
        </w:rPr>
        <w:t xml:space="preserve">פלוני נ' מדינת ישראל, </w:t>
      </w:r>
      <w:r w:rsidR="00D427FF">
        <w:rPr>
          <w:rFonts w:cs="David" w:hint="cs"/>
          <w:sz w:val="28"/>
          <w:szCs w:val="28"/>
          <w:rtl/>
        </w:rPr>
        <w:t xml:space="preserve">פסקה 5 (19.9.2023); </w:t>
      </w:r>
      <w:r w:rsidR="000D495A" w:rsidRPr="00D427FF">
        <w:rPr>
          <w:rFonts w:cs="David" w:hint="cs"/>
          <w:sz w:val="28"/>
          <w:szCs w:val="28"/>
          <w:rtl/>
        </w:rPr>
        <w:t>ע</w:t>
      </w:r>
      <w:r w:rsidR="000D495A">
        <w:rPr>
          <w:rFonts w:cs="David" w:hint="cs"/>
          <w:sz w:val="28"/>
          <w:szCs w:val="28"/>
          <w:rtl/>
        </w:rPr>
        <w:t xml:space="preserve">"פ 205/19 </w:t>
      </w:r>
      <w:proofErr w:type="spellStart"/>
      <w:r w:rsidR="000D495A">
        <w:rPr>
          <w:rFonts w:cs="David" w:hint="cs"/>
          <w:b/>
          <w:bCs/>
          <w:sz w:val="28"/>
          <w:szCs w:val="28"/>
          <w:rtl/>
        </w:rPr>
        <w:t>לברוב</w:t>
      </w:r>
      <w:proofErr w:type="spellEnd"/>
      <w:r w:rsidR="000D495A">
        <w:rPr>
          <w:rFonts w:cs="David" w:hint="cs"/>
          <w:b/>
          <w:bCs/>
          <w:sz w:val="28"/>
          <w:szCs w:val="28"/>
          <w:rtl/>
        </w:rPr>
        <w:t xml:space="preserve"> נ' מדינת ישראל</w:t>
      </w:r>
      <w:r w:rsidR="000D495A">
        <w:rPr>
          <w:rFonts w:cs="David" w:hint="cs"/>
          <w:sz w:val="28"/>
          <w:szCs w:val="28"/>
          <w:rtl/>
        </w:rPr>
        <w:t>, פסקה 11 (31.1.2019)</w:t>
      </w:r>
      <w:r w:rsidR="00BF128B">
        <w:rPr>
          <w:rFonts w:cs="David" w:hint="cs"/>
          <w:sz w:val="28"/>
          <w:szCs w:val="28"/>
          <w:rtl/>
        </w:rPr>
        <w:t>;</w:t>
      </w:r>
      <w:r w:rsidR="007929B3">
        <w:rPr>
          <w:rFonts w:cs="David" w:hint="cs"/>
          <w:sz w:val="28"/>
          <w:szCs w:val="28"/>
          <w:rtl/>
        </w:rPr>
        <w:t xml:space="preserve"> ב"ש 41640-05-25 </w:t>
      </w:r>
      <w:r w:rsidR="007929B3">
        <w:rPr>
          <w:rFonts w:cs="David" w:hint="cs"/>
          <w:b/>
          <w:bCs/>
          <w:sz w:val="28"/>
          <w:szCs w:val="28"/>
          <w:rtl/>
        </w:rPr>
        <w:t>סא"ל שרוני נ' התובע הצבאי הראשי</w:t>
      </w:r>
      <w:r w:rsidR="007929B3">
        <w:rPr>
          <w:rFonts w:cs="David" w:hint="cs"/>
          <w:sz w:val="28"/>
          <w:szCs w:val="28"/>
          <w:rtl/>
        </w:rPr>
        <w:t>, פסקה 12 (2025)</w:t>
      </w:r>
      <w:r w:rsidR="00D93A6C">
        <w:rPr>
          <w:rFonts w:cs="David" w:hint="cs"/>
          <w:sz w:val="28"/>
          <w:szCs w:val="28"/>
          <w:rtl/>
        </w:rPr>
        <w:t>;</w:t>
      </w:r>
      <w:r w:rsidR="00D93A6C" w:rsidRPr="00D93A6C">
        <w:rPr>
          <w:rFonts w:cs="David" w:hint="cs"/>
          <w:sz w:val="28"/>
          <w:szCs w:val="28"/>
          <w:rtl/>
        </w:rPr>
        <w:t xml:space="preserve"> </w:t>
      </w:r>
      <w:r w:rsidR="00D93A6C">
        <w:rPr>
          <w:rFonts w:cs="David" w:hint="cs"/>
          <w:sz w:val="28"/>
          <w:szCs w:val="28"/>
          <w:rtl/>
        </w:rPr>
        <w:t xml:space="preserve">ב"ש 63/22 </w:t>
      </w:r>
      <w:r w:rsidR="00D93A6C">
        <w:rPr>
          <w:rFonts w:cs="David" w:hint="cs"/>
          <w:b/>
          <w:bCs/>
          <w:sz w:val="28"/>
          <w:szCs w:val="28"/>
          <w:rtl/>
        </w:rPr>
        <w:t xml:space="preserve">סמל יגר </w:t>
      </w:r>
      <w:r w:rsidR="00D93A6C">
        <w:rPr>
          <w:rFonts w:cs="David" w:hint="cs"/>
          <w:sz w:val="28"/>
          <w:szCs w:val="28"/>
          <w:rtl/>
        </w:rPr>
        <w:t xml:space="preserve">לעיל, בפסקה 9). </w:t>
      </w:r>
    </w:p>
    <w:p w14:paraId="2BE98E7C" w14:textId="77777777" w:rsidR="008D3965" w:rsidRDefault="00B35FB4" w:rsidP="00297532">
      <w:pPr>
        <w:numPr>
          <w:ilvl w:val="0"/>
          <w:numId w:val="1"/>
        </w:numPr>
        <w:tabs>
          <w:tab w:val="left" w:pos="282"/>
        </w:tabs>
        <w:spacing w:after="0" w:line="360" w:lineRule="auto"/>
        <w:ind w:left="0" w:firstLine="0"/>
        <w:jc w:val="both"/>
        <w:rPr>
          <w:rFonts w:cs="David"/>
          <w:sz w:val="28"/>
          <w:szCs w:val="28"/>
        </w:rPr>
      </w:pPr>
      <w:r w:rsidRPr="00F9298A">
        <w:rPr>
          <w:rFonts w:cs="David" w:hint="cs"/>
          <w:sz w:val="28"/>
          <w:szCs w:val="28"/>
          <w:rtl/>
        </w:rPr>
        <w:t xml:space="preserve">הכרעת הדין המפורטת </w:t>
      </w:r>
      <w:r w:rsidR="008D3965">
        <w:rPr>
          <w:rFonts w:cs="David" w:hint="cs"/>
          <w:sz w:val="28"/>
          <w:szCs w:val="28"/>
          <w:rtl/>
        </w:rPr>
        <w:t xml:space="preserve">שניתנה </w:t>
      </w:r>
      <w:r w:rsidR="00E22C5D" w:rsidRPr="00F9298A">
        <w:rPr>
          <w:rFonts w:cs="David" w:hint="cs"/>
          <w:sz w:val="28"/>
          <w:szCs w:val="28"/>
          <w:rtl/>
        </w:rPr>
        <w:t>בעניינו של המ</w:t>
      </w:r>
      <w:r w:rsidR="00B90E85" w:rsidRPr="00F9298A">
        <w:rPr>
          <w:rFonts w:cs="David" w:hint="cs"/>
          <w:sz w:val="28"/>
          <w:szCs w:val="28"/>
          <w:rtl/>
        </w:rPr>
        <w:t>בק</w:t>
      </w:r>
      <w:r w:rsidR="00F9298A" w:rsidRPr="00F9298A">
        <w:rPr>
          <w:rFonts w:cs="David" w:hint="cs"/>
          <w:sz w:val="28"/>
          <w:szCs w:val="28"/>
          <w:rtl/>
        </w:rPr>
        <w:t>ש</w:t>
      </w:r>
      <w:r w:rsidR="008D3965">
        <w:rPr>
          <w:rFonts w:cs="David" w:hint="cs"/>
          <w:sz w:val="28"/>
          <w:szCs w:val="28"/>
          <w:rtl/>
        </w:rPr>
        <w:t>, מבוססת בין השאר על</w:t>
      </w:r>
      <w:r w:rsidR="00F9298A" w:rsidRPr="00F9298A">
        <w:rPr>
          <w:rFonts w:cs="David" w:hint="cs"/>
          <w:sz w:val="28"/>
          <w:szCs w:val="28"/>
          <w:rtl/>
        </w:rPr>
        <w:t xml:space="preserve"> ממצאי מהימנות מובהקים שנקבעו ביחס לנפגעות העבירה,</w:t>
      </w:r>
      <w:r w:rsidR="00D55A75" w:rsidRPr="00F9298A">
        <w:rPr>
          <w:rFonts w:cs="David" w:hint="cs"/>
          <w:sz w:val="28"/>
          <w:szCs w:val="28"/>
          <w:rtl/>
        </w:rPr>
        <w:t xml:space="preserve"> וערעור ההגנה</w:t>
      </w:r>
      <w:r w:rsidR="008D3965">
        <w:rPr>
          <w:rFonts w:cs="David" w:hint="cs"/>
          <w:sz w:val="28"/>
          <w:szCs w:val="28"/>
          <w:rtl/>
        </w:rPr>
        <w:t xml:space="preserve"> </w:t>
      </w:r>
      <w:r w:rsidR="00465D19">
        <w:rPr>
          <w:rFonts w:cs="David" w:hint="cs"/>
          <w:sz w:val="28"/>
          <w:szCs w:val="28"/>
          <w:rtl/>
        </w:rPr>
        <w:t xml:space="preserve">הכולל </w:t>
      </w:r>
      <w:r w:rsidR="008D3965">
        <w:rPr>
          <w:rFonts w:cs="David" w:hint="cs"/>
          <w:sz w:val="28"/>
          <w:szCs w:val="28"/>
          <w:rtl/>
        </w:rPr>
        <w:t xml:space="preserve">אמנם </w:t>
      </w:r>
      <w:r w:rsidR="00465D19">
        <w:rPr>
          <w:rFonts w:cs="David" w:hint="cs"/>
          <w:sz w:val="28"/>
          <w:szCs w:val="28"/>
          <w:rtl/>
        </w:rPr>
        <w:t xml:space="preserve">טענות </w:t>
      </w:r>
      <w:r w:rsidR="008D3965">
        <w:rPr>
          <w:rFonts w:cs="David" w:hint="cs"/>
          <w:sz w:val="28"/>
          <w:szCs w:val="28"/>
          <w:rtl/>
        </w:rPr>
        <w:t xml:space="preserve">משפטיות, </w:t>
      </w:r>
      <w:r w:rsidR="00D55A75" w:rsidRPr="00F9298A">
        <w:rPr>
          <w:rFonts w:cs="David" w:hint="cs"/>
          <w:sz w:val="28"/>
          <w:szCs w:val="28"/>
          <w:rtl/>
        </w:rPr>
        <w:t xml:space="preserve">מבקש </w:t>
      </w:r>
      <w:r w:rsidR="008D3965">
        <w:rPr>
          <w:rFonts w:cs="David" w:hint="cs"/>
          <w:sz w:val="28"/>
          <w:szCs w:val="28"/>
          <w:rtl/>
        </w:rPr>
        <w:t xml:space="preserve">גם </w:t>
      </w:r>
      <w:r w:rsidR="00D55A75" w:rsidRPr="00F9298A">
        <w:rPr>
          <w:rFonts w:cs="David" w:hint="cs"/>
          <w:sz w:val="28"/>
          <w:szCs w:val="28"/>
          <w:rtl/>
        </w:rPr>
        <w:t xml:space="preserve">לתקוף חלק מממצאי המהימנות שנקבעו - </w:t>
      </w:r>
      <w:r w:rsidR="00D1529B" w:rsidRPr="00F9298A">
        <w:rPr>
          <w:rFonts w:cs="David" w:hint="cs"/>
          <w:sz w:val="28"/>
          <w:szCs w:val="28"/>
          <w:rtl/>
        </w:rPr>
        <w:t xml:space="preserve">על כל </w:t>
      </w:r>
      <w:r w:rsidRPr="00F9298A">
        <w:rPr>
          <w:rFonts w:cs="David" w:hint="cs"/>
          <w:sz w:val="28"/>
          <w:szCs w:val="28"/>
          <w:rtl/>
        </w:rPr>
        <w:t xml:space="preserve">המשתמע מכך. אשר לבחינת מאזן הנוחות, נקבע כי על המבקש להראות כי אם יזכה בערעורו לא יוכל לגבות את כספו חזרה (ע"פ 2701/16 </w:t>
      </w:r>
      <w:r w:rsidRPr="00F9298A">
        <w:rPr>
          <w:rFonts w:cs="David" w:hint="cs"/>
          <w:b/>
          <w:bCs/>
          <w:sz w:val="28"/>
          <w:szCs w:val="28"/>
          <w:rtl/>
        </w:rPr>
        <w:t>בר נ' מדינת ישראל</w:t>
      </w:r>
      <w:r w:rsidRPr="00F9298A">
        <w:rPr>
          <w:rFonts w:cs="David" w:hint="cs"/>
          <w:sz w:val="28"/>
          <w:szCs w:val="28"/>
          <w:rtl/>
        </w:rPr>
        <w:t>, פסקה 4 (15.6.2016)</w:t>
      </w:r>
      <w:r w:rsidR="008D3965">
        <w:rPr>
          <w:rFonts w:cs="David" w:hint="cs"/>
          <w:sz w:val="28"/>
          <w:szCs w:val="28"/>
          <w:rtl/>
        </w:rPr>
        <w:t xml:space="preserve">; </w:t>
      </w:r>
      <w:r w:rsidR="008D3965" w:rsidRPr="00F9298A">
        <w:rPr>
          <w:rFonts w:cs="David" w:hint="cs"/>
          <w:sz w:val="28"/>
          <w:szCs w:val="28"/>
          <w:rtl/>
        </w:rPr>
        <w:t xml:space="preserve">ב"ש 6/25 </w:t>
      </w:r>
      <w:r w:rsidR="008D3965" w:rsidRPr="00F9298A">
        <w:rPr>
          <w:rFonts w:cs="David" w:hint="cs"/>
          <w:b/>
          <w:bCs/>
          <w:sz w:val="28"/>
          <w:szCs w:val="28"/>
          <w:rtl/>
        </w:rPr>
        <w:t>סמל לוי נ' התובע הצבאי הראשי</w:t>
      </w:r>
      <w:r w:rsidR="008D3965" w:rsidRPr="00F9298A">
        <w:rPr>
          <w:rFonts w:cs="David" w:hint="cs"/>
          <w:sz w:val="28"/>
          <w:szCs w:val="28"/>
          <w:rtl/>
        </w:rPr>
        <w:t>, פסקה 7</w:t>
      </w:r>
      <w:r w:rsidR="008D3965" w:rsidRPr="00F9298A">
        <w:rPr>
          <w:rFonts w:cs="David" w:hint="cs"/>
          <w:b/>
          <w:bCs/>
          <w:sz w:val="28"/>
          <w:szCs w:val="28"/>
          <w:rtl/>
        </w:rPr>
        <w:t xml:space="preserve"> </w:t>
      </w:r>
      <w:r w:rsidR="008D3965" w:rsidRPr="00F9298A">
        <w:rPr>
          <w:rFonts w:cs="David" w:hint="cs"/>
          <w:sz w:val="28"/>
          <w:szCs w:val="28"/>
          <w:rtl/>
        </w:rPr>
        <w:t>(2025))</w:t>
      </w:r>
      <w:r w:rsidRPr="00F9298A">
        <w:rPr>
          <w:rFonts w:cs="David" w:hint="cs"/>
          <w:sz w:val="28"/>
          <w:szCs w:val="28"/>
          <w:rtl/>
        </w:rPr>
        <w:t xml:space="preserve">, ולא הוכח בפניי </w:t>
      </w:r>
      <w:r w:rsidR="00A87888" w:rsidRPr="00F9298A">
        <w:rPr>
          <w:rFonts w:cs="David" w:hint="cs"/>
          <w:sz w:val="28"/>
          <w:szCs w:val="28"/>
          <w:rtl/>
        </w:rPr>
        <w:t>כי אלה הם פני הדברים</w:t>
      </w:r>
      <w:r w:rsidR="008D3965">
        <w:rPr>
          <w:rFonts w:cs="David" w:hint="cs"/>
          <w:sz w:val="28"/>
          <w:szCs w:val="28"/>
          <w:rtl/>
        </w:rPr>
        <w:t>, מש</w:t>
      </w:r>
      <w:r w:rsidR="00F9298A" w:rsidRPr="00F9298A">
        <w:rPr>
          <w:rFonts w:cs="David" w:hint="cs"/>
          <w:sz w:val="28"/>
          <w:szCs w:val="28"/>
          <w:rtl/>
        </w:rPr>
        <w:t>נפגעות העבירה שיתפו כולן פעולה עם ההליך המשפטי עד כה, והמבקש לא הצביע על טעם שבגינו ניתן לקבוע שאם יזכה בערעורו לא יוכל לגבות את כספו מהן בחזרה</w:t>
      </w:r>
      <w:r w:rsidR="008D3965">
        <w:rPr>
          <w:rFonts w:cs="David" w:hint="cs"/>
          <w:sz w:val="28"/>
          <w:szCs w:val="28"/>
          <w:rtl/>
        </w:rPr>
        <w:t>.</w:t>
      </w:r>
      <w:r w:rsidR="00F9298A" w:rsidRPr="00F9298A">
        <w:rPr>
          <w:rFonts w:cs="David" w:hint="cs"/>
          <w:sz w:val="28"/>
          <w:szCs w:val="28"/>
          <w:rtl/>
        </w:rPr>
        <w:t xml:space="preserve"> </w:t>
      </w:r>
      <w:r w:rsidR="00233015" w:rsidRPr="00F9298A">
        <w:rPr>
          <w:rFonts w:cs="David" w:hint="cs"/>
          <w:sz w:val="28"/>
          <w:szCs w:val="28"/>
          <w:rtl/>
        </w:rPr>
        <w:t xml:space="preserve">ההגנה גם לא הצביעה על </w:t>
      </w:r>
      <w:r w:rsidR="00D55A75" w:rsidRPr="00F9298A">
        <w:rPr>
          <w:rFonts w:cs="David" w:hint="cs"/>
          <w:sz w:val="28"/>
          <w:szCs w:val="28"/>
          <w:rtl/>
        </w:rPr>
        <w:t xml:space="preserve">כל </w:t>
      </w:r>
      <w:r w:rsidR="00233015" w:rsidRPr="00F9298A">
        <w:rPr>
          <w:rFonts w:cs="David" w:hint="cs"/>
          <w:sz w:val="28"/>
          <w:szCs w:val="28"/>
          <w:rtl/>
        </w:rPr>
        <w:t xml:space="preserve">טעם מיוחד </w:t>
      </w:r>
      <w:r w:rsidR="009C4A9A">
        <w:rPr>
          <w:rFonts w:cs="David" w:hint="cs"/>
          <w:sz w:val="28"/>
          <w:szCs w:val="28"/>
          <w:rtl/>
        </w:rPr>
        <w:t xml:space="preserve">אחר </w:t>
      </w:r>
      <w:r w:rsidR="00D55A75" w:rsidRPr="00F9298A">
        <w:rPr>
          <w:rFonts w:cs="David" w:hint="cs"/>
          <w:sz w:val="28"/>
          <w:szCs w:val="28"/>
          <w:rtl/>
        </w:rPr>
        <w:t>הנוגע למבקש, שבגינו יש לעכב את הביצוע.</w:t>
      </w:r>
    </w:p>
    <w:p w14:paraId="3A0BEC76" w14:textId="77777777" w:rsidR="008D3965" w:rsidRDefault="008D3965"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זאת ועוד,</w:t>
      </w:r>
      <w:r w:rsidR="00D55A75" w:rsidRPr="00F9298A">
        <w:rPr>
          <w:rFonts w:cs="David" w:hint="cs"/>
          <w:sz w:val="28"/>
          <w:szCs w:val="28"/>
          <w:rtl/>
        </w:rPr>
        <w:t xml:space="preserve"> בחלוף הזמן מאז ביצוע העבירות אין כדי להועיל לטיעון ההגנה, אלא ההפך הוא הנכון, שכן נקבע כי </w:t>
      </w:r>
      <w:r w:rsidR="00B35FB4" w:rsidRPr="00F9298A">
        <w:rPr>
          <w:rFonts w:cs="David" w:hint="cs"/>
          <w:sz w:val="28"/>
          <w:szCs w:val="28"/>
          <w:rtl/>
        </w:rPr>
        <w:t xml:space="preserve">סעד </w:t>
      </w:r>
      <w:r w:rsidR="00816E02" w:rsidRPr="00F9298A">
        <w:rPr>
          <w:rFonts w:cs="David" w:hint="cs"/>
          <w:sz w:val="28"/>
          <w:szCs w:val="28"/>
          <w:rtl/>
        </w:rPr>
        <w:t xml:space="preserve">מהיר ויעיל </w:t>
      </w:r>
      <w:r w:rsidR="00565039" w:rsidRPr="00F9298A">
        <w:rPr>
          <w:rFonts w:cs="David" w:hint="cs"/>
          <w:sz w:val="28"/>
          <w:szCs w:val="28"/>
          <w:rtl/>
        </w:rPr>
        <w:t xml:space="preserve">לנפגע העבירה </w:t>
      </w:r>
      <w:r w:rsidR="00816E02" w:rsidRPr="00F9298A">
        <w:rPr>
          <w:rFonts w:cs="David" w:hint="cs"/>
          <w:sz w:val="28"/>
          <w:szCs w:val="28"/>
          <w:rtl/>
        </w:rPr>
        <w:t xml:space="preserve">הוא אחת ממטרותיו העיקריות של </w:t>
      </w:r>
      <w:r w:rsidR="00565039" w:rsidRPr="00F9298A">
        <w:rPr>
          <w:rFonts w:cs="David" w:hint="cs"/>
          <w:sz w:val="28"/>
          <w:szCs w:val="28"/>
          <w:rtl/>
        </w:rPr>
        <w:t>ה</w:t>
      </w:r>
      <w:r w:rsidR="00816E02" w:rsidRPr="00F9298A">
        <w:rPr>
          <w:rFonts w:cs="David" w:hint="cs"/>
          <w:sz w:val="28"/>
          <w:szCs w:val="28"/>
          <w:rtl/>
        </w:rPr>
        <w:t>חיוב בפיצוי</w:t>
      </w:r>
      <w:r w:rsidR="00565039" w:rsidRPr="00F9298A">
        <w:rPr>
          <w:rFonts w:cs="David" w:hint="cs"/>
          <w:sz w:val="28"/>
          <w:szCs w:val="28"/>
          <w:rtl/>
        </w:rPr>
        <w:t>ים</w:t>
      </w:r>
      <w:r w:rsidR="00816E02" w:rsidRPr="00F9298A">
        <w:rPr>
          <w:rFonts w:cs="David" w:hint="cs"/>
          <w:sz w:val="28"/>
          <w:szCs w:val="28"/>
          <w:rtl/>
        </w:rPr>
        <w:t xml:space="preserve"> </w:t>
      </w:r>
      <w:r w:rsidR="00404E7A" w:rsidRPr="00F9298A">
        <w:rPr>
          <w:rFonts w:cs="David" w:hint="cs"/>
          <w:sz w:val="28"/>
          <w:szCs w:val="28"/>
          <w:rtl/>
        </w:rPr>
        <w:t xml:space="preserve">(ע"פ 4283/22 </w:t>
      </w:r>
      <w:proofErr w:type="spellStart"/>
      <w:r w:rsidR="00404E7A" w:rsidRPr="00F9298A">
        <w:rPr>
          <w:rFonts w:cs="David" w:hint="cs"/>
          <w:b/>
          <w:bCs/>
          <w:sz w:val="28"/>
          <w:szCs w:val="28"/>
          <w:rtl/>
        </w:rPr>
        <w:t>באחיט</w:t>
      </w:r>
      <w:proofErr w:type="spellEnd"/>
      <w:r w:rsidR="00404E7A" w:rsidRPr="00F9298A">
        <w:rPr>
          <w:rFonts w:cs="David" w:hint="cs"/>
          <w:b/>
          <w:bCs/>
          <w:sz w:val="28"/>
          <w:szCs w:val="28"/>
          <w:rtl/>
        </w:rPr>
        <w:t xml:space="preserve"> נ' מדינת ישראל</w:t>
      </w:r>
      <w:r w:rsidR="00404E7A" w:rsidRPr="00F9298A">
        <w:rPr>
          <w:rFonts w:cs="David" w:hint="cs"/>
          <w:sz w:val="28"/>
          <w:szCs w:val="28"/>
          <w:rtl/>
        </w:rPr>
        <w:t>, פסקה 14 (1.12.2022)</w:t>
      </w:r>
      <w:r w:rsidR="00D93A6C">
        <w:rPr>
          <w:rFonts w:cs="David" w:hint="cs"/>
          <w:sz w:val="28"/>
          <w:szCs w:val="28"/>
          <w:rtl/>
        </w:rPr>
        <w:t xml:space="preserve">; ב"ש 6/25 </w:t>
      </w:r>
      <w:r w:rsidR="00D93A6C">
        <w:rPr>
          <w:rFonts w:cs="David" w:hint="cs"/>
          <w:b/>
          <w:bCs/>
          <w:sz w:val="28"/>
          <w:szCs w:val="28"/>
          <w:rtl/>
        </w:rPr>
        <w:t xml:space="preserve">סמל לוי </w:t>
      </w:r>
      <w:r w:rsidR="00D93A6C">
        <w:rPr>
          <w:rFonts w:cs="David" w:hint="cs"/>
          <w:sz w:val="28"/>
          <w:szCs w:val="28"/>
          <w:rtl/>
        </w:rPr>
        <w:t>לעיל, פסקה 6</w:t>
      </w:r>
      <w:r w:rsidR="00404E7A" w:rsidRPr="00F9298A">
        <w:rPr>
          <w:rFonts w:cs="David" w:hint="cs"/>
          <w:sz w:val="28"/>
          <w:szCs w:val="28"/>
          <w:rtl/>
        </w:rPr>
        <w:t xml:space="preserve">). </w:t>
      </w:r>
      <w:r>
        <w:rPr>
          <w:rFonts w:cs="David" w:hint="cs"/>
          <w:sz w:val="28"/>
          <w:szCs w:val="28"/>
          <w:rtl/>
        </w:rPr>
        <w:t xml:space="preserve">כן ראוי לציין, כי </w:t>
      </w:r>
      <w:r w:rsidR="00171189" w:rsidRPr="00F9298A">
        <w:rPr>
          <w:rFonts w:cs="David" w:hint="cs"/>
          <w:sz w:val="28"/>
          <w:szCs w:val="28"/>
          <w:rtl/>
        </w:rPr>
        <w:t xml:space="preserve">גם לאחר מתן גזר הדין ניתנה למבקש אורכה של </w:t>
      </w:r>
      <w:r w:rsidR="00171189" w:rsidRPr="00F9298A">
        <w:rPr>
          <w:rFonts w:cs="David" w:hint="cs"/>
          <w:sz w:val="28"/>
          <w:szCs w:val="28"/>
          <w:rtl/>
        </w:rPr>
        <w:lastRenderedPageBreak/>
        <w:t>חודש לתשלום הפיצויים</w:t>
      </w:r>
      <w:r w:rsidR="00D55A75" w:rsidRPr="00F9298A">
        <w:rPr>
          <w:rFonts w:cs="David" w:hint="cs"/>
          <w:sz w:val="28"/>
          <w:szCs w:val="28"/>
          <w:rtl/>
        </w:rPr>
        <w:t xml:space="preserve">, </w:t>
      </w:r>
      <w:r w:rsidR="00F9298A" w:rsidRPr="00F9298A">
        <w:rPr>
          <w:rFonts w:cs="David" w:hint="cs"/>
          <w:sz w:val="28"/>
          <w:szCs w:val="28"/>
          <w:rtl/>
        </w:rPr>
        <w:t xml:space="preserve">אולם הוא </w:t>
      </w:r>
      <w:r w:rsidR="001848A6">
        <w:rPr>
          <w:rFonts w:cs="David" w:hint="cs"/>
          <w:sz w:val="28"/>
          <w:szCs w:val="28"/>
          <w:rtl/>
        </w:rPr>
        <w:t xml:space="preserve">טרם </w:t>
      </w:r>
      <w:r w:rsidR="00F9298A" w:rsidRPr="00F9298A">
        <w:rPr>
          <w:rFonts w:cs="David" w:hint="cs"/>
          <w:sz w:val="28"/>
          <w:szCs w:val="28"/>
          <w:rtl/>
        </w:rPr>
        <w:t xml:space="preserve">שילם </w:t>
      </w:r>
      <w:r w:rsidR="009C4A9A" w:rsidRPr="00F9298A">
        <w:rPr>
          <w:rFonts w:cs="David" w:hint="cs"/>
          <w:sz w:val="28"/>
          <w:szCs w:val="28"/>
          <w:rtl/>
        </w:rPr>
        <w:t>אות</w:t>
      </w:r>
      <w:r w:rsidR="009C4A9A">
        <w:rPr>
          <w:rFonts w:cs="David" w:hint="cs"/>
          <w:sz w:val="28"/>
          <w:szCs w:val="28"/>
          <w:rtl/>
        </w:rPr>
        <w:t>ם</w:t>
      </w:r>
      <w:r w:rsidR="00F9298A" w:rsidRPr="00F9298A">
        <w:rPr>
          <w:rFonts w:cs="David" w:hint="cs"/>
          <w:sz w:val="28"/>
          <w:szCs w:val="28"/>
          <w:rtl/>
        </w:rPr>
        <w:t>, ואף לא העלה את טענותיו בנושא בדיון קודם שנערך</w:t>
      </w:r>
      <w:r w:rsidR="001848A6">
        <w:rPr>
          <w:rFonts w:cs="David" w:hint="cs"/>
          <w:sz w:val="28"/>
          <w:szCs w:val="28"/>
          <w:rtl/>
        </w:rPr>
        <w:t>, כמוזכר לעיל</w:t>
      </w:r>
      <w:r w:rsidR="00F9298A" w:rsidRPr="00F9298A">
        <w:rPr>
          <w:rFonts w:cs="David" w:hint="cs"/>
          <w:sz w:val="28"/>
          <w:szCs w:val="28"/>
          <w:rtl/>
        </w:rPr>
        <w:t xml:space="preserve"> (באשר לעיכוב ביצוע עונש המאסר, כאמור). </w:t>
      </w:r>
    </w:p>
    <w:p w14:paraId="767B344B" w14:textId="77777777" w:rsidR="00002B28" w:rsidRDefault="00F9298A"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 xml:space="preserve">לאור כלל האמור, לא מצאתי יש בטענות ההגנה כדי </w:t>
      </w:r>
      <w:r w:rsidR="00171189">
        <w:rPr>
          <w:rFonts w:cs="David" w:hint="cs"/>
          <w:sz w:val="28"/>
          <w:szCs w:val="28"/>
          <w:rtl/>
        </w:rPr>
        <w:t xml:space="preserve">להצביע על נסיבות חריגות </w:t>
      </w:r>
      <w:r w:rsidR="00565039">
        <w:rPr>
          <w:rFonts w:cs="David" w:hint="cs"/>
          <w:sz w:val="28"/>
          <w:szCs w:val="28"/>
          <w:rtl/>
        </w:rPr>
        <w:t xml:space="preserve">אשר </w:t>
      </w:r>
      <w:r w:rsidR="00171189">
        <w:rPr>
          <w:rFonts w:cs="David" w:hint="cs"/>
          <w:sz w:val="28"/>
          <w:szCs w:val="28"/>
          <w:rtl/>
        </w:rPr>
        <w:t xml:space="preserve">יצדיקו חריגה מההלכה המושרשת בעניין זה, כפי שבוארה לעיל. </w:t>
      </w:r>
    </w:p>
    <w:p w14:paraId="6F9221BF" w14:textId="77777777" w:rsidR="00816E02" w:rsidRDefault="00171189" w:rsidP="00297532">
      <w:pPr>
        <w:numPr>
          <w:ilvl w:val="0"/>
          <w:numId w:val="1"/>
        </w:numPr>
        <w:tabs>
          <w:tab w:val="left" w:pos="282"/>
        </w:tabs>
        <w:spacing w:after="0" w:line="360" w:lineRule="auto"/>
        <w:ind w:left="0" w:firstLine="0"/>
        <w:jc w:val="both"/>
        <w:rPr>
          <w:rFonts w:cs="David"/>
          <w:sz w:val="28"/>
          <w:szCs w:val="28"/>
        </w:rPr>
      </w:pPr>
      <w:r>
        <w:rPr>
          <w:rFonts w:cs="David" w:hint="cs"/>
          <w:sz w:val="28"/>
          <w:szCs w:val="28"/>
          <w:rtl/>
        </w:rPr>
        <w:t xml:space="preserve">מכאן שהבקשה נדחית. </w:t>
      </w:r>
      <w:r w:rsidR="00D55A75">
        <w:rPr>
          <w:rFonts w:cs="David" w:hint="cs"/>
          <w:sz w:val="28"/>
          <w:szCs w:val="28"/>
          <w:rtl/>
        </w:rPr>
        <w:t xml:space="preserve">המבקש ישלם את הפיצויים שנקבעו לכל אחת מנפגעות העבירה עד ליום 2 בספטמבר 2025 לכל המאוחר, בהתאם לפרטיהן כפי שיועברו </w:t>
      </w:r>
      <w:r w:rsidR="00DB0EC1">
        <w:rPr>
          <w:rFonts w:cs="David" w:hint="cs"/>
          <w:sz w:val="28"/>
          <w:szCs w:val="28"/>
          <w:rtl/>
        </w:rPr>
        <w:t xml:space="preserve">לו </w:t>
      </w:r>
      <w:r w:rsidR="00D55A75">
        <w:rPr>
          <w:rFonts w:cs="David" w:hint="cs"/>
          <w:sz w:val="28"/>
          <w:szCs w:val="28"/>
          <w:rtl/>
        </w:rPr>
        <w:t xml:space="preserve">על ידי התביעה הצבאית. </w:t>
      </w:r>
    </w:p>
    <w:p w14:paraId="54258A02" w14:textId="77777777" w:rsidR="005551D6" w:rsidRDefault="005551D6" w:rsidP="00D93A6C">
      <w:pPr>
        <w:tabs>
          <w:tab w:val="left" w:pos="282"/>
        </w:tabs>
        <w:spacing w:after="0" w:line="348" w:lineRule="auto"/>
        <w:jc w:val="both"/>
        <w:rPr>
          <w:rFonts w:cs="David"/>
          <w:sz w:val="28"/>
          <w:szCs w:val="28"/>
          <w:rtl/>
        </w:rPr>
      </w:pPr>
    </w:p>
    <w:p w14:paraId="3F2C3EAD" w14:textId="4FAEE7F2" w:rsidR="00FF5A2F" w:rsidRDefault="007B7648" w:rsidP="00D93A6C">
      <w:pPr>
        <w:tabs>
          <w:tab w:val="left" w:pos="282"/>
        </w:tabs>
        <w:spacing w:after="0" w:line="348" w:lineRule="auto"/>
        <w:ind w:left="-1"/>
        <w:jc w:val="both"/>
        <w:rPr>
          <w:rFonts w:ascii="David" w:hAnsi="David" w:cs="David"/>
          <w:sz w:val="28"/>
          <w:szCs w:val="28"/>
          <w:rtl/>
        </w:rPr>
      </w:pPr>
      <w:r w:rsidRPr="00247C7A">
        <w:rPr>
          <w:rFonts w:ascii="David" w:hAnsi="David" w:cs="David" w:hint="cs"/>
          <w:sz w:val="28"/>
          <w:szCs w:val="28"/>
          <w:rtl/>
        </w:rPr>
        <w:t>ניתנה היום,</w:t>
      </w:r>
      <w:r w:rsidR="009C4142">
        <w:rPr>
          <w:rFonts w:ascii="David" w:hAnsi="David" w:cs="David" w:hint="cs"/>
          <w:sz w:val="28"/>
          <w:szCs w:val="28"/>
          <w:rtl/>
        </w:rPr>
        <w:t xml:space="preserve"> </w:t>
      </w:r>
      <w:r w:rsidR="00D55A75">
        <w:rPr>
          <w:rFonts w:ascii="David" w:hAnsi="David" w:cs="David" w:hint="cs"/>
          <w:sz w:val="28"/>
          <w:szCs w:val="28"/>
          <w:rtl/>
        </w:rPr>
        <w:t>א' באלול</w:t>
      </w:r>
      <w:r w:rsidR="00BF128B">
        <w:rPr>
          <w:rFonts w:ascii="David" w:hAnsi="David" w:cs="David" w:hint="cs"/>
          <w:sz w:val="28"/>
          <w:szCs w:val="28"/>
          <w:rtl/>
        </w:rPr>
        <w:t xml:space="preserve"> </w:t>
      </w:r>
      <w:proofErr w:type="spellStart"/>
      <w:r w:rsidR="00BF128B">
        <w:rPr>
          <w:rFonts w:ascii="David" w:hAnsi="David" w:cs="David" w:hint="cs"/>
          <w:sz w:val="28"/>
          <w:szCs w:val="28"/>
          <w:rtl/>
        </w:rPr>
        <w:t>התשפ"ה</w:t>
      </w:r>
      <w:proofErr w:type="spellEnd"/>
      <w:r w:rsidR="002D1E26">
        <w:rPr>
          <w:rFonts w:ascii="David" w:hAnsi="David" w:cs="David" w:hint="cs"/>
          <w:sz w:val="28"/>
          <w:szCs w:val="28"/>
          <w:rtl/>
        </w:rPr>
        <w:t xml:space="preserve">, </w:t>
      </w:r>
      <w:r w:rsidR="00D427FF">
        <w:rPr>
          <w:rFonts w:ascii="David" w:hAnsi="David" w:cs="David" w:hint="cs"/>
          <w:sz w:val="28"/>
          <w:szCs w:val="28"/>
          <w:rtl/>
        </w:rPr>
        <w:t>2</w:t>
      </w:r>
      <w:r w:rsidR="00D55A75">
        <w:rPr>
          <w:rFonts w:ascii="David" w:hAnsi="David" w:cs="David" w:hint="cs"/>
          <w:sz w:val="28"/>
          <w:szCs w:val="28"/>
          <w:rtl/>
        </w:rPr>
        <w:t>5</w:t>
      </w:r>
      <w:r w:rsidR="00D427FF">
        <w:rPr>
          <w:rFonts w:ascii="David" w:hAnsi="David" w:cs="David" w:hint="cs"/>
          <w:sz w:val="28"/>
          <w:szCs w:val="28"/>
          <w:rtl/>
        </w:rPr>
        <w:t xml:space="preserve"> </w:t>
      </w:r>
      <w:r w:rsidR="005551D6">
        <w:rPr>
          <w:rFonts w:ascii="David" w:hAnsi="David" w:cs="David" w:hint="cs"/>
          <w:sz w:val="28"/>
          <w:szCs w:val="28"/>
          <w:rtl/>
        </w:rPr>
        <w:t>ב</w:t>
      </w:r>
      <w:r w:rsidR="00D427FF">
        <w:rPr>
          <w:rFonts w:ascii="David" w:hAnsi="David" w:cs="David" w:hint="cs"/>
          <w:sz w:val="28"/>
          <w:szCs w:val="28"/>
          <w:rtl/>
        </w:rPr>
        <w:t>אוגוסט</w:t>
      </w:r>
      <w:r w:rsidR="005551D6">
        <w:rPr>
          <w:rFonts w:ascii="David" w:hAnsi="David" w:cs="David" w:hint="cs"/>
          <w:sz w:val="28"/>
          <w:szCs w:val="28"/>
          <w:rtl/>
        </w:rPr>
        <w:t xml:space="preserve"> </w:t>
      </w:r>
      <w:r w:rsidR="00EB1F23">
        <w:rPr>
          <w:rFonts w:ascii="David" w:hAnsi="David" w:cs="David" w:hint="cs"/>
          <w:sz w:val="28"/>
          <w:szCs w:val="28"/>
          <w:rtl/>
        </w:rPr>
        <w:t>202</w:t>
      </w:r>
      <w:r w:rsidR="00D427FF">
        <w:rPr>
          <w:rFonts w:ascii="David" w:hAnsi="David" w:cs="David" w:hint="cs"/>
          <w:sz w:val="28"/>
          <w:szCs w:val="28"/>
          <w:rtl/>
        </w:rPr>
        <w:t>5</w:t>
      </w:r>
      <w:r w:rsidR="00DF3153">
        <w:rPr>
          <w:rFonts w:ascii="David" w:hAnsi="David" w:cs="David" w:hint="cs"/>
          <w:sz w:val="28"/>
          <w:szCs w:val="28"/>
          <w:rtl/>
        </w:rPr>
        <w:t xml:space="preserve">, </w:t>
      </w:r>
      <w:r w:rsidR="005551D6">
        <w:rPr>
          <w:rFonts w:ascii="David" w:hAnsi="David" w:cs="David" w:hint="cs"/>
          <w:sz w:val="28"/>
          <w:szCs w:val="28"/>
          <w:rtl/>
        </w:rPr>
        <w:t xml:space="preserve">בלשכה ותועבר לצדדים על ידי </w:t>
      </w:r>
      <w:proofErr w:type="spellStart"/>
      <w:r w:rsidR="005551D6">
        <w:rPr>
          <w:rFonts w:ascii="David" w:hAnsi="David" w:cs="David" w:hint="cs"/>
          <w:sz w:val="28"/>
          <w:szCs w:val="28"/>
          <w:rtl/>
        </w:rPr>
        <w:t>הקבי"ד</w:t>
      </w:r>
      <w:proofErr w:type="spellEnd"/>
      <w:r w:rsidR="00565039">
        <w:rPr>
          <w:rFonts w:ascii="David" w:hAnsi="David" w:cs="David" w:hint="cs"/>
          <w:sz w:val="28"/>
          <w:szCs w:val="28"/>
          <w:rtl/>
        </w:rPr>
        <w:t>.</w:t>
      </w:r>
    </w:p>
    <w:p w14:paraId="1F6D456C" w14:textId="77777777" w:rsidR="00D93A6C" w:rsidRDefault="00D93A6C" w:rsidP="00D93A6C">
      <w:pPr>
        <w:spacing w:after="0" w:line="348" w:lineRule="auto"/>
        <w:jc w:val="both"/>
        <w:rPr>
          <w:rFonts w:ascii="David" w:eastAsia="Times New Roman" w:hAnsi="David" w:cs="David"/>
          <w:b/>
          <w:bCs/>
          <w:sz w:val="28"/>
          <w:szCs w:val="28"/>
          <w:rtl/>
        </w:rPr>
      </w:pPr>
    </w:p>
    <w:p w14:paraId="3E0CFA28" w14:textId="30E85100" w:rsidR="00A978A3" w:rsidRPr="00B54F91" w:rsidRDefault="00A978A3" w:rsidP="00D93A6C">
      <w:pPr>
        <w:spacing w:after="0" w:line="348"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665CB8">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________________________</w:t>
      </w:r>
    </w:p>
    <w:p w14:paraId="12E593AC" w14:textId="18758B26" w:rsidR="00A978A3" w:rsidRPr="00247C7A" w:rsidRDefault="00A978A3" w:rsidP="00D93A6C">
      <w:pPr>
        <w:keepNext/>
        <w:spacing w:after="0" w:line="348"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665CB8">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מאיה גולדשמידט </w:t>
      </w:r>
      <w:r w:rsidRPr="00247C7A">
        <w:rPr>
          <w:rFonts w:ascii="David" w:eastAsia="Times New Roman" w:hAnsi="David" w:cs="David" w:hint="cs"/>
          <w:b/>
          <w:bCs/>
          <w:sz w:val="28"/>
          <w:szCs w:val="28"/>
          <w:rtl/>
        </w:rPr>
        <w:t xml:space="preserve"> </w:t>
      </w:r>
    </w:p>
    <w:p w14:paraId="0C5ED75F" w14:textId="721984DF" w:rsidR="00A978A3" w:rsidRPr="00247C7A" w:rsidRDefault="00A978A3" w:rsidP="00D93A6C">
      <w:pPr>
        <w:keepNext/>
        <w:spacing w:after="0" w:line="348"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665CB8">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שופטת </w:t>
      </w:r>
      <w:r w:rsidRPr="00247C7A">
        <w:rPr>
          <w:rFonts w:ascii="David" w:eastAsia="Times New Roman" w:hAnsi="David" w:cs="David" w:hint="cs"/>
          <w:b/>
          <w:bCs/>
          <w:sz w:val="28"/>
          <w:szCs w:val="28"/>
          <w:rtl/>
        </w:rPr>
        <w:tab/>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w:t>
      </w:r>
      <w:r w:rsidR="00F608C1">
        <w:rPr>
          <w:rFonts w:ascii="David" w:eastAsia="Times New Roman" w:hAnsi="David" w:cs="David" w:hint="cs"/>
          <w:b/>
          <w:bCs/>
          <w:sz w:val="28"/>
          <w:szCs w:val="28"/>
          <w:rtl/>
        </w:rPr>
        <w:t xml:space="preserve">    הדין</w:t>
      </w:r>
      <w:r w:rsidRPr="00247C7A">
        <w:rPr>
          <w:rFonts w:ascii="David" w:eastAsia="Times New Roman" w:hAnsi="David" w:cs="David" w:hint="cs"/>
          <w:b/>
          <w:bCs/>
          <w:sz w:val="28"/>
          <w:szCs w:val="28"/>
          <w:rtl/>
        </w:rPr>
        <w:t xml:space="preserve">       הצבאי </w:t>
      </w:r>
    </w:p>
    <w:p w14:paraId="2D791F98" w14:textId="15086475" w:rsidR="007B7648" w:rsidRDefault="00A978A3" w:rsidP="00D93A6C">
      <w:pPr>
        <w:spacing w:after="0" w:line="348" w:lineRule="auto"/>
        <w:jc w:val="both"/>
        <w:rPr>
          <w:rtl/>
        </w:rPr>
      </w:pPr>
      <w:r w:rsidRPr="00247C7A">
        <w:rPr>
          <w:rFonts w:ascii="David" w:eastAsia="Times New Roman" w:hAnsi="David" w:cs="David" w:hint="cs"/>
          <w:b/>
          <w:bCs/>
          <w:sz w:val="28"/>
          <w:szCs w:val="28"/>
          <w:rtl/>
        </w:rPr>
        <w:t xml:space="preserve">                                                                              </w:t>
      </w:r>
      <w:r w:rsidR="00665CB8">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ל     ע     ר     ע      ו      ר      י     ם</w:t>
      </w:r>
    </w:p>
    <w:p w14:paraId="7E029DEA" w14:textId="457109CD" w:rsidR="00665CB8" w:rsidRDefault="00665CB8" w:rsidP="00D93A6C">
      <w:pPr>
        <w:spacing w:after="0" w:line="348" w:lineRule="auto"/>
        <w:jc w:val="both"/>
        <w:rPr>
          <w:rtl/>
        </w:rPr>
      </w:pPr>
    </w:p>
    <w:p w14:paraId="22096938" w14:textId="5F2B272E" w:rsidR="00665CB8" w:rsidRPr="00405BC8" w:rsidRDefault="00665CB8" w:rsidP="00665CB8">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5E16523F" w14:textId="5C8216AA" w:rsidR="00665CB8" w:rsidRPr="00405BC8" w:rsidRDefault="00665CB8" w:rsidP="00665CB8">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 xml:space="preserve">סמ"ר   מיקה        </w:t>
      </w:r>
      <w:proofErr w:type="spellStart"/>
      <w:r>
        <w:rPr>
          <w:rFonts w:ascii="David" w:hAnsi="David" w:cs="David" w:hint="cs"/>
          <w:b/>
          <w:bCs/>
          <w:sz w:val="28"/>
          <w:szCs w:val="28"/>
          <w:rtl/>
        </w:rPr>
        <w:t>אשרוב</w:t>
      </w:r>
      <w:proofErr w:type="spellEnd"/>
    </w:p>
    <w:p w14:paraId="195E30FA" w14:textId="2D6714D9" w:rsidR="00665CB8" w:rsidRPr="00405BC8" w:rsidRDefault="00665CB8" w:rsidP="00665CB8">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1C91D79D" w14:textId="77777777" w:rsidR="00665CB8" w:rsidRPr="007B7648" w:rsidRDefault="00665CB8" w:rsidP="00D93A6C">
      <w:pPr>
        <w:spacing w:after="0" w:line="348" w:lineRule="auto"/>
        <w:jc w:val="both"/>
      </w:pPr>
    </w:p>
    <w:sectPr w:rsidR="00665CB8" w:rsidRPr="007B7648" w:rsidSect="00665CB8">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0989" w14:textId="77777777" w:rsidR="008E7567" w:rsidRDefault="008E7567">
      <w:pPr>
        <w:spacing w:after="0" w:line="240" w:lineRule="auto"/>
      </w:pPr>
      <w:r>
        <w:separator/>
      </w:r>
    </w:p>
  </w:endnote>
  <w:endnote w:type="continuationSeparator" w:id="0">
    <w:p w14:paraId="038AFAD8" w14:textId="77777777" w:rsidR="008E7567" w:rsidRDefault="008E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BD56" w14:textId="77777777" w:rsidR="001C3C72" w:rsidRDefault="001C64D6">
    <w:pPr>
      <w:pStyle w:val="a7"/>
      <w:jc w:val="center"/>
      <w:rPr>
        <w:rtl/>
        <w:cs/>
      </w:rPr>
    </w:pPr>
    <w:r w:rsidRPr="00D61D0E">
      <w:rPr>
        <w:rFonts w:cs="David"/>
        <w:sz w:val="28"/>
        <w:szCs w:val="28"/>
      </w:rPr>
      <w:fldChar w:fldCharType="begin"/>
    </w:r>
    <w:r w:rsidRPr="00D61D0E">
      <w:rPr>
        <w:rFonts w:cs="David"/>
        <w:sz w:val="28"/>
        <w:szCs w:val="28"/>
        <w:rtl/>
        <w:cs/>
      </w:rPr>
      <w:instrText xml:space="preserve">PAGE   </w:instrText>
    </w:r>
    <w:r w:rsidRPr="00D61D0E">
      <w:rPr>
        <w:rFonts w:cs="David"/>
        <w:sz w:val="28"/>
        <w:szCs w:val="28"/>
        <w:cs/>
      </w:rPr>
      <w:instrText>\</w:instrText>
    </w:r>
    <w:r w:rsidRPr="00D61D0E">
      <w:rPr>
        <w:rFonts w:cs="David"/>
        <w:sz w:val="28"/>
        <w:szCs w:val="28"/>
        <w:rtl/>
        <w:cs/>
      </w:rPr>
      <w:instrText xml:space="preserve">* </w:instrText>
    </w:r>
    <w:r w:rsidRPr="00D61D0E">
      <w:rPr>
        <w:rFonts w:cs="David"/>
        <w:sz w:val="28"/>
        <w:szCs w:val="28"/>
        <w:cs/>
      </w:rPr>
      <w:instrText>MERGEFORMAT</w:instrText>
    </w:r>
    <w:r w:rsidRPr="00D61D0E">
      <w:rPr>
        <w:rFonts w:cs="David"/>
        <w:sz w:val="28"/>
        <w:szCs w:val="28"/>
      </w:rPr>
      <w:fldChar w:fldCharType="separate"/>
    </w:r>
    <w:r w:rsidRPr="00CF70DE">
      <w:rPr>
        <w:rFonts w:cs="David"/>
        <w:noProof/>
        <w:sz w:val="28"/>
        <w:szCs w:val="28"/>
        <w:rtl/>
        <w:lang w:val="he-IL"/>
      </w:rPr>
      <w:t>3</w:t>
    </w:r>
    <w:r w:rsidRPr="00D61D0E">
      <w:rPr>
        <w:rFonts w:cs="David"/>
        <w:sz w:val="28"/>
        <w:szCs w:val="28"/>
      </w:rPr>
      <w:fldChar w:fldCharType="end"/>
    </w:r>
  </w:p>
  <w:p w14:paraId="05E4615D" w14:textId="77777777" w:rsidR="001C3C72" w:rsidRDefault="001C3C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6A81D" w14:textId="77777777" w:rsidR="008E7567" w:rsidRDefault="008E7567">
      <w:pPr>
        <w:spacing w:after="0" w:line="240" w:lineRule="auto"/>
      </w:pPr>
      <w:r>
        <w:separator/>
      </w:r>
    </w:p>
  </w:footnote>
  <w:footnote w:type="continuationSeparator" w:id="0">
    <w:p w14:paraId="2A2BA8F3" w14:textId="77777777" w:rsidR="008E7567" w:rsidRDefault="008E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9514" w14:textId="6B555F50" w:rsidR="002C2394" w:rsidRDefault="002C2394">
    <w:pPr>
      <w:pStyle w:val="a5"/>
    </w:pPr>
    <w:r>
      <w:rPr>
        <w:noProof/>
      </w:rPr>
      <mc:AlternateContent>
        <mc:Choice Requires="wps">
          <w:drawing>
            <wp:anchor distT="0" distB="0" distL="0" distR="0" simplePos="0" relativeHeight="251659264" behindDoc="0" locked="0" layoutInCell="1" allowOverlap="1" wp14:anchorId="4536788C" wp14:editId="01167A78">
              <wp:simplePos x="635" y="635"/>
              <wp:positionH relativeFrom="page">
                <wp:align>center</wp:align>
              </wp:positionH>
              <wp:positionV relativeFrom="page">
                <wp:align>top</wp:align>
              </wp:positionV>
              <wp:extent cx="450215" cy="368935"/>
              <wp:effectExtent l="0" t="0" r="6985" b="12065"/>
              <wp:wrapNone/>
              <wp:docPr id="1102082127"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58CA980B" w14:textId="6F37BB34"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536788C"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fill o:detectmouseclick="t"/>
              <v:textbox style="mso-fit-shape-to-text:t" inset="0,15pt,0,0">
                <w:txbxContent>
                  <w:p w14:paraId="58CA980B" w14:textId="6F37BB34"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8643" w14:textId="7A011711" w:rsidR="000D2B68" w:rsidRPr="00665CB8" w:rsidRDefault="002C2394" w:rsidP="00665CB8">
    <w:pPr>
      <w:pStyle w:val="a5"/>
      <w:rPr>
        <w:rFonts w:ascii="David" w:hAnsi="David" w:cs="David"/>
        <w:sz w:val="28"/>
        <w:szCs w:val="28"/>
      </w:rPr>
    </w:pPr>
    <w:r>
      <w:rPr>
        <w:rFonts w:ascii="David" w:hAnsi="David" w:cs="David"/>
        <w:noProof/>
        <w:sz w:val="28"/>
        <w:szCs w:val="28"/>
        <w:rtl/>
        <w:lang w:val="he-IL"/>
      </w:rPr>
      <mc:AlternateContent>
        <mc:Choice Requires="wps">
          <w:drawing>
            <wp:anchor distT="0" distB="0" distL="0" distR="0" simplePos="0" relativeHeight="251660288" behindDoc="0" locked="0" layoutInCell="1" allowOverlap="1" wp14:anchorId="16DED1F4" wp14:editId="75942727">
              <wp:simplePos x="904875" y="447675"/>
              <wp:positionH relativeFrom="page">
                <wp:align>center</wp:align>
              </wp:positionH>
              <wp:positionV relativeFrom="page">
                <wp:align>top</wp:align>
              </wp:positionV>
              <wp:extent cx="450215" cy="368935"/>
              <wp:effectExtent l="0" t="0" r="6985" b="12065"/>
              <wp:wrapNone/>
              <wp:docPr id="523644359"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6D435864" w14:textId="4BA2F08F"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6DED1F4"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3o1R7MK8l5FQtRSFhJ5UqOo3mPg3LpOUi1WqUkkpETuLFbJyN0pCty+dK/Cu/OhCNt6hFG&#10;NYniHe9DbvwzuNUBif20lEjtQOSZcZJgWuv5uUSN/3pPWZdHvfwJ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JMf5fU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6D435864" w14:textId="4BA2F08F"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v:textbox>
              <w10:wrap anchorx="page" anchory="page"/>
            </v:shape>
          </w:pict>
        </mc:Fallback>
      </mc:AlternateContent>
    </w:r>
    <w:r w:rsidR="001C64D6" w:rsidRPr="00665CB8">
      <w:rPr>
        <w:rFonts w:ascii="David" w:hAnsi="David" w:cs="David"/>
        <w:sz w:val="28"/>
        <w:szCs w:val="28"/>
        <w:rtl/>
      </w:rPr>
      <w:t xml:space="preserve">                                             </w:t>
    </w:r>
    <w:r w:rsidR="00665CB8">
      <w:rPr>
        <w:rFonts w:ascii="David" w:hAnsi="David" w:cs="David" w:hint="cs"/>
        <w:sz w:val="28"/>
        <w:szCs w:val="28"/>
        <w:rtl/>
      </w:rPr>
      <w:t xml:space="preserve">                   </w:t>
    </w:r>
    <w:r w:rsidR="001C64D6" w:rsidRPr="00665CB8">
      <w:rPr>
        <w:rFonts w:ascii="David" w:hAnsi="David" w:cs="David"/>
        <w:sz w:val="28"/>
        <w:szCs w:val="28"/>
        <w:rtl/>
      </w:rPr>
      <w:t xml:space="preserve"> </w:t>
    </w:r>
    <w:r w:rsidR="00EA38F6">
      <w:rPr>
        <w:rFonts w:ascii="David" w:hAnsi="David" w:cs="David" w:hint="cs"/>
        <w:sz w:val="28"/>
        <w:szCs w:val="28"/>
        <w:rtl/>
      </w:rPr>
      <w:t>ב ל מ " ס</w:t>
    </w:r>
    <w:r w:rsidR="00665CB8">
      <w:rPr>
        <w:rFonts w:ascii="David" w:hAnsi="David" w:cs="David" w:hint="cs"/>
        <w:sz w:val="28"/>
        <w:szCs w:val="28"/>
        <w:rtl/>
      </w:rPr>
      <w:t xml:space="preserve">                                     </w:t>
    </w:r>
    <w:r w:rsidR="001C64D6" w:rsidRPr="00665CB8">
      <w:rPr>
        <w:rFonts w:ascii="David" w:hAnsi="David" w:cs="David"/>
        <w:sz w:val="28"/>
        <w:szCs w:val="28"/>
        <w:rtl/>
      </w:rPr>
      <w:t>ב"ש</w:t>
    </w:r>
    <w:r w:rsidR="004755A2" w:rsidRPr="00665CB8">
      <w:rPr>
        <w:rFonts w:ascii="David" w:hAnsi="David" w:cs="David"/>
        <w:sz w:val="28"/>
        <w:szCs w:val="28"/>
        <w:rtl/>
      </w:rPr>
      <w:t xml:space="preserve"> 24269-08-25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FF3C" w14:textId="0A8CE31C" w:rsidR="002C2394" w:rsidRDefault="002C2394">
    <w:pPr>
      <w:pStyle w:val="a5"/>
    </w:pPr>
    <w:r>
      <w:rPr>
        <w:noProof/>
      </w:rPr>
      <mc:AlternateContent>
        <mc:Choice Requires="wps">
          <w:drawing>
            <wp:anchor distT="0" distB="0" distL="0" distR="0" simplePos="0" relativeHeight="251658240" behindDoc="0" locked="0" layoutInCell="1" allowOverlap="1" wp14:anchorId="59F162CA" wp14:editId="16965F6E">
              <wp:simplePos x="635" y="635"/>
              <wp:positionH relativeFrom="page">
                <wp:align>center</wp:align>
              </wp:positionH>
              <wp:positionV relativeFrom="page">
                <wp:align>top</wp:align>
              </wp:positionV>
              <wp:extent cx="450215" cy="368935"/>
              <wp:effectExtent l="0" t="0" r="6985" b="12065"/>
              <wp:wrapNone/>
              <wp:docPr id="1040818973"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5B896B78" w14:textId="41ECB87B"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9F162CA"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5B896B78" w14:textId="41ECB87B" w:rsidR="002C2394" w:rsidRPr="002C2394" w:rsidRDefault="002C2394" w:rsidP="002C2394">
                    <w:pPr>
                      <w:spacing w:after="0"/>
                      <w:rPr>
                        <w:rFonts w:cs="Calibri"/>
                        <w:noProof/>
                        <w:color w:val="000000"/>
                        <w:sz w:val="20"/>
                        <w:szCs w:val="20"/>
                      </w:rPr>
                    </w:pPr>
                    <w:r w:rsidRPr="002C2394">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78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65B30"/>
    <w:multiLevelType w:val="hybridMultilevel"/>
    <w:tmpl w:val="CC4859D0"/>
    <w:lvl w:ilvl="0" w:tplc="82407556">
      <w:start w:val="1"/>
      <w:numFmt w:val="decimal"/>
      <w:suff w:val="space"/>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17AA0F26"/>
    <w:multiLevelType w:val="hybridMultilevel"/>
    <w:tmpl w:val="804C8B32"/>
    <w:lvl w:ilvl="0" w:tplc="6632E1A6">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393A"/>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8453C"/>
    <w:multiLevelType w:val="hybridMultilevel"/>
    <w:tmpl w:val="71D6C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91469"/>
    <w:multiLevelType w:val="hybridMultilevel"/>
    <w:tmpl w:val="82B0F836"/>
    <w:lvl w:ilvl="0" w:tplc="8BCA355C">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1D7D"/>
    <w:multiLevelType w:val="hybridMultilevel"/>
    <w:tmpl w:val="6A444366"/>
    <w:lvl w:ilvl="0" w:tplc="EAFC788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30CE4"/>
    <w:multiLevelType w:val="hybridMultilevel"/>
    <w:tmpl w:val="AD7AA850"/>
    <w:lvl w:ilvl="0" w:tplc="B88A0D42">
      <w:start w:val="1"/>
      <w:numFmt w:val="decimal"/>
      <w:lvlText w:val="%1."/>
      <w:lvlJc w:val="left"/>
      <w:pPr>
        <w:ind w:left="720"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9725292">
    <w:abstractNumId w:val="8"/>
  </w:num>
  <w:num w:numId="2" w16cid:durableId="1866557537">
    <w:abstractNumId w:val="5"/>
  </w:num>
  <w:num w:numId="3" w16cid:durableId="1575385717">
    <w:abstractNumId w:val="4"/>
  </w:num>
  <w:num w:numId="4" w16cid:durableId="1961449280">
    <w:abstractNumId w:val="2"/>
  </w:num>
  <w:num w:numId="5" w16cid:durableId="926185433">
    <w:abstractNumId w:val="0"/>
  </w:num>
  <w:num w:numId="6" w16cid:durableId="21824674">
    <w:abstractNumId w:val="3"/>
  </w:num>
  <w:num w:numId="7" w16cid:durableId="114639296">
    <w:abstractNumId w:val="6"/>
  </w:num>
  <w:num w:numId="8" w16cid:durableId="2042433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763509">
    <w:abstractNumId w:val="1"/>
  </w:num>
  <w:num w:numId="10" w16cid:durableId="1012758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2B28"/>
    <w:rsid w:val="00003825"/>
    <w:rsid w:val="000057D7"/>
    <w:rsid w:val="00005C2A"/>
    <w:rsid w:val="00011CE9"/>
    <w:rsid w:val="00012C8B"/>
    <w:rsid w:val="00041325"/>
    <w:rsid w:val="000668B3"/>
    <w:rsid w:val="00081EBF"/>
    <w:rsid w:val="00086CB4"/>
    <w:rsid w:val="000952A8"/>
    <w:rsid w:val="000A1220"/>
    <w:rsid w:val="000B0017"/>
    <w:rsid w:val="000B0EBB"/>
    <w:rsid w:val="000B0FBE"/>
    <w:rsid w:val="000C09BD"/>
    <w:rsid w:val="000C2E39"/>
    <w:rsid w:val="000D2B68"/>
    <w:rsid w:val="000D495A"/>
    <w:rsid w:val="000D4F6A"/>
    <w:rsid w:val="000E1C9A"/>
    <w:rsid w:val="000E2952"/>
    <w:rsid w:val="000E43EE"/>
    <w:rsid w:val="000F239B"/>
    <w:rsid w:val="00103A61"/>
    <w:rsid w:val="001123A4"/>
    <w:rsid w:val="0011273A"/>
    <w:rsid w:val="001144BE"/>
    <w:rsid w:val="00120BAF"/>
    <w:rsid w:val="00151C65"/>
    <w:rsid w:val="00160B79"/>
    <w:rsid w:val="001655D6"/>
    <w:rsid w:val="00171189"/>
    <w:rsid w:val="00174E64"/>
    <w:rsid w:val="001848A6"/>
    <w:rsid w:val="00191E90"/>
    <w:rsid w:val="0019583B"/>
    <w:rsid w:val="001B799F"/>
    <w:rsid w:val="001C3C72"/>
    <w:rsid w:val="001C64D6"/>
    <w:rsid w:val="001E306F"/>
    <w:rsid w:val="001E50E5"/>
    <w:rsid w:val="001E5370"/>
    <w:rsid w:val="001E73D6"/>
    <w:rsid w:val="001F1F24"/>
    <w:rsid w:val="00207DDA"/>
    <w:rsid w:val="00222EC1"/>
    <w:rsid w:val="00223B26"/>
    <w:rsid w:val="00233015"/>
    <w:rsid w:val="002333F6"/>
    <w:rsid w:val="00246547"/>
    <w:rsid w:val="00246D6B"/>
    <w:rsid w:val="002604A2"/>
    <w:rsid w:val="00260914"/>
    <w:rsid w:val="00262DA7"/>
    <w:rsid w:val="00281478"/>
    <w:rsid w:val="0028747A"/>
    <w:rsid w:val="002965C7"/>
    <w:rsid w:val="00296B50"/>
    <w:rsid w:val="00297532"/>
    <w:rsid w:val="002B4867"/>
    <w:rsid w:val="002C2394"/>
    <w:rsid w:val="002C48EE"/>
    <w:rsid w:val="002D1E26"/>
    <w:rsid w:val="002E7B5A"/>
    <w:rsid w:val="002F0155"/>
    <w:rsid w:val="0033155B"/>
    <w:rsid w:val="00334064"/>
    <w:rsid w:val="003432F6"/>
    <w:rsid w:val="0034455F"/>
    <w:rsid w:val="00350865"/>
    <w:rsid w:val="00352D14"/>
    <w:rsid w:val="003647A8"/>
    <w:rsid w:val="00365B5A"/>
    <w:rsid w:val="003661F9"/>
    <w:rsid w:val="00373D0D"/>
    <w:rsid w:val="0037420B"/>
    <w:rsid w:val="0038341F"/>
    <w:rsid w:val="00385466"/>
    <w:rsid w:val="003A362A"/>
    <w:rsid w:val="003C30AE"/>
    <w:rsid w:val="00402AC2"/>
    <w:rsid w:val="00403B80"/>
    <w:rsid w:val="00404E7A"/>
    <w:rsid w:val="004071C9"/>
    <w:rsid w:val="00407E4A"/>
    <w:rsid w:val="00410469"/>
    <w:rsid w:val="0041564E"/>
    <w:rsid w:val="00415F2D"/>
    <w:rsid w:val="00453953"/>
    <w:rsid w:val="0045557A"/>
    <w:rsid w:val="004634AC"/>
    <w:rsid w:val="00465D19"/>
    <w:rsid w:val="00466742"/>
    <w:rsid w:val="00474044"/>
    <w:rsid w:val="0047518E"/>
    <w:rsid w:val="004755A2"/>
    <w:rsid w:val="00484046"/>
    <w:rsid w:val="004B63CD"/>
    <w:rsid w:val="004B6DC8"/>
    <w:rsid w:val="004B75F3"/>
    <w:rsid w:val="004C380E"/>
    <w:rsid w:val="004C455B"/>
    <w:rsid w:val="004C79FE"/>
    <w:rsid w:val="004F2B8D"/>
    <w:rsid w:val="004F3CE1"/>
    <w:rsid w:val="004F776F"/>
    <w:rsid w:val="00500D62"/>
    <w:rsid w:val="0050270F"/>
    <w:rsid w:val="00502CE6"/>
    <w:rsid w:val="00510776"/>
    <w:rsid w:val="0051281D"/>
    <w:rsid w:val="005156B7"/>
    <w:rsid w:val="005257C9"/>
    <w:rsid w:val="005258C9"/>
    <w:rsid w:val="005314CF"/>
    <w:rsid w:val="00540EB1"/>
    <w:rsid w:val="005551D6"/>
    <w:rsid w:val="005558D8"/>
    <w:rsid w:val="00556DF5"/>
    <w:rsid w:val="00562861"/>
    <w:rsid w:val="00565039"/>
    <w:rsid w:val="00567E22"/>
    <w:rsid w:val="00572ABC"/>
    <w:rsid w:val="005775FA"/>
    <w:rsid w:val="00591BCF"/>
    <w:rsid w:val="00596AEC"/>
    <w:rsid w:val="005B004B"/>
    <w:rsid w:val="005B2227"/>
    <w:rsid w:val="005B3F68"/>
    <w:rsid w:val="005D065B"/>
    <w:rsid w:val="0061271C"/>
    <w:rsid w:val="00624941"/>
    <w:rsid w:val="00624EFF"/>
    <w:rsid w:val="00627321"/>
    <w:rsid w:val="00631610"/>
    <w:rsid w:val="00636B00"/>
    <w:rsid w:val="0064021D"/>
    <w:rsid w:val="00656086"/>
    <w:rsid w:val="006621D3"/>
    <w:rsid w:val="00665CB8"/>
    <w:rsid w:val="00672073"/>
    <w:rsid w:val="00675545"/>
    <w:rsid w:val="0068302E"/>
    <w:rsid w:val="006C2D3C"/>
    <w:rsid w:val="006D699A"/>
    <w:rsid w:val="006F3BC3"/>
    <w:rsid w:val="006F7855"/>
    <w:rsid w:val="00703053"/>
    <w:rsid w:val="007120FD"/>
    <w:rsid w:val="007126E3"/>
    <w:rsid w:val="00731316"/>
    <w:rsid w:val="00744161"/>
    <w:rsid w:val="007469C4"/>
    <w:rsid w:val="00746DDA"/>
    <w:rsid w:val="00747834"/>
    <w:rsid w:val="007530F1"/>
    <w:rsid w:val="00762E89"/>
    <w:rsid w:val="00771923"/>
    <w:rsid w:val="007772CE"/>
    <w:rsid w:val="007929B3"/>
    <w:rsid w:val="00795881"/>
    <w:rsid w:val="00797C3A"/>
    <w:rsid w:val="007B73E6"/>
    <w:rsid w:val="007B7648"/>
    <w:rsid w:val="007C5F3F"/>
    <w:rsid w:val="007D2910"/>
    <w:rsid w:val="007D4729"/>
    <w:rsid w:val="007D7B29"/>
    <w:rsid w:val="007E25CA"/>
    <w:rsid w:val="007F3297"/>
    <w:rsid w:val="00800486"/>
    <w:rsid w:val="00807833"/>
    <w:rsid w:val="00812A78"/>
    <w:rsid w:val="00816E02"/>
    <w:rsid w:val="00831484"/>
    <w:rsid w:val="00837B9B"/>
    <w:rsid w:val="00860DB2"/>
    <w:rsid w:val="00865507"/>
    <w:rsid w:val="00865FF9"/>
    <w:rsid w:val="00867B08"/>
    <w:rsid w:val="00892747"/>
    <w:rsid w:val="008A00A4"/>
    <w:rsid w:val="008A1C33"/>
    <w:rsid w:val="008A1DFC"/>
    <w:rsid w:val="008D3965"/>
    <w:rsid w:val="008E7567"/>
    <w:rsid w:val="008F0E26"/>
    <w:rsid w:val="008F5DAB"/>
    <w:rsid w:val="00902DBE"/>
    <w:rsid w:val="00920679"/>
    <w:rsid w:val="00937F42"/>
    <w:rsid w:val="009400FC"/>
    <w:rsid w:val="00950481"/>
    <w:rsid w:val="00972E69"/>
    <w:rsid w:val="0097376A"/>
    <w:rsid w:val="009761A6"/>
    <w:rsid w:val="00990E4A"/>
    <w:rsid w:val="009B3D03"/>
    <w:rsid w:val="009C4142"/>
    <w:rsid w:val="009C4A9A"/>
    <w:rsid w:val="009E2B4D"/>
    <w:rsid w:val="009F66C2"/>
    <w:rsid w:val="00A006AB"/>
    <w:rsid w:val="00A007D5"/>
    <w:rsid w:val="00A17F79"/>
    <w:rsid w:val="00A211B6"/>
    <w:rsid w:val="00A24F0A"/>
    <w:rsid w:val="00A3166F"/>
    <w:rsid w:val="00A35DE1"/>
    <w:rsid w:val="00A545BC"/>
    <w:rsid w:val="00A60433"/>
    <w:rsid w:val="00A6168A"/>
    <w:rsid w:val="00A6543F"/>
    <w:rsid w:val="00A75D3E"/>
    <w:rsid w:val="00A76860"/>
    <w:rsid w:val="00A8116D"/>
    <w:rsid w:val="00A87888"/>
    <w:rsid w:val="00A928D2"/>
    <w:rsid w:val="00A978A3"/>
    <w:rsid w:val="00AA0133"/>
    <w:rsid w:val="00AA4DE8"/>
    <w:rsid w:val="00AB039A"/>
    <w:rsid w:val="00AC37D7"/>
    <w:rsid w:val="00AC7C74"/>
    <w:rsid w:val="00AF0471"/>
    <w:rsid w:val="00AF0C78"/>
    <w:rsid w:val="00B0473B"/>
    <w:rsid w:val="00B25C73"/>
    <w:rsid w:val="00B31D35"/>
    <w:rsid w:val="00B34098"/>
    <w:rsid w:val="00B35FB4"/>
    <w:rsid w:val="00B36BAC"/>
    <w:rsid w:val="00B37925"/>
    <w:rsid w:val="00B4569B"/>
    <w:rsid w:val="00B54F91"/>
    <w:rsid w:val="00B56CBB"/>
    <w:rsid w:val="00B83DF0"/>
    <w:rsid w:val="00B8747B"/>
    <w:rsid w:val="00B90E85"/>
    <w:rsid w:val="00BA04E7"/>
    <w:rsid w:val="00BA16E8"/>
    <w:rsid w:val="00BC3C05"/>
    <w:rsid w:val="00BD0239"/>
    <w:rsid w:val="00BD3148"/>
    <w:rsid w:val="00BF128B"/>
    <w:rsid w:val="00BF1D65"/>
    <w:rsid w:val="00BF318F"/>
    <w:rsid w:val="00BF5364"/>
    <w:rsid w:val="00C10BBA"/>
    <w:rsid w:val="00C31546"/>
    <w:rsid w:val="00C3381A"/>
    <w:rsid w:val="00C373B9"/>
    <w:rsid w:val="00C4183E"/>
    <w:rsid w:val="00C46F79"/>
    <w:rsid w:val="00C53103"/>
    <w:rsid w:val="00C55797"/>
    <w:rsid w:val="00C64ABB"/>
    <w:rsid w:val="00C701A3"/>
    <w:rsid w:val="00C735BC"/>
    <w:rsid w:val="00C75D78"/>
    <w:rsid w:val="00C81190"/>
    <w:rsid w:val="00C92B53"/>
    <w:rsid w:val="00CB0DCD"/>
    <w:rsid w:val="00CB4718"/>
    <w:rsid w:val="00CB7953"/>
    <w:rsid w:val="00CD4B1E"/>
    <w:rsid w:val="00CE6F7C"/>
    <w:rsid w:val="00CF4831"/>
    <w:rsid w:val="00D0186F"/>
    <w:rsid w:val="00D14732"/>
    <w:rsid w:val="00D1529B"/>
    <w:rsid w:val="00D2705C"/>
    <w:rsid w:val="00D3628F"/>
    <w:rsid w:val="00D427FF"/>
    <w:rsid w:val="00D429B9"/>
    <w:rsid w:val="00D44485"/>
    <w:rsid w:val="00D47BE4"/>
    <w:rsid w:val="00D549E7"/>
    <w:rsid w:val="00D55A75"/>
    <w:rsid w:val="00D646F9"/>
    <w:rsid w:val="00D66ACE"/>
    <w:rsid w:val="00D7525D"/>
    <w:rsid w:val="00D80AD2"/>
    <w:rsid w:val="00D85BF2"/>
    <w:rsid w:val="00D93A6C"/>
    <w:rsid w:val="00D97AE8"/>
    <w:rsid w:val="00DA018C"/>
    <w:rsid w:val="00DA110D"/>
    <w:rsid w:val="00DB0EC1"/>
    <w:rsid w:val="00DB6B25"/>
    <w:rsid w:val="00DE18F5"/>
    <w:rsid w:val="00DF3153"/>
    <w:rsid w:val="00DF59E1"/>
    <w:rsid w:val="00E005C9"/>
    <w:rsid w:val="00E02708"/>
    <w:rsid w:val="00E03B2B"/>
    <w:rsid w:val="00E069C0"/>
    <w:rsid w:val="00E177EC"/>
    <w:rsid w:val="00E22C5D"/>
    <w:rsid w:val="00E248F2"/>
    <w:rsid w:val="00E5169F"/>
    <w:rsid w:val="00E56783"/>
    <w:rsid w:val="00E63952"/>
    <w:rsid w:val="00E72F56"/>
    <w:rsid w:val="00E9495E"/>
    <w:rsid w:val="00EA1895"/>
    <w:rsid w:val="00EA38F6"/>
    <w:rsid w:val="00EA3A0B"/>
    <w:rsid w:val="00EA5595"/>
    <w:rsid w:val="00EA5766"/>
    <w:rsid w:val="00EB1F23"/>
    <w:rsid w:val="00EB2FB6"/>
    <w:rsid w:val="00EB671A"/>
    <w:rsid w:val="00ED0E85"/>
    <w:rsid w:val="00ED587A"/>
    <w:rsid w:val="00ED74B8"/>
    <w:rsid w:val="00EE5EE8"/>
    <w:rsid w:val="00EE6204"/>
    <w:rsid w:val="00F00A2F"/>
    <w:rsid w:val="00F21186"/>
    <w:rsid w:val="00F21F73"/>
    <w:rsid w:val="00F33627"/>
    <w:rsid w:val="00F33AC7"/>
    <w:rsid w:val="00F36194"/>
    <w:rsid w:val="00F4796D"/>
    <w:rsid w:val="00F54D87"/>
    <w:rsid w:val="00F608C1"/>
    <w:rsid w:val="00F67659"/>
    <w:rsid w:val="00F67A31"/>
    <w:rsid w:val="00F71192"/>
    <w:rsid w:val="00F71A5A"/>
    <w:rsid w:val="00F9298A"/>
    <w:rsid w:val="00F92C19"/>
    <w:rsid w:val="00F95AB4"/>
    <w:rsid w:val="00F96D22"/>
    <w:rsid w:val="00FB7525"/>
    <w:rsid w:val="00FC1184"/>
    <w:rsid w:val="00FC4443"/>
    <w:rsid w:val="00FC792E"/>
    <w:rsid w:val="00FD659F"/>
    <w:rsid w:val="00FE23DC"/>
    <w:rsid w:val="00FF3C66"/>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1898"/>
  <w15:chartTrackingRefBased/>
  <w15:docId w15:val="{AF2F5CA8-237F-4D70-8991-F33A36C4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7B7648"/>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7648"/>
    <w:pPr>
      <w:ind w:left="720"/>
      <w:contextualSpacing/>
    </w:pPr>
  </w:style>
  <w:style w:type="character" w:customStyle="1" w:styleId="a4">
    <w:name w:val="פיסקת רשימה תו"/>
    <w:basedOn w:val="a0"/>
    <w:link w:val="a3"/>
    <w:uiPriority w:val="34"/>
    <w:rsid w:val="007B7648"/>
  </w:style>
  <w:style w:type="paragraph" w:styleId="a5">
    <w:name w:val="header"/>
    <w:basedOn w:val="a"/>
    <w:link w:val="a6"/>
    <w:uiPriority w:val="99"/>
    <w:unhideWhenUsed/>
    <w:rsid w:val="007B7648"/>
    <w:pPr>
      <w:tabs>
        <w:tab w:val="center" w:pos="4513"/>
        <w:tab w:val="right" w:pos="9026"/>
      </w:tabs>
      <w:spacing w:after="0" w:line="240" w:lineRule="auto"/>
    </w:pPr>
  </w:style>
  <w:style w:type="character" w:customStyle="1" w:styleId="a6">
    <w:name w:val="כותרת עליונה תו"/>
    <w:basedOn w:val="a0"/>
    <w:link w:val="a5"/>
    <w:uiPriority w:val="99"/>
    <w:rsid w:val="007B7648"/>
  </w:style>
  <w:style w:type="paragraph" w:styleId="a7">
    <w:name w:val="footer"/>
    <w:basedOn w:val="a"/>
    <w:link w:val="a8"/>
    <w:uiPriority w:val="99"/>
    <w:unhideWhenUsed/>
    <w:rsid w:val="007B7648"/>
    <w:pPr>
      <w:tabs>
        <w:tab w:val="center" w:pos="4513"/>
        <w:tab w:val="right" w:pos="9026"/>
      </w:tabs>
      <w:spacing w:after="0" w:line="240" w:lineRule="auto"/>
    </w:pPr>
  </w:style>
  <w:style w:type="character" w:customStyle="1" w:styleId="a8">
    <w:name w:val="כותרת תחתונה תו"/>
    <w:basedOn w:val="a0"/>
    <w:link w:val="a7"/>
    <w:uiPriority w:val="99"/>
    <w:rsid w:val="007B7648"/>
  </w:style>
  <w:style w:type="paragraph" w:styleId="a9">
    <w:name w:val="Balloon Text"/>
    <w:basedOn w:val="a"/>
    <w:link w:val="aa"/>
    <w:uiPriority w:val="99"/>
    <w:semiHidden/>
    <w:unhideWhenUsed/>
    <w:rsid w:val="00812A78"/>
    <w:pPr>
      <w:spacing w:after="0" w:line="240" w:lineRule="auto"/>
    </w:pPr>
    <w:rPr>
      <w:rFonts w:ascii="Tahoma" w:hAnsi="Tahoma" w:cs="Tahoma"/>
      <w:sz w:val="18"/>
      <w:szCs w:val="18"/>
    </w:rPr>
  </w:style>
  <w:style w:type="character" w:customStyle="1" w:styleId="aa">
    <w:name w:val="טקסט בלונים תו"/>
    <w:link w:val="a9"/>
    <w:uiPriority w:val="99"/>
    <w:semiHidden/>
    <w:rsid w:val="00812A78"/>
    <w:rPr>
      <w:rFonts w:ascii="Tahoma" w:hAnsi="Tahoma" w:cs="Tahoma"/>
      <w:sz w:val="18"/>
      <w:szCs w:val="18"/>
    </w:rPr>
  </w:style>
  <w:style w:type="paragraph" w:customStyle="1" w:styleId="1">
    <w:name w:val="סגנון1"/>
    <w:basedOn w:val="ab"/>
    <w:link w:val="10"/>
    <w:qFormat/>
    <w:rsid w:val="00385466"/>
    <w:pPr>
      <w:pBdr>
        <w:top w:val="none" w:sz="0" w:space="0" w:color="auto"/>
        <w:left w:val="none" w:sz="0" w:space="0" w:color="auto"/>
        <w:bottom w:val="none" w:sz="0" w:space="0" w:color="auto"/>
        <w:right w:val="none" w:sz="0" w:space="0" w:color="auto"/>
      </w:pBdr>
      <w:spacing w:before="240" w:after="360" w:line="240" w:lineRule="auto"/>
      <w:ind w:left="1360" w:right="1276"/>
      <w:contextualSpacing/>
      <w:jc w:val="both"/>
    </w:pPr>
    <w:rPr>
      <w:rFonts w:ascii="Arial Black" w:hAnsi="Arial Black" w:cs="David"/>
      <w:i w:val="0"/>
      <w:iCs w:val="0"/>
      <w:color w:val="auto"/>
      <w:sz w:val="28"/>
      <w:szCs w:val="28"/>
    </w:rPr>
  </w:style>
  <w:style w:type="character" w:customStyle="1" w:styleId="10">
    <w:name w:val="סגנון1 תו"/>
    <w:link w:val="1"/>
    <w:rsid w:val="00385466"/>
    <w:rPr>
      <w:rFonts w:ascii="Arial Black" w:eastAsia="Times New Roman" w:hAnsi="Arial Black" w:cs="David"/>
      <w:sz w:val="28"/>
      <w:szCs w:val="28"/>
    </w:rPr>
  </w:style>
  <w:style w:type="paragraph" w:styleId="ab">
    <w:name w:val="Block Text"/>
    <w:basedOn w:val="a"/>
    <w:uiPriority w:val="99"/>
    <w:semiHidden/>
    <w:unhideWhenUsed/>
    <w:rsid w:val="00385466"/>
    <w:pPr>
      <w:pBdr>
        <w:top w:val="single" w:sz="2" w:space="10" w:color="4472C4"/>
        <w:left w:val="single" w:sz="2" w:space="10" w:color="4472C4"/>
        <w:bottom w:val="single" w:sz="2" w:space="10" w:color="4472C4"/>
        <w:right w:val="single" w:sz="2" w:space="10" w:color="4472C4"/>
      </w:pBdr>
      <w:ind w:left="1152" w:right="1152"/>
    </w:pPr>
    <w:rPr>
      <w:rFonts w:eastAsia="Times New Roman"/>
      <w:i/>
      <w:iCs/>
      <w:color w:val="4472C4"/>
    </w:rPr>
  </w:style>
  <w:style w:type="character" w:styleId="ac">
    <w:name w:val="annotation reference"/>
    <w:uiPriority w:val="99"/>
    <w:semiHidden/>
    <w:unhideWhenUsed/>
    <w:rsid w:val="00EA5766"/>
    <w:rPr>
      <w:sz w:val="16"/>
      <w:szCs w:val="16"/>
    </w:rPr>
  </w:style>
  <w:style w:type="paragraph" w:styleId="ad">
    <w:name w:val="annotation text"/>
    <w:basedOn w:val="a"/>
    <w:link w:val="ae"/>
    <w:uiPriority w:val="99"/>
    <w:semiHidden/>
    <w:unhideWhenUsed/>
    <w:rsid w:val="00EA5766"/>
    <w:pPr>
      <w:spacing w:line="240" w:lineRule="auto"/>
    </w:pPr>
    <w:rPr>
      <w:sz w:val="20"/>
      <w:szCs w:val="20"/>
    </w:rPr>
  </w:style>
  <w:style w:type="character" w:customStyle="1" w:styleId="ae">
    <w:name w:val="טקסט הערה תו"/>
    <w:link w:val="ad"/>
    <w:uiPriority w:val="99"/>
    <w:semiHidden/>
    <w:rsid w:val="00EA5766"/>
    <w:rPr>
      <w:sz w:val="20"/>
      <w:szCs w:val="20"/>
    </w:rPr>
  </w:style>
  <w:style w:type="paragraph" w:styleId="af">
    <w:name w:val="annotation subject"/>
    <w:basedOn w:val="ad"/>
    <w:next w:val="ad"/>
    <w:link w:val="af0"/>
    <w:uiPriority w:val="99"/>
    <w:semiHidden/>
    <w:unhideWhenUsed/>
    <w:rsid w:val="00EA5766"/>
    <w:rPr>
      <w:b/>
      <w:bCs/>
    </w:rPr>
  </w:style>
  <w:style w:type="character" w:customStyle="1" w:styleId="af0">
    <w:name w:val="נושא הערה תו"/>
    <w:link w:val="af"/>
    <w:uiPriority w:val="99"/>
    <w:semiHidden/>
    <w:rsid w:val="00EA5766"/>
    <w:rPr>
      <w:b/>
      <w:bCs/>
      <w:sz w:val="20"/>
      <w:szCs w:val="20"/>
    </w:rPr>
  </w:style>
  <w:style w:type="paragraph" w:styleId="af1">
    <w:name w:val="Revision"/>
    <w:hidden/>
    <w:uiPriority w:val="99"/>
    <w:semiHidden/>
    <w:rsid w:val="00795881"/>
    <w:rPr>
      <w:sz w:val="22"/>
      <w:szCs w:val="22"/>
    </w:rPr>
  </w:style>
  <w:style w:type="paragraph" w:customStyle="1" w:styleId="11">
    <w:name w:val="פיסקת רשימה1"/>
    <w:basedOn w:val="a"/>
    <w:uiPriority w:val="34"/>
    <w:qFormat/>
    <w:rsid w:val="00F3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2F8A-9B59-490E-9C40-F189E466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1140</Words>
  <Characters>5701</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נאיה שלום</cp:lastModifiedBy>
  <cp:revision>7</cp:revision>
  <cp:lastPrinted>2022-09-06T12:51:00Z</cp:lastPrinted>
  <dcterms:created xsi:type="dcterms:W3CDTF">2025-08-26T06:40:00Z</dcterms:created>
  <dcterms:modified xsi:type="dcterms:W3CDTF">2025-08-27T12:38:00Z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3e09a31d,41b0704f,1f362dc7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2025-08-27T12:38:44Z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31c41902-1350-4026-b581-510af2ab4bd9</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