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E7B5F" w14:textId="5C9EF95C" w:rsidR="00C13AC4" w:rsidRDefault="00C13AC4" w:rsidP="00C13AC4">
      <w:pPr>
        <w:tabs>
          <w:tab w:val="right" w:pos="6328"/>
        </w:tabs>
        <w:spacing w:line="480" w:lineRule="auto"/>
        <w:ind w:left="2407" w:right="1985"/>
        <w:rPr>
          <w:rFonts w:cs="Arial"/>
          <w:sz w:val="22"/>
          <w:szCs w:val="22"/>
        </w:rPr>
      </w:pPr>
      <w:r>
        <w:rPr>
          <w:noProof/>
        </w:rPr>
        <w:drawing>
          <wp:inline distT="0" distB="0" distL="0" distR="0" wp14:anchorId="536A5533" wp14:editId="7AC11712">
            <wp:extent cx="862965" cy="789940"/>
            <wp:effectExtent l="0" t="0" r="0" b="0"/>
            <wp:docPr id="2" name="תמונה 2"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2965" cy="789940"/>
                    </a:xfrm>
                    <a:prstGeom prst="rect">
                      <a:avLst/>
                    </a:prstGeom>
                    <a:solidFill>
                      <a:srgbClr val="FFCC00"/>
                    </a:solidFill>
                    <a:ln>
                      <a:noFill/>
                    </a:ln>
                  </pic:spPr>
                </pic:pic>
              </a:graphicData>
            </a:graphic>
          </wp:inline>
        </w:drawing>
      </w:r>
      <w:r>
        <w:tab/>
      </w:r>
      <w:r>
        <w:rPr>
          <w:noProof/>
        </w:rPr>
        <w:drawing>
          <wp:inline distT="0" distB="0" distL="0" distR="0" wp14:anchorId="315355C7" wp14:editId="555E8BF5">
            <wp:extent cx="577850" cy="789940"/>
            <wp:effectExtent l="0" t="0" r="0" b="0"/>
            <wp:docPr id="1" name="תמונה 1"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77850" cy="789940"/>
                    </a:xfrm>
                    <a:prstGeom prst="rect">
                      <a:avLst/>
                    </a:prstGeom>
                    <a:noFill/>
                    <a:ln>
                      <a:noFill/>
                    </a:ln>
                  </pic:spPr>
                </pic:pic>
              </a:graphicData>
            </a:graphic>
          </wp:inline>
        </w:drawing>
      </w:r>
    </w:p>
    <w:p w14:paraId="3A9BA72D" w14:textId="77777777" w:rsidR="00E6417B" w:rsidRDefault="00E6417B" w:rsidP="004615CE">
      <w:pPr>
        <w:pStyle w:val="NoSpacing"/>
        <w:spacing w:line="360" w:lineRule="auto"/>
        <w:jc w:val="center"/>
        <w:rPr>
          <w:rFonts w:ascii="David" w:hAnsi="David" w:cs="David"/>
          <w:b/>
          <w:bCs/>
          <w:sz w:val="28"/>
          <w:szCs w:val="28"/>
          <w:u w:val="single"/>
          <w:rtl/>
        </w:rPr>
      </w:pPr>
    </w:p>
    <w:p w14:paraId="0B4F7458" w14:textId="77777777" w:rsidR="00E6417B" w:rsidRDefault="00E6417B" w:rsidP="00E6417B">
      <w:pPr>
        <w:bidi w:val="0"/>
        <w:spacing w:line="480" w:lineRule="auto"/>
        <w:jc w:val="center"/>
        <w:rPr>
          <w:rFonts w:ascii="David" w:hAnsi="David"/>
          <w:b/>
          <w:bCs/>
          <w:u w:val="single"/>
        </w:rPr>
      </w:pPr>
      <w:r>
        <w:rPr>
          <w:rFonts w:ascii="David" w:hAnsi="David"/>
          <w:b/>
          <w:bCs/>
          <w:u w:val="single"/>
          <w:rtl/>
        </w:rPr>
        <w:t>בבית הדין הצבאי לערעורים</w:t>
      </w:r>
    </w:p>
    <w:p w14:paraId="022F0547" w14:textId="77777777" w:rsidR="00E6417B" w:rsidRDefault="00E6417B" w:rsidP="00E6417B">
      <w:pPr>
        <w:spacing w:before="120" w:after="0" w:line="480" w:lineRule="auto"/>
        <w:rPr>
          <w:rFonts w:ascii="David" w:hAnsi="David"/>
          <w:rtl/>
        </w:rPr>
      </w:pPr>
      <w:r>
        <w:rPr>
          <w:rFonts w:ascii="David" w:hAnsi="David"/>
          <w:rtl/>
        </w:rPr>
        <w:t>בפני:</w:t>
      </w:r>
      <w:r>
        <w:rPr>
          <w:rFonts w:ascii="David" w:hAnsi="David"/>
          <w:rtl/>
        </w:rPr>
        <w:br/>
      </w:r>
    </w:p>
    <w:p w14:paraId="60EA15D6" w14:textId="77777777" w:rsidR="00E6417B" w:rsidRPr="0010706B" w:rsidRDefault="00E6417B" w:rsidP="00E6417B">
      <w:pPr>
        <w:spacing w:line="240" w:lineRule="auto"/>
        <w:jc w:val="center"/>
        <w:rPr>
          <w:rtl/>
        </w:rPr>
      </w:pPr>
      <w:r>
        <w:rPr>
          <w:rFonts w:hint="cs"/>
          <w:b/>
          <w:bCs/>
          <w:rtl/>
        </w:rPr>
        <w:t xml:space="preserve">אל"ם מאיה גולדשמידט </w:t>
      </w:r>
      <w:r>
        <w:rPr>
          <w:rtl/>
        </w:rPr>
        <w:t xml:space="preserve">    -      שופט</w:t>
      </w:r>
      <w:r>
        <w:rPr>
          <w:rFonts w:hint="cs"/>
          <w:rtl/>
        </w:rPr>
        <w:t>ת</w:t>
      </w:r>
    </w:p>
    <w:p w14:paraId="0F54908F" w14:textId="77777777" w:rsidR="00E6417B" w:rsidRDefault="00E6417B" w:rsidP="00E6417B">
      <w:pPr>
        <w:spacing w:line="240" w:lineRule="auto"/>
        <w:jc w:val="center"/>
        <w:rPr>
          <w:rtl/>
        </w:rPr>
      </w:pPr>
    </w:p>
    <w:p w14:paraId="3A3A71F3" w14:textId="77777777" w:rsidR="00E6417B" w:rsidRDefault="00E6417B" w:rsidP="00E6417B">
      <w:pPr>
        <w:rPr>
          <w:rFonts w:ascii="David" w:hAnsi="David"/>
          <w:rtl/>
        </w:rPr>
      </w:pPr>
      <w:r>
        <w:rPr>
          <w:rFonts w:ascii="David" w:hAnsi="David"/>
          <w:rtl/>
        </w:rPr>
        <w:t>בעניין:</w:t>
      </w:r>
    </w:p>
    <w:p w14:paraId="6F32535D" w14:textId="77777777" w:rsidR="00E6417B" w:rsidRDefault="00E6417B" w:rsidP="00E6417B">
      <w:pPr>
        <w:rPr>
          <w:rFonts w:ascii="David" w:hAnsi="David"/>
          <w:rtl/>
        </w:rPr>
      </w:pPr>
    </w:p>
    <w:p w14:paraId="78B4F9B0" w14:textId="5DDFE309" w:rsidR="00E6417B" w:rsidRDefault="00E6417B" w:rsidP="00A81D35">
      <w:pPr>
        <w:pStyle w:val="Header"/>
        <w:spacing w:line="360" w:lineRule="auto"/>
        <w:jc w:val="center"/>
        <w:rPr>
          <w:rFonts w:ascii="David" w:hAnsi="David"/>
        </w:rPr>
      </w:pPr>
      <w:r>
        <w:rPr>
          <w:rFonts w:ascii="David" w:hAnsi="David" w:hint="cs"/>
          <w:b/>
          <w:bCs/>
          <w:rtl/>
        </w:rPr>
        <w:t>מ/</w:t>
      </w:r>
      <w:r w:rsidR="006A13FE">
        <w:rPr>
          <w:rFonts w:ascii="David" w:hAnsi="David" w:hint="cs"/>
          <w:b/>
          <w:bCs/>
        </w:rPr>
        <w:t>XXXXXXX</w:t>
      </w:r>
      <w:r>
        <w:rPr>
          <w:rFonts w:ascii="David" w:hAnsi="David" w:hint="cs"/>
          <w:b/>
          <w:bCs/>
          <w:rtl/>
        </w:rPr>
        <w:t xml:space="preserve"> רב"ט </w:t>
      </w:r>
      <w:r w:rsidR="006A13FE">
        <w:rPr>
          <w:rFonts w:ascii="David" w:hAnsi="David" w:hint="cs"/>
          <w:b/>
          <w:bCs/>
          <w:rtl/>
        </w:rPr>
        <w:t xml:space="preserve">ש' ב' </w:t>
      </w:r>
      <w:r>
        <w:rPr>
          <w:rFonts w:ascii="David" w:hAnsi="David"/>
          <w:b/>
          <w:bCs/>
          <w:rtl/>
        </w:rPr>
        <w:t>–</w:t>
      </w:r>
      <w:r>
        <w:rPr>
          <w:rFonts w:ascii="David" w:hAnsi="David"/>
          <w:rtl/>
        </w:rPr>
        <w:t xml:space="preserve"> המערער</w:t>
      </w:r>
      <w:r>
        <w:rPr>
          <w:rFonts w:ascii="David" w:hAnsi="David" w:hint="cs"/>
          <w:rtl/>
        </w:rPr>
        <w:t>ת</w:t>
      </w:r>
      <w:r>
        <w:rPr>
          <w:rFonts w:ascii="David" w:hAnsi="David"/>
          <w:rtl/>
        </w:rPr>
        <w:t xml:space="preserve"> (ע"י ב"כ,</w:t>
      </w:r>
      <w:r>
        <w:rPr>
          <w:rFonts w:ascii="David" w:hAnsi="David" w:hint="cs"/>
          <w:rtl/>
        </w:rPr>
        <w:t xml:space="preserve"> סרן אמיר </w:t>
      </w:r>
      <w:proofErr w:type="spellStart"/>
      <w:r>
        <w:rPr>
          <w:rFonts w:ascii="David" w:hAnsi="David" w:hint="cs"/>
          <w:rtl/>
        </w:rPr>
        <w:t>גונמן</w:t>
      </w:r>
      <w:proofErr w:type="spellEnd"/>
      <w:r>
        <w:rPr>
          <w:rFonts w:ascii="David" w:hAnsi="David" w:hint="cs"/>
          <w:rtl/>
        </w:rPr>
        <w:t xml:space="preserve">; סרן ליאורה </w:t>
      </w:r>
      <w:proofErr w:type="spellStart"/>
      <w:r>
        <w:rPr>
          <w:rFonts w:ascii="David" w:hAnsi="David" w:hint="cs"/>
          <w:rtl/>
        </w:rPr>
        <w:t>ליקאונט</w:t>
      </w:r>
      <w:proofErr w:type="spellEnd"/>
      <w:r>
        <w:rPr>
          <w:rFonts w:ascii="David" w:hAnsi="David" w:hint="cs"/>
          <w:rtl/>
        </w:rPr>
        <w:t>; סרן יוסי אלבז)</w:t>
      </w:r>
    </w:p>
    <w:p w14:paraId="51DBCC26" w14:textId="77777777" w:rsidR="00E6417B" w:rsidRDefault="00E6417B" w:rsidP="00E6417B">
      <w:pPr>
        <w:spacing w:after="360"/>
        <w:jc w:val="center"/>
        <w:rPr>
          <w:rFonts w:ascii="David" w:hAnsi="David"/>
          <w:rtl/>
        </w:rPr>
      </w:pPr>
    </w:p>
    <w:p w14:paraId="7833A757" w14:textId="77777777" w:rsidR="00E6417B" w:rsidRDefault="00E6417B" w:rsidP="00E6417B">
      <w:pPr>
        <w:spacing w:after="360"/>
        <w:jc w:val="center"/>
        <w:rPr>
          <w:rFonts w:ascii="David" w:hAnsi="David"/>
          <w:b/>
          <w:bCs/>
        </w:rPr>
      </w:pPr>
      <w:r>
        <w:rPr>
          <w:rFonts w:ascii="David" w:hAnsi="David"/>
          <w:b/>
          <w:bCs/>
          <w:rtl/>
        </w:rPr>
        <w:t xml:space="preserve">נ ג ד </w:t>
      </w:r>
    </w:p>
    <w:p w14:paraId="70A7B721" w14:textId="42760F6C" w:rsidR="00E6417B" w:rsidRDefault="00E6417B" w:rsidP="00A81D35">
      <w:pPr>
        <w:spacing w:after="120"/>
        <w:jc w:val="center"/>
        <w:rPr>
          <w:rFonts w:ascii="David" w:hAnsi="David"/>
          <w:rtl/>
        </w:rPr>
      </w:pPr>
      <w:r>
        <w:rPr>
          <w:rFonts w:ascii="Times New Roman" w:eastAsia="Times New Roman" w:hAnsi="Times New Roman"/>
          <w:b/>
          <w:bCs/>
          <w:sz w:val="32"/>
          <w:rtl/>
        </w:rPr>
        <w:t>התובע הצבאי הראשי</w:t>
      </w:r>
      <w:r>
        <w:rPr>
          <w:rFonts w:ascii="David" w:hAnsi="David"/>
          <w:b/>
          <w:bCs/>
          <w:rtl/>
        </w:rPr>
        <w:t xml:space="preserve"> –</w:t>
      </w:r>
      <w:r>
        <w:rPr>
          <w:rFonts w:ascii="David" w:hAnsi="David"/>
          <w:rtl/>
        </w:rPr>
        <w:t xml:space="preserve"> המשיב (ע"י ב"כ,</w:t>
      </w:r>
      <w:r>
        <w:rPr>
          <w:rFonts w:ascii="David" w:hAnsi="David" w:hint="cs"/>
          <w:rtl/>
        </w:rPr>
        <w:t xml:space="preserve"> </w:t>
      </w:r>
      <w:r w:rsidR="00A81D35">
        <w:rPr>
          <w:rFonts w:ascii="David" w:hAnsi="David" w:hint="cs"/>
          <w:rtl/>
        </w:rPr>
        <w:t xml:space="preserve">סרן ענבר </w:t>
      </w:r>
      <w:proofErr w:type="spellStart"/>
      <w:r w:rsidR="00A81D35">
        <w:rPr>
          <w:rFonts w:ascii="David" w:hAnsi="David" w:hint="cs"/>
          <w:rtl/>
        </w:rPr>
        <w:t>נאסי</w:t>
      </w:r>
      <w:proofErr w:type="spellEnd"/>
      <w:r>
        <w:rPr>
          <w:rFonts w:ascii="David" w:hAnsi="David" w:hint="cs"/>
          <w:rtl/>
        </w:rPr>
        <w:t xml:space="preserve">; </w:t>
      </w:r>
      <w:r w:rsidR="00A81D35">
        <w:rPr>
          <w:rFonts w:ascii="David" w:hAnsi="David" w:hint="cs"/>
          <w:rtl/>
        </w:rPr>
        <w:t>קמ"ש גל תמרין</w:t>
      </w:r>
      <w:r>
        <w:rPr>
          <w:rFonts w:ascii="David" w:hAnsi="David"/>
          <w:rtl/>
        </w:rPr>
        <w:t>)</w:t>
      </w:r>
    </w:p>
    <w:p w14:paraId="6D295702" w14:textId="77777777" w:rsidR="00E6417B" w:rsidRDefault="00E6417B" w:rsidP="00E6417B">
      <w:pPr>
        <w:spacing w:after="360" w:line="360" w:lineRule="auto"/>
        <w:jc w:val="both"/>
        <w:rPr>
          <w:rFonts w:ascii="David" w:hAnsi="David"/>
          <w:rtl/>
        </w:rPr>
      </w:pPr>
    </w:p>
    <w:p w14:paraId="65FBE8D3" w14:textId="344BE017" w:rsidR="00E6417B" w:rsidRDefault="00E6417B" w:rsidP="009B61AB">
      <w:pPr>
        <w:spacing w:after="360" w:line="360" w:lineRule="auto"/>
        <w:jc w:val="both"/>
        <w:rPr>
          <w:rFonts w:ascii="David" w:hAnsi="David"/>
          <w:rtl/>
        </w:rPr>
      </w:pPr>
      <w:r w:rsidRPr="00775B20">
        <w:rPr>
          <w:rFonts w:ascii="David" w:hAnsi="David" w:hint="cs"/>
          <w:rtl/>
        </w:rPr>
        <w:t>ערעור על החלט</w:t>
      </w:r>
      <w:r w:rsidR="00A81D35">
        <w:rPr>
          <w:rFonts w:ascii="David" w:hAnsi="David" w:hint="cs"/>
          <w:rtl/>
        </w:rPr>
        <w:t>ה</w:t>
      </w:r>
      <w:r w:rsidRPr="00775B20">
        <w:rPr>
          <w:rFonts w:ascii="David" w:hAnsi="David" w:hint="cs"/>
          <w:rtl/>
        </w:rPr>
        <w:t xml:space="preserve"> </w:t>
      </w:r>
      <w:r w:rsidR="00EE3AA3" w:rsidRPr="00775B20">
        <w:rPr>
          <w:rFonts w:ascii="David" w:hAnsi="David" w:hint="cs"/>
          <w:rtl/>
        </w:rPr>
        <w:t xml:space="preserve">של </w:t>
      </w:r>
      <w:r w:rsidRPr="00775B20">
        <w:rPr>
          <w:rFonts w:ascii="David" w:hAnsi="David" w:hint="cs"/>
          <w:rtl/>
        </w:rPr>
        <w:t>בית הדין</w:t>
      </w:r>
      <w:r w:rsidR="00EE3AA3" w:rsidRPr="00775B20">
        <w:rPr>
          <w:rFonts w:ascii="David" w:hAnsi="David" w:hint="cs"/>
          <w:rtl/>
        </w:rPr>
        <w:t xml:space="preserve"> הצבאי</w:t>
      </w:r>
      <w:r w:rsidRPr="00775B20">
        <w:rPr>
          <w:rFonts w:ascii="David" w:hAnsi="David" w:hint="cs"/>
          <w:rtl/>
        </w:rPr>
        <w:t xml:space="preserve"> </w:t>
      </w:r>
      <w:r w:rsidR="00EE3AA3" w:rsidRPr="00775B20">
        <w:rPr>
          <w:rFonts w:ascii="David" w:hAnsi="David" w:hint="cs"/>
          <w:rtl/>
        </w:rPr>
        <w:t>ה</w:t>
      </w:r>
      <w:r w:rsidRPr="00775B20">
        <w:rPr>
          <w:rFonts w:ascii="David" w:hAnsi="David" w:hint="cs"/>
          <w:rtl/>
        </w:rPr>
        <w:t>מחוזי</w:t>
      </w:r>
      <w:r w:rsidR="00A6634E" w:rsidRPr="00775B20">
        <w:rPr>
          <w:rFonts w:ascii="David" w:hAnsi="David" w:hint="cs"/>
          <w:rtl/>
        </w:rPr>
        <w:t xml:space="preserve"> </w:t>
      </w:r>
      <w:r w:rsidR="00EE3AA3" w:rsidRPr="00775B20">
        <w:rPr>
          <w:rFonts w:ascii="David" w:hAnsi="David" w:hint="cs"/>
          <w:rtl/>
        </w:rPr>
        <w:t xml:space="preserve">במחוז שיפוטי </w:t>
      </w:r>
      <w:r w:rsidR="00A6634E" w:rsidRPr="00775B20">
        <w:rPr>
          <w:rFonts w:ascii="David" w:hAnsi="David" w:hint="cs"/>
          <w:rtl/>
        </w:rPr>
        <w:t>מרכז</w:t>
      </w:r>
      <w:r w:rsidR="00EE3AA3" w:rsidRPr="00775B20">
        <w:rPr>
          <w:rFonts w:ascii="David" w:hAnsi="David" w:hint="cs"/>
          <w:rtl/>
        </w:rPr>
        <w:t xml:space="preserve"> שנית</w:t>
      </w:r>
      <w:r w:rsidR="00A81D35">
        <w:rPr>
          <w:rFonts w:ascii="David" w:hAnsi="David" w:hint="cs"/>
          <w:rtl/>
        </w:rPr>
        <w:t>נה</w:t>
      </w:r>
      <w:r w:rsidR="00EE3AA3" w:rsidRPr="00775B20">
        <w:rPr>
          <w:rFonts w:ascii="David" w:hAnsi="David" w:hint="cs"/>
          <w:rtl/>
        </w:rPr>
        <w:t xml:space="preserve"> בתיק מרכז (ב"ש) 37/22 (סא"ל </w:t>
      </w:r>
      <w:proofErr w:type="spellStart"/>
      <w:r w:rsidR="00EE3AA3" w:rsidRPr="00775B20">
        <w:rPr>
          <w:rFonts w:ascii="David" w:hAnsi="David" w:hint="cs"/>
          <w:rtl/>
        </w:rPr>
        <w:t>לידור</w:t>
      </w:r>
      <w:proofErr w:type="spellEnd"/>
      <w:r w:rsidR="00EE3AA3" w:rsidRPr="00775B20">
        <w:rPr>
          <w:rFonts w:ascii="David" w:hAnsi="David" w:hint="cs"/>
          <w:rtl/>
        </w:rPr>
        <w:t xml:space="preserve"> דרכמן </w:t>
      </w:r>
      <w:r w:rsidR="00EE3AA3" w:rsidRPr="00775B20">
        <w:rPr>
          <w:rFonts w:ascii="David" w:hAnsi="David"/>
          <w:rtl/>
        </w:rPr>
        <w:t>–</w:t>
      </w:r>
      <w:r w:rsidR="00EE3AA3" w:rsidRPr="00775B20">
        <w:rPr>
          <w:rFonts w:ascii="David" w:hAnsi="David" w:hint="cs"/>
          <w:rtl/>
        </w:rPr>
        <w:t xml:space="preserve"> </w:t>
      </w:r>
      <w:r w:rsidR="00A81D35">
        <w:rPr>
          <w:rFonts w:ascii="David" w:hAnsi="David" w:hint="cs"/>
          <w:rtl/>
        </w:rPr>
        <w:t>שופטת</w:t>
      </w:r>
      <w:r w:rsidR="00EE3AA3" w:rsidRPr="00775B20">
        <w:rPr>
          <w:rFonts w:ascii="David" w:hAnsi="David" w:hint="cs"/>
          <w:rtl/>
        </w:rPr>
        <w:t xml:space="preserve">) ביום </w:t>
      </w:r>
      <w:r w:rsidR="009B61AB">
        <w:rPr>
          <w:rFonts w:ascii="David" w:hAnsi="David" w:hint="cs"/>
          <w:rtl/>
        </w:rPr>
        <w:t xml:space="preserve">2.2.2023. </w:t>
      </w:r>
      <w:r w:rsidRPr="00775B20">
        <w:rPr>
          <w:rFonts w:ascii="David" w:hAnsi="David" w:hint="cs"/>
          <w:rtl/>
        </w:rPr>
        <w:t>הערעור נדחה.</w:t>
      </w:r>
    </w:p>
    <w:p w14:paraId="3ECB45B5" w14:textId="11608955" w:rsidR="00DA46E6" w:rsidRPr="00AD17B4" w:rsidRDefault="004615CE" w:rsidP="004615CE">
      <w:pPr>
        <w:pStyle w:val="NoSpacing"/>
        <w:spacing w:line="360" w:lineRule="auto"/>
        <w:jc w:val="center"/>
        <w:rPr>
          <w:rFonts w:ascii="David" w:hAnsi="David" w:cs="David"/>
          <w:b/>
          <w:bCs/>
          <w:sz w:val="28"/>
          <w:szCs w:val="28"/>
          <w:u w:val="single"/>
          <w:rtl/>
        </w:rPr>
      </w:pPr>
      <w:r w:rsidRPr="00AD17B4">
        <w:rPr>
          <w:rFonts w:ascii="David" w:hAnsi="David" w:cs="David"/>
          <w:b/>
          <w:bCs/>
          <w:sz w:val="28"/>
          <w:szCs w:val="28"/>
          <w:u w:val="single"/>
          <w:rtl/>
        </w:rPr>
        <w:t>החלטה</w:t>
      </w:r>
    </w:p>
    <w:p w14:paraId="6D42A631" w14:textId="77777777" w:rsidR="00DB25FC" w:rsidRDefault="00DB25FC" w:rsidP="005375C8">
      <w:pPr>
        <w:pStyle w:val="NoSpacing"/>
        <w:spacing w:line="360" w:lineRule="auto"/>
        <w:rPr>
          <w:rFonts w:ascii="David" w:hAnsi="David" w:cs="David"/>
          <w:b/>
          <w:bCs/>
          <w:sz w:val="28"/>
          <w:szCs w:val="28"/>
          <w:u w:val="single"/>
          <w:rtl/>
        </w:rPr>
      </w:pPr>
    </w:p>
    <w:p w14:paraId="62E66D3E" w14:textId="43146E96" w:rsidR="00132033" w:rsidRPr="00AD17B4" w:rsidRDefault="005375C8" w:rsidP="00E6417B">
      <w:pPr>
        <w:pStyle w:val="NoSpacing"/>
        <w:spacing w:line="360" w:lineRule="auto"/>
        <w:rPr>
          <w:rFonts w:ascii="David" w:hAnsi="David" w:cs="David"/>
          <w:b/>
          <w:bCs/>
          <w:sz w:val="28"/>
          <w:szCs w:val="28"/>
          <w:u w:val="single"/>
          <w:rtl/>
        </w:rPr>
      </w:pPr>
      <w:r w:rsidRPr="00AD17B4">
        <w:rPr>
          <w:rFonts w:ascii="David" w:hAnsi="David" w:cs="David"/>
          <w:b/>
          <w:bCs/>
          <w:sz w:val="28"/>
          <w:szCs w:val="28"/>
          <w:u w:val="single"/>
          <w:rtl/>
        </w:rPr>
        <w:t>רקע</w:t>
      </w:r>
    </w:p>
    <w:p w14:paraId="40C11672" w14:textId="10CE0944" w:rsidR="00D601E9" w:rsidRDefault="004615CE" w:rsidP="00D601E9">
      <w:pPr>
        <w:numPr>
          <w:ilvl w:val="0"/>
          <w:numId w:val="1"/>
        </w:numPr>
        <w:tabs>
          <w:tab w:val="left" w:pos="226"/>
        </w:tabs>
        <w:spacing w:after="0" w:line="360" w:lineRule="auto"/>
        <w:ind w:left="-58" w:firstLine="0"/>
        <w:jc w:val="both"/>
        <w:rPr>
          <w:rFonts w:ascii="David" w:hAnsi="David"/>
        </w:rPr>
      </w:pPr>
      <w:r w:rsidRPr="00AD17B4">
        <w:rPr>
          <w:rFonts w:ascii="David" w:hAnsi="David"/>
          <w:rtl/>
        </w:rPr>
        <w:t xml:space="preserve">כנגד המערערת, רב"ט </w:t>
      </w:r>
      <w:r w:rsidR="006A13FE">
        <w:rPr>
          <w:rFonts w:ascii="David" w:hAnsi="David" w:hint="cs"/>
          <w:rtl/>
        </w:rPr>
        <w:t>ש'</w:t>
      </w:r>
      <w:r w:rsidRPr="00AD17B4">
        <w:rPr>
          <w:rFonts w:ascii="David" w:hAnsi="David"/>
          <w:rtl/>
        </w:rPr>
        <w:t xml:space="preserve"> </w:t>
      </w:r>
      <w:r w:rsidR="006A13FE">
        <w:rPr>
          <w:rFonts w:ascii="David" w:hAnsi="David" w:hint="cs"/>
          <w:rtl/>
        </w:rPr>
        <w:t>ב'</w:t>
      </w:r>
      <w:r w:rsidRPr="00AD17B4">
        <w:rPr>
          <w:rFonts w:ascii="David" w:hAnsi="David"/>
          <w:rtl/>
        </w:rPr>
        <w:t>, הוגש כתב אישום המייחס לה עבירה של הצבעה שלא כחוק, לפי סעיף 124(א)(2) לחוק הבחירות לכנסת (נוסח משולב), התשכ"ט-1969</w:t>
      </w:r>
      <w:r w:rsidR="00DB25FC">
        <w:rPr>
          <w:rFonts w:ascii="David" w:hAnsi="David" w:hint="cs"/>
          <w:rtl/>
        </w:rPr>
        <w:t>.</w:t>
      </w:r>
      <w:r w:rsidRPr="00AD17B4">
        <w:rPr>
          <w:rFonts w:ascii="David" w:hAnsi="David"/>
          <w:rtl/>
        </w:rPr>
        <w:t xml:space="preserve"> זאת בגין כך </w:t>
      </w:r>
      <w:proofErr w:type="spellStart"/>
      <w:r w:rsidRPr="00AD17B4">
        <w:rPr>
          <w:rFonts w:ascii="David" w:hAnsi="David"/>
          <w:rtl/>
        </w:rPr>
        <w:t>שבהיותה</w:t>
      </w:r>
      <w:proofErr w:type="spellEnd"/>
      <w:r w:rsidRPr="00AD17B4">
        <w:rPr>
          <w:rFonts w:ascii="David" w:hAnsi="David"/>
          <w:rtl/>
        </w:rPr>
        <w:t xml:space="preserve"> חיילת בצה"ל הצביעה פעמיים בבחירות לכנסת ה-24. בתחילה הצביעה בקלפי צבאית ולאחר מכן בקלפי אזרחית. </w:t>
      </w:r>
    </w:p>
    <w:p w14:paraId="607F3EFC" w14:textId="5EF52BB1" w:rsidR="00254EAE" w:rsidRDefault="00254EAE" w:rsidP="00D601E9">
      <w:pPr>
        <w:numPr>
          <w:ilvl w:val="0"/>
          <w:numId w:val="1"/>
        </w:numPr>
        <w:tabs>
          <w:tab w:val="left" w:pos="226"/>
        </w:tabs>
        <w:spacing w:after="0" w:line="360" w:lineRule="auto"/>
        <w:ind w:left="-58" w:firstLine="0"/>
        <w:jc w:val="both"/>
        <w:rPr>
          <w:rFonts w:ascii="David" w:hAnsi="David"/>
        </w:rPr>
      </w:pPr>
      <w:r>
        <w:rPr>
          <w:rFonts w:ascii="David" w:hAnsi="David" w:hint="cs"/>
          <w:rtl/>
        </w:rPr>
        <w:lastRenderedPageBreak/>
        <w:t>המערערת כפרה באשמה</w:t>
      </w:r>
      <w:r w:rsidR="00DD20B1">
        <w:rPr>
          <w:rFonts w:ascii="David" w:hAnsi="David" w:hint="cs"/>
          <w:rtl/>
        </w:rPr>
        <w:t>. בקשה קודמת שהגישה לקבלת חומרי חקירה</w:t>
      </w:r>
      <w:r w:rsidR="00FD7028">
        <w:rPr>
          <w:rFonts w:ascii="David" w:hAnsi="David" w:hint="cs"/>
          <w:rtl/>
        </w:rPr>
        <w:t xml:space="preserve">, לפי סעיף 74 לחוק סדר הדין הפלילי [נוסח משולב], </w:t>
      </w:r>
      <w:proofErr w:type="spellStart"/>
      <w:r w:rsidR="00FD7028">
        <w:rPr>
          <w:rFonts w:ascii="David" w:hAnsi="David" w:hint="cs"/>
          <w:rtl/>
        </w:rPr>
        <w:t>התשמ"ב</w:t>
      </w:r>
      <w:proofErr w:type="spellEnd"/>
      <w:r w:rsidR="00FD7028">
        <w:rPr>
          <w:rFonts w:ascii="David" w:hAnsi="David" w:hint="cs"/>
          <w:rtl/>
        </w:rPr>
        <w:t xml:space="preserve"> </w:t>
      </w:r>
      <w:r w:rsidR="00FD7028">
        <w:rPr>
          <w:rFonts w:ascii="David" w:hAnsi="David"/>
          <w:rtl/>
        </w:rPr>
        <w:t>–</w:t>
      </w:r>
      <w:r w:rsidR="00FD7028">
        <w:rPr>
          <w:rFonts w:ascii="David" w:hAnsi="David" w:hint="cs"/>
          <w:rtl/>
        </w:rPr>
        <w:t xml:space="preserve"> 1982 </w:t>
      </w:r>
      <w:r w:rsidR="00AA1D3C">
        <w:rPr>
          <w:rFonts w:ascii="David" w:hAnsi="David" w:hint="cs"/>
          <w:rtl/>
        </w:rPr>
        <w:t>התקבלה ב</w:t>
      </w:r>
      <w:r w:rsidR="00DB25FC">
        <w:rPr>
          <w:rFonts w:ascii="David" w:hAnsi="David" w:hint="cs"/>
          <w:rtl/>
        </w:rPr>
        <w:t xml:space="preserve">אופן חלקי. ערעורה של ההגנה באשר למידע שלא נמסר במסגרת ההחלטה הראשונה </w:t>
      </w:r>
      <w:r w:rsidR="006E0ACF">
        <w:rPr>
          <w:rFonts w:ascii="David" w:hAnsi="David" w:hint="cs"/>
          <w:rtl/>
        </w:rPr>
        <w:t xml:space="preserve">נדחה בבית דין זה </w:t>
      </w:r>
      <w:r w:rsidR="00DD20B1">
        <w:rPr>
          <w:rFonts w:ascii="David" w:hAnsi="David" w:hint="cs"/>
          <w:rtl/>
        </w:rPr>
        <w:t>(</w:t>
      </w:r>
      <w:proofErr w:type="spellStart"/>
      <w:r w:rsidR="00DD20B1">
        <w:rPr>
          <w:rFonts w:ascii="David" w:hAnsi="David" w:hint="cs"/>
          <w:rtl/>
        </w:rPr>
        <w:t>עלב"ש</w:t>
      </w:r>
      <w:proofErr w:type="spellEnd"/>
      <w:r w:rsidR="00DD20B1">
        <w:rPr>
          <w:rFonts w:ascii="David" w:hAnsi="David" w:hint="cs"/>
          <w:rtl/>
        </w:rPr>
        <w:t xml:space="preserve"> 5/22 </w:t>
      </w:r>
      <w:r w:rsidR="00DD20B1">
        <w:rPr>
          <w:rFonts w:ascii="David" w:hAnsi="David" w:hint="cs"/>
          <w:b/>
          <w:bCs/>
          <w:rtl/>
        </w:rPr>
        <w:t xml:space="preserve">רב"ט </w:t>
      </w:r>
      <w:r w:rsidR="006A13FE">
        <w:rPr>
          <w:rFonts w:ascii="David" w:hAnsi="David" w:hint="cs"/>
          <w:b/>
          <w:bCs/>
          <w:rtl/>
        </w:rPr>
        <w:t>ב'</w:t>
      </w:r>
      <w:r w:rsidR="00DD20B1">
        <w:rPr>
          <w:rFonts w:ascii="David" w:hAnsi="David" w:hint="cs"/>
          <w:b/>
          <w:bCs/>
          <w:rtl/>
        </w:rPr>
        <w:t xml:space="preserve"> נ' התובע הצבאי הראשי </w:t>
      </w:r>
      <w:r w:rsidR="00DD20B1">
        <w:rPr>
          <w:rFonts w:ascii="David" w:hAnsi="David" w:hint="cs"/>
          <w:rtl/>
        </w:rPr>
        <w:t>(2022)</w:t>
      </w:r>
      <w:r w:rsidR="004E10A9">
        <w:rPr>
          <w:rFonts w:ascii="David" w:hAnsi="David" w:hint="cs"/>
          <w:rtl/>
        </w:rPr>
        <w:t>)</w:t>
      </w:r>
      <w:r w:rsidR="00AA1D3C">
        <w:rPr>
          <w:rFonts w:ascii="David" w:hAnsi="David" w:hint="cs"/>
          <w:rtl/>
        </w:rPr>
        <w:t>.</w:t>
      </w:r>
      <w:r w:rsidR="00DD20B1">
        <w:rPr>
          <w:rFonts w:ascii="David" w:hAnsi="David" w:hint="cs"/>
          <w:rtl/>
        </w:rPr>
        <w:t xml:space="preserve"> לאחר מכן החלה שמיעת הראיות בעניינה. </w:t>
      </w:r>
      <w:r w:rsidR="00492A80">
        <w:rPr>
          <w:rFonts w:ascii="David" w:hAnsi="David" w:hint="cs"/>
          <w:rtl/>
        </w:rPr>
        <w:t xml:space="preserve">במהלך שמיעת פרשת התביעה </w:t>
      </w:r>
      <w:r w:rsidR="00DD20B1">
        <w:rPr>
          <w:rFonts w:ascii="David" w:hAnsi="David" w:hint="cs"/>
          <w:rtl/>
        </w:rPr>
        <w:t>הגישה ההגנה את בקשתה הנוכחית</w:t>
      </w:r>
      <w:r w:rsidR="00492A80">
        <w:rPr>
          <w:rFonts w:ascii="David" w:hAnsi="David" w:hint="cs"/>
          <w:rtl/>
        </w:rPr>
        <w:t>,</w:t>
      </w:r>
      <w:r w:rsidR="00DD20B1">
        <w:rPr>
          <w:rFonts w:ascii="David" w:hAnsi="David" w:hint="cs"/>
          <w:rtl/>
        </w:rPr>
        <w:t xml:space="preserve"> שנדחתה על ידי בית הדין קמא, ומכאן הערעור שבפניי. </w:t>
      </w:r>
    </w:p>
    <w:p w14:paraId="2D7C2F05" w14:textId="229F3816" w:rsidR="00DD20B1" w:rsidRDefault="00DD20B1" w:rsidP="00FD7028">
      <w:pPr>
        <w:numPr>
          <w:ilvl w:val="0"/>
          <w:numId w:val="1"/>
        </w:numPr>
        <w:tabs>
          <w:tab w:val="left" w:pos="226"/>
        </w:tabs>
        <w:spacing w:after="0" w:line="360" w:lineRule="auto"/>
        <w:ind w:left="-58" w:firstLine="0"/>
        <w:jc w:val="both"/>
        <w:rPr>
          <w:rFonts w:ascii="David" w:hAnsi="David"/>
        </w:rPr>
      </w:pPr>
      <w:r w:rsidRPr="00FD7028">
        <w:rPr>
          <w:rFonts w:ascii="David" w:hAnsi="David" w:hint="cs"/>
          <w:rtl/>
        </w:rPr>
        <w:t>להשלמת התמונה יובהר, כי המערער</w:t>
      </w:r>
      <w:r w:rsidR="004E10A9">
        <w:rPr>
          <w:rFonts w:ascii="David" w:hAnsi="David" w:hint="cs"/>
          <w:rtl/>
        </w:rPr>
        <w:t>ת</w:t>
      </w:r>
      <w:r w:rsidRPr="00FD7028">
        <w:rPr>
          <w:rFonts w:ascii="David" w:hAnsi="David" w:hint="cs"/>
          <w:rtl/>
        </w:rPr>
        <w:t xml:space="preserve"> אינה מכחישה שהצביעה פעמיים בבחירות, באמרתה טענה, כי לא הכירה את הכללים בעניין זה ולא ניתן לה כל תדריך בנושא בעת שהצביעה בבסיסה (הצבעה שנערכה ביום נפרד מיום הבחירות הכללי). ביום שבו נערכו הבחירות הכלליות עבדה בקלפי בעיר מגוריה, ולטענתה שם ניתן לה פתק על ידי אחת העובדות, חיילת בגילה, שמאפשר לה להצביע. היא תהתה האם הדבר אפשרי, שכן הצביעה בבסיסה, ולכן, </w:t>
      </w:r>
      <w:r w:rsidR="00FD7028" w:rsidRPr="00FD7028">
        <w:rPr>
          <w:rFonts w:ascii="David" w:hAnsi="David" w:hint="cs"/>
          <w:rtl/>
        </w:rPr>
        <w:t xml:space="preserve">לאחר שהצביעה, </w:t>
      </w:r>
      <w:r w:rsidRPr="00FD7028">
        <w:rPr>
          <w:rFonts w:ascii="David" w:hAnsi="David" w:hint="cs"/>
          <w:rtl/>
        </w:rPr>
        <w:t xml:space="preserve">שאלה את העובדת בקלפי האחראית על טוהר הבחירות האם אפשרי שתצביע גם בבסיסה וגם במקום אזרחי, שכן "אני יודעת שזה מוצלב הנתונים". לטענתה, אמרה לה העובדת בתגובה </w:t>
      </w:r>
      <w:proofErr w:type="spellStart"/>
      <w:r w:rsidRPr="00FD7028">
        <w:rPr>
          <w:rFonts w:ascii="David" w:hAnsi="David" w:hint="cs"/>
          <w:rtl/>
        </w:rPr>
        <w:t>שהכל</w:t>
      </w:r>
      <w:proofErr w:type="spellEnd"/>
      <w:r w:rsidRPr="00FD7028">
        <w:rPr>
          <w:rFonts w:ascii="David" w:hAnsi="David" w:hint="cs"/>
          <w:rtl/>
        </w:rPr>
        <w:t xml:space="preserve"> יהיה בסדר</w:t>
      </w:r>
      <w:r w:rsidR="00FD7028" w:rsidRPr="00FD7028">
        <w:rPr>
          <w:rFonts w:ascii="David" w:hAnsi="David" w:hint="cs"/>
          <w:rtl/>
        </w:rPr>
        <w:t xml:space="preserve"> ולא יהיה כלום. </w:t>
      </w:r>
    </w:p>
    <w:p w14:paraId="7870DE6C" w14:textId="77777777" w:rsidR="0096657E" w:rsidRPr="002D7202" w:rsidRDefault="0096657E" w:rsidP="0096657E">
      <w:pPr>
        <w:tabs>
          <w:tab w:val="left" w:pos="226"/>
        </w:tabs>
        <w:spacing w:after="0" w:line="360" w:lineRule="auto"/>
        <w:ind w:left="-58"/>
        <w:jc w:val="both"/>
        <w:rPr>
          <w:rFonts w:ascii="David" w:hAnsi="David"/>
        </w:rPr>
      </w:pPr>
    </w:p>
    <w:p w14:paraId="1ED6578F" w14:textId="144ACCAF" w:rsidR="00C5089F" w:rsidRDefault="00D25BC9" w:rsidP="00C5089F">
      <w:pPr>
        <w:pStyle w:val="1"/>
        <w:tabs>
          <w:tab w:val="left" w:pos="283"/>
        </w:tabs>
        <w:spacing w:line="360" w:lineRule="auto"/>
        <w:ind w:left="0"/>
        <w:jc w:val="both"/>
        <w:outlineLvl w:val="0"/>
        <w:rPr>
          <w:rFonts w:ascii="David" w:hAnsi="David" w:cs="David"/>
          <w:b/>
          <w:bCs/>
          <w:sz w:val="28"/>
          <w:szCs w:val="28"/>
          <w:u w:val="single"/>
          <w:rtl/>
        </w:rPr>
      </w:pPr>
      <w:r w:rsidRPr="00AD17B4">
        <w:rPr>
          <w:rFonts w:ascii="David" w:hAnsi="David" w:cs="David"/>
          <w:b/>
          <w:bCs/>
          <w:sz w:val="28"/>
          <w:szCs w:val="28"/>
          <w:u w:val="single"/>
          <w:rtl/>
        </w:rPr>
        <w:t>ההליכים בבית הדין המחוזי</w:t>
      </w:r>
    </w:p>
    <w:p w14:paraId="08A0E0A2" w14:textId="68F4C6F2" w:rsidR="00C5089F" w:rsidRDefault="00941B3C" w:rsidP="00FD7028">
      <w:pPr>
        <w:numPr>
          <w:ilvl w:val="0"/>
          <w:numId w:val="1"/>
        </w:numPr>
        <w:tabs>
          <w:tab w:val="left" w:pos="226"/>
        </w:tabs>
        <w:spacing w:after="0" w:line="360" w:lineRule="auto"/>
        <w:ind w:left="-58" w:firstLine="0"/>
        <w:jc w:val="both"/>
        <w:rPr>
          <w:rFonts w:ascii="David" w:hAnsi="David"/>
        </w:rPr>
      </w:pPr>
      <w:r>
        <w:rPr>
          <w:rFonts w:ascii="David" w:hAnsi="David" w:hint="cs"/>
          <w:rtl/>
        </w:rPr>
        <w:t xml:space="preserve">ביום </w:t>
      </w:r>
      <w:r w:rsidR="00FD7028">
        <w:rPr>
          <w:rFonts w:ascii="David" w:hAnsi="David" w:hint="cs"/>
          <w:rtl/>
        </w:rPr>
        <w:t xml:space="preserve">15 בפברואר 2023 </w:t>
      </w:r>
      <w:r w:rsidR="00752188">
        <w:rPr>
          <w:rFonts w:ascii="David" w:hAnsi="David" w:hint="cs"/>
          <w:rtl/>
        </w:rPr>
        <w:t xml:space="preserve">הגישה ההגנה </w:t>
      </w:r>
      <w:r w:rsidR="006E0ACF">
        <w:rPr>
          <w:rFonts w:ascii="David" w:hAnsi="David" w:hint="cs"/>
          <w:rtl/>
        </w:rPr>
        <w:t xml:space="preserve">את </w:t>
      </w:r>
      <w:r w:rsidR="00752188">
        <w:rPr>
          <w:rFonts w:ascii="David" w:hAnsi="David" w:hint="cs"/>
          <w:rtl/>
        </w:rPr>
        <w:t>בקש</w:t>
      </w:r>
      <w:r w:rsidR="006E0ACF">
        <w:rPr>
          <w:rFonts w:ascii="David" w:hAnsi="David" w:hint="cs"/>
          <w:rtl/>
        </w:rPr>
        <w:t>תה</w:t>
      </w:r>
      <w:r w:rsidR="00752188">
        <w:rPr>
          <w:rFonts w:ascii="David" w:hAnsi="David" w:hint="cs"/>
          <w:rtl/>
        </w:rPr>
        <w:t xml:space="preserve"> </w:t>
      </w:r>
      <w:r w:rsidR="006E0ACF">
        <w:rPr>
          <w:rFonts w:ascii="David" w:hAnsi="David" w:hint="cs"/>
          <w:rtl/>
        </w:rPr>
        <w:t>ה</w:t>
      </w:r>
      <w:r w:rsidR="00752188">
        <w:rPr>
          <w:rFonts w:ascii="David" w:hAnsi="David" w:hint="cs"/>
          <w:rtl/>
        </w:rPr>
        <w:t xml:space="preserve">נוספת לפי סעיף 74 לחוק סדר הדין הפלילי, </w:t>
      </w:r>
      <w:r w:rsidR="004E10A9">
        <w:rPr>
          <w:rFonts w:ascii="David" w:hAnsi="David" w:hint="cs"/>
          <w:rtl/>
        </w:rPr>
        <w:t>ו</w:t>
      </w:r>
      <w:r w:rsidR="00752188">
        <w:rPr>
          <w:rFonts w:ascii="David" w:hAnsi="David" w:hint="cs"/>
          <w:rtl/>
        </w:rPr>
        <w:t>במסגרתה ביקשה לקבל לידיה "את כלל הפרוטוקולים של קלפיות ההצבעה מיום הבחירות האזרחי לכנסת ה-</w:t>
      </w:r>
      <w:r w:rsidR="00455883">
        <w:rPr>
          <w:rFonts w:ascii="David" w:hAnsi="David" w:hint="cs"/>
          <w:rtl/>
        </w:rPr>
        <w:t xml:space="preserve"> </w:t>
      </w:r>
      <w:r w:rsidR="00752188">
        <w:rPr>
          <w:rFonts w:ascii="David" w:hAnsi="David" w:hint="cs"/>
          <w:rtl/>
        </w:rPr>
        <w:t>24 שהתקיים בבית ספר 'מגד' ברעננה".</w:t>
      </w:r>
      <w:r w:rsidR="00FD7028">
        <w:rPr>
          <w:rFonts w:ascii="David" w:hAnsi="David" w:hint="cs"/>
          <w:rtl/>
        </w:rPr>
        <w:t xml:space="preserve"> את בקשתה נימקה בכך שקבלת כלל הפרוטוקולים האמורים עשויה להוביל לאיתורה של מי שמסרה למערערת כי עליה להצביע, ולסייע בכך לבסס </w:t>
      </w:r>
      <w:r w:rsidR="006E0ACF">
        <w:rPr>
          <w:rFonts w:ascii="David" w:hAnsi="David" w:hint="cs"/>
          <w:rtl/>
        </w:rPr>
        <w:t xml:space="preserve">את </w:t>
      </w:r>
      <w:r w:rsidR="00FD7028">
        <w:rPr>
          <w:rFonts w:ascii="David" w:hAnsi="David" w:hint="cs"/>
          <w:rtl/>
        </w:rPr>
        <w:t xml:space="preserve">קו ההגנה בנוגע לטעות כנה של המערערת. </w:t>
      </w:r>
    </w:p>
    <w:p w14:paraId="4DD7D939" w14:textId="38A3CDEE" w:rsidR="001F68A7" w:rsidRDefault="00FD7028" w:rsidP="001F68A7">
      <w:pPr>
        <w:numPr>
          <w:ilvl w:val="0"/>
          <w:numId w:val="1"/>
        </w:numPr>
        <w:tabs>
          <w:tab w:val="left" w:pos="226"/>
        </w:tabs>
        <w:spacing w:after="0" w:line="360" w:lineRule="auto"/>
        <w:ind w:left="-7" w:firstLine="0"/>
        <w:jc w:val="both"/>
        <w:rPr>
          <w:rFonts w:ascii="David" w:hAnsi="David"/>
        </w:rPr>
      </w:pPr>
      <w:r w:rsidRPr="001F68A7">
        <w:rPr>
          <w:rFonts w:ascii="David" w:hAnsi="David" w:hint="cs"/>
          <w:rtl/>
        </w:rPr>
        <w:t>בית הדין המחוזי</w:t>
      </w:r>
      <w:r w:rsidR="006E0ACF">
        <w:rPr>
          <w:rFonts w:ascii="David" w:hAnsi="David" w:hint="cs"/>
          <w:rtl/>
        </w:rPr>
        <w:t xml:space="preserve">, אשר דחה את הבקשה, פירט </w:t>
      </w:r>
      <w:r w:rsidRPr="001F68A7">
        <w:rPr>
          <w:rFonts w:ascii="David" w:hAnsi="David" w:hint="cs"/>
          <w:rtl/>
        </w:rPr>
        <w:t xml:space="preserve"> כי מבירור שערך עם המערערת בדיון, בעקבות הדברים שנמסרו באמרתה, עלה כי היא הניחה מי שפנתה אליה ואמרה לה להצביע </w:t>
      </w:r>
      <w:proofErr w:type="spellStart"/>
      <w:r w:rsidRPr="001F68A7">
        <w:rPr>
          <w:rFonts w:ascii="David" w:hAnsi="David" w:hint="cs"/>
          <w:rtl/>
        </w:rPr>
        <w:t>היתה</w:t>
      </w:r>
      <w:proofErr w:type="spellEnd"/>
      <w:r w:rsidRPr="001F68A7">
        <w:rPr>
          <w:rFonts w:ascii="David" w:hAnsi="David" w:hint="cs"/>
          <w:rtl/>
        </w:rPr>
        <w:t xml:space="preserve"> חיילת בגילה, שכן לא ה</w:t>
      </w:r>
      <w:r w:rsidR="006E0ACF">
        <w:rPr>
          <w:rFonts w:ascii="David" w:hAnsi="David" w:hint="cs"/>
          <w:rtl/>
        </w:rPr>
        <w:t>י</w:t>
      </w:r>
      <w:r w:rsidRPr="001F68A7">
        <w:rPr>
          <w:rFonts w:ascii="David" w:hAnsi="David" w:hint="cs"/>
          <w:rtl/>
        </w:rPr>
        <w:t xml:space="preserve">יתה סיבה שתפנה אליה אם היא לא עובדת במקום. עם זאת המערערת ציינה, כי אין לה כל ידיעה </w:t>
      </w:r>
      <w:r w:rsidR="006E0ACF">
        <w:rPr>
          <w:rFonts w:ascii="David" w:hAnsi="David" w:hint="cs"/>
          <w:rtl/>
        </w:rPr>
        <w:t xml:space="preserve">בפועל </w:t>
      </w:r>
      <w:r w:rsidRPr="001F68A7">
        <w:rPr>
          <w:rFonts w:ascii="David" w:hAnsi="David" w:hint="cs"/>
          <w:rtl/>
        </w:rPr>
        <w:t>במי מדובר ולא היה לה כל סממן חיצוני שהיה בו כדי להעיד שהיא אכן עובדת במקום בתפקיד כלשהו, ובפרט כחברת קלפי ששמה אמור להופיע בפרוטוקולים המבוקשים. לאור זאת סבר בית הדין כי תקוותה של ההגנה שמא יתברר כי מי שפנתה אליה היא  חברת ועדת קלפי וכי ניתן יהיה להסתייע במידע המבוקש, היא ספקולטיבית בלבד, ונעדרת אחיזה בחומר החקירה הקיים</w:t>
      </w:r>
      <w:r w:rsidR="006E0ACF">
        <w:rPr>
          <w:rFonts w:ascii="David" w:hAnsi="David" w:hint="cs"/>
          <w:rtl/>
        </w:rPr>
        <w:t>; תוך שעמד על כך ש</w:t>
      </w:r>
      <w:r w:rsidRPr="001F68A7">
        <w:rPr>
          <w:rFonts w:ascii="David" w:hAnsi="David" w:hint="cs"/>
          <w:rtl/>
        </w:rPr>
        <w:t>ל</w:t>
      </w:r>
      <w:r w:rsidR="00DE4198" w:rsidRPr="001F68A7">
        <w:rPr>
          <w:rFonts w:ascii="David" w:hAnsi="David" w:hint="cs"/>
          <w:rtl/>
        </w:rPr>
        <w:t>א די בהשערה או בספקולציה של הנאשם, ובתקווה כי בחומר המבוקש יימצא לבסוף דבר</w:t>
      </w:r>
      <w:r w:rsidR="00C14053" w:rsidRPr="001F68A7">
        <w:rPr>
          <w:rFonts w:ascii="David" w:hAnsi="David" w:hint="cs"/>
          <w:rtl/>
        </w:rPr>
        <w:t xml:space="preserve"> ה</w:t>
      </w:r>
      <w:r w:rsidR="00DE4198" w:rsidRPr="001F68A7">
        <w:rPr>
          <w:rFonts w:ascii="David" w:hAnsi="David" w:hint="cs"/>
          <w:rtl/>
        </w:rPr>
        <w:t xml:space="preserve">עשוי להועיל להגנתו (בג"ץ 233/85 </w:t>
      </w:r>
      <w:r w:rsidR="00DE4198" w:rsidRPr="001F68A7">
        <w:rPr>
          <w:rFonts w:ascii="David" w:hAnsi="David" w:hint="cs"/>
          <w:b/>
          <w:bCs/>
          <w:rtl/>
        </w:rPr>
        <w:t xml:space="preserve">אל </w:t>
      </w:r>
      <w:proofErr w:type="spellStart"/>
      <w:r w:rsidR="00DE4198" w:rsidRPr="001F68A7">
        <w:rPr>
          <w:rFonts w:ascii="David" w:hAnsi="David" w:hint="cs"/>
          <w:b/>
          <w:bCs/>
          <w:rtl/>
        </w:rPr>
        <w:t>הוזייל</w:t>
      </w:r>
      <w:proofErr w:type="spellEnd"/>
      <w:r w:rsidR="00DE4198" w:rsidRPr="001F68A7">
        <w:rPr>
          <w:rFonts w:ascii="David" w:hAnsi="David" w:hint="cs"/>
          <w:b/>
          <w:bCs/>
          <w:rtl/>
        </w:rPr>
        <w:t xml:space="preserve"> נ' משטרת ישראל</w:t>
      </w:r>
      <w:r w:rsidR="00DE4198" w:rsidRPr="001F68A7">
        <w:rPr>
          <w:rFonts w:ascii="David" w:hAnsi="David" w:hint="cs"/>
          <w:rtl/>
        </w:rPr>
        <w:t xml:space="preserve"> (</w:t>
      </w:r>
      <w:r w:rsidR="00752A1B" w:rsidRPr="001F68A7">
        <w:rPr>
          <w:rFonts w:ascii="David" w:hAnsi="David" w:hint="cs"/>
          <w:rtl/>
        </w:rPr>
        <w:t>6.11.1985</w:t>
      </w:r>
      <w:r w:rsidR="00DE4198" w:rsidRPr="001F68A7">
        <w:rPr>
          <w:rFonts w:ascii="David" w:hAnsi="David" w:hint="cs"/>
          <w:rtl/>
        </w:rPr>
        <w:t xml:space="preserve">); </w:t>
      </w:r>
      <w:proofErr w:type="spellStart"/>
      <w:r w:rsidR="00DE4198" w:rsidRPr="001F68A7">
        <w:rPr>
          <w:rFonts w:ascii="David" w:hAnsi="David" w:hint="cs"/>
          <w:rtl/>
        </w:rPr>
        <w:t>בש"פ</w:t>
      </w:r>
      <w:proofErr w:type="spellEnd"/>
      <w:r w:rsidR="00DE4198" w:rsidRPr="001F68A7">
        <w:rPr>
          <w:rFonts w:ascii="David" w:hAnsi="David" w:hint="cs"/>
          <w:rtl/>
        </w:rPr>
        <w:t xml:space="preserve"> 9322/99 </w:t>
      </w:r>
      <w:proofErr w:type="spellStart"/>
      <w:r w:rsidR="00DE4198" w:rsidRPr="001F68A7">
        <w:rPr>
          <w:rFonts w:ascii="David" w:hAnsi="David" w:hint="cs"/>
          <w:b/>
          <w:bCs/>
          <w:rtl/>
        </w:rPr>
        <w:t>מסראווה</w:t>
      </w:r>
      <w:proofErr w:type="spellEnd"/>
      <w:r w:rsidR="00DE4198" w:rsidRPr="001F68A7">
        <w:rPr>
          <w:rFonts w:ascii="David" w:hAnsi="David" w:hint="cs"/>
          <w:b/>
          <w:bCs/>
          <w:rtl/>
        </w:rPr>
        <w:t xml:space="preserve"> נ' מדינת ישראל</w:t>
      </w:r>
      <w:r w:rsidR="00DE4198" w:rsidRPr="001F68A7">
        <w:rPr>
          <w:rFonts w:ascii="David" w:hAnsi="David" w:hint="cs"/>
          <w:rtl/>
        </w:rPr>
        <w:t xml:space="preserve"> (</w:t>
      </w:r>
      <w:r w:rsidR="00752A1B" w:rsidRPr="001F68A7">
        <w:rPr>
          <w:rFonts w:ascii="David" w:hAnsi="David" w:hint="cs"/>
          <w:rtl/>
        </w:rPr>
        <w:t>6.2.2000</w:t>
      </w:r>
      <w:r w:rsidR="00DE4198" w:rsidRPr="001F68A7">
        <w:rPr>
          <w:rFonts w:ascii="David" w:hAnsi="David" w:hint="cs"/>
          <w:rtl/>
        </w:rPr>
        <w:t>))</w:t>
      </w:r>
      <w:r w:rsidR="00372E3C" w:rsidRPr="001F68A7">
        <w:rPr>
          <w:rFonts w:ascii="David" w:hAnsi="David" w:hint="cs"/>
          <w:rtl/>
        </w:rPr>
        <w:t>.</w:t>
      </w:r>
      <w:r w:rsidR="001F68A7" w:rsidRPr="001F68A7">
        <w:rPr>
          <w:rFonts w:ascii="David" w:hAnsi="David" w:hint="cs"/>
          <w:rtl/>
        </w:rPr>
        <w:t xml:space="preserve"> </w:t>
      </w:r>
    </w:p>
    <w:p w14:paraId="4451B4F0" w14:textId="55F6CB11" w:rsidR="00D71CB6" w:rsidRDefault="001F68A7" w:rsidP="001F68A7">
      <w:pPr>
        <w:numPr>
          <w:ilvl w:val="0"/>
          <w:numId w:val="1"/>
        </w:numPr>
        <w:tabs>
          <w:tab w:val="left" w:pos="226"/>
        </w:tabs>
        <w:spacing w:after="0" w:line="360" w:lineRule="auto"/>
        <w:ind w:left="-7" w:firstLine="0"/>
        <w:jc w:val="both"/>
        <w:rPr>
          <w:rFonts w:ascii="David" w:hAnsi="David"/>
        </w:rPr>
      </w:pPr>
      <w:r w:rsidRPr="001F68A7">
        <w:rPr>
          <w:rFonts w:ascii="David" w:hAnsi="David" w:hint="cs"/>
          <w:rtl/>
        </w:rPr>
        <w:t xml:space="preserve">עוד עמד בית הדין על הצורך </w:t>
      </w:r>
      <w:r w:rsidR="00D71CB6" w:rsidRPr="001F68A7">
        <w:rPr>
          <w:rFonts w:ascii="David" w:hAnsi="David" w:hint="cs"/>
          <w:rtl/>
        </w:rPr>
        <w:t xml:space="preserve">לערוך איזון בין התועלת שעשויה לצמוח להגנה מקבלת החומר לבין הפגיעה האפשרית בפרטיותם של צדדים שלישיים. </w:t>
      </w:r>
      <w:r>
        <w:rPr>
          <w:rFonts w:ascii="David" w:hAnsi="David" w:hint="cs"/>
          <w:rtl/>
        </w:rPr>
        <w:t xml:space="preserve">צוין, כי </w:t>
      </w:r>
      <w:r w:rsidR="00D71CB6" w:rsidRPr="001F68A7">
        <w:rPr>
          <w:rFonts w:ascii="David" w:hAnsi="David" w:hint="cs"/>
          <w:rtl/>
        </w:rPr>
        <w:t xml:space="preserve">הגם, שאין מדובר </w:t>
      </w:r>
      <w:r w:rsidR="00D71CB6" w:rsidRPr="001F68A7">
        <w:rPr>
          <w:rFonts w:ascii="David" w:hAnsi="David" w:hint="cs"/>
          <w:rtl/>
        </w:rPr>
        <w:lastRenderedPageBreak/>
        <w:t>בפגיעה משמעותית, הרי ש"ככל שהזיקה בין החומר לבין השאלות שבמחלוקת במשפט רופפת יותר, כך יידרש בית המשפט לשקול ביתר שאת את מידת הפגיעה בזכויותיהם של אחרים ובערכים שונים שבאינטרס ציבורי חיוני הצ</w:t>
      </w:r>
      <w:r w:rsidR="00A5592B" w:rsidRPr="001F68A7">
        <w:rPr>
          <w:rFonts w:ascii="David" w:hAnsi="David" w:hint="cs"/>
          <w:rtl/>
        </w:rPr>
        <w:t>פויה מהצגתו לעיון..." (</w:t>
      </w:r>
      <w:proofErr w:type="spellStart"/>
      <w:r w:rsidR="00A5592B" w:rsidRPr="001F68A7">
        <w:rPr>
          <w:rFonts w:ascii="David" w:hAnsi="David" w:hint="cs"/>
          <w:rtl/>
        </w:rPr>
        <w:t>בש"פ</w:t>
      </w:r>
      <w:proofErr w:type="spellEnd"/>
      <w:r w:rsidR="00A5592B" w:rsidRPr="001F68A7">
        <w:rPr>
          <w:rFonts w:ascii="David" w:hAnsi="David" w:hint="cs"/>
          <w:rtl/>
        </w:rPr>
        <w:t xml:space="preserve"> 7585/14 </w:t>
      </w:r>
      <w:r w:rsidR="00A5592B" w:rsidRPr="001F68A7">
        <w:rPr>
          <w:rFonts w:ascii="David" w:hAnsi="David" w:hint="cs"/>
          <w:b/>
          <w:bCs/>
          <w:rtl/>
        </w:rPr>
        <w:t>שטרום נ' מדינת ישראל</w:t>
      </w:r>
      <w:r w:rsidR="00A5592B" w:rsidRPr="001F68A7">
        <w:rPr>
          <w:rFonts w:ascii="David" w:hAnsi="David" w:hint="cs"/>
          <w:rtl/>
        </w:rPr>
        <w:t>, פסקאות 9-10 (18.11.2014)).</w:t>
      </w:r>
    </w:p>
    <w:p w14:paraId="1F1BD89F" w14:textId="41CD4978" w:rsidR="00AD7023" w:rsidRPr="001F68A7" w:rsidRDefault="001F68A7" w:rsidP="001F68A7">
      <w:pPr>
        <w:numPr>
          <w:ilvl w:val="0"/>
          <w:numId w:val="1"/>
        </w:numPr>
        <w:tabs>
          <w:tab w:val="left" w:pos="226"/>
        </w:tabs>
        <w:spacing w:after="0" w:line="360" w:lineRule="auto"/>
        <w:ind w:left="-58" w:firstLine="0"/>
        <w:jc w:val="both"/>
        <w:rPr>
          <w:rFonts w:ascii="David" w:hAnsi="David"/>
        </w:rPr>
      </w:pPr>
      <w:r w:rsidRPr="001F68A7">
        <w:rPr>
          <w:rFonts w:ascii="David" w:hAnsi="David" w:hint="cs"/>
          <w:rtl/>
        </w:rPr>
        <w:t xml:space="preserve">לבסוף עמד בית הדין קמא על כך </w:t>
      </w:r>
      <w:r>
        <w:rPr>
          <w:rFonts w:ascii="David" w:hAnsi="David" w:hint="cs"/>
          <w:rtl/>
        </w:rPr>
        <w:t>ש</w:t>
      </w:r>
      <w:r w:rsidR="00AD7023" w:rsidRPr="001F68A7">
        <w:rPr>
          <w:rFonts w:ascii="David" w:hAnsi="David" w:hint="cs"/>
          <w:rtl/>
        </w:rPr>
        <w:t>החומר המבוקש כלל לא נאסף במהלך החקירה</w:t>
      </w:r>
      <w:r w:rsidR="00522674" w:rsidRPr="001F68A7">
        <w:rPr>
          <w:rFonts w:ascii="David" w:hAnsi="David" w:hint="cs"/>
          <w:rtl/>
        </w:rPr>
        <w:t xml:space="preserve">, ולצד זאת </w:t>
      </w:r>
      <w:r>
        <w:rPr>
          <w:rFonts w:ascii="David" w:hAnsi="David" w:hint="cs"/>
          <w:rtl/>
        </w:rPr>
        <w:t xml:space="preserve">מתקיימת </w:t>
      </w:r>
      <w:r w:rsidR="00522674" w:rsidRPr="001F68A7">
        <w:rPr>
          <w:rFonts w:ascii="David" w:hAnsi="David" w:hint="cs"/>
          <w:rtl/>
        </w:rPr>
        <w:t>החזקה לפיה רשויות החקירה אספו את כלל החומר הרלוונטי, כך שאי הימצאות החומר המבוקש בידי רשויות החקירה והתביעה הינה אינדיקציה לכך שעל פני הדברים, אין מדובר בחומר חקירה</w:t>
      </w:r>
      <w:r w:rsidR="006E0ACF">
        <w:rPr>
          <w:rFonts w:ascii="David" w:hAnsi="David" w:hint="cs"/>
          <w:rtl/>
        </w:rPr>
        <w:t>.</w:t>
      </w:r>
      <w:r w:rsidR="00522674" w:rsidRPr="001F68A7">
        <w:rPr>
          <w:rFonts w:ascii="David" w:hAnsi="David" w:hint="cs"/>
          <w:rtl/>
        </w:rPr>
        <w:t xml:space="preserve"> </w:t>
      </w:r>
      <w:r>
        <w:rPr>
          <w:rFonts w:ascii="David" w:hAnsi="David" w:hint="cs"/>
          <w:rtl/>
        </w:rPr>
        <w:t xml:space="preserve">הודגש עוד, כי </w:t>
      </w:r>
      <w:r w:rsidR="004E10A9">
        <w:rPr>
          <w:rFonts w:ascii="David" w:hAnsi="David" w:hint="cs"/>
          <w:rtl/>
        </w:rPr>
        <w:t xml:space="preserve">ממילא, </w:t>
      </w:r>
      <w:r>
        <w:rPr>
          <w:rFonts w:ascii="David" w:hAnsi="David" w:hint="cs"/>
          <w:rtl/>
        </w:rPr>
        <w:t xml:space="preserve">פרוטוקול הקלפי הרלוונטית לאירוע נשוא כתב האישום, המכיל את שמה של אותה אחראית על טוהר הבחירות עמה שוחחה המערערת לאחר הצבעתה, הועבר להגנה לבקשתה.  </w:t>
      </w:r>
    </w:p>
    <w:p w14:paraId="2D2B65A6" w14:textId="77777777" w:rsidR="00BA2B8D" w:rsidRPr="001F68A7" w:rsidRDefault="00BA2B8D" w:rsidP="00BA2B8D">
      <w:pPr>
        <w:tabs>
          <w:tab w:val="left" w:pos="226"/>
        </w:tabs>
        <w:spacing w:after="0" w:line="360" w:lineRule="auto"/>
        <w:jc w:val="both"/>
        <w:rPr>
          <w:rFonts w:ascii="David" w:hAnsi="David"/>
          <w:rtl/>
        </w:rPr>
      </w:pPr>
    </w:p>
    <w:p w14:paraId="2ACF1D87" w14:textId="06432383" w:rsidR="00132033" w:rsidRDefault="00AD17B4" w:rsidP="00132033">
      <w:pPr>
        <w:pStyle w:val="NoSpacing"/>
        <w:spacing w:line="360" w:lineRule="auto"/>
        <w:jc w:val="both"/>
        <w:rPr>
          <w:rFonts w:ascii="David" w:hAnsi="David" w:cs="David"/>
          <w:sz w:val="28"/>
          <w:szCs w:val="28"/>
          <w:rtl/>
        </w:rPr>
      </w:pPr>
      <w:r w:rsidRPr="00AD17B4">
        <w:rPr>
          <w:rFonts w:ascii="David" w:hAnsi="David" w:cs="David"/>
          <w:b/>
          <w:bCs/>
          <w:sz w:val="28"/>
          <w:szCs w:val="28"/>
          <w:u w:val="single"/>
          <w:rtl/>
        </w:rPr>
        <w:t>ערעור ההגנה וטענות הצדדים</w:t>
      </w:r>
    </w:p>
    <w:p w14:paraId="4A3035C3" w14:textId="654662C8" w:rsidR="00AA1D3C" w:rsidRDefault="00DC350F" w:rsidP="00AA1D3C">
      <w:pPr>
        <w:numPr>
          <w:ilvl w:val="0"/>
          <w:numId w:val="1"/>
        </w:numPr>
        <w:tabs>
          <w:tab w:val="left" w:pos="226"/>
        </w:tabs>
        <w:spacing w:after="0" w:line="360" w:lineRule="auto"/>
        <w:ind w:left="-58" w:firstLine="0"/>
        <w:jc w:val="both"/>
        <w:rPr>
          <w:rFonts w:ascii="David" w:hAnsi="David"/>
        </w:rPr>
      </w:pPr>
      <w:r>
        <w:rPr>
          <w:rFonts w:ascii="David" w:hAnsi="David" w:hint="cs"/>
          <w:rtl/>
        </w:rPr>
        <w:t xml:space="preserve">ההגנה </w:t>
      </w:r>
      <w:r w:rsidR="00AA1D3C">
        <w:rPr>
          <w:rFonts w:ascii="David" w:hAnsi="David" w:hint="cs"/>
          <w:rtl/>
        </w:rPr>
        <w:t>טענה בערעורה כי חומר החקירה המבוקש על יד</w:t>
      </w:r>
      <w:r w:rsidR="004E10A9">
        <w:rPr>
          <w:rFonts w:ascii="David" w:hAnsi="David" w:hint="cs"/>
          <w:rtl/>
        </w:rPr>
        <w:t>י</w:t>
      </w:r>
      <w:r w:rsidR="00AA1D3C">
        <w:rPr>
          <w:rFonts w:ascii="David" w:hAnsi="David" w:hint="cs"/>
          <w:rtl/>
        </w:rPr>
        <w:t xml:space="preserve">ה הוא בבחינת מידע רלוונטי, שאף מצוי בידי הרשות (זאת לאור הנאמר בעדותו של אחד מהעדים, עו"ד </w:t>
      </w:r>
      <w:proofErr w:type="spellStart"/>
      <w:r w:rsidR="00AA1D3C">
        <w:rPr>
          <w:rFonts w:ascii="David" w:hAnsi="David" w:hint="cs"/>
          <w:rtl/>
        </w:rPr>
        <w:t>צייטלין</w:t>
      </w:r>
      <w:proofErr w:type="spellEnd"/>
      <w:r w:rsidR="00AA1D3C">
        <w:rPr>
          <w:rFonts w:ascii="David" w:hAnsi="David" w:hint="cs"/>
          <w:rtl/>
        </w:rPr>
        <w:t>, מוועדת הבחירות, שמסר כי הפרוטוקולים נשמרים גם לאחר סיום מערכת הבחירות). לראיה</w:t>
      </w:r>
      <w:r w:rsidR="00492A80">
        <w:rPr>
          <w:rFonts w:ascii="David" w:hAnsi="David" w:hint="cs"/>
          <w:rtl/>
        </w:rPr>
        <w:t xml:space="preserve">, כאמור </w:t>
      </w:r>
      <w:r w:rsidR="00AA1D3C">
        <w:rPr>
          <w:rFonts w:ascii="David" w:hAnsi="David" w:hint="cs"/>
          <w:rtl/>
        </w:rPr>
        <w:t xml:space="preserve"> </w:t>
      </w:r>
      <w:r w:rsidR="00AA1D3C">
        <w:rPr>
          <w:rFonts w:ascii="David" w:hAnsi="David"/>
          <w:rtl/>
        </w:rPr>
        <w:t>–</w:t>
      </w:r>
      <w:r w:rsidR="00AA1D3C">
        <w:rPr>
          <w:rFonts w:ascii="David" w:hAnsi="David" w:hint="cs"/>
          <w:rtl/>
        </w:rPr>
        <w:t xml:space="preserve"> אף הועבר לידה בעבר בעקבות בקשתה הקודמת לקבלת חומרי חקירה פרוטוקול של הקלפי </w:t>
      </w:r>
      <w:r w:rsidR="004E10A9">
        <w:rPr>
          <w:rFonts w:ascii="David" w:hAnsi="David" w:hint="cs"/>
          <w:rtl/>
        </w:rPr>
        <w:t>ש</w:t>
      </w:r>
      <w:r w:rsidR="00AA1D3C">
        <w:rPr>
          <w:rFonts w:ascii="David" w:hAnsi="David" w:hint="cs"/>
          <w:rtl/>
        </w:rPr>
        <w:t xml:space="preserve">בה הצביעה המערערת. עם זאת טוענת ההגנה, כי רק לאחרונה נודע לה על קיומם של מספר חדרי ההצבעה בבית הספר בו הצביעה המערערת. </w:t>
      </w:r>
    </w:p>
    <w:p w14:paraId="509179B9" w14:textId="5653E5DD" w:rsidR="00AA1D3C" w:rsidRDefault="00AA1D3C" w:rsidP="00AA1D3C">
      <w:pPr>
        <w:numPr>
          <w:ilvl w:val="0"/>
          <w:numId w:val="1"/>
        </w:numPr>
        <w:tabs>
          <w:tab w:val="left" w:pos="226"/>
        </w:tabs>
        <w:spacing w:after="0" w:line="360" w:lineRule="auto"/>
        <w:ind w:left="-58" w:firstLine="0"/>
        <w:jc w:val="both"/>
        <w:rPr>
          <w:rFonts w:ascii="David" w:hAnsi="David"/>
        </w:rPr>
      </w:pPr>
      <w:r>
        <w:rPr>
          <w:rFonts w:ascii="David" w:hAnsi="David" w:hint="cs"/>
          <w:rtl/>
        </w:rPr>
        <w:t>ההגנה פירטה, כי ככל שיועבר החומר המבוקש ליד</w:t>
      </w:r>
      <w:r w:rsidR="004E10A9">
        <w:rPr>
          <w:rFonts w:ascii="David" w:hAnsi="David" w:hint="cs"/>
          <w:rtl/>
        </w:rPr>
        <w:t>י</w:t>
      </w:r>
      <w:r>
        <w:rPr>
          <w:rFonts w:ascii="David" w:hAnsi="David" w:hint="cs"/>
          <w:rtl/>
        </w:rPr>
        <w:t>ה, היא מתכוונת ליצור קשר עם כל אח</w:t>
      </w:r>
      <w:r w:rsidR="002020C0">
        <w:rPr>
          <w:rFonts w:ascii="David" w:hAnsi="David" w:hint="cs"/>
          <w:rtl/>
        </w:rPr>
        <w:t xml:space="preserve">ת </w:t>
      </w:r>
      <w:r>
        <w:rPr>
          <w:rFonts w:ascii="David" w:hAnsi="David" w:hint="cs"/>
          <w:rtl/>
        </w:rPr>
        <w:t>מהנשים ש</w:t>
      </w:r>
      <w:r w:rsidR="004E10A9">
        <w:rPr>
          <w:rFonts w:ascii="David" w:hAnsi="David" w:hint="cs"/>
          <w:rtl/>
        </w:rPr>
        <w:t>שמותיהן מ</w:t>
      </w:r>
      <w:r>
        <w:rPr>
          <w:rFonts w:ascii="David" w:hAnsi="David" w:hint="cs"/>
          <w:rtl/>
        </w:rPr>
        <w:t>וזכר</w:t>
      </w:r>
      <w:r w:rsidR="004E10A9">
        <w:rPr>
          <w:rFonts w:ascii="David" w:hAnsi="David" w:hint="cs"/>
          <w:rtl/>
        </w:rPr>
        <w:t>ים</w:t>
      </w:r>
      <w:r>
        <w:rPr>
          <w:rFonts w:ascii="David" w:hAnsi="David" w:hint="cs"/>
          <w:rtl/>
        </w:rPr>
        <w:t xml:space="preserve"> בפרוטוקולים על מנת לנסות ולבסס את גרסתה של המערערת; ואף אם קיימת אפשרות כי אותה א</w:t>
      </w:r>
      <w:r w:rsidR="004E10A9">
        <w:rPr>
          <w:rFonts w:ascii="David" w:hAnsi="David" w:hint="cs"/>
          <w:rtl/>
        </w:rPr>
        <w:t>י</w:t>
      </w:r>
      <w:r>
        <w:rPr>
          <w:rFonts w:ascii="David" w:hAnsi="David" w:hint="cs"/>
          <w:rtl/>
        </w:rPr>
        <w:t>שה שהם מחפשים לא הי</w:t>
      </w:r>
      <w:r w:rsidR="006E0ACF">
        <w:rPr>
          <w:rFonts w:ascii="David" w:hAnsi="David" w:hint="cs"/>
          <w:rtl/>
        </w:rPr>
        <w:t>י</w:t>
      </w:r>
      <w:r>
        <w:rPr>
          <w:rFonts w:ascii="David" w:hAnsi="David" w:hint="cs"/>
          <w:rtl/>
        </w:rPr>
        <w:t xml:space="preserve">תה חברת הקלפי, הרי שקיים גם סיכוי ממשי כי </w:t>
      </w:r>
      <w:r w:rsidR="006E0ACF">
        <w:rPr>
          <w:rFonts w:ascii="David" w:hAnsi="David" w:hint="cs"/>
          <w:rtl/>
        </w:rPr>
        <w:t>א</w:t>
      </w:r>
      <w:r>
        <w:rPr>
          <w:rFonts w:ascii="David" w:hAnsi="David" w:hint="cs"/>
          <w:rtl/>
        </w:rPr>
        <w:t>כן מדובר בחברת קלפי אשר תוכל לסייע להם לבסס את גרסת המערערת</w:t>
      </w:r>
      <w:r w:rsidR="006E0ACF">
        <w:rPr>
          <w:rFonts w:ascii="David" w:hAnsi="David" w:hint="cs"/>
          <w:rtl/>
        </w:rPr>
        <w:t xml:space="preserve">. נטען, כי </w:t>
      </w:r>
      <w:r>
        <w:rPr>
          <w:rFonts w:ascii="David" w:hAnsi="David" w:hint="cs"/>
          <w:rtl/>
        </w:rPr>
        <w:t xml:space="preserve">זהו הסיכוי היחיד </w:t>
      </w:r>
      <w:r w:rsidR="006E0ACF">
        <w:rPr>
          <w:rFonts w:ascii="David" w:hAnsi="David" w:hint="cs"/>
          <w:rtl/>
        </w:rPr>
        <w:t xml:space="preserve">של המערערת לאתרה - </w:t>
      </w:r>
      <w:r>
        <w:rPr>
          <w:rFonts w:ascii="David" w:hAnsi="David" w:hint="cs"/>
          <w:rtl/>
        </w:rPr>
        <w:t xml:space="preserve">ועל כן יש לאפשר לה לעשות כן. </w:t>
      </w:r>
    </w:p>
    <w:p w14:paraId="5FD47049" w14:textId="31BA7ACB" w:rsidR="00AA1D3C" w:rsidRDefault="00AA1D3C" w:rsidP="00AA1D3C">
      <w:pPr>
        <w:numPr>
          <w:ilvl w:val="0"/>
          <w:numId w:val="1"/>
        </w:numPr>
        <w:tabs>
          <w:tab w:val="left" w:pos="226"/>
        </w:tabs>
        <w:spacing w:after="0" w:line="360" w:lineRule="auto"/>
        <w:ind w:left="-58" w:firstLine="0"/>
        <w:jc w:val="both"/>
        <w:rPr>
          <w:rFonts w:ascii="David" w:hAnsi="David"/>
        </w:rPr>
      </w:pPr>
      <w:r>
        <w:rPr>
          <w:rFonts w:ascii="David" w:hAnsi="David" w:hint="cs"/>
          <w:rtl/>
        </w:rPr>
        <w:t xml:space="preserve">מנגד עמדה התביעה על כך שביום הבחירות מצויים באזור הקלפיות גורמים רבים </w:t>
      </w:r>
      <w:r w:rsidR="004E10A9">
        <w:rPr>
          <w:rFonts w:ascii="David" w:hAnsi="David" w:hint="cs"/>
          <w:rtl/>
        </w:rPr>
        <w:t xml:space="preserve">- </w:t>
      </w:r>
      <w:r>
        <w:rPr>
          <w:rFonts w:ascii="David" w:hAnsi="David" w:hint="cs"/>
          <w:rtl/>
        </w:rPr>
        <w:t>סדרנים, חברי וועדה, מפקחים, מצביעים, נציגי מפלגות וכיו</w:t>
      </w:r>
      <w:r w:rsidR="005461D2">
        <w:rPr>
          <w:rFonts w:ascii="David" w:hAnsi="David" w:hint="cs"/>
          <w:rtl/>
        </w:rPr>
        <w:t xml:space="preserve">"ב; ובהעדר </w:t>
      </w:r>
      <w:r w:rsidR="006E0ACF">
        <w:rPr>
          <w:rFonts w:ascii="David" w:hAnsi="David" w:hint="cs"/>
          <w:rtl/>
        </w:rPr>
        <w:t xml:space="preserve">היכרות או </w:t>
      </w:r>
      <w:r w:rsidR="005461D2">
        <w:rPr>
          <w:rFonts w:ascii="David" w:hAnsi="David" w:hint="cs"/>
          <w:rtl/>
        </w:rPr>
        <w:t xml:space="preserve">כל סימן מזהה </w:t>
      </w:r>
      <w:r w:rsidR="006E0ACF">
        <w:rPr>
          <w:rFonts w:ascii="David" w:hAnsi="David" w:hint="cs"/>
          <w:rtl/>
        </w:rPr>
        <w:t xml:space="preserve">אחר </w:t>
      </w:r>
      <w:r w:rsidR="005461D2">
        <w:rPr>
          <w:rFonts w:ascii="David" w:hAnsi="David" w:hint="cs"/>
          <w:rtl/>
        </w:rPr>
        <w:t>ביח</w:t>
      </w:r>
      <w:r w:rsidR="006E0ACF">
        <w:rPr>
          <w:rFonts w:ascii="David" w:hAnsi="David" w:hint="cs"/>
          <w:rtl/>
        </w:rPr>
        <w:t>ס</w:t>
      </w:r>
      <w:r w:rsidR="005461D2">
        <w:rPr>
          <w:rFonts w:ascii="David" w:hAnsi="David" w:hint="cs"/>
          <w:rtl/>
        </w:rPr>
        <w:t xml:space="preserve"> למי ששוחחה עמה ביום הבחירות, הרי שתקוותה של המערערת כי מדובר בעובדת באחת הקלפיות, וכי שמה יתגלה כתוצאה מהעברת המידע המבוקש, היא ספקולטיבית ונעדרת אחיזה ממשי</w:t>
      </w:r>
      <w:r w:rsidR="000A199D">
        <w:rPr>
          <w:rFonts w:ascii="David" w:hAnsi="David" w:hint="cs"/>
          <w:rtl/>
        </w:rPr>
        <w:t xml:space="preserve">ת. </w:t>
      </w:r>
    </w:p>
    <w:p w14:paraId="09E038A9" w14:textId="559617D1" w:rsidR="000A199D" w:rsidRDefault="000A199D" w:rsidP="00AA1D3C">
      <w:pPr>
        <w:numPr>
          <w:ilvl w:val="0"/>
          <w:numId w:val="1"/>
        </w:numPr>
        <w:tabs>
          <w:tab w:val="left" w:pos="226"/>
        </w:tabs>
        <w:spacing w:after="0" w:line="360" w:lineRule="auto"/>
        <w:ind w:left="-58" w:firstLine="0"/>
        <w:jc w:val="both"/>
        <w:rPr>
          <w:rFonts w:ascii="David" w:hAnsi="David"/>
        </w:rPr>
      </w:pPr>
      <w:r>
        <w:rPr>
          <w:rFonts w:ascii="David" w:hAnsi="David" w:hint="cs"/>
          <w:rtl/>
        </w:rPr>
        <w:t xml:space="preserve">עוד ציינה התביעה, כי מעדותו של עו"ד </w:t>
      </w:r>
      <w:proofErr w:type="spellStart"/>
      <w:r>
        <w:rPr>
          <w:rFonts w:ascii="David" w:hAnsi="David" w:hint="cs"/>
          <w:rtl/>
        </w:rPr>
        <w:t>צייטלין</w:t>
      </w:r>
      <w:proofErr w:type="spellEnd"/>
      <w:r>
        <w:rPr>
          <w:rFonts w:ascii="David" w:hAnsi="David" w:hint="cs"/>
          <w:rtl/>
        </w:rPr>
        <w:t xml:space="preserve"> עלה שהפרוטוקולים מכלל ועדות הקלפי האזרחיות מצוי</w:t>
      </w:r>
      <w:r w:rsidR="004E10A9">
        <w:rPr>
          <w:rFonts w:ascii="David" w:hAnsi="David" w:hint="cs"/>
          <w:rtl/>
        </w:rPr>
        <w:t>ים</w:t>
      </w:r>
      <w:r>
        <w:rPr>
          <w:rFonts w:ascii="David" w:hAnsi="David" w:hint="cs"/>
          <w:rtl/>
        </w:rPr>
        <w:t xml:space="preserve"> בידי ועדת הבחירות, דהיינו הם לא הוחרמו על ידי מצ"ח ואף לא מצוי</w:t>
      </w:r>
      <w:r w:rsidR="004E10A9">
        <w:rPr>
          <w:rFonts w:ascii="David" w:hAnsi="David" w:hint="cs"/>
          <w:rtl/>
        </w:rPr>
        <w:t>ים</w:t>
      </w:r>
      <w:r>
        <w:rPr>
          <w:rFonts w:ascii="David" w:hAnsi="David" w:hint="cs"/>
          <w:rtl/>
        </w:rPr>
        <w:t xml:space="preserve"> בידי התביעה. על כן טענה, כי ככל ש</w:t>
      </w:r>
      <w:r w:rsidR="004E10A9">
        <w:rPr>
          <w:rFonts w:ascii="David" w:hAnsi="David" w:hint="cs"/>
          <w:rtl/>
        </w:rPr>
        <w:t xml:space="preserve">ההגנה </w:t>
      </w:r>
      <w:r>
        <w:rPr>
          <w:rFonts w:ascii="David" w:hAnsi="David" w:hint="cs"/>
          <w:rtl/>
        </w:rPr>
        <w:t xml:space="preserve">מבקשת לקבל את המידע המבוקש, היא יכולה לפנות בבקשה מתאימה לוועדת הבחירות המרכזית. </w:t>
      </w:r>
    </w:p>
    <w:p w14:paraId="084EA2DB" w14:textId="77777777" w:rsidR="000A199D" w:rsidRDefault="000A199D" w:rsidP="000A199D">
      <w:pPr>
        <w:tabs>
          <w:tab w:val="left" w:pos="226"/>
        </w:tabs>
        <w:spacing w:after="0" w:line="360" w:lineRule="auto"/>
        <w:ind w:left="-58"/>
        <w:jc w:val="both"/>
        <w:rPr>
          <w:rFonts w:ascii="David" w:hAnsi="David"/>
        </w:rPr>
      </w:pPr>
    </w:p>
    <w:p w14:paraId="4106C7AC" w14:textId="4FAB593F" w:rsidR="00994E95" w:rsidRDefault="00994E95" w:rsidP="006F4F95">
      <w:pPr>
        <w:pStyle w:val="1"/>
        <w:tabs>
          <w:tab w:val="left" w:pos="283"/>
        </w:tabs>
        <w:spacing w:line="360" w:lineRule="auto"/>
        <w:ind w:left="-7"/>
        <w:jc w:val="both"/>
        <w:outlineLvl w:val="0"/>
        <w:rPr>
          <w:rFonts w:cs="David"/>
          <w:b/>
          <w:bCs/>
          <w:sz w:val="28"/>
          <w:szCs w:val="28"/>
          <w:u w:val="single"/>
          <w:rtl/>
        </w:rPr>
      </w:pPr>
      <w:r>
        <w:rPr>
          <w:rFonts w:cs="David" w:hint="cs"/>
          <w:b/>
          <w:bCs/>
          <w:sz w:val="28"/>
          <w:szCs w:val="28"/>
          <w:u w:val="single"/>
          <w:rtl/>
        </w:rPr>
        <w:lastRenderedPageBreak/>
        <w:t>דיון והכרעה</w:t>
      </w:r>
    </w:p>
    <w:p w14:paraId="2DB82D6D" w14:textId="7A1C7E98" w:rsidR="000A199D" w:rsidRDefault="000A199D" w:rsidP="000A199D">
      <w:pPr>
        <w:numPr>
          <w:ilvl w:val="0"/>
          <w:numId w:val="1"/>
        </w:numPr>
        <w:tabs>
          <w:tab w:val="left" w:pos="226"/>
        </w:tabs>
        <w:spacing w:after="0" w:line="360" w:lineRule="auto"/>
        <w:ind w:left="-58" w:firstLine="0"/>
        <w:jc w:val="both"/>
        <w:rPr>
          <w:rFonts w:ascii="Times New Roman" w:eastAsia="Times New Roman" w:hAnsi="Times New Roman"/>
        </w:rPr>
      </w:pPr>
      <w:r>
        <w:rPr>
          <w:rFonts w:ascii="Times New Roman" w:eastAsia="Times New Roman" w:hAnsi="Times New Roman" w:hint="cs"/>
          <w:rtl/>
        </w:rPr>
        <w:t>בפתח הדברים יצוין, כי במעמד הדיון בפניי, מסרה התביעה כי ביקשה להשהות את הדיון בתיקי</w:t>
      </w:r>
      <w:r w:rsidR="008707F5">
        <w:rPr>
          <w:rFonts w:ascii="Times New Roman" w:eastAsia="Times New Roman" w:hAnsi="Times New Roman" w:hint="cs"/>
          <w:rtl/>
        </w:rPr>
        <w:t xml:space="preserve">ם מהסוג הזה (תיקי </w:t>
      </w:r>
      <w:r>
        <w:rPr>
          <w:rFonts w:ascii="Times New Roman" w:eastAsia="Times New Roman" w:hAnsi="Times New Roman" w:hint="cs"/>
          <w:rtl/>
        </w:rPr>
        <w:t>"הצבעה כפולה"</w:t>
      </w:r>
      <w:r w:rsidR="008707F5">
        <w:rPr>
          <w:rFonts w:ascii="Times New Roman" w:eastAsia="Times New Roman" w:hAnsi="Times New Roman" w:hint="cs"/>
          <w:rtl/>
        </w:rPr>
        <w:t>),</w:t>
      </w:r>
      <w:r>
        <w:rPr>
          <w:rFonts w:ascii="Times New Roman" w:eastAsia="Times New Roman" w:hAnsi="Times New Roman" w:hint="cs"/>
          <w:rtl/>
        </w:rPr>
        <w:t xml:space="preserve"> נוכח בירור רוחבי שביקשה לערוך ביחס לניהול תיקים אלה. לאחרונה הודיעה התביעה</w:t>
      </w:r>
      <w:r w:rsidR="006E0ACF">
        <w:rPr>
          <w:rFonts w:ascii="Times New Roman" w:eastAsia="Times New Roman" w:hAnsi="Times New Roman" w:hint="cs"/>
          <w:rtl/>
        </w:rPr>
        <w:t>,</w:t>
      </w:r>
      <w:r>
        <w:rPr>
          <w:rFonts w:ascii="Times New Roman" w:eastAsia="Times New Roman" w:hAnsi="Times New Roman" w:hint="cs"/>
          <w:rtl/>
        </w:rPr>
        <w:t xml:space="preserve"> כי עם סיום הבירור היא מבקשת להמשיך ב</w:t>
      </w:r>
      <w:r w:rsidR="008707F5">
        <w:rPr>
          <w:rFonts w:ascii="Times New Roman" w:eastAsia="Times New Roman" w:hAnsi="Times New Roman" w:hint="cs"/>
          <w:rtl/>
        </w:rPr>
        <w:t>ניהול ה</w:t>
      </w:r>
      <w:r>
        <w:rPr>
          <w:rFonts w:ascii="Times New Roman" w:eastAsia="Times New Roman" w:hAnsi="Times New Roman" w:hint="cs"/>
          <w:rtl/>
        </w:rPr>
        <w:t xml:space="preserve">הליכים בתיקים האמורים, לרבות בעניינה של המערערת, ומכאן הצורך במתן החלטה. </w:t>
      </w:r>
    </w:p>
    <w:p w14:paraId="09649C81" w14:textId="32318CF9" w:rsidR="003158EF" w:rsidRDefault="00CF0056" w:rsidP="000A199D">
      <w:pPr>
        <w:numPr>
          <w:ilvl w:val="0"/>
          <w:numId w:val="1"/>
        </w:numPr>
        <w:tabs>
          <w:tab w:val="left" w:pos="226"/>
        </w:tabs>
        <w:spacing w:after="0" w:line="360" w:lineRule="auto"/>
        <w:ind w:left="-58" w:firstLine="0"/>
        <w:jc w:val="both"/>
        <w:rPr>
          <w:rFonts w:ascii="Times New Roman" w:eastAsia="Times New Roman" w:hAnsi="Times New Roman"/>
        </w:rPr>
      </w:pPr>
      <w:r w:rsidRPr="00CF0056">
        <w:rPr>
          <w:rFonts w:ascii="Times New Roman" w:eastAsia="Times New Roman" w:hAnsi="Times New Roman" w:hint="cs"/>
          <w:rtl/>
        </w:rPr>
        <w:t xml:space="preserve">ייאמר מיד כי דין הבקשה להידחות. </w:t>
      </w:r>
      <w:r w:rsidR="000A199D" w:rsidRPr="00CF0056">
        <w:rPr>
          <w:rFonts w:ascii="Times New Roman" w:eastAsia="Times New Roman" w:hAnsi="Times New Roman" w:hint="cs"/>
          <w:rtl/>
        </w:rPr>
        <w:t xml:space="preserve">ההלכות בנוגע לפרשנותו של סעיף 74 לחוק סדר הדין הפלילי הן ידועות ומוכרות; נזכיר, כי לסעיף ניתנה בפסיקה פרשנות מרחיבה </w:t>
      </w:r>
      <w:r w:rsidR="00984DB3" w:rsidRPr="00CF0056">
        <w:rPr>
          <w:rFonts w:ascii="Times New Roman" w:eastAsia="Times New Roman" w:hAnsi="Times New Roman" w:hint="cs"/>
          <w:rtl/>
        </w:rPr>
        <w:t>לפי יש לכלול בגדר</w:t>
      </w:r>
      <w:r w:rsidR="008707F5">
        <w:rPr>
          <w:rFonts w:ascii="Times New Roman" w:eastAsia="Times New Roman" w:hAnsi="Times New Roman" w:hint="cs"/>
          <w:rtl/>
        </w:rPr>
        <w:t>ו</w:t>
      </w:r>
      <w:r w:rsidR="00984DB3" w:rsidRPr="00CF0056">
        <w:rPr>
          <w:rFonts w:ascii="Times New Roman" w:eastAsia="Times New Roman" w:hAnsi="Times New Roman" w:hint="cs"/>
          <w:rtl/>
        </w:rPr>
        <w:t xml:space="preserve"> כל חומר הנוגע במישרין או בעקיפין לכתב האישום </w:t>
      </w:r>
      <w:r w:rsidR="00984DB3" w:rsidRPr="00CF0056">
        <w:rPr>
          <w:rFonts w:ascii="Times New Roman" w:eastAsia="Times New Roman" w:hAnsi="Times New Roman"/>
          <w:rtl/>
        </w:rPr>
        <w:t>(</w:t>
      </w:r>
      <w:proofErr w:type="spellStart"/>
      <w:r w:rsidR="00984DB3" w:rsidRPr="00CF0056">
        <w:rPr>
          <w:rFonts w:ascii="Times New Roman" w:eastAsia="Times New Roman" w:hAnsi="Times New Roman"/>
          <w:rtl/>
        </w:rPr>
        <w:t>בש"פ</w:t>
      </w:r>
      <w:proofErr w:type="spellEnd"/>
      <w:r w:rsidR="00984DB3" w:rsidRPr="00CF0056">
        <w:rPr>
          <w:rFonts w:ascii="Times New Roman" w:eastAsia="Times New Roman" w:hAnsi="Times New Roman"/>
          <w:rtl/>
        </w:rPr>
        <w:t xml:space="preserve"> 6520/21 </w:t>
      </w:r>
      <w:r w:rsidR="00984DB3" w:rsidRPr="00CF0056">
        <w:rPr>
          <w:rFonts w:ascii="Times New Roman" w:eastAsia="Times New Roman" w:hAnsi="Times New Roman"/>
          <w:b/>
          <w:bCs/>
          <w:rtl/>
        </w:rPr>
        <w:t>פלוני נ' מדינת ישראל</w:t>
      </w:r>
      <w:r w:rsidR="00984DB3" w:rsidRPr="00CF0056">
        <w:rPr>
          <w:rFonts w:ascii="Times New Roman" w:eastAsia="Times New Roman" w:hAnsi="Times New Roman"/>
          <w:rtl/>
        </w:rPr>
        <w:t>, בפסקה 6 (</w:t>
      </w:r>
      <w:r w:rsidR="007D5467" w:rsidRPr="00CF0056">
        <w:rPr>
          <w:rFonts w:ascii="Times New Roman" w:eastAsia="Times New Roman" w:hAnsi="Times New Roman" w:hint="cs"/>
          <w:rtl/>
        </w:rPr>
        <w:t>10.10.2021</w:t>
      </w:r>
      <w:r w:rsidR="00984DB3" w:rsidRPr="00CF0056">
        <w:rPr>
          <w:rFonts w:ascii="Times New Roman" w:eastAsia="Times New Roman" w:hAnsi="Times New Roman"/>
          <w:rtl/>
        </w:rPr>
        <w:t>))</w:t>
      </w:r>
      <w:r w:rsidR="00984DB3" w:rsidRPr="00CF0056">
        <w:rPr>
          <w:rFonts w:ascii="Times New Roman" w:eastAsia="Times New Roman" w:hAnsi="Times New Roman" w:hint="cs"/>
          <w:rtl/>
        </w:rPr>
        <w:t>.</w:t>
      </w:r>
      <w:r w:rsidR="001F153A" w:rsidRPr="00CF0056">
        <w:rPr>
          <w:rFonts w:ascii="Times New Roman" w:eastAsia="Times New Roman" w:hAnsi="Times New Roman" w:hint="cs"/>
          <w:rtl/>
        </w:rPr>
        <w:t xml:space="preserve"> </w:t>
      </w:r>
      <w:r w:rsidRPr="00CF0056">
        <w:rPr>
          <w:rFonts w:ascii="Times New Roman" w:eastAsia="Times New Roman" w:hAnsi="Times New Roman" w:hint="cs"/>
          <w:rtl/>
        </w:rPr>
        <w:t>ה</w:t>
      </w:r>
      <w:r w:rsidR="001F153A" w:rsidRPr="00CF0056">
        <w:rPr>
          <w:rFonts w:ascii="Times New Roman" w:eastAsia="Times New Roman" w:hAnsi="Times New Roman" w:hint="cs"/>
          <w:rtl/>
        </w:rPr>
        <w:t xml:space="preserve">זכות </w:t>
      </w:r>
      <w:r w:rsidRPr="00CF0056">
        <w:rPr>
          <w:rFonts w:ascii="Times New Roman" w:eastAsia="Times New Roman" w:hAnsi="Times New Roman" w:hint="cs"/>
          <w:rtl/>
        </w:rPr>
        <w:t>לקבלת חומר חקירה נתפסת כ</w:t>
      </w:r>
      <w:r w:rsidR="001F153A" w:rsidRPr="00CF0056">
        <w:rPr>
          <w:rFonts w:ascii="Times New Roman" w:eastAsia="Times New Roman" w:hAnsi="Times New Roman" w:hint="cs"/>
          <w:rtl/>
        </w:rPr>
        <w:t xml:space="preserve">זכות המצויה בליבת הזכות להליך הוגן, שכן </w:t>
      </w:r>
      <w:r w:rsidRPr="00CF0056">
        <w:rPr>
          <w:rFonts w:ascii="Times New Roman" w:eastAsia="Times New Roman" w:hAnsi="Times New Roman" w:hint="cs"/>
          <w:rtl/>
        </w:rPr>
        <w:t xml:space="preserve">היא </w:t>
      </w:r>
      <w:r w:rsidR="001F153A" w:rsidRPr="00CF0056">
        <w:rPr>
          <w:rFonts w:ascii="Times New Roman" w:eastAsia="Times New Roman" w:hAnsi="Times New Roman" w:hint="cs"/>
          <w:rtl/>
        </w:rPr>
        <w:t>נועדה להעניק לנאשם כלים להתגונן כראוי מפני האישומים העומדים ותלויים נגדו.</w:t>
      </w:r>
      <w:r w:rsidR="00B57ADE" w:rsidRPr="00CF0056">
        <w:rPr>
          <w:rFonts w:ascii="Times New Roman" w:eastAsia="Times New Roman" w:hAnsi="Times New Roman" w:hint="cs"/>
          <w:rtl/>
        </w:rPr>
        <w:t xml:space="preserve"> מכאן, שזכות העיון בחומרי חקירה אף משרתת אינטרס ציבורי רחב בשמירה על תקינות והוגנות ההליך הפלילי, לצד חשיפת האמת (ראו </w:t>
      </w:r>
      <w:proofErr w:type="spellStart"/>
      <w:r w:rsidR="00B57ADE" w:rsidRPr="00CF0056">
        <w:rPr>
          <w:rFonts w:ascii="Times New Roman" w:eastAsia="Times New Roman" w:hAnsi="Times New Roman" w:hint="cs"/>
          <w:rtl/>
        </w:rPr>
        <w:t>בש"פ</w:t>
      </w:r>
      <w:proofErr w:type="spellEnd"/>
      <w:r w:rsidR="00B57ADE" w:rsidRPr="00CF0056">
        <w:rPr>
          <w:rFonts w:ascii="Times New Roman" w:eastAsia="Times New Roman" w:hAnsi="Times New Roman"/>
          <w:rtl/>
        </w:rPr>
        <w:t xml:space="preserve"> 5763/21 </w:t>
      </w:r>
      <w:r w:rsidR="00B57ADE" w:rsidRPr="00CF0056">
        <w:rPr>
          <w:rFonts w:ascii="Times New Roman" w:eastAsia="Times New Roman" w:hAnsi="Times New Roman"/>
          <w:b/>
          <w:bCs/>
          <w:rtl/>
        </w:rPr>
        <w:t>פלוני נ' מדינת ישראל</w:t>
      </w:r>
      <w:r w:rsidR="001F2880" w:rsidRPr="00CF0056">
        <w:rPr>
          <w:rFonts w:ascii="Times New Roman" w:eastAsia="Times New Roman" w:hAnsi="Times New Roman" w:hint="cs"/>
          <w:rtl/>
        </w:rPr>
        <w:t xml:space="preserve">, </w:t>
      </w:r>
      <w:r w:rsidR="00B57ADE" w:rsidRPr="00CF0056">
        <w:rPr>
          <w:rFonts w:ascii="Times New Roman" w:eastAsia="Times New Roman" w:hAnsi="Times New Roman"/>
          <w:rtl/>
        </w:rPr>
        <w:t>בפסקה 5 (</w:t>
      </w:r>
      <w:r w:rsidR="007D5467" w:rsidRPr="00CF0056">
        <w:rPr>
          <w:rFonts w:ascii="Times New Roman" w:eastAsia="Times New Roman" w:hAnsi="Times New Roman" w:hint="cs"/>
          <w:rtl/>
        </w:rPr>
        <w:t>5.10.2021</w:t>
      </w:r>
      <w:r w:rsidR="00B57ADE" w:rsidRPr="00CF0056">
        <w:rPr>
          <w:rFonts w:ascii="Times New Roman" w:eastAsia="Times New Roman" w:hAnsi="Times New Roman"/>
          <w:rtl/>
        </w:rPr>
        <w:t>)).</w:t>
      </w:r>
      <w:r w:rsidR="00B57ADE" w:rsidRPr="00CF0056">
        <w:rPr>
          <w:rFonts w:ascii="Times New Roman" w:eastAsia="Times New Roman" w:hAnsi="Times New Roman"/>
          <w:i/>
          <w:iCs/>
          <w:rtl/>
        </w:rPr>
        <w:t xml:space="preserve"> </w:t>
      </w:r>
      <w:r w:rsidR="00B57ADE" w:rsidRPr="00CF0056">
        <w:rPr>
          <w:rFonts w:ascii="Times New Roman" w:eastAsia="Times New Roman" w:hAnsi="Times New Roman"/>
          <w:rtl/>
        </w:rPr>
        <w:t xml:space="preserve">לפיכך, </w:t>
      </w:r>
      <w:r w:rsidR="00B57ADE" w:rsidRPr="00CF0056">
        <w:rPr>
          <w:rFonts w:ascii="Times New Roman" w:eastAsia="Times New Roman" w:hAnsi="Times New Roman" w:hint="cs"/>
          <w:rtl/>
        </w:rPr>
        <w:t>הפסיקה אימצה</w:t>
      </w:r>
      <w:r w:rsidR="00B57ADE" w:rsidRPr="00CF0056">
        <w:rPr>
          <w:rFonts w:ascii="Times New Roman" w:eastAsia="Times New Roman" w:hAnsi="Times New Roman"/>
          <w:rtl/>
        </w:rPr>
        <w:t xml:space="preserve"> מבחן גמיש יחסית, במסגרתו יש לבחון את מידת הרלוונטיות והזיקה בין החומר המבוקש לבין האישומים (</w:t>
      </w:r>
      <w:proofErr w:type="spellStart"/>
      <w:r w:rsidR="00B57ADE" w:rsidRPr="00CF0056">
        <w:rPr>
          <w:rFonts w:ascii="Times New Roman" w:eastAsia="Times New Roman" w:hAnsi="Times New Roman"/>
          <w:rtl/>
        </w:rPr>
        <w:t>בש"פ</w:t>
      </w:r>
      <w:proofErr w:type="spellEnd"/>
      <w:r w:rsidR="00B57ADE" w:rsidRPr="00CF0056">
        <w:rPr>
          <w:rFonts w:ascii="Times New Roman" w:eastAsia="Times New Roman" w:hAnsi="Times New Roman"/>
          <w:rtl/>
        </w:rPr>
        <w:t xml:space="preserve"> 8100/21 </w:t>
      </w:r>
      <w:proofErr w:type="spellStart"/>
      <w:r w:rsidR="00B57ADE" w:rsidRPr="00CF0056">
        <w:rPr>
          <w:rFonts w:ascii="Times New Roman" w:eastAsia="Times New Roman" w:hAnsi="Times New Roman"/>
          <w:b/>
          <w:bCs/>
          <w:rtl/>
        </w:rPr>
        <w:t>טראבין</w:t>
      </w:r>
      <w:proofErr w:type="spellEnd"/>
      <w:r w:rsidR="00B57ADE" w:rsidRPr="00CF0056">
        <w:rPr>
          <w:rFonts w:ascii="Times New Roman" w:eastAsia="Times New Roman" w:hAnsi="Times New Roman"/>
          <w:b/>
          <w:bCs/>
          <w:rtl/>
        </w:rPr>
        <w:t xml:space="preserve"> נ' מדינת ישראל</w:t>
      </w:r>
      <w:r w:rsidR="001F2880" w:rsidRPr="00CF0056">
        <w:rPr>
          <w:rFonts w:ascii="Times New Roman" w:eastAsia="Times New Roman" w:hAnsi="Times New Roman" w:hint="cs"/>
          <w:rtl/>
        </w:rPr>
        <w:t>,</w:t>
      </w:r>
      <w:r w:rsidR="00B57ADE" w:rsidRPr="00CF0056">
        <w:rPr>
          <w:rFonts w:ascii="Times New Roman" w:eastAsia="Times New Roman" w:hAnsi="Times New Roman"/>
          <w:rtl/>
        </w:rPr>
        <w:t xml:space="preserve"> בפסקה 16 (</w:t>
      </w:r>
      <w:r w:rsidR="007D5467" w:rsidRPr="00CF0056">
        <w:rPr>
          <w:rFonts w:ascii="Times New Roman" w:eastAsia="Times New Roman" w:hAnsi="Times New Roman" w:hint="cs"/>
          <w:rtl/>
        </w:rPr>
        <w:t>20.12.21</w:t>
      </w:r>
      <w:r w:rsidR="00B57ADE" w:rsidRPr="00CF0056">
        <w:rPr>
          <w:rFonts w:ascii="Times New Roman" w:eastAsia="Times New Roman" w:hAnsi="Times New Roman"/>
          <w:rtl/>
        </w:rPr>
        <w:t>)</w:t>
      </w:r>
      <w:r w:rsidR="00287B15" w:rsidRPr="00CF0056">
        <w:rPr>
          <w:rFonts w:ascii="Times New Roman" w:eastAsia="Times New Roman" w:hAnsi="Times New Roman" w:hint="cs"/>
          <w:rtl/>
        </w:rPr>
        <w:t>)</w:t>
      </w:r>
      <w:r w:rsidR="00B57ADE" w:rsidRPr="00CF0056">
        <w:rPr>
          <w:rFonts w:ascii="Times New Roman" w:eastAsia="Times New Roman" w:hAnsi="Times New Roman"/>
          <w:rtl/>
        </w:rPr>
        <w:t>.</w:t>
      </w:r>
      <w:r w:rsidR="00B57ADE" w:rsidRPr="00CF0056">
        <w:rPr>
          <w:rFonts w:ascii="Times New Roman" w:eastAsia="Times New Roman" w:hAnsi="Times New Roman" w:hint="cs"/>
          <w:rtl/>
        </w:rPr>
        <w:t xml:space="preserve"> </w:t>
      </w:r>
    </w:p>
    <w:p w14:paraId="5EBF82A4" w14:textId="330395B3" w:rsidR="002A2DB1" w:rsidRDefault="00B57ADE" w:rsidP="000A199D">
      <w:pPr>
        <w:numPr>
          <w:ilvl w:val="0"/>
          <w:numId w:val="1"/>
        </w:numPr>
        <w:tabs>
          <w:tab w:val="left" w:pos="226"/>
        </w:tabs>
        <w:spacing w:after="0" w:line="360" w:lineRule="auto"/>
        <w:ind w:left="-58" w:firstLine="0"/>
        <w:jc w:val="both"/>
        <w:rPr>
          <w:rFonts w:ascii="Times New Roman" w:eastAsia="Times New Roman" w:hAnsi="Times New Roman"/>
        </w:rPr>
      </w:pPr>
      <w:r w:rsidRPr="00E129A7">
        <w:rPr>
          <w:rFonts w:ascii="Times New Roman" w:eastAsia="Times New Roman" w:hAnsi="Times New Roman" w:hint="cs"/>
          <w:rtl/>
        </w:rPr>
        <w:t xml:space="preserve">לצד </w:t>
      </w:r>
      <w:r w:rsidR="003158EF" w:rsidRPr="00E129A7">
        <w:rPr>
          <w:rFonts w:ascii="Times New Roman" w:eastAsia="Times New Roman" w:hAnsi="Times New Roman" w:hint="cs"/>
          <w:rtl/>
        </w:rPr>
        <w:t>האמור</w:t>
      </w:r>
      <w:r w:rsidRPr="00E129A7">
        <w:rPr>
          <w:rFonts w:ascii="Times New Roman" w:eastAsia="Times New Roman" w:hAnsi="Times New Roman" w:hint="cs"/>
          <w:rtl/>
        </w:rPr>
        <w:t xml:space="preserve"> נפסק לא פעם, כי אין להרחיב את הגדרתו של 'חומר חקירה' לחומר שהרלוונטיות שלו להגנת הנאשם היא שולית, רחוקה, ספקולטיבית וחסרת "נקודת אחיזה ממשית", וכי אל לבית המשפט להתיר 'מסע דיג', בתקווה למציאתו של חומר חקירה העשוי לסייע להגנה </w:t>
      </w:r>
      <w:r w:rsidR="00EF1251" w:rsidRPr="00E129A7">
        <w:rPr>
          <w:rFonts w:ascii="Times New Roman" w:eastAsia="Times New Roman" w:hAnsi="Times New Roman"/>
          <w:rtl/>
        </w:rPr>
        <w:t>(</w:t>
      </w:r>
      <w:proofErr w:type="spellStart"/>
      <w:r w:rsidR="00EF1251" w:rsidRPr="00E129A7">
        <w:rPr>
          <w:rFonts w:ascii="Times New Roman" w:eastAsia="Times New Roman" w:hAnsi="Times New Roman"/>
          <w:rtl/>
        </w:rPr>
        <w:t>עלב"ש</w:t>
      </w:r>
      <w:proofErr w:type="spellEnd"/>
      <w:r w:rsidR="00EF1251" w:rsidRPr="00E129A7">
        <w:rPr>
          <w:rFonts w:ascii="Times New Roman" w:eastAsia="Times New Roman" w:hAnsi="Times New Roman"/>
          <w:rtl/>
        </w:rPr>
        <w:t xml:space="preserve">/3/19 </w:t>
      </w:r>
      <w:r w:rsidR="00EF1251" w:rsidRPr="00E129A7">
        <w:rPr>
          <w:rFonts w:ascii="Times New Roman" w:eastAsia="Times New Roman" w:hAnsi="Times New Roman"/>
          <w:b/>
          <w:bCs/>
          <w:rtl/>
        </w:rPr>
        <w:t>רנ"ג ישראלי נ' התובע הצבאי הראשי</w:t>
      </w:r>
      <w:r w:rsidR="00EF1251" w:rsidRPr="00E129A7">
        <w:rPr>
          <w:rFonts w:ascii="Times New Roman" w:eastAsia="Times New Roman" w:hAnsi="Times New Roman"/>
          <w:rtl/>
        </w:rPr>
        <w:t xml:space="preserve">, </w:t>
      </w:r>
      <w:r w:rsidR="00271D4E" w:rsidRPr="00E129A7">
        <w:rPr>
          <w:rFonts w:ascii="Times New Roman" w:eastAsia="Times New Roman" w:hAnsi="Times New Roman" w:hint="cs"/>
          <w:rtl/>
        </w:rPr>
        <w:t>ב</w:t>
      </w:r>
      <w:r w:rsidR="00EF1251" w:rsidRPr="00E129A7">
        <w:rPr>
          <w:rFonts w:ascii="Times New Roman" w:eastAsia="Times New Roman" w:hAnsi="Times New Roman"/>
          <w:rtl/>
        </w:rPr>
        <w:t>פסקה 20 (2019))</w:t>
      </w:r>
      <w:r w:rsidR="003158EF" w:rsidRPr="00E129A7">
        <w:rPr>
          <w:rFonts w:ascii="Times New Roman" w:eastAsia="Times New Roman" w:hAnsi="Times New Roman" w:hint="cs"/>
          <w:rtl/>
        </w:rPr>
        <w:t>; ולטעמי בצדק קבע בית הדין קמא כי כך יש לראות את בקשת ההגנה</w:t>
      </w:r>
      <w:r w:rsidR="002A2DB1">
        <w:rPr>
          <w:rFonts w:ascii="Times New Roman" w:eastAsia="Times New Roman" w:hAnsi="Times New Roman" w:hint="cs"/>
          <w:rtl/>
        </w:rPr>
        <w:t xml:space="preserve">. </w:t>
      </w:r>
    </w:p>
    <w:p w14:paraId="7324F560" w14:textId="724B1E32" w:rsidR="00E129A7" w:rsidRDefault="002A2DB1" w:rsidP="004417AD">
      <w:pPr>
        <w:numPr>
          <w:ilvl w:val="0"/>
          <w:numId w:val="1"/>
        </w:numPr>
        <w:tabs>
          <w:tab w:val="left" w:pos="226"/>
        </w:tabs>
        <w:spacing w:after="0" w:line="360" w:lineRule="auto"/>
        <w:ind w:left="-58" w:firstLine="0"/>
        <w:jc w:val="both"/>
        <w:rPr>
          <w:rFonts w:ascii="Times New Roman" w:eastAsia="Times New Roman" w:hAnsi="Times New Roman"/>
        </w:rPr>
      </w:pPr>
      <w:r w:rsidRPr="004417AD">
        <w:rPr>
          <w:rFonts w:ascii="Times New Roman" w:eastAsia="Times New Roman" w:hAnsi="Times New Roman" w:hint="cs"/>
          <w:rtl/>
        </w:rPr>
        <w:t xml:space="preserve">עמדתי אמנם בהחלטתי הראשונה בעניינה של המערערת (ב"ש </w:t>
      </w:r>
      <w:r w:rsidR="00C50888">
        <w:rPr>
          <w:rFonts w:ascii="Times New Roman" w:eastAsia="Times New Roman" w:hAnsi="Times New Roman" w:hint="cs"/>
          <w:rtl/>
        </w:rPr>
        <w:t>5</w:t>
      </w:r>
      <w:r w:rsidRPr="004417AD">
        <w:rPr>
          <w:rFonts w:ascii="Times New Roman" w:eastAsia="Times New Roman" w:hAnsi="Times New Roman" w:hint="cs"/>
          <w:rtl/>
        </w:rPr>
        <w:t>/22 הנ"ל)</w:t>
      </w:r>
      <w:r w:rsidRPr="004417AD">
        <w:rPr>
          <w:rFonts w:ascii="Times New Roman" w:eastAsia="Times New Roman" w:hAnsi="Times New Roman" w:hint="cs"/>
        </w:rPr>
        <w:t xml:space="preserve"> </w:t>
      </w:r>
      <w:r w:rsidRPr="004417AD">
        <w:rPr>
          <w:rFonts w:ascii="Times New Roman" w:eastAsia="Times New Roman" w:hAnsi="Times New Roman" w:hint="cs"/>
          <w:rtl/>
        </w:rPr>
        <w:t>כי אין זה המקום להביע עמדה נחרצת בדבר סיכויי טענות ההגנה להתקבל</w:t>
      </w:r>
      <w:r w:rsidR="00492A80">
        <w:rPr>
          <w:rFonts w:ascii="Times New Roman" w:eastAsia="Times New Roman" w:hAnsi="Times New Roman" w:hint="cs"/>
          <w:rtl/>
        </w:rPr>
        <w:t xml:space="preserve"> (בשים לב לכך שעל רקע התשתית הראייתית הקיימת נחזית טענת ההגנה על פניה </w:t>
      </w:r>
      <w:proofErr w:type="spellStart"/>
      <w:r w:rsidR="00492A80">
        <w:rPr>
          <w:rFonts w:ascii="Times New Roman" w:eastAsia="Times New Roman" w:hAnsi="Times New Roman" w:hint="cs"/>
          <w:rtl/>
        </w:rPr>
        <w:t>ככזו</w:t>
      </w:r>
      <w:proofErr w:type="spellEnd"/>
      <w:r w:rsidR="00492A80">
        <w:rPr>
          <w:rFonts w:ascii="Times New Roman" w:eastAsia="Times New Roman" w:hAnsi="Times New Roman" w:hint="cs"/>
          <w:rtl/>
        </w:rPr>
        <w:t xml:space="preserve"> העוסקת בטעות שבדין ולא בטעות שבעובדה)</w:t>
      </w:r>
      <w:r w:rsidR="004417AD" w:rsidRPr="004417AD">
        <w:rPr>
          <w:rFonts w:ascii="Times New Roman" w:eastAsia="Times New Roman" w:hAnsi="Times New Roman" w:hint="cs"/>
          <w:rtl/>
        </w:rPr>
        <w:t xml:space="preserve">; אולם </w:t>
      </w:r>
      <w:r w:rsidR="004417AD">
        <w:rPr>
          <w:rFonts w:ascii="Times New Roman" w:eastAsia="Times New Roman" w:hAnsi="Times New Roman" w:hint="cs"/>
          <w:rtl/>
        </w:rPr>
        <w:t>בסופם של דברים, הרלוונטיות של המידע המבוקש נבחנת גם בהתאם לגדר המחלוקת</w:t>
      </w:r>
      <w:r w:rsidR="00E129A7" w:rsidRPr="004417AD">
        <w:rPr>
          <w:rFonts w:ascii="Times New Roman" w:eastAsia="Times New Roman" w:hAnsi="Times New Roman" w:hint="cs"/>
          <w:rtl/>
        </w:rPr>
        <w:t>; ו</w:t>
      </w:r>
      <w:r w:rsidR="004417AD">
        <w:rPr>
          <w:rFonts w:ascii="Times New Roman" w:eastAsia="Times New Roman" w:hAnsi="Times New Roman" w:hint="cs"/>
          <w:rtl/>
        </w:rPr>
        <w:t xml:space="preserve">מכאן שיש חשיבות </w:t>
      </w:r>
      <w:r w:rsidR="00492A80">
        <w:rPr>
          <w:rFonts w:ascii="Times New Roman" w:eastAsia="Times New Roman" w:hAnsi="Times New Roman" w:hint="cs"/>
          <w:rtl/>
        </w:rPr>
        <w:t>ל</w:t>
      </w:r>
      <w:r w:rsidR="004417AD">
        <w:rPr>
          <w:rFonts w:ascii="Times New Roman" w:eastAsia="Times New Roman" w:hAnsi="Times New Roman" w:hint="cs"/>
          <w:rtl/>
        </w:rPr>
        <w:t>כך ש</w:t>
      </w:r>
      <w:r w:rsidR="00E129A7" w:rsidRPr="004417AD">
        <w:rPr>
          <w:rFonts w:ascii="Times New Roman" w:eastAsia="Times New Roman" w:hAnsi="Times New Roman" w:hint="cs"/>
          <w:rtl/>
        </w:rPr>
        <w:t>אף מגרסתה של המערערת כפשוטה עולה, כי מתן פתק ההצבעה על ידי אותה א</w:t>
      </w:r>
      <w:r w:rsidR="008707F5">
        <w:rPr>
          <w:rFonts w:ascii="Times New Roman" w:eastAsia="Times New Roman" w:hAnsi="Times New Roman" w:hint="cs"/>
          <w:rtl/>
        </w:rPr>
        <w:t>י</w:t>
      </w:r>
      <w:r w:rsidR="00E129A7" w:rsidRPr="004417AD">
        <w:rPr>
          <w:rFonts w:ascii="Times New Roman" w:eastAsia="Times New Roman" w:hAnsi="Times New Roman" w:hint="cs"/>
          <w:rtl/>
        </w:rPr>
        <w:t>שה אלמונית לא הסיר מבחינתה את הספק בכך שהצבעתה אינה תקינה</w:t>
      </w:r>
      <w:r w:rsidR="004417AD">
        <w:rPr>
          <w:rFonts w:ascii="Times New Roman" w:eastAsia="Times New Roman" w:hAnsi="Times New Roman" w:hint="cs"/>
          <w:rtl/>
        </w:rPr>
        <w:t xml:space="preserve">, על כל המשמעות הנודעת לכך מבחינת היסוד הנפשי שלה, ולכן גם המשיכה לערוך בירורים בנושא </w:t>
      </w:r>
      <w:r w:rsidR="004417AD">
        <w:rPr>
          <w:rFonts w:ascii="Times New Roman" w:eastAsia="Times New Roman" w:hAnsi="Times New Roman" w:hint="cs"/>
          <w:b/>
          <w:bCs/>
          <w:rtl/>
        </w:rPr>
        <w:t xml:space="preserve">לאחר </w:t>
      </w:r>
      <w:r w:rsidR="004417AD">
        <w:rPr>
          <w:rFonts w:ascii="Times New Roman" w:eastAsia="Times New Roman" w:hAnsi="Times New Roman" w:hint="cs"/>
          <w:rtl/>
        </w:rPr>
        <w:t xml:space="preserve">סיום ההצבעה השנייה. </w:t>
      </w:r>
      <w:r w:rsidR="00E129A7" w:rsidRPr="004417AD">
        <w:rPr>
          <w:rFonts w:ascii="Times New Roman" w:eastAsia="Times New Roman" w:hAnsi="Times New Roman" w:hint="cs"/>
          <w:rtl/>
        </w:rPr>
        <w:t xml:space="preserve">אולם גם מעבר לכך </w:t>
      </w:r>
      <w:r w:rsidR="004417AD">
        <w:rPr>
          <w:rFonts w:ascii="Times New Roman" w:eastAsia="Times New Roman" w:hAnsi="Times New Roman" w:hint="cs"/>
          <w:rtl/>
        </w:rPr>
        <w:t>-</w:t>
      </w:r>
      <w:r w:rsidR="00E129A7" w:rsidRPr="004417AD">
        <w:rPr>
          <w:rFonts w:ascii="Times New Roman" w:eastAsia="Times New Roman" w:hAnsi="Times New Roman" w:hint="cs"/>
          <w:rtl/>
        </w:rPr>
        <w:t xml:space="preserve"> המערערת לא ידעה לומר דבר על זהותה של מי שמסרה לה את אותו פתק מסתורי (שגם טיבו לא הובהר</w:t>
      </w:r>
      <w:r w:rsidR="004417AD">
        <w:rPr>
          <w:rFonts w:ascii="Times New Roman" w:eastAsia="Times New Roman" w:hAnsi="Times New Roman" w:hint="cs"/>
          <w:rtl/>
        </w:rPr>
        <w:t>. האם היה זה פתק הצבעה לאחת המפלגות? (דבר המעלה את הסיכוי כי מדובר דווקא בפעילה של אחת המפלגות)</w:t>
      </w:r>
      <w:r w:rsidR="00E129A7" w:rsidRPr="004417AD">
        <w:rPr>
          <w:rFonts w:ascii="Times New Roman" w:eastAsia="Times New Roman" w:hAnsi="Times New Roman" w:hint="cs"/>
          <w:rtl/>
        </w:rPr>
        <w:t>). באותה מידה יכולה הי</w:t>
      </w:r>
      <w:r w:rsidR="004417AD">
        <w:rPr>
          <w:rFonts w:ascii="Times New Roman" w:eastAsia="Times New Roman" w:hAnsi="Times New Roman" w:hint="cs"/>
          <w:rtl/>
        </w:rPr>
        <w:t>י</w:t>
      </w:r>
      <w:r w:rsidR="00E129A7" w:rsidRPr="004417AD">
        <w:rPr>
          <w:rFonts w:ascii="Times New Roman" w:eastAsia="Times New Roman" w:hAnsi="Times New Roman" w:hint="cs"/>
          <w:rtl/>
        </w:rPr>
        <w:t xml:space="preserve">תה זו להיות עוברת אורח במקום, </w:t>
      </w:r>
      <w:r w:rsidR="00C50888">
        <w:rPr>
          <w:rFonts w:ascii="Times New Roman" w:eastAsia="Times New Roman" w:hAnsi="Times New Roman" w:hint="cs"/>
          <w:rtl/>
        </w:rPr>
        <w:t xml:space="preserve">סדרנית, </w:t>
      </w:r>
      <w:r w:rsidR="00E129A7" w:rsidRPr="004417AD">
        <w:rPr>
          <w:rFonts w:ascii="Times New Roman" w:eastAsia="Times New Roman" w:hAnsi="Times New Roman" w:hint="cs"/>
          <w:rtl/>
        </w:rPr>
        <w:t xml:space="preserve">פעילה </w:t>
      </w:r>
      <w:r w:rsidR="004417AD">
        <w:rPr>
          <w:rFonts w:ascii="Times New Roman" w:eastAsia="Times New Roman" w:hAnsi="Times New Roman" w:hint="cs"/>
          <w:rtl/>
        </w:rPr>
        <w:t xml:space="preserve">פוליטית </w:t>
      </w:r>
      <w:r w:rsidR="00E129A7" w:rsidRPr="004417AD">
        <w:rPr>
          <w:rFonts w:ascii="Times New Roman" w:eastAsia="Times New Roman" w:hAnsi="Times New Roman" w:hint="cs"/>
          <w:rtl/>
        </w:rPr>
        <w:t>וכ</w:t>
      </w:r>
      <w:r w:rsidR="004417AD">
        <w:rPr>
          <w:rFonts w:ascii="Times New Roman" w:eastAsia="Times New Roman" w:hAnsi="Times New Roman" w:hint="cs"/>
          <w:rtl/>
        </w:rPr>
        <w:t>יו"ב</w:t>
      </w:r>
      <w:r w:rsidR="00E129A7" w:rsidRPr="004417AD">
        <w:rPr>
          <w:rFonts w:ascii="Times New Roman" w:eastAsia="Times New Roman" w:hAnsi="Times New Roman" w:hint="cs"/>
          <w:rtl/>
        </w:rPr>
        <w:t>. הסיכוי כי מדובר דווקא בעובדת קלפי</w:t>
      </w:r>
      <w:r w:rsidR="004417AD">
        <w:rPr>
          <w:rFonts w:ascii="Times New Roman" w:eastAsia="Times New Roman" w:hAnsi="Times New Roman" w:hint="cs"/>
          <w:rtl/>
        </w:rPr>
        <w:t xml:space="preserve"> הוא ספקולטיבי לחלוטין, וזאת </w:t>
      </w:r>
      <w:r w:rsidR="004417AD">
        <w:rPr>
          <w:rFonts w:ascii="Times New Roman" w:eastAsia="Times New Roman" w:hAnsi="Times New Roman" w:hint="cs"/>
          <w:rtl/>
        </w:rPr>
        <w:lastRenderedPageBreak/>
        <w:t>אף מבלי לתהות בדבר הסיכויים לאיתורה, גם באם יימסר המידע המבוקש</w:t>
      </w:r>
      <w:r w:rsidR="00C50888">
        <w:rPr>
          <w:rFonts w:ascii="Times New Roman" w:eastAsia="Times New Roman" w:hAnsi="Times New Roman" w:hint="cs"/>
          <w:rtl/>
        </w:rPr>
        <w:t>,</w:t>
      </w:r>
      <w:r w:rsidR="004417AD">
        <w:rPr>
          <w:rFonts w:ascii="Times New Roman" w:eastAsia="Times New Roman" w:hAnsi="Times New Roman" w:hint="cs"/>
          <w:rtl/>
        </w:rPr>
        <w:t xml:space="preserve"> על סמך משפט אחד שאמרה למערערת, שאינה מוכרת לה, ביום הבחירות שהיה לפני כשנתיים. </w:t>
      </w:r>
    </w:p>
    <w:p w14:paraId="1B529D0B" w14:textId="783C2898" w:rsidR="001B017F" w:rsidRDefault="001B017F" w:rsidP="004417AD">
      <w:pPr>
        <w:numPr>
          <w:ilvl w:val="0"/>
          <w:numId w:val="1"/>
        </w:numPr>
        <w:tabs>
          <w:tab w:val="left" w:pos="226"/>
        </w:tabs>
        <w:spacing w:after="0" w:line="360" w:lineRule="auto"/>
        <w:ind w:left="-58" w:firstLine="0"/>
        <w:jc w:val="both"/>
        <w:rPr>
          <w:rFonts w:ascii="Times New Roman" w:eastAsia="Times New Roman" w:hAnsi="Times New Roman"/>
        </w:rPr>
      </w:pPr>
      <w:r w:rsidRPr="004417AD">
        <w:rPr>
          <w:rFonts w:ascii="Times New Roman" w:eastAsia="Times New Roman" w:hAnsi="Times New Roman" w:hint="cs"/>
          <w:rtl/>
        </w:rPr>
        <w:t xml:space="preserve">לכך יש להוסיף כי בקבלת בקשת ההגנה יש משום פגיעה מסוימת בפרטיותם של עובדי וועדת הקלפי ששמם יימסר לידי ההגנה. נכון הדבר, כי לא מדובר במידע המצוי תחת חיסיון והפגיעה בפרטיות במקרה זה אינה מן הגבוהות; אך בנסיבות העניין ובשים לב לספקולטיביות </w:t>
      </w:r>
      <w:r w:rsidR="004417AD">
        <w:rPr>
          <w:rFonts w:ascii="Times New Roman" w:eastAsia="Times New Roman" w:hAnsi="Times New Roman" w:hint="cs"/>
          <w:rtl/>
        </w:rPr>
        <w:t xml:space="preserve">ולערטילאיות </w:t>
      </w:r>
      <w:r w:rsidRPr="004417AD">
        <w:rPr>
          <w:rFonts w:ascii="Times New Roman" w:eastAsia="Times New Roman" w:hAnsi="Times New Roman" w:hint="cs"/>
          <w:rtl/>
        </w:rPr>
        <w:t xml:space="preserve">הבקשה, אין כל עילה לאפשר </w:t>
      </w:r>
      <w:r w:rsidR="004417AD" w:rsidRPr="004417AD">
        <w:rPr>
          <w:rFonts w:ascii="Times New Roman" w:eastAsia="Times New Roman" w:hAnsi="Times New Roman" w:hint="cs"/>
          <w:rtl/>
        </w:rPr>
        <w:t xml:space="preserve">ולו פגיעה </w:t>
      </w:r>
      <w:r w:rsidRPr="004417AD">
        <w:rPr>
          <w:rFonts w:ascii="Times New Roman" w:eastAsia="Times New Roman" w:hAnsi="Times New Roman" w:hint="cs"/>
          <w:rtl/>
        </w:rPr>
        <w:t xml:space="preserve">פעוטה בפרטיותם. </w:t>
      </w:r>
    </w:p>
    <w:p w14:paraId="447EC294" w14:textId="27657F82" w:rsidR="00231A2D" w:rsidRPr="004417AD" w:rsidRDefault="001B017F" w:rsidP="004417AD">
      <w:pPr>
        <w:numPr>
          <w:ilvl w:val="0"/>
          <w:numId w:val="1"/>
        </w:numPr>
        <w:tabs>
          <w:tab w:val="left" w:pos="226"/>
        </w:tabs>
        <w:spacing w:after="0" w:line="360" w:lineRule="auto"/>
        <w:ind w:left="-58" w:firstLine="0"/>
        <w:jc w:val="both"/>
        <w:rPr>
          <w:rFonts w:ascii="Times New Roman" w:eastAsia="Times New Roman" w:hAnsi="Times New Roman"/>
        </w:rPr>
      </w:pPr>
      <w:r w:rsidRPr="004417AD">
        <w:rPr>
          <w:rFonts w:ascii="Times New Roman" w:eastAsia="Times New Roman" w:hAnsi="Times New Roman" w:hint="cs"/>
          <w:rtl/>
        </w:rPr>
        <w:t xml:space="preserve">לבסוף יודגש, כי המידע </w:t>
      </w:r>
      <w:r w:rsidR="00CF0056" w:rsidRPr="004417AD">
        <w:rPr>
          <w:rFonts w:ascii="Times New Roman" w:eastAsia="Times New Roman" w:hAnsi="Times New Roman" w:hint="cs"/>
          <w:rtl/>
        </w:rPr>
        <w:t xml:space="preserve">המבוקש על ידי ההגנה בענייננו, לא נאסף </w:t>
      </w:r>
      <w:r w:rsidR="001C562A" w:rsidRPr="004417AD">
        <w:rPr>
          <w:rFonts w:ascii="Times New Roman" w:eastAsia="Times New Roman" w:hAnsi="Times New Roman"/>
          <w:rtl/>
        </w:rPr>
        <w:t>על ידי גורמי החקירה ו</w:t>
      </w:r>
      <w:r w:rsidR="001C562A" w:rsidRPr="004417AD">
        <w:rPr>
          <w:rFonts w:ascii="Times New Roman" w:eastAsia="Times New Roman" w:hAnsi="Times New Roman" w:hint="cs"/>
          <w:rtl/>
        </w:rPr>
        <w:t xml:space="preserve">אף </w:t>
      </w:r>
      <w:r w:rsidR="001C562A" w:rsidRPr="004417AD">
        <w:rPr>
          <w:rFonts w:ascii="Times New Roman" w:eastAsia="Times New Roman" w:hAnsi="Times New Roman"/>
          <w:rtl/>
        </w:rPr>
        <w:t>אינו מצוי בשליטת התביעה</w:t>
      </w:r>
      <w:r w:rsidRPr="004417AD">
        <w:rPr>
          <w:rFonts w:ascii="Times New Roman" w:eastAsia="Times New Roman" w:hAnsi="Times New Roman" w:hint="cs"/>
          <w:rtl/>
        </w:rPr>
        <w:t xml:space="preserve">. אמנם אין בכך משום מבחן בלעדי באשר להגדרת מידע מסוים כ"חומר חקירה"; אולם מדובר </w:t>
      </w:r>
      <w:r w:rsidR="004417AD">
        <w:rPr>
          <w:rFonts w:ascii="Times New Roman" w:eastAsia="Times New Roman" w:hAnsi="Times New Roman" w:hint="cs"/>
          <w:rtl/>
        </w:rPr>
        <w:t>באינדיקציה נוספת לכך ש</w:t>
      </w:r>
      <w:r w:rsidRPr="004417AD">
        <w:rPr>
          <w:rFonts w:ascii="Times New Roman" w:eastAsia="Times New Roman" w:hAnsi="Times New Roman" w:hint="cs"/>
          <w:rtl/>
        </w:rPr>
        <w:t xml:space="preserve">המידע המבוקש אינו חומר חקירה; </w:t>
      </w:r>
      <w:r w:rsidR="001C562A" w:rsidRPr="004417AD">
        <w:rPr>
          <w:rFonts w:ascii="Times New Roman" w:eastAsia="Times New Roman" w:hAnsi="Times New Roman"/>
          <w:rtl/>
        </w:rPr>
        <w:t xml:space="preserve">ואף אם </w:t>
      </w:r>
      <w:r w:rsidR="001C562A" w:rsidRPr="004417AD">
        <w:rPr>
          <w:rFonts w:ascii="Times New Roman" w:eastAsia="Times New Roman" w:hAnsi="Times New Roman" w:hint="cs"/>
          <w:rtl/>
        </w:rPr>
        <w:t>ישנה</w:t>
      </w:r>
      <w:r w:rsidR="001C562A" w:rsidRPr="004417AD">
        <w:rPr>
          <w:rFonts w:ascii="Times New Roman" w:eastAsia="Times New Roman" w:hAnsi="Times New Roman"/>
          <w:rtl/>
        </w:rPr>
        <w:t xml:space="preserve"> אפשרות </w:t>
      </w:r>
      <w:r w:rsidR="001C562A" w:rsidRPr="004417AD">
        <w:rPr>
          <w:rFonts w:ascii="Times New Roman" w:eastAsia="Times New Roman" w:hAnsi="Times New Roman" w:hint="cs"/>
          <w:rtl/>
        </w:rPr>
        <w:t>כי</w:t>
      </w:r>
      <w:r w:rsidR="001C562A" w:rsidRPr="004417AD">
        <w:rPr>
          <w:rFonts w:ascii="Times New Roman" w:eastAsia="Times New Roman" w:hAnsi="Times New Roman"/>
          <w:rtl/>
        </w:rPr>
        <w:t xml:space="preserve"> התביעה </w:t>
      </w:r>
      <w:r w:rsidR="001C562A" w:rsidRPr="004417AD">
        <w:rPr>
          <w:rFonts w:ascii="Times New Roman" w:eastAsia="Times New Roman" w:hAnsi="Times New Roman" w:hint="cs"/>
          <w:rtl/>
        </w:rPr>
        <w:t>ת</w:t>
      </w:r>
      <w:r w:rsidR="001C562A" w:rsidRPr="004417AD">
        <w:rPr>
          <w:rFonts w:ascii="Times New Roman" w:eastAsia="Times New Roman" w:hAnsi="Times New Roman"/>
          <w:rtl/>
        </w:rPr>
        <w:t xml:space="preserve">שיג את החומר המבוקש, לא די בכך, </w:t>
      </w:r>
      <w:r w:rsidR="001C562A" w:rsidRPr="004417AD">
        <w:rPr>
          <w:rFonts w:ascii="Times New Roman" w:eastAsia="Times New Roman" w:hAnsi="Times New Roman" w:hint="cs"/>
          <w:rtl/>
        </w:rPr>
        <w:t>על מנת</w:t>
      </w:r>
      <w:r w:rsidR="001C562A" w:rsidRPr="004417AD">
        <w:rPr>
          <w:rFonts w:ascii="Times New Roman" w:eastAsia="Times New Roman" w:hAnsi="Times New Roman"/>
          <w:rtl/>
        </w:rPr>
        <w:t xml:space="preserve"> להכריע כי מדובר בחומר חקירה או כי החומר רלוונטי לבירור האשמה </w:t>
      </w:r>
      <w:r w:rsidR="00C50888">
        <w:rPr>
          <w:rFonts w:ascii="David" w:hAnsi="David" w:hint="cs"/>
          <w:rtl/>
        </w:rPr>
        <w:t xml:space="preserve">- ובכך להטיל את הנטל האמור על התביעה </w:t>
      </w:r>
      <w:r w:rsidR="006E0ACF" w:rsidRPr="001F68A7">
        <w:rPr>
          <w:rFonts w:ascii="David" w:hAnsi="David" w:hint="cs"/>
          <w:rtl/>
        </w:rPr>
        <w:t>(</w:t>
      </w:r>
      <w:proofErr w:type="spellStart"/>
      <w:r w:rsidR="006E0ACF" w:rsidRPr="001F68A7">
        <w:rPr>
          <w:rFonts w:ascii="David" w:hAnsi="David" w:hint="cs"/>
          <w:rtl/>
        </w:rPr>
        <w:t>בש"פ</w:t>
      </w:r>
      <w:proofErr w:type="spellEnd"/>
      <w:r w:rsidR="006E0ACF" w:rsidRPr="001F68A7">
        <w:rPr>
          <w:rFonts w:ascii="David" w:hAnsi="David" w:hint="cs"/>
          <w:rtl/>
        </w:rPr>
        <w:t xml:space="preserve"> 8252/13 </w:t>
      </w:r>
      <w:r w:rsidR="006E0ACF" w:rsidRPr="001F68A7">
        <w:rPr>
          <w:rFonts w:ascii="David" w:hAnsi="David" w:hint="cs"/>
          <w:b/>
          <w:bCs/>
          <w:rtl/>
        </w:rPr>
        <w:t xml:space="preserve">מדינת ישראל נ' </w:t>
      </w:r>
      <w:proofErr w:type="spellStart"/>
      <w:r w:rsidR="006E0ACF" w:rsidRPr="001F68A7">
        <w:rPr>
          <w:rFonts w:ascii="David" w:hAnsi="David" w:hint="cs"/>
          <w:b/>
          <w:bCs/>
          <w:rtl/>
        </w:rPr>
        <w:t>שיינר</w:t>
      </w:r>
      <w:proofErr w:type="spellEnd"/>
      <w:r w:rsidR="006E0ACF" w:rsidRPr="001F68A7">
        <w:rPr>
          <w:rFonts w:ascii="David" w:hAnsi="David" w:hint="cs"/>
          <w:rtl/>
        </w:rPr>
        <w:t>,</w:t>
      </w:r>
      <w:r w:rsidR="001C562A" w:rsidRPr="004417AD">
        <w:rPr>
          <w:rFonts w:ascii="Times New Roman" w:eastAsia="Times New Roman" w:hAnsi="Times New Roman"/>
          <w:rtl/>
        </w:rPr>
        <w:t xml:space="preserve"> פסקה </w:t>
      </w:r>
      <w:r w:rsidR="006E0ACF">
        <w:rPr>
          <w:rFonts w:ascii="Times New Roman" w:eastAsia="Times New Roman" w:hAnsi="Times New Roman" w:hint="cs"/>
          <w:rtl/>
        </w:rPr>
        <w:t>11 (23.1.2014)</w:t>
      </w:r>
      <w:r w:rsidRPr="004417AD">
        <w:rPr>
          <w:rFonts w:ascii="Times New Roman" w:eastAsia="Times New Roman" w:hAnsi="Times New Roman" w:hint="cs"/>
          <w:rtl/>
        </w:rPr>
        <w:t>. מכאן שככל שתעמוד ההגנה על קבלת</w:t>
      </w:r>
      <w:r w:rsidR="00C50888">
        <w:rPr>
          <w:rFonts w:ascii="Times New Roman" w:eastAsia="Times New Roman" w:hAnsi="Times New Roman" w:hint="cs"/>
          <w:rtl/>
        </w:rPr>
        <w:t xml:space="preserve"> המידע המבוקש</w:t>
      </w:r>
      <w:r w:rsidRPr="004417AD">
        <w:rPr>
          <w:rFonts w:ascii="Times New Roman" w:eastAsia="Times New Roman" w:hAnsi="Times New Roman" w:hint="cs"/>
          <w:rtl/>
        </w:rPr>
        <w:t>, הדרך הראויה לעשות כן, היא באמצעות פניה לערכאה השיפוטית השומעת את הראיות בעניינה של המבקשת, בבקשה מתאימה לפי סעיף 108 לחוק סדר הדין הפלילי, לקבלת המידע מוועדת הבחירות האזרחית</w:t>
      </w:r>
      <w:r w:rsidR="00C50888">
        <w:rPr>
          <w:rFonts w:ascii="Times New Roman" w:eastAsia="Times New Roman" w:hAnsi="Times New Roman" w:hint="cs"/>
          <w:rtl/>
        </w:rPr>
        <w:t>;</w:t>
      </w:r>
      <w:r w:rsidRPr="004417AD">
        <w:rPr>
          <w:rFonts w:ascii="Times New Roman" w:eastAsia="Times New Roman" w:hAnsi="Times New Roman" w:hint="cs"/>
          <w:rtl/>
        </w:rPr>
        <w:t xml:space="preserve">  ו</w:t>
      </w:r>
      <w:r w:rsidR="004417AD">
        <w:rPr>
          <w:rFonts w:ascii="Times New Roman" w:eastAsia="Times New Roman" w:hAnsi="Times New Roman" w:hint="cs"/>
          <w:rtl/>
        </w:rPr>
        <w:t>זו</w:t>
      </w:r>
      <w:r w:rsidRPr="004417AD">
        <w:rPr>
          <w:rFonts w:ascii="Times New Roman" w:eastAsia="Times New Roman" w:hAnsi="Times New Roman" w:hint="cs"/>
          <w:rtl/>
        </w:rPr>
        <w:t xml:space="preserve"> </w:t>
      </w:r>
      <w:r w:rsidR="004417AD">
        <w:rPr>
          <w:rFonts w:ascii="Times New Roman" w:eastAsia="Times New Roman" w:hAnsi="Times New Roman" w:hint="cs"/>
          <w:rtl/>
        </w:rPr>
        <w:t>ת</w:t>
      </w:r>
      <w:r w:rsidRPr="004417AD">
        <w:rPr>
          <w:rFonts w:ascii="Times New Roman" w:eastAsia="Times New Roman" w:hAnsi="Times New Roman" w:hint="cs"/>
          <w:rtl/>
        </w:rPr>
        <w:t>עשה כחוכמת</w:t>
      </w:r>
      <w:r w:rsidR="00C50888">
        <w:rPr>
          <w:rFonts w:ascii="Times New Roman" w:eastAsia="Times New Roman" w:hAnsi="Times New Roman" w:hint="cs"/>
          <w:rtl/>
        </w:rPr>
        <w:t>ה</w:t>
      </w:r>
      <w:r w:rsidRPr="004417AD">
        <w:rPr>
          <w:rFonts w:ascii="Times New Roman" w:eastAsia="Times New Roman" w:hAnsi="Times New Roman" w:hint="cs"/>
          <w:rtl/>
        </w:rPr>
        <w:t xml:space="preserve">, בהתאם לבחינת המארג הראייתי </w:t>
      </w:r>
      <w:r w:rsidR="00C50888">
        <w:rPr>
          <w:rFonts w:ascii="Times New Roman" w:eastAsia="Times New Roman" w:hAnsi="Times New Roman" w:hint="cs"/>
          <w:rtl/>
        </w:rPr>
        <w:t>שנפרש בפניה</w:t>
      </w:r>
      <w:r w:rsidRPr="004417AD">
        <w:rPr>
          <w:rFonts w:ascii="Times New Roman" w:eastAsia="Times New Roman" w:hAnsi="Times New Roman" w:hint="cs"/>
          <w:rtl/>
        </w:rPr>
        <w:t xml:space="preserve">. </w:t>
      </w:r>
    </w:p>
    <w:p w14:paraId="65329A0D" w14:textId="40FFB930" w:rsidR="002A2DB1" w:rsidRDefault="002A2DB1" w:rsidP="004417AD">
      <w:pPr>
        <w:numPr>
          <w:ilvl w:val="0"/>
          <w:numId w:val="1"/>
        </w:numPr>
        <w:tabs>
          <w:tab w:val="left" w:pos="226"/>
        </w:tabs>
        <w:spacing w:after="0" w:line="360" w:lineRule="auto"/>
        <w:ind w:left="-58" w:firstLine="0"/>
        <w:jc w:val="both"/>
        <w:rPr>
          <w:rFonts w:ascii="Times New Roman" w:eastAsia="Times New Roman" w:hAnsi="Times New Roman"/>
        </w:rPr>
      </w:pPr>
      <w:r>
        <w:rPr>
          <w:rFonts w:ascii="Times New Roman" w:eastAsia="Times New Roman" w:hAnsi="Times New Roman" w:hint="cs"/>
          <w:rtl/>
        </w:rPr>
        <w:t xml:space="preserve">ערעור ההגנה נדחה אפוא. </w:t>
      </w:r>
    </w:p>
    <w:p w14:paraId="2D703783" w14:textId="450E6499" w:rsidR="002A2DB1" w:rsidRDefault="002A2DB1" w:rsidP="002A2DB1">
      <w:pPr>
        <w:tabs>
          <w:tab w:val="left" w:pos="226"/>
        </w:tabs>
        <w:spacing w:after="0" w:line="360" w:lineRule="auto"/>
        <w:jc w:val="both"/>
        <w:rPr>
          <w:rFonts w:ascii="Times New Roman" w:eastAsia="Times New Roman" w:hAnsi="Times New Roman"/>
          <w:rtl/>
        </w:rPr>
      </w:pPr>
    </w:p>
    <w:p w14:paraId="383A4D44" w14:textId="69B67BDB" w:rsidR="002A2DB1" w:rsidRPr="00F80CBF" w:rsidRDefault="002A2DB1" w:rsidP="002A2DB1">
      <w:pPr>
        <w:spacing w:after="0" w:line="360" w:lineRule="auto"/>
        <w:contextualSpacing/>
        <w:jc w:val="both"/>
        <w:outlineLvl w:val="0"/>
        <w:rPr>
          <w:rtl/>
        </w:rPr>
      </w:pPr>
      <w:r w:rsidRPr="00F80CBF">
        <w:rPr>
          <w:rFonts w:hint="cs"/>
          <w:rtl/>
        </w:rPr>
        <w:t>נית</w:t>
      </w:r>
      <w:r>
        <w:rPr>
          <w:rFonts w:hint="cs"/>
          <w:rtl/>
        </w:rPr>
        <w:t>נה</w:t>
      </w:r>
      <w:r w:rsidRPr="00F80CBF">
        <w:rPr>
          <w:rFonts w:hint="cs"/>
          <w:rtl/>
        </w:rPr>
        <w:t xml:space="preserve"> </w:t>
      </w:r>
      <w:r>
        <w:rPr>
          <w:rFonts w:hint="cs"/>
          <w:rtl/>
        </w:rPr>
        <w:t>בלשכה</w:t>
      </w:r>
      <w:r w:rsidRPr="00F80CBF">
        <w:rPr>
          <w:rFonts w:hint="cs"/>
          <w:rtl/>
        </w:rPr>
        <w:t xml:space="preserve"> היום, </w:t>
      </w:r>
      <w:r w:rsidR="00492A80">
        <w:rPr>
          <w:rFonts w:hint="cs"/>
          <w:rtl/>
        </w:rPr>
        <w:t xml:space="preserve">א' בסיוון </w:t>
      </w:r>
      <w:r>
        <w:rPr>
          <w:rFonts w:hint="cs"/>
          <w:rtl/>
        </w:rPr>
        <w:t xml:space="preserve"> </w:t>
      </w:r>
      <w:proofErr w:type="spellStart"/>
      <w:r>
        <w:rPr>
          <w:rFonts w:hint="cs"/>
          <w:rtl/>
        </w:rPr>
        <w:t>ה</w:t>
      </w:r>
      <w:r w:rsidRPr="00F80CBF">
        <w:rPr>
          <w:rFonts w:hint="cs"/>
          <w:rtl/>
        </w:rPr>
        <w:t>תשפ"</w:t>
      </w:r>
      <w:r w:rsidR="004417AD">
        <w:rPr>
          <w:rFonts w:hint="cs"/>
          <w:rtl/>
        </w:rPr>
        <w:t>ג</w:t>
      </w:r>
      <w:proofErr w:type="spellEnd"/>
      <w:r w:rsidRPr="00F80CBF">
        <w:rPr>
          <w:rFonts w:hint="cs"/>
          <w:rtl/>
        </w:rPr>
        <w:t>,</w:t>
      </w:r>
      <w:r>
        <w:rPr>
          <w:rFonts w:hint="cs"/>
          <w:rtl/>
        </w:rPr>
        <w:t xml:space="preserve"> </w:t>
      </w:r>
      <w:r w:rsidR="00492A80">
        <w:rPr>
          <w:rFonts w:hint="cs"/>
          <w:rtl/>
        </w:rPr>
        <w:t xml:space="preserve">21 </w:t>
      </w:r>
      <w:r>
        <w:rPr>
          <w:rFonts w:hint="cs"/>
          <w:rtl/>
        </w:rPr>
        <w:t>במאי</w:t>
      </w:r>
      <w:r w:rsidRPr="00F80CBF">
        <w:rPr>
          <w:rFonts w:hint="cs"/>
          <w:rtl/>
        </w:rPr>
        <w:t xml:space="preserve"> 202</w:t>
      </w:r>
      <w:r w:rsidR="004417AD">
        <w:rPr>
          <w:rFonts w:hint="cs"/>
          <w:rtl/>
        </w:rPr>
        <w:t>3</w:t>
      </w:r>
      <w:r w:rsidRPr="00F80CBF">
        <w:rPr>
          <w:rFonts w:hint="cs"/>
          <w:rtl/>
        </w:rPr>
        <w:t xml:space="preserve">, </w:t>
      </w:r>
      <w:r>
        <w:rPr>
          <w:rFonts w:hint="cs"/>
          <w:rtl/>
        </w:rPr>
        <w:t xml:space="preserve">ותועבר לצדדים על ידי מזכירות בית הדין. </w:t>
      </w:r>
    </w:p>
    <w:p w14:paraId="071912BC" w14:textId="77777777" w:rsidR="002A2DB1" w:rsidRDefault="002A2DB1" w:rsidP="002A2DB1">
      <w:pPr>
        <w:tabs>
          <w:tab w:val="center" w:pos="1599"/>
          <w:tab w:val="center" w:pos="4150"/>
          <w:tab w:val="center" w:pos="6702"/>
        </w:tabs>
        <w:spacing w:line="240" w:lineRule="auto"/>
        <w:contextualSpacing/>
        <w:jc w:val="right"/>
        <w:rPr>
          <w:rtl/>
        </w:rPr>
      </w:pPr>
    </w:p>
    <w:p w14:paraId="69B077AB" w14:textId="77777777" w:rsidR="00287204" w:rsidRDefault="00287204" w:rsidP="002A2DB1">
      <w:pPr>
        <w:tabs>
          <w:tab w:val="center" w:pos="1599"/>
          <w:tab w:val="center" w:pos="4150"/>
          <w:tab w:val="center" w:pos="6702"/>
        </w:tabs>
        <w:spacing w:line="240" w:lineRule="auto"/>
        <w:contextualSpacing/>
        <w:jc w:val="right"/>
        <w:rPr>
          <w:b/>
          <w:bCs/>
          <w:rtl/>
        </w:rPr>
      </w:pPr>
    </w:p>
    <w:p w14:paraId="3D055675" w14:textId="77777777" w:rsidR="00287204" w:rsidRDefault="00287204" w:rsidP="002A2DB1">
      <w:pPr>
        <w:tabs>
          <w:tab w:val="center" w:pos="1599"/>
          <w:tab w:val="center" w:pos="4150"/>
          <w:tab w:val="center" w:pos="6702"/>
        </w:tabs>
        <w:spacing w:line="240" w:lineRule="auto"/>
        <w:contextualSpacing/>
        <w:jc w:val="right"/>
        <w:rPr>
          <w:b/>
          <w:bCs/>
          <w:rtl/>
        </w:rPr>
      </w:pPr>
    </w:p>
    <w:p w14:paraId="7CCB3136" w14:textId="77777777" w:rsidR="00287204" w:rsidRDefault="00287204" w:rsidP="002A2DB1">
      <w:pPr>
        <w:tabs>
          <w:tab w:val="center" w:pos="1599"/>
          <w:tab w:val="center" w:pos="4150"/>
          <w:tab w:val="center" w:pos="6702"/>
        </w:tabs>
        <w:spacing w:line="240" w:lineRule="auto"/>
        <w:contextualSpacing/>
        <w:jc w:val="right"/>
        <w:rPr>
          <w:b/>
          <w:bCs/>
          <w:rtl/>
        </w:rPr>
      </w:pPr>
    </w:p>
    <w:p w14:paraId="67F06BDE" w14:textId="1EC62FF8" w:rsidR="002A2DB1" w:rsidRPr="00F80CBF" w:rsidRDefault="00A81D35" w:rsidP="002A2DB1">
      <w:pPr>
        <w:tabs>
          <w:tab w:val="center" w:pos="1599"/>
          <w:tab w:val="center" w:pos="4150"/>
          <w:tab w:val="center" w:pos="6702"/>
        </w:tabs>
        <w:spacing w:line="240" w:lineRule="auto"/>
        <w:contextualSpacing/>
        <w:jc w:val="right"/>
        <w:rPr>
          <w:b/>
          <w:bCs/>
          <w:rtl/>
        </w:rPr>
      </w:pPr>
      <w:r>
        <w:rPr>
          <w:rFonts w:hint="cs"/>
          <w:b/>
          <w:bCs/>
          <w:rtl/>
        </w:rPr>
        <w:t>___</w:t>
      </w:r>
      <w:r w:rsidR="00287204">
        <w:rPr>
          <w:rFonts w:hint="cs"/>
          <w:b/>
          <w:bCs/>
          <w:rtl/>
        </w:rPr>
        <w:t>_</w:t>
      </w:r>
      <w:r w:rsidR="002A2DB1">
        <w:rPr>
          <w:rFonts w:hint="cs"/>
          <w:b/>
          <w:bCs/>
          <w:rtl/>
        </w:rPr>
        <w:t>____</w:t>
      </w:r>
      <w:r w:rsidR="002A2DB1" w:rsidRPr="00F80CBF">
        <w:rPr>
          <w:b/>
          <w:bCs/>
          <w:rtl/>
        </w:rPr>
        <w:t>______________</w:t>
      </w:r>
    </w:p>
    <w:p w14:paraId="0D671EFC" w14:textId="4843C62A" w:rsidR="002A2DB1" w:rsidRDefault="002A2DB1" w:rsidP="00CC42EC">
      <w:pPr>
        <w:tabs>
          <w:tab w:val="center" w:pos="1599"/>
          <w:tab w:val="center" w:pos="4150"/>
          <w:tab w:val="center" w:pos="6702"/>
        </w:tabs>
        <w:spacing w:line="240" w:lineRule="auto"/>
        <w:contextualSpacing/>
        <w:jc w:val="right"/>
        <w:rPr>
          <w:b/>
          <w:bCs/>
          <w:rtl/>
        </w:rPr>
      </w:pPr>
      <w:r>
        <w:rPr>
          <w:rFonts w:hint="cs"/>
          <w:b/>
          <w:bCs/>
          <w:rtl/>
        </w:rPr>
        <w:t xml:space="preserve">אל"ם </w:t>
      </w:r>
      <w:r w:rsidR="00287204">
        <w:rPr>
          <w:rFonts w:hint="cs"/>
          <w:b/>
          <w:bCs/>
          <w:rtl/>
        </w:rPr>
        <w:t xml:space="preserve"> </w:t>
      </w:r>
      <w:r w:rsidR="00A81D35">
        <w:rPr>
          <w:rFonts w:hint="cs"/>
          <w:b/>
          <w:bCs/>
          <w:rtl/>
        </w:rPr>
        <w:t xml:space="preserve">   </w:t>
      </w:r>
      <w:r w:rsidR="00287204">
        <w:rPr>
          <w:rFonts w:hint="cs"/>
          <w:b/>
          <w:bCs/>
          <w:rtl/>
        </w:rPr>
        <w:t xml:space="preserve"> </w:t>
      </w:r>
      <w:r>
        <w:rPr>
          <w:rFonts w:hint="cs"/>
          <w:b/>
          <w:bCs/>
          <w:rtl/>
        </w:rPr>
        <w:t>מאיה</w:t>
      </w:r>
      <w:r w:rsidR="00287204">
        <w:rPr>
          <w:rFonts w:hint="cs"/>
          <w:b/>
          <w:bCs/>
          <w:rtl/>
        </w:rPr>
        <w:t xml:space="preserve">  </w:t>
      </w:r>
      <w:r>
        <w:rPr>
          <w:rFonts w:hint="cs"/>
          <w:b/>
          <w:bCs/>
          <w:rtl/>
        </w:rPr>
        <w:t xml:space="preserve"> </w:t>
      </w:r>
      <w:r w:rsidR="00A81D35">
        <w:rPr>
          <w:rFonts w:hint="cs"/>
          <w:b/>
          <w:bCs/>
          <w:rtl/>
        </w:rPr>
        <w:t xml:space="preserve">   </w:t>
      </w:r>
      <w:r>
        <w:rPr>
          <w:rFonts w:hint="cs"/>
          <w:b/>
          <w:bCs/>
          <w:rtl/>
        </w:rPr>
        <w:t>גולדשמידט</w:t>
      </w:r>
    </w:p>
    <w:p w14:paraId="6B1623CE" w14:textId="77777777" w:rsidR="00CC42EC" w:rsidRDefault="00CC42EC" w:rsidP="00CC42EC">
      <w:pPr>
        <w:tabs>
          <w:tab w:val="center" w:pos="1599"/>
          <w:tab w:val="center" w:pos="4150"/>
          <w:tab w:val="center" w:pos="6702"/>
        </w:tabs>
        <w:spacing w:line="240" w:lineRule="auto"/>
        <w:contextualSpacing/>
        <w:jc w:val="right"/>
        <w:rPr>
          <w:b/>
          <w:bCs/>
          <w:rtl/>
        </w:rPr>
      </w:pPr>
    </w:p>
    <w:p w14:paraId="481C5C46" w14:textId="4B687AEA" w:rsidR="002A2DB1" w:rsidRDefault="002A2DB1" w:rsidP="00CC42EC">
      <w:pPr>
        <w:tabs>
          <w:tab w:val="center" w:pos="1599"/>
          <w:tab w:val="center" w:pos="4150"/>
          <w:tab w:val="center" w:pos="6702"/>
        </w:tabs>
        <w:spacing w:line="240" w:lineRule="auto"/>
        <w:contextualSpacing/>
        <w:jc w:val="right"/>
        <w:rPr>
          <w:b/>
          <w:bCs/>
          <w:rtl/>
        </w:rPr>
      </w:pPr>
      <w:r>
        <w:rPr>
          <w:rFonts w:hint="cs"/>
          <w:b/>
          <w:bCs/>
          <w:rtl/>
        </w:rPr>
        <w:t xml:space="preserve">שופטת  </w:t>
      </w:r>
      <w:r w:rsidR="00287204">
        <w:rPr>
          <w:rFonts w:hint="cs"/>
          <w:b/>
          <w:bCs/>
          <w:rtl/>
        </w:rPr>
        <w:t xml:space="preserve">  </w:t>
      </w:r>
      <w:r w:rsidR="00A81D35">
        <w:rPr>
          <w:rFonts w:hint="cs"/>
          <w:b/>
          <w:bCs/>
          <w:rtl/>
        </w:rPr>
        <w:t xml:space="preserve"> </w:t>
      </w:r>
      <w:r>
        <w:rPr>
          <w:rFonts w:hint="cs"/>
          <w:b/>
          <w:bCs/>
          <w:rtl/>
        </w:rPr>
        <w:t xml:space="preserve"> בית </w:t>
      </w:r>
      <w:r w:rsidR="00A81D35">
        <w:rPr>
          <w:rFonts w:hint="cs"/>
          <w:b/>
          <w:bCs/>
          <w:rtl/>
        </w:rPr>
        <w:t xml:space="preserve">  </w:t>
      </w:r>
      <w:r w:rsidR="00287204">
        <w:rPr>
          <w:rFonts w:hint="cs"/>
          <w:b/>
          <w:bCs/>
          <w:rtl/>
        </w:rPr>
        <w:t xml:space="preserve"> </w:t>
      </w:r>
      <w:r>
        <w:rPr>
          <w:rFonts w:hint="cs"/>
          <w:b/>
          <w:bCs/>
          <w:rtl/>
        </w:rPr>
        <w:t xml:space="preserve"> </w:t>
      </w:r>
      <w:r w:rsidR="00A81D35">
        <w:rPr>
          <w:rFonts w:hint="cs"/>
          <w:b/>
          <w:bCs/>
          <w:rtl/>
        </w:rPr>
        <w:t xml:space="preserve"> </w:t>
      </w:r>
      <w:r>
        <w:rPr>
          <w:rFonts w:hint="cs"/>
          <w:b/>
          <w:bCs/>
          <w:rtl/>
        </w:rPr>
        <w:t>דין</w:t>
      </w:r>
      <w:r w:rsidR="00A81D35">
        <w:rPr>
          <w:rFonts w:hint="cs"/>
          <w:b/>
          <w:bCs/>
          <w:rtl/>
        </w:rPr>
        <w:t xml:space="preserve"> </w:t>
      </w:r>
      <w:r>
        <w:rPr>
          <w:rFonts w:hint="cs"/>
          <w:b/>
          <w:bCs/>
          <w:rtl/>
        </w:rPr>
        <w:t xml:space="preserve"> </w:t>
      </w:r>
      <w:r w:rsidR="00A81D35">
        <w:rPr>
          <w:rFonts w:hint="cs"/>
          <w:b/>
          <w:bCs/>
          <w:rtl/>
        </w:rPr>
        <w:t xml:space="preserve"> </w:t>
      </w:r>
      <w:r w:rsidR="00287204">
        <w:rPr>
          <w:rFonts w:hint="cs"/>
          <w:b/>
          <w:bCs/>
          <w:rtl/>
        </w:rPr>
        <w:t xml:space="preserve"> </w:t>
      </w:r>
      <w:r>
        <w:rPr>
          <w:rFonts w:hint="cs"/>
          <w:b/>
          <w:bCs/>
          <w:rtl/>
        </w:rPr>
        <w:t>הצבאי</w:t>
      </w:r>
    </w:p>
    <w:p w14:paraId="02403E33" w14:textId="77777777" w:rsidR="00CC42EC" w:rsidRDefault="00CC42EC" w:rsidP="00CC42EC">
      <w:pPr>
        <w:tabs>
          <w:tab w:val="center" w:pos="1599"/>
          <w:tab w:val="center" w:pos="4150"/>
          <w:tab w:val="center" w:pos="6702"/>
        </w:tabs>
        <w:spacing w:line="240" w:lineRule="auto"/>
        <w:contextualSpacing/>
        <w:jc w:val="right"/>
        <w:rPr>
          <w:b/>
          <w:bCs/>
          <w:rtl/>
        </w:rPr>
      </w:pPr>
    </w:p>
    <w:p w14:paraId="030CC226" w14:textId="08814C07" w:rsidR="002A2DB1" w:rsidRDefault="002A2DB1" w:rsidP="00CC42EC">
      <w:pPr>
        <w:tabs>
          <w:tab w:val="center" w:pos="1599"/>
          <w:tab w:val="center" w:pos="4150"/>
          <w:tab w:val="center" w:pos="6702"/>
        </w:tabs>
        <w:spacing w:line="240" w:lineRule="auto"/>
        <w:contextualSpacing/>
        <w:jc w:val="right"/>
        <w:rPr>
          <w:b/>
          <w:bCs/>
          <w:rtl/>
        </w:rPr>
      </w:pPr>
      <w:r>
        <w:rPr>
          <w:rFonts w:hint="cs"/>
          <w:b/>
          <w:bCs/>
          <w:rtl/>
        </w:rPr>
        <w:t xml:space="preserve">  ל </w:t>
      </w:r>
      <w:r w:rsidR="00287204">
        <w:rPr>
          <w:rFonts w:hint="cs"/>
          <w:b/>
          <w:bCs/>
          <w:rtl/>
        </w:rPr>
        <w:t xml:space="preserve"> </w:t>
      </w:r>
      <w:r>
        <w:rPr>
          <w:rFonts w:hint="cs"/>
          <w:b/>
          <w:bCs/>
          <w:rtl/>
        </w:rPr>
        <w:t xml:space="preserve"> </w:t>
      </w:r>
      <w:r w:rsidR="00A81D35">
        <w:rPr>
          <w:rFonts w:hint="cs"/>
          <w:b/>
          <w:bCs/>
          <w:rtl/>
        </w:rPr>
        <w:t xml:space="preserve"> </w:t>
      </w:r>
      <w:r>
        <w:rPr>
          <w:rFonts w:hint="cs"/>
          <w:b/>
          <w:bCs/>
          <w:rtl/>
        </w:rPr>
        <w:t xml:space="preserve"> ע  </w:t>
      </w:r>
      <w:r w:rsidR="00A81D35">
        <w:rPr>
          <w:rFonts w:hint="cs"/>
          <w:b/>
          <w:bCs/>
          <w:rtl/>
        </w:rPr>
        <w:t xml:space="preserve">  </w:t>
      </w:r>
      <w:r>
        <w:rPr>
          <w:rFonts w:hint="cs"/>
          <w:b/>
          <w:bCs/>
          <w:rtl/>
        </w:rPr>
        <w:t xml:space="preserve"> ר</w:t>
      </w:r>
      <w:r w:rsidR="00287204">
        <w:rPr>
          <w:rFonts w:hint="cs"/>
          <w:b/>
          <w:bCs/>
          <w:rtl/>
        </w:rPr>
        <w:t xml:space="preserve"> </w:t>
      </w:r>
      <w:r w:rsidR="00A81D35">
        <w:rPr>
          <w:rFonts w:hint="cs"/>
          <w:b/>
          <w:bCs/>
          <w:rtl/>
        </w:rPr>
        <w:t xml:space="preserve">  </w:t>
      </w:r>
      <w:r w:rsidR="00287204">
        <w:rPr>
          <w:rFonts w:hint="cs"/>
          <w:b/>
          <w:bCs/>
          <w:rtl/>
        </w:rPr>
        <w:t xml:space="preserve"> </w:t>
      </w:r>
      <w:r>
        <w:rPr>
          <w:rFonts w:hint="cs"/>
          <w:b/>
          <w:bCs/>
          <w:rtl/>
        </w:rPr>
        <w:t xml:space="preserve"> ע  </w:t>
      </w:r>
      <w:r w:rsidR="00A81D35">
        <w:rPr>
          <w:rFonts w:hint="cs"/>
          <w:b/>
          <w:bCs/>
          <w:rtl/>
        </w:rPr>
        <w:t xml:space="preserve">   ו</w:t>
      </w:r>
      <w:r>
        <w:rPr>
          <w:rFonts w:hint="cs"/>
          <w:b/>
          <w:bCs/>
          <w:rtl/>
        </w:rPr>
        <w:t xml:space="preserve">    </w:t>
      </w:r>
      <w:r w:rsidR="00A81D35">
        <w:rPr>
          <w:rFonts w:hint="cs"/>
          <w:b/>
          <w:bCs/>
          <w:rtl/>
        </w:rPr>
        <w:t xml:space="preserve"> </w:t>
      </w:r>
      <w:r>
        <w:rPr>
          <w:rFonts w:hint="cs"/>
          <w:b/>
          <w:bCs/>
          <w:rtl/>
        </w:rPr>
        <w:t>ר</w:t>
      </w:r>
      <w:r w:rsidR="00A81D35">
        <w:rPr>
          <w:rFonts w:hint="cs"/>
          <w:b/>
          <w:bCs/>
          <w:rtl/>
        </w:rPr>
        <w:t xml:space="preserve"> </w:t>
      </w:r>
      <w:r w:rsidR="00287204">
        <w:rPr>
          <w:rFonts w:hint="cs"/>
          <w:b/>
          <w:bCs/>
          <w:rtl/>
        </w:rPr>
        <w:t xml:space="preserve"> </w:t>
      </w:r>
      <w:r>
        <w:rPr>
          <w:rFonts w:hint="cs"/>
          <w:b/>
          <w:bCs/>
          <w:rtl/>
        </w:rPr>
        <w:t xml:space="preserve">   י </w:t>
      </w:r>
      <w:r w:rsidR="00A81D35">
        <w:rPr>
          <w:rFonts w:hint="cs"/>
          <w:b/>
          <w:bCs/>
          <w:rtl/>
        </w:rPr>
        <w:t xml:space="preserve"> </w:t>
      </w:r>
      <w:r>
        <w:rPr>
          <w:rFonts w:hint="cs"/>
          <w:b/>
          <w:bCs/>
          <w:rtl/>
        </w:rPr>
        <w:t xml:space="preserve">  ם</w:t>
      </w:r>
    </w:p>
    <w:p w14:paraId="2411CE40" w14:textId="0634ADF1" w:rsidR="00287204" w:rsidRDefault="00A81D35" w:rsidP="002A2DB1">
      <w:pPr>
        <w:tabs>
          <w:tab w:val="center" w:pos="1599"/>
          <w:tab w:val="center" w:pos="4150"/>
          <w:tab w:val="center" w:pos="6702"/>
        </w:tabs>
        <w:contextualSpacing/>
        <w:jc w:val="right"/>
        <w:rPr>
          <w:b/>
          <w:bCs/>
          <w:rtl/>
        </w:rPr>
      </w:pPr>
      <w:r>
        <w:rPr>
          <w:rFonts w:hint="cs"/>
          <w:b/>
          <w:bCs/>
          <w:rtl/>
        </w:rPr>
        <w:t xml:space="preserve"> </w:t>
      </w:r>
    </w:p>
    <w:p w14:paraId="6C147CCE" w14:textId="77777777" w:rsidR="00287204" w:rsidRPr="00F80CBF" w:rsidRDefault="00287204" w:rsidP="002A2DB1">
      <w:pPr>
        <w:tabs>
          <w:tab w:val="center" w:pos="1599"/>
          <w:tab w:val="center" w:pos="4150"/>
          <w:tab w:val="center" w:pos="6702"/>
        </w:tabs>
        <w:contextualSpacing/>
        <w:jc w:val="right"/>
        <w:rPr>
          <w:b/>
          <w:bCs/>
          <w:rtl/>
        </w:rPr>
      </w:pPr>
    </w:p>
    <w:p w14:paraId="4441CA12" w14:textId="5383DAFE" w:rsidR="00287204" w:rsidRDefault="00287204" w:rsidP="00287204">
      <w:pPr>
        <w:ind w:left="-58" w:right="-567"/>
        <w:rPr>
          <w:rFonts w:ascii="David" w:hAnsi="David"/>
          <w:b/>
          <w:bCs/>
          <w:rtl/>
        </w:rPr>
      </w:pPr>
      <w:bookmarkStart w:id="0" w:name="_Hlk122599666"/>
      <w:r>
        <w:rPr>
          <w:rFonts w:ascii="David" w:hAnsi="David"/>
          <w:b/>
          <w:bCs/>
          <w:rtl/>
        </w:rPr>
        <w:t>חתימת המגיה: ________________________</w:t>
      </w:r>
      <w:r>
        <w:rPr>
          <w:rFonts w:ascii="David" w:hAnsi="David" w:hint="cs"/>
          <w:b/>
          <w:bCs/>
          <w:rtl/>
        </w:rPr>
        <w:t>_______</w:t>
      </w:r>
      <w:r>
        <w:rPr>
          <w:rFonts w:ascii="David" w:hAnsi="David"/>
          <w:b/>
          <w:bCs/>
          <w:rtl/>
        </w:rPr>
        <w:t xml:space="preserve">      העתק       </w:t>
      </w:r>
      <w:r>
        <w:rPr>
          <w:rFonts w:ascii="David" w:hAnsi="David" w:hint="cs"/>
          <w:b/>
          <w:bCs/>
          <w:rtl/>
        </w:rPr>
        <w:t xml:space="preserve">  נאמן       למקור</w:t>
      </w:r>
      <w:r>
        <w:rPr>
          <w:rFonts w:ascii="David" w:hAnsi="David"/>
          <w:b/>
          <w:bCs/>
          <w:rtl/>
        </w:rPr>
        <w:t xml:space="preserve">             </w:t>
      </w:r>
    </w:p>
    <w:p w14:paraId="1C17B276" w14:textId="77777777" w:rsidR="000D1025" w:rsidRDefault="00287204" w:rsidP="00287204">
      <w:pPr>
        <w:ind w:left="-58" w:right="-567"/>
        <w:rPr>
          <w:rFonts w:ascii="David" w:hAnsi="David"/>
          <w:b/>
          <w:bCs/>
          <w:rtl/>
        </w:rPr>
      </w:pPr>
      <w:r>
        <w:rPr>
          <w:rFonts w:ascii="David" w:hAnsi="David"/>
          <w:b/>
          <w:bCs/>
          <w:rtl/>
        </w:rPr>
        <w:t xml:space="preserve">                                                                                   </w:t>
      </w:r>
      <w:r>
        <w:rPr>
          <w:rFonts w:ascii="David" w:hAnsi="David" w:hint="cs"/>
          <w:b/>
          <w:bCs/>
          <w:rtl/>
        </w:rPr>
        <w:t xml:space="preserve">        </w:t>
      </w:r>
      <w:r>
        <w:rPr>
          <w:rFonts w:ascii="David" w:hAnsi="David"/>
          <w:b/>
          <w:bCs/>
          <w:rtl/>
        </w:rPr>
        <w:t xml:space="preserve">   </w:t>
      </w:r>
      <w:r>
        <w:rPr>
          <w:rFonts w:ascii="David" w:hAnsi="David" w:hint="cs"/>
          <w:b/>
          <w:bCs/>
          <w:rtl/>
        </w:rPr>
        <w:t xml:space="preserve">       </w:t>
      </w:r>
      <w:r>
        <w:rPr>
          <w:rFonts w:ascii="David" w:hAnsi="David"/>
          <w:b/>
          <w:bCs/>
          <w:rtl/>
        </w:rPr>
        <w:t xml:space="preserve"> </w:t>
      </w:r>
      <w:r w:rsidR="000D1025">
        <w:rPr>
          <w:rFonts w:ascii="David" w:hAnsi="David" w:hint="cs"/>
          <w:b/>
          <w:bCs/>
          <w:rtl/>
        </w:rPr>
        <w:t xml:space="preserve">  </w:t>
      </w:r>
      <w:r>
        <w:rPr>
          <w:rFonts w:ascii="David" w:hAnsi="David"/>
          <w:b/>
          <w:bCs/>
          <w:rtl/>
        </w:rPr>
        <w:t xml:space="preserve">סרן        </w:t>
      </w:r>
      <w:r>
        <w:rPr>
          <w:rFonts w:ascii="David" w:hAnsi="David" w:hint="cs"/>
          <w:b/>
          <w:bCs/>
          <w:rtl/>
        </w:rPr>
        <w:t xml:space="preserve">    </w:t>
      </w:r>
      <w:r>
        <w:rPr>
          <w:rFonts w:ascii="David" w:hAnsi="David"/>
          <w:b/>
          <w:bCs/>
          <w:rtl/>
        </w:rPr>
        <w:t xml:space="preserve">כפיר         </w:t>
      </w:r>
      <w:r>
        <w:rPr>
          <w:rFonts w:ascii="David" w:hAnsi="David" w:hint="cs"/>
          <w:b/>
          <w:bCs/>
          <w:rtl/>
        </w:rPr>
        <w:t xml:space="preserve"> </w:t>
      </w:r>
      <w:r>
        <w:rPr>
          <w:rFonts w:ascii="David" w:hAnsi="David"/>
          <w:b/>
          <w:bCs/>
          <w:rtl/>
        </w:rPr>
        <w:t xml:space="preserve"> </w:t>
      </w:r>
      <w:r w:rsidR="000D1025">
        <w:rPr>
          <w:rFonts w:ascii="David" w:hAnsi="David" w:hint="cs"/>
          <w:b/>
          <w:bCs/>
          <w:rtl/>
        </w:rPr>
        <w:t xml:space="preserve"> </w:t>
      </w:r>
      <w:r>
        <w:rPr>
          <w:rFonts w:ascii="David" w:hAnsi="David"/>
          <w:b/>
          <w:bCs/>
          <w:rtl/>
        </w:rPr>
        <w:t xml:space="preserve"> לב  </w:t>
      </w:r>
    </w:p>
    <w:p w14:paraId="2AF1ED08" w14:textId="6C985312" w:rsidR="00287204" w:rsidRDefault="00287204" w:rsidP="00287204">
      <w:pPr>
        <w:ind w:left="-58" w:right="-567"/>
        <w:rPr>
          <w:rFonts w:ascii="David" w:hAnsi="David"/>
          <w:b/>
          <w:bCs/>
          <w:rtl/>
        </w:rPr>
      </w:pPr>
      <w:r>
        <w:rPr>
          <w:rFonts w:ascii="David" w:hAnsi="David"/>
          <w:b/>
          <w:bCs/>
          <w:rtl/>
        </w:rPr>
        <w:t xml:space="preserve">  תאריך: _____________________________</w:t>
      </w:r>
      <w:r>
        <w:rPr>
          <w:rFonts w:ascii="David" w:hAnsi="David" w:hint="cs"/>
          <w:b/>
          <w:bCs/>
          <w:rtl/>
        </w:rPr>
        <w:t xml:space="preserve">_______   </w:t>
      </w:r>
      <w:r>
        <w:rPr>
          <w:rFonts w:ascii="David" w:hAnsi="David"/>
          <w:b/>
          <w:bCs/>
          <w:rtl/>
        </w:rPr>
        <w:t xml:space="preserve">   קצין   </w:t>
      </w:r>
      <w:r>
        <w:rPr>
          <w:rFonts w:ascii="David" w:hAnsi="David" w:hint="cs"/>
          <w:b/>
          <w:bCs/>
          <w:rtl/>
        </w:rPr>
        <w:t xml:space="preserve"> </w:t>
      </w:r>
      <w:r>
        <w:rPr>
          <w:rFonts w:ascii="David" w:hAnsi="David"/>
          <w:b/>
          <w:bCs/>
          <w:rtl/>
        </w:rPr>
        <w:t xml:space="preserve"> </w:t>
      </w:r>
      <w:r>
        <w:rPr>
          <w:rFonts w:ascii="David" w:hAnsi="David" w:hint="cs"/>
          <w:b/>
          <w:bCs/>
          <w:rtl/>
        </w:rPr>
        <w:t xml:space="preserve">     </w:t>
      </w:r>
      <w:r w:rsidR="000D1025">
        <w:rPr>
          <w:rFonts w:ascii="David" w:hAnsi="David" w:hint="cs"/>
          <w:b/>
          <w:bCs/>
          <w:rtl/>
        </w:rPr>
        <w:t xml:space="preserve"> </w:t>
      </w:r>
      <w:r>
        <w:rPr>
          <w:rFonts w:ascii="David" w:hAnsi="David" w:hint="cs"/>
          <w:b/>
          <w:bCs/>
          <w:rtl/>
        </w:rPr>
        <w:t xml:space="preserve"> </w:t>
      </w:r>
      <w:r>
        <w:rPr>
          <w:rFonts w:ascii="David" w:hAnsi="David"/>
          <w:b/>
          <w:bCs/>
          <w:rtl/>
        </w:rPr>
        <w:t xml:space="preserve">בית        </w:t>
      </w:r>
      <w:r>
        <w:rPr>
          <w:rFonts w:ascii="David" w:hAnsi="David" w:hint="cs"/>
          <w:b/>
          <w:bCs/>
          <w:rtl/>
        </w:rPr>
        <w:t xml:space="preserve"> </w:t>
      </w:r>
      <w:r>
        <w:rPr>
          <w:rFonts w:ascii="David" w:hAnsi="David"/>
          <w:b/>
          <w:bCs/>
          <w:rtl/>
        </w:rPr>
        <w:t xml:space="preserve">  הדין</w:t>
      </w:r>
      <w:bookmarkEnd w:id="0"/>
    </w:p>
    <w:p w14:paraId="54360A69" w14:textId="77777777" w:rsidR="002A2DB1" w:rsidRPr="00287204" w:rsidRDefault="002A2DB1" w:rsidP="002A2DB1">
      <w:pPr>
        <w:tabs>
          <w:tab w:val="left" w:pos="226"/>
        </w:tabs>
        <w:spacing w:after="0" w:line="360" w:lineRule="auto"/>
        <w:jc w:val="both"/>
      </w:pPr>
    </w:p>
    <w:sectPr w:rsidR="002A2DB1" w:rsidRPr="00287204" w:rsidSect="00287204">
      <w:headerReference w:type="default" r:id="rId10"/>
      <w:footerReference w:type="default" r:id="rId11"/>
      <w:pgSz w:w="11906" w:h="16838"/>
      <w:pgMar w:top="1418" w:right="1418" w:bottom="1418" w:left="1418" w:header="708" w:footer="708" w:gutter="0"/>
      <w:cols w:space="708"/>
      <w:bidi/>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2E256" w14:textId="77777777" w:rsidR="00337FDD" w:rsidRDefault="00337FDD" w:rsidP="004615CE">
      <w:pPr>
        <w:spacing w:after="0" w:line="240" w:lineRule="auto"/>
      </w:pPr>
      <w:r>
        <w:separator/>
      </w:r>
    </w:p>
  </w:endnote>
  <w:endnote w:type="continuationSeparator" w:id="0">
    <w:p w14:paraId="7D0579DF" w14:textId="77777777" w:rsidR="00337FDD" w:rsidRDefault="00337FDD" w:rsidP="00461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96416978"/>
      <w:docPartObj>
        <w:docPartGallery w:val="Page Numbers (Bottom of Page)"/>
        <w:docPartUnique/>
      </w:docPartObj>
    </w:sdtPr>
    <w:sdtEndPr/>
    <w:sdtContent>
      <w:p w14:paraId="7AF15E6C" w14:textId="23785402" w:rsidR="00287204" w:rsidRDefault="00287204">
        <w:pPr>
          <w:pStyle w:val="Footer"/>
          <w:jc w:val="center"/>
        </w:pPr>
        <w:r>
          <w:fldChar w:fldCharType="begin"/>
        </w:r>
        <w:r>
          <w:instrText>PAGE   \* MERGEFORMAT</w:instrText>
        </w:r>
        <w:r>
          <w:fldChar w:fldCharType="separate"/>
        </w:r>
        <w:r>
          <w:rPr>
            <w:rtl/>
            <w:lang w:val="he-IL"/>
          </w:rPr>
          <w:t>2</w:t>
        </w:r>
        <w:r>
          <w:fldChar w:fldCharType="end"/>
        </w:r>
      </w:p>
    </w:sdtContent>
  </w:sdt>
  <w:p w14:paraId="2E3C271D" w14:textId="77777777" w:rsidR="00287204" w:rsidRDefault="00287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C8C83" w14:textId="77777777" w:rsidR="00337FDD" w:rsidRDefault="00337FDD" w:rsidP="004615CE">
      <w:pPr>
        <w:spacing w:after="0" w:line="240" w:lineRule="auto"/>
      </w:pPr>
      <w:r>
        <w:separator/>
      </w:r>
    </w:p>
  </w:footnote>
  <w:footnote w:type="continuationSeparator" w:id="0">
    <w:p w14:paraId="5FD2BC08" w14:textId="77777777" w:rsidR="00337FDD" w:rsidRDefault="00337FDD" w:rsidP="00461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7D30B" w14:textId="51BEC05F" w:rsidR="004615CE" w:rsidRDefault="004615CE">
    <w:pPr>
      <w:pStyle w:val="Header"/>
      <w:rPr>
        <w:rtl/>
      </w:rPr>
    </w:pPr>
    <w:r w:rsidRPr="004615CE">
      <w:ptab w:relativeTo="margin" w:alignment="center" w:leader="none"/>
    </w:r>
    <w:r w:rsidR="006A13FE">
      <w:rPr>
        <w:rFonts w:hint="cs"/>
        <w:rtl/>
      </w:rPr>
      <w:t>ב ל מ " ס</w:t>
    </w:r>
    <w:r w:rsidRPr="004615CE">
      <w:ptab w:relativeTo="margin" w:alignment="right" w:leader="none"/>
    </w:r>
    <w:proofErr w:type="spellStart"/>
    <w:r>
      <w:rPr>
        <w:rFonts w:hint="cs"/>
        <w:rtl/>
      </w:rPr>
      <w:t>עלב"ש</w:t>
    </w:r>
    <w:proofErr w:type="spellEnd"/>
    <w:r>
      <w:rPr>
        <w:rFonts w:hint="cs"/>
        <w:rtl/>
      </w:rPr>
      <w:t>/4/23</w:t>
    </w:r>
  </w:p>
  <w:p w14:paraId="0D5D5B58" w14:textId="58F84453" w:rsidR="006A18C2" w:rsidRDefault="006A18C2" w:rsidP="006A18C2">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84A"/>
    <w:multiLevelType w:val="hybridMultilevel"/>
    <w:tmpl w:val="73807E2E"/>
    <w:lvl w:ilvl="0" w:tplc="9CF27F4E">
      <w:start w:val="1"/>
      <w:numFmt w:val="decimal"/>
      <w:suff w:val="space"/>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1" w15:restartNumberingAfterBreak="0">
    <w:nsid w:val="12D23139"/>
    <w:multiLevelType w:val="hybridMultilevel"/>
    <w:tmpl w:val="3FF6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51C8C"/>
    <w:multiLevelType w:val="hybridMultilevel"/>
    <w:tmpl w:val="9E34A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F75B99"/>
    <w:multiLevelType w:val="hybridMultilevel"/>
    <w:tmpl w:val="73807E2E"/>
    <w:lvl w:ilvl="0" w:tplc="9CF27F4E">
      <w:start w:val="1"/>
      <w:numFmt w:val="decimal"/>
      <w:suff w:val="space"/>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4" w15:restartNumberingAfterBreak="0">
    <w:nsid w:val="47D87197"/>
    <w:multiLevelType w:val="hybridMultilevel"/>
    <w:tmpl w:val="71BE1740"/>
    <w:lvl w:ilvl="0" w:tplc="DF3A2E9C">
      <w:start w:val="1"/>
      <w:numFmt w:val="hebrew1"/>
      <w:lvlText w:val="%1."/>
      <w:lvlJc w:val="left"/>
      <w:pPr>
        <w:ind w:left="713" w:hanging="360"/>
      </w:pPr>
      <w:rPr>
        <w:rFonts w:hint="default"/>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5" w15:restartNumberingAfterBreak="0">
    <w:nsid w:val="5482508E"/>
    <w:multiLevelType w:val="hybridMultilevel"/>
    <w:tmpl w:val="73807E2E"/>
    <w:lvl w:ilvl="0" w:tplc="9CF27F4E">
      <w:start w:val="1"/>
      <w:numFmt w:val="decimal"/>
      <w:suff w:val="space"/>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6" w15:restartNumberingAfterBreak="0">
    <w:nsid w:val="69DD0D61"/>
    <w:multiLevelType w:val="hybridMultilevel"/>
    <w:tmpl w:val="73807E2E"/>
    <w:lvl w:ilvl="0" w:tplc="9CF27F4E">
      <w:start w:val="1"/>
      <w:numFmt w:val="decimal"/>
      <w:suff w:val="space"/>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num w:numId="1">
    <w:abstractNumId w:val="3"/>
  </w:num>
  <w:num w:numId="2">
    <w:abstractNumId w:val="6"/>
  </w:num>
  <w:num w:numId="3">
    <w:abstractNumId w:val="4"/>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FB6"/>
    <w:rsid w:val="000A199D"/>
    <w:rsid w:val="000B6DE5"/>
    <w:rsid w:val="000D1025"/>
    <w:rsid w:val="000E0732"/>
    <w:rsid w:val="000E4629"/>
    <w:rsid w:val="00130F7E"/>
    <w:rsid w:val="00132033"/>
    <w:rsid w:val="00167878"/>
    <w:rsid w:val="00176552"/>
    <w:rsid w:val="001B017F"/>
    <w:rsid w:val="001C562A"/>
    <w:rsid w:val="001E14DC"/>
    <w:rsid w:val="001F153A"/>
    <w:rsid w:val="001F2880"/>
    <w:rsid w:val="001F68A7"/>
    <w:rsid w:val="002020C0"/>
    <w:rsid w:val="00213B40"/>
    <w:rsid w:val="00231A2D"/>
    <w:rsid w:val="00254EAE"/>
    <w:rsid w:val="00271D4E"/>
    <w:rsid w:val="00277325"/>
    <w:rsid w:val="00287204"/>
    <w:rsid w:val="0028763C"/>
    <w:rsid w:val="00287B15"/>
    <w:rsid w:val="002939CC"/>
    <w:rsid w:val="002A2DB1"/>
    <w:rsid w:val="002D7202"/>
    <w:rsid w:val="003139EB"/>
    <w:rsid w:val="003158EF"/>
    <w:rsid w:val="00337FDD"/>
    <w:rsid w:val="00372E3C"/>
    <w:rsid w:val="003935B9"/>
    <w:rsid w:val="00395FEC"/>
    <w:rsid w:val="003D3FB6"/>
    <w:rsid w:val="003E615B"/>
    <w:rsid w:val="004274B2"/>
    <w:rsid w:val="00436F4C"/>
    <w:rsid w:val="004410E9"/>
    <w:rsid w:val="004417AD"/>
    <w:rsid w:val="004443CC"/>
    <w:rsid w:val="00455883"/>
    <w:rsid w:val="004615CE"/>
    <w:rsid w:val="00492A80"/>
    <w:rsid w:val="004A5D85"/>
    <w:rsid w:val="004A7F45"/>
    <w:rsid w:val="004D2068"/>
    <w:rsid w:val="004E10A9"/>
    <w:rsid w:val="00522674"/>
    <w:rsid w:val="005375C8"/>
    <w:rsid w:val="005461D2"/>
    <w:rsid w:val="005B630A"/>
    <w:rsid w:val="005F5EF8"/>
    <w:rsid w:val="006023E8"/>
    <w:rsid w:val="00603B54"/>
    <w:rsid w:val="006601F4"/>
    <w:rsid w:val="006A13FE"/>
    <w:rsid w:val="006A18C2"/>
    <w:rsid w:val="006E0ACF"/>
    <w:rsid w:val="006F4F95"/>
    <w:rsid w:val="00710389"/>
    <w:rsid w:val="00752188"/>
    <w:rsid w:val="00752771"/>
    <w:rsid w:val="00752A1B"/>
    <w:rsid w:val="00754F06"/>
    <w:rsid w:val="007621ED"/>
    <w:rsid w:val="00775B20"/>
    <w:rsid w:val="007D5467"/>
    <w:rsid w:val="007D72C7"/>
    <w:rsid w:val="007E4C59"/>
    <w:rsid w:val="007F135A"/>
    <w:rsid w:val="00804204"/>
    <w:rsid w:val="008707F5"/>
    <w:rsid w:val="00876512"/>
    <w:rsid w:val="008E14D0"/>
    <w:rsid w:val="008E509E"/>
    <w:rsid w:val="008F221D"/>
    <w:rsid w:val="00941B3C"/>
    <w:rsid w:val="0096657E"/>
    <w:rsid w:val="00966B24"/>
    <w:rsid w:val="00974BFF"/>
    <w:rsid w:val="00984DB3"/>
    <w:rsid w:val="00991EB3"/>
    <w:rsid w:val="00994E95"/>
    <w:rsid w:val="009B61AB"/>
    <w:rsid w:val="009C0B72"/>
    <w:rsid w:val="00A031A9"/>
    <w:rsid w:val="00A07606"/>
    <w:rsid w:val="00A34451"/>
    <w:rsid w:val="00A50AAD"/>
    <w:rsid w:val="00A5592B"/>
    <w:rsid w:val="00A562CB"/>
    <w:rsid w:val="00A6634E"/>
    <w:rsid w:val="00A672FB"/>
    <w:rsid w:val="00A81D35"/>
    <w:rsid w:val="00AA1D3C"/>
    <w:rsid w:val="00AD0CB8"/>
    <w:rsid w:val="00AD17B4"/>
    <w:rsid w:val="00AD67EF"/>
    <w:rsid w:val="00AD7023"/>
    <w:rsid w:val="00B367FB"/>
    <w:rsid w:val="00B57ADE"/>
    <w:rsid w:val="00BA2B8D"/>
    <w:rsid w:val="00C13AC4"/>
    <w:rsid w:val="00C14053"/>
    <w:rsid w:val="00C14931"/>
    <w:rsid w:val="00C338CA"/>
    <w:rsid w:val="00C44DF0"/>
    <w:rsid w:val="00C50888"/>
    <w:rsid w:val="00C5089F"/>
    <w:rsid w:val="00CC42EC"/>
    <w:rsid w:val="00CC4772"/>
    <w:rsid w:val="00CF0056"/>
    <w:rsid w:val="00D012A9"/>
    <w:rsid w:val="00D25BC9"/>
    <w:rsid w:val="00D45DCA"/>
    <w:rsid w:val="00D601E9"/>
    <w:rsid w:val="00D71CB6"/>
    <w:rsid w:val="00DA46E6"/>
    <w:rsid w:val="00DA51E5"/>
    <w:rsid w:val="00DB25FC"/>
    <w:rsid w:val="00DC350F"/>
    <w:rsid w:val="00DD20B1"/>
    <w:rsid w:val="00DE4198"/>
    <w:rsid w:val="00DF000A"/>
    <w:rsid w:val="00DF7964"/>
    <w:rsid w:val="00E129A7"/>
    <w:rsid w:val="00E12A6A"/>
    <w:rsid w:val="00E1678F"/>
    <w:rsid w:val="00E52F0B"/>
    <w:rsid w:val="00E6417B"/>
    <w:rsid w:val="00E74F4F"/>
    <w:rsid w:val="00EE3AA3"/>
    <w:rsid w:val="00EE6543"/>
    <w:rsid w:val="00EF1251"/>
    <w:rsid w:val="00F22CC1"/>
    <w:rsid w:val="00F540AF"/>
    <w:rsid w:val="00F77A80"/>
    <w:rsid w:val="00F95FAC"/>
    <w:rsid w:val="00FA3D04"/>
    <w:rsid w:val="00FA51C3"/>
    <w:rsid w:val="00FC76DD"/>
    <w:rsid w:val="00FD70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5D4B0"/>
  <w15:chartTrackingRefBased/>
  <w15:docId w15:val="{2D24698D-6DA2-466D-972A-372E95A7F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5CE"/>
    <w:pPr>
      <w:bidi/>
      <w:spacing w:after="200" w:line="276" w:lineRule="auto"/>
    </w:pPr>
    <w:rPr>
      <w:rFonts w:ascii="Calibri" w:eastAsia="Calibri" w:hAnsi="Calibri" w:cs="Davi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15CE"/>
    <w:pPr>
      <w:bidi/>
      <w:spacing w:after="0" w:line="240" w:lineRule="auto"/>
    </w:pPr>
  </w:style>
  <w:style w:type="paragraph" w:styleId="Header">
    <w:name w:val="header"/>
    <w:basedOn w:val="Normal"/>
    <w:link w:val="HeaderChar"/>
    <w:uiPriority w:val="99"/>
    <w:unhideWhenUsed/>
    <w:rsid w:val="004615CE"/>
    <w:pPr>
      <w:tabs>
        <w:tab w:val="center" w:pos="4153"/>
        <w:tab w:val="right" w:pos="8306"/>
      </w:tabs>
      <w:spacing w:after="0" w:line="240" w:lineRule="auto"/>
    </w:pPr>
  </w:style>
  <w:style w:type="character" w:customStyle="1" w:styleId="HeaderChar">
    <w:name w:val="Header Char"/>
    <w:basedOn w:val="DefaultParagraphFont"/>
    <w:link w:val="Header"/>
    <w:uiPriority w:val="99"/>
    <w:rsid w:val="004615CE"/>
    <w:rPr>
      <w:rFonts w:ascii="Calibri" w:eastAsia="Calibri" w:hAnsi="Calibri" w:cs="David"/>
      <w:sz w:val="28"/>
      <w:szCs w:val="28"/>
    </w:rPr>
  </w:style>
  <w:style w:type="paragraph" w:styleId="Footer">
    <w:name w:val="footer"/>
    <w:basedOn w:val="Normal"/>
    <w:link w:val="FooterChar"/>
    <w:uiPriority w:val="99"/>
    <w:unhideWhenUsed/>
    <w:rsid w:val="004615CE"/>
    <w:pPr>
      <w:tabs>
        <w:tab w:val="center" w:pos="4153"/>
        <w:tab w:val="right" w:pos="8306"/>
      </w:tabs>
      <w:spacing w:after="0" w:line="240" w:lineRule="auto"/>
    </w:pPr>
  </w:style>
  <w:style w:type="character" w:customStyle="1" w:styleId="FooterChar">
    <w:name w:val="Footer Char"/>
    <w:basedOn w:val="DefaultParagraphFont"/>
    <w:link w:val="Footer"/>
    <w:uiPriority w:val="99"/>
    <w:rsid w:val="004615CE"/>
    <w:rPr>
      <w:rFonts w:ascii="Calibri" w:eastAsia="Calibri" w:hAnsi="Calibri" w:cs="David"/>
      <w:sz w:val="28"/>
      <w:szCs w:val="28"/>
    </w:rPr>
  </w:style>
  <w:style w:type="character" w:customStyle="1" w:styleId="a">
    <w:name w:val="פיסקת רשימה תו"/>
    <w:link w:val="1"/>
    <w:uiPriority w:val="34"/>
    <w:locked/>
    <w:rsid w:val="00C5089F"/>
    <w:rPr>
      <w:rFonts w:ascii="Times New Roman" w:eastAsia="Times New Roman" w:hAnsi="Times New Roman" w:cs="Times New Roman"/>
      <w:sz w:val="24"/>
      <w:szCs w:val="24"/>
    </w:rPr>
  </w:style>
  <w:style w:type="paragraph" w:customStyle="1" w:styleId="1">
    <w:name w:val="פיסקת רשימה1"/>
    <w:basedOn w:val="Normal"/>
    <w:link w:val="a"/>
    <w:uiPriority w:val="34"/>
    <w:qFormat/>
    <w:rsid w:val="00C5089F"/>
    <w:pPr>
      <w:spacing w:after="0" w:line="240" w:lineRule="auto"/>
      <w:ind w:left="720"/>
      <w:contextualSpacing/>
    </w:pPr>
    <w:rPr>
      <w:rFonts w:ascii="Times New Roman" w:eastAsia="Times New Roman" w:hAnsi="Times New Roman" w:cs="Times New Roman"/>
      <w:sz w:val="24"/>
      <w:szCs w:val="24"/>
    </w:rPr>
  </w:style>
  <w:style w:type="paragraph" w:styleId="ListParagraph">
    <w:name w:val="List Paragraph"/>
    <w:basedOn w:val="Normal"/>
    <w:uiPriority w:val="34"/>
    <w:qFormat/>
    <w:rsid w:val="006F4F95"/>
    <w:pPr>
      <w:ind w:left="720"/>
      <w:contextualSpacing/>
    </w:pPr>
  </w:style>
  <w:style w:type="character" w:styleId="CommentReference">
    <w:name w:val="annotation reference"/>
    <w:basedOn w:val="DefaultParagraphFont"/>
    <w:uiPriority w:val="99"/>
    <w:semiHidden/>
    <w:unhideWhenUsed/>
    <w:rsid w:val="008707F5"/>
    <w:rPr>
      <w:sz w:val="16"/>
      <w:szCs w:val="16"/>
    </w:rPr>
  </w:style>
  <w:style w:type="paragraph" w:styleId="CommentText">
    <w:name w:val="annotation text"/>
    <w:basedOn w:val="Normal"/>
    <w:link w:val="CommentTextChar"/>
    <w:uiPriority w:val="99"/>
    <w:semiHidden/>
    <w:unhideWhenUsed/>
    <w:rsid w:val="008707F5"/>
    <w:pPr>
      <w:spacing w:line="240" w:lineRule="auto"/>
    </w:pPr>
    <w:rPr>
      <w:sz w:val="20"/>
      <w:szCs w:val="20"/>
    </w:rPr>
  </w:style>
  <w:style w:type="character" w:customStyle="1" w:styleId="CommentTextChar">
    <w:name w:val="Comment Text Char"/>
    <w:basedOn w:val="DefaultParagraphFont"/>
    <w:link w:val="CommentText"/>
    <w:uiPriority w:val="99"/>
    <w:semiHidden/>
    <w:rsid w:val="008707F5"/>
    <w:rPr>
      <w:rFonts w:ascii="Calibri" w:eastAsia="Calibri" w:hAnsi="Calibri" w:cs="David"/>
      <w:sz w:val="20"/>
      <w:szCs w:val="20"/>
    </w:rPr>
  </w:style>
  <w:style w:type="paragraph" w:styleId="CommentSubject">
    <w:name w:val="annotation subject"/>
    <w:basedOn w:val="CommentText"/>
    <w:next w:val="CommentText"/>
    <w:link w:val="CommentSubjectChar"/>
    <w:uiPriority w:val="99"/>
    <w:semiHidden/>
    <w:unhideWhenUsed/>
    <w:rsid w:val="008707F5"/>
    <w:rPr>
      <w:b/>
      <w:bCs/>
    </w:rPr>
  </w:style>
  <w:style w:type="character" w:customStyle="1" w:styleId="CommentSubjectChar">
    <w:name w:val="Comment Subject Char"/>
    <w:basedOn w:val="CommentTextChar"/>
    <w:link w:val="CommentSubject"/>
    <w:uiPriority w:val="99"/>
    <w:semiHidden/>
    <w:rsid w:val="008707F5"/>
    <w:rPr>
      <w:rFonts w:ascii="Calibri" w:eastAsia="Calibri" w:hAnsi="Calibri" w:cs="Davi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01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B85CA-549E-4CA3-9427-2608D0C47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1545</Words>
  <Characters>7726</Characters>
  <Application>Microsoft Office Word</Application>
  <DocSecurity>4</DocSecurity>
  <Lines>64</Lines>
  <Paragraphs>18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MOD</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מפצ"ר 9605/דניאל אוזן</dc:creator>
  <cp:keywords/>
  <dc:description/>
  <cp:lastModifiedBy>יבד"ץ 205/בית הדין לערעורים/עוזרת משפטית/דניאל אוזן</cp:lastModifiedBy>
  <cp:revision>2</cp:revision>
  <cp:lastPrinted>2023-05-28T08:17:00Z</cp:lastPrinted>
  <dcterms:created xsi:type="dcterms:W3CDTF">2023-06-01T08:24:00Z</dcterms:created>
  <dcterms:modified xsi:type="dcterms:W3CDTF">2023-06-01T08:24:00Z</dcterms:modified>
</cp:coreProperties>
</file>