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C5" w:rsidRDefault="001466C5" w:rsidP="001466C5">
      <w:pPr>
        <w:keepNext/>
        <w:tabs>
          <w:tab w:val="left" w:pos="567"/>
          <w:tab w:val="left" w:pos="651"/>
          <w:tab w:val="left" w:pos="1076"/>
        </w:tabs>
        <w:outlineLvl w:val="3"/>
        <w:rPr>
          <w:rFonts w:hint="cs"/>
          <w:b/>
          <w:bCs/>
          <w:noProof/>
          <w:u w:val="single"/>
          <w:rtl/>
        </w:rPr>
      </w:pPr>
    </w:p>
    <w:p w:rsidR="001466C5" w:rsidRDefault="001466C5" w:rsidP="00C06215">
      <w:pPr>
        <w:keepNext/>
        <w:tabs>
          <w:tab w:val="left" w:pos="567"/>
          <w:tab w:val="left" w:pos="651"/>
          <w:tab w:val="left" w:pos="1076"/>
        </w:tabs>
        <w:jc w:val="center"/>
        <w:outlineLvl w:val="3"/>
        <w:rPr>
          <w:b/>
          <w:bCs/>
          <w:noProof/>
          <w:u w:val="single"/>
          <w:rtl/>
        </w:rPr>
      </w:pPr>
      <w:r w:rsidRPr="001466C5">
        <w:rPr>
          <w:rFonts w:ascii="Calibri" w:eastAsia="Calibri" w:hAnsi="Calibri" w:cs="Arial"/>
          <w:noProof/>
          <w:sz w:val="22"/>
          <w:szCs w:val="22"/>
        </w:rPr>
        <w:drawing>
          <wp:inline distT="0" distB="0" distL="0" distR="0" wp14:anchorId="6C9C58AC" wp14:editId="4502BEB0">
            <wp:extent cx="27527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2725" cy="914400"/>
                    </a:xfrm>
                    <a:prstGeom prst="rect">
                      <a:avLst/>
                    </a:prstGeom>
                  </pic:spPr>
                </pic:pic>
              </a:graphicData>
            </a:graphic>
          </wp:inline>
        </w:drawing>
      </w:r>
    </w:p>
    <w:p w:rsidR="001466C5" w:rsidRDefault="001466C5" w:rsidP="00C06215">
      <w:pPr>
        <w:keepNext/>
        <w:tabs>
          <w:tab w:val="left" w:pos="567"/>
          <w:tab w:val="left" w:pos="651"/>
          <w:tab w:val="left" w:pos="1076"/>
        </w:tabs>
        <w:jc w:val="center"/>
        <w:outlineLvl w:val="3"/>
        <w:rPr>
          <w:b/>
          <w:bCs/>
          <w:noProof/>
          <w:u w:val="single"/>
          <w:rtl/>
        </w:rPr>
      </w:pPr>
    </w:p>
    <w:p w:rsidR="00C06215" w:rsidRPr="004D1F87" w:rsidRDefault="00C06215" w:rsidP="00C06215">
      <w:pPr>
        <w:keepNext/>
        <w:tabs>
          <w:tab w:val="left" w:pos="567"/>
          <w:tab w:val="left" w:pos="651"/>
          <w:tab w:val="left" w:pos="1076"/>
        </w:tabs>
        <w:jc w:val="center"/>
        <w:outlineLvl w:val="3"/>
        <w:rPr>
          <w:rFonts w:cs="Miriam"/>
          <w:b/>
          <w:bCs/>
          <w:noProof/>
          <w:rtl/>
          <w:lang w:eastAsia="he-IL"/>
        </w:rPr>
      </w:pPr>
      <w:r w:rsidRPr="004D1F87">
        <w:rPr>
          <w:rFonts w:hint="cs"/>
          <w:b/>
          <w:bCs/>
          <w:noProof/>
          <w:u w:val="single"/>
          <w:rtl/>
        </w:rPr>
        <w:t>בבית הדין הצבאי המיוחד</w:t>
      </w:r>
    </w:p>
    <w:p w:rsidR="00C06215" w:rsidRPr="004D1F87" w:rsidRDefault="00C06215" w:rsidP="00C06215">
      <w:pPr>
        <w:rPr>
          <w:lang w:eastAsia="he-IL"/>
        </w:rPr>
      </w:pPr>
      <w:r w:rsidRPr="004D1F87">
        <w:rPr>
          <w:rFonts w:hint="cs"/>
          <w:rtl/>
          <w:lang w:eastAsia="he-IL"/>
        </w:rPr>
        <w:t>בפני:</w:t>
      </w:r>
      <w:r w:rsidRPr="004D1F87">
        <w:rPr>
          <w:noProof/>
        </w:rPr>
        <w:t xml:space="preserve"> </w:t>
      </w:r>
      <w:r w:rsidRPr="004D1F87">
        <w:rPr>
          <w:rFonts w:hint="cs"/>
          <w:rtl/>
        </w:rPr>
        <w:t xml:space="preserve"> </w:t>
      </w:r>
    </w:p>
    <w:tbl>
      <w:tblPr>
        <w:bidiVisual/>
        <w:tblW w:w="0" w:type="auto"/>
        <w:tblInd w:w="2120" w:type="dxa"/>
        <w:tblLook w:val="01E0" w:firstRow="1" w:lastRow="1" w:firstColumn="1" w:lastColumn="1" w:noHBand="0" w:noVBand="0"/>
      </w:tblPr>
      <w:tblGrid>
        <w:gridCol w:w="2881"/>
        <w:gridCol w:w="425"/>
        <w:gridCol w:w="1125"/>
      </w:tblGrid>
      <w:tr w:rsidR="00C06215" w:rsidRPr="004D1F87" w:rsidTr="00B45E90">
        <w:trPr>
          <w:trHeight w:val="256"/>
        </w:trPr>
        <w:tc>
          <w:tcPr>
            <w:tcW w:w="2881" w:type="dxa"/>
            <w:shd w:val="clear" w:color="auto" w:fill="auto"/>
            <w:hideMark/>
          </w:tcPr>
          <w:p w:rsidR="00C06215" w:rsidRPr="004D1F87" w:rsidRDefault="00C06215" w:rsidP="00687C38">
            <w:pPr>
              <w:tabs>
                <w:tab w:val="right" w:pos="1897"/>
              </w:tabs>
              <w:rPr>
                <w:b/>
                <w:bCs/>
              </w:rPr>
            </w:pPr>
            <w:r w:rsidRPr="004D1F87">
              <w:rPr>
                <w:rFonts w:hint="cs"/>
                <w:b/>
                <w:bCs/>
                <w:rtl/>
              </w:rPr>
              <w:t>אל"ם</w:t>
            </w:r>
            <w:r>
              <w:rPr>
                <w:rFonts w:hint="cs"/>
                <w:b/>
                <w:bCs/>
                <w:rtl/>
              </w:rPr>
              <w:t xml:space="preserve">   </w:t>
            </w:r>
            <w:r w:rsidR="00687C38">
              <w:rPr>
                <w:rFonts w:hint="cs"/>
                <w:b/>
                <w:bCs/>
                <w:rtl/>
              </w:rPr>
              <w:t>אחס</w:t>
            </w:r>
            <w:r w:rsidR="00D62F21">
              <w:rPr>
                <w:rFonts w:hint="cs"/>
                <w:b/>
                <w:bCs/>
                <w:rtl/>
              </w:rPr>
              <w:t>א</w:t>
            </w:r>
            <w:r w:rsidR="00687C38">
              <w:rPr>
                <w:rFonts w:hint="cs"/>
                <w:b/>
                <w:bCs/>
                <w:rtl/>
              </w:rPr>
              <w:t>ן     חלבי</w:t>
            </w:r>
          </w:p>
        </w:tc>
        <w:tc>
          <w:tcPr>
            <w:tcW w:w="425" w:type="dxa"/>
            <w:shd w:val="clear" w:color="auto" w:fill="auto"/>
            <w:hideMark/>
          </w:tcPr>
          <w:p w:rsidR="00C06215" w:rsidRPr="004D1F87" w:rsidRDefault="00C06215" w:rsidP="00B45E90">
            <w:pPr>
              <w:jc w:val="center"/>
              <w:rPr>
                <w:b/>
                <w:bCs/>
              </w:rPr>
            </w:pPr>
            <w:r w:rsidRPr="004D1F87">
              <w:rPr>
                <w:rFonts w:hint="cs"/>
                <w:b/>
                <w:bCs/>
                <w:rtl/>
              </w:rPr>
              <w:t>-</w:t>
            </w:r>
          </w:p>
        </w:tc>
        <w:tc>
          <w:tcPr>
            <w:tcW w:w="1125" w:type="dxa"/>
            <w:shd w:val="clear" w:color="auto" w:fill="auto"/>
            <w:hideMark/>
          </w:tcPr>
          <w:p w:rsidR="00C06215" w:rsidRPr="004D1F87" w:rsidRDefault="00C06215" w:rsidP="00B45E90">
            <w:r w:rsidRPr="004D1F87">
              <w:rPr>
                <w:rFonts w:hint="cs"/>
                <w:rtl/>
              </w:rPr>
              <w:t>אב"ד</w:t>
            </w:r>
          </w:p>
        </w:tc>
      </w:tr>
      <w:tr w:rsidR="00C06215" w:rsidRPr="004D1F87" w:rsidTr="00B45E90">
        <w:trPr>
          <w:trHeight w:val="271"/>
        </w:trPr>
        <w:tc>
          <w:tcPr>
            <w:tcW w:w="2881" w:type="dxa"/>
            <w:shd w:val="clear" w:color="auto" w:fill="auto"/>
            <w:hideMark/>
          </w:tcPr>
          <w:p w:rsidR="00C06215" w:rsidRPr="004D1F87" w:rsidRDefault="00C06215" w:rsidP="00687C38">
            <w:pPr>
              <w:tabs>
                <w:tab w:val="right" w:pos="1897"/>
              </w:tabs>
              <w:rPr>
                <w:b/>
                <w:bCs/>
                <w:rtl/>
              </w:rPr>
            </w:pPr>
            <w:bookmarkStart w:id="0" w:name="_GoBack"/>
            <w:r w:rsidRPr="004D1F87">
              <w:rPr>
                <w:rFonts w:hint="cs"/>
                <w:b/>
                <w:bCs/>
                <w:rtl/>
              </w:rPr>
              <w:t xml:space="preserve">אל"ם </w:t>
            </w:r>
            <w:r>
              <w:rPr>
                <w:rFonts w:hint="cs"/>
                <w:b/>
                <w:bCs/>
                <w:rtl/>
              </w:rPr>
              <w:t xml:space="preserve"> </w:t>
            </w:r>
            <w:r w:rsidR="00687C38">
              <w:rPr>
                <w:rFonts w:hint="cs"/>
                <w:b/>
                <w:bCs/>
                <w:rtl/>
              </w:rPr>
              <w:t xml:space="preserve"> </w:t>
            </w:r>
            <w:r w:rsidRPr="004D1F87">
              <w:rPr>
                <w:rFonts w:hint="cs"/>
                <w:b/>
                <w:bCs/>
                <w:rtl/>
              </w:rPr>
              <w:t xml:space="preserve"> </w:t>
            </w:r>
            <w:r w:rsidR="00687C38">
              <w:rPr>
                <w:rFonts w:hint="cs"/>
                <w:b/>
                <w:bCs/>
                <w:rtl/>
              </w:rPr>
              <w:t>יוסי    אברבנאל</w:t>
            </w:r>
          </w:p>
        </w:tc>
        <w:tc>
          <w:tcPr>
            <w:tcW w:w="425" w:type="dxa"/>
            <w:shd w:val="clear" w:color="auto" w:fill="auto"/>
            <w:hideMark/>
          </w:tcPr>
          <w:p w:rsidR="00C06215" w:rsidRPr="004D1F87" w:rsidRDefault="00C06215" w:rsidP="00B45E90">
            <w:pPr>
              <w:jc w:val="center"/>
              <w:rPr>
                <w:b/>
                <w:bCs/>
              </w:rPr>
            </w:pPr>
            <w:r w:rsidRPr="004D1F87">
              <w:rPr>
                <w:rFonts w:hint="cs"/>
                <w:b/>
                <w:bCs/>
                <w:rtl/>
              </w:rPr>
              <w:t>-</w:t>
            </w:r>
          </w:p>
        </w:tc>
        <w:tc>
          <w:tcPr>
            <w:tcW w:w="1125" w:type="dxa"/>
            <w:shd w:val="clear" w:color="auto" w:fill="auto"/>
            <w:hideMark/>
          </w:tcPr>
          <w:p w:rsidR="00C06215" w:rsidRPr="004D1F87" w:rsidRDefault="00C06215" w:rsidP="00B45E90">
            <w:r w:rsidRPr="004D1F87">
              <w:rPr>
                <w:rFonts w:hint="cs"/>
                <w:rtl/>
              </w:rPr>
              <w:t>שופט</w:t>
            </w:r>
          </w:p>
        </w:tc>
      </w:tr>
      <w:bookmarkEnd w:id="0"/>
      <w:tr w:rsidR="00C06215" w:rsidRPr="004D1F87" w:rsidTr="00B45E90">
        <w:trPr>
          <w:trHeight w:val="528"/>
        </w:trPr>
        <w:tc>
          <w:tcPr>
            <w:tcW w:w="2881" w:type="dxa"/>
            <w:shd w:val="clear" w:color="auto" w:fill="auto"/>
            <w:hideMark/>
          </w:tcPr>
          <w:p w:rsidR="00C06215" w:rsidRPr="004D1F87" w:rsidRDefault="00C06215" w:rsidP="00687C38">
            <w:pPr>
              <w:tabs>
                <w:tab w:val="right" w:pos="1897"/>
              </w:tabs>
              <w:rPr>
                <w:b/>
                <w:bCs/>
              </w:rPr>
            </w:pPr>
            <w:r w:rsidRPr="004D1F87">
              <w:rPr>
                <w:rFonts w:hint="cs"/>
                <w:b/>
                <w:bCs/>
                <w:rtl/>
              </w:rPr>
              <w:t xml:space="preserve">אל"ם </w:t>
            </w:r>
            <w:r>
              <w:rPr>
                <w:rFonts w:hint="cs"/>
                <w:b/>
                <w:bCs/>
                <w:rtl/>
              </w:rPr>
              <w:t xml:space="preserve"> </w:t>
            </w:r>
            <w:r w:rsidR="00687C38">
              <w:rPr>
                <w:rFonts w:hint="cs"/>
                <w:b/>
                <w:bCs/>
                <w:rtl/>
              </w:rPr>
              <w:t xml:space="preserve"> </w:t>
            </w:r>
            <w:r>
              <w:rPr>
                <w:rFonts w:hint="cs"/>
                <w:b/>
                <w:bCs/>
                <w:rtl/>
              </w:rPr>
              <w:t xml:space="preserve"> </w:t>
            </w:r>
            <w:r w:rsidR="00BB503A">
              <w:rPr>
                <w:rFonts w:hint="cs"/>
                <w:b/>
                <w:bCs/>
                <w:rtl/>
              </w:rPr>
              <w:t>אי</w:t>
            </w:r>
            <w:r w:rsidR="00687C38">
              <w:rPr>
                <w:rFonts w:hint="cs"/>
                <w:b/>
                <w:bCs/>
                <w:rtl/>
              </w:rPr>
              <w:t>ל      פכט</w:t>
            </w:r>
          </w:p>
        </w:tc>
        <w:tc>
          <w:tcPr>
            <w:tcW w:w="425" w:type="dxa"/>
            <w:shd w:val="clear" w:color="auto" w:fill="auto"/>
            <w:hideMark/>
          </w:tcPr>
          <w:p w:rsidR="00C06215" w:rsidRPr="004D1F87" w:rsidRDefault="00C06215" w:rsidP="00B45E90">
            <w:pPr>
              <w:jc w:val="center"/>
              <w:rPr>
                <w:b/>
                <w:bCs/>
              </w:rPr>
            </w:pPr>
            <w:r w:rsidRPr="004D1F87">
              <w:rPr>
                <w:rFonts w:hint="cs"/>
                <w:b/>
                <w:bCs/>
                <w:rtl/>
              </w:rPr>
              <w:t>-</w:t>
            </w:r>
          </w:p>
        </w:tc>
        <w:tc>
          <w:tcPr>
            <w:tcW w:w="1125" w:type="dxa"/>
            <w:shd w:val="clear" w:color="auto" w:fill="auto"/>
            <w:hideMark/>
          </w:tcPr>
          <w:p w:rsidR="00C06215" w:rsidRPr="004D1F87" w:rsidRDefault="00C06215" w:rsidP="00B45E90">
            <w:r w:rsidRPr="004D1F87">
              <w:rPr>
                <w:rFonts w:hint="cs"/>
                <w:rtl/>
              </w:rPr>
              <w:t>שופט</w:t>
            </w:r>
          </w:p>
        </w:tc>
      </w:tr>
    </w:tbl>
    <w:p w:rsidR="00C06215" w:rsidRPr="004D1F87" w:rsidRDefault="00C06215" w:rsidP="00C06215">
      <w:pPr>
        <w:keepNext/>
        <w:tabs>
          <w:tab w:val="left" w:pos="567"/>
          <w:tab w:val="left" w:pos="651"/>
          <w:tab w:val="left" w:pos="1076"/>
        </w:tabs>
        <w:outlineLvl w:val="3"/>
        <w:rPr>
          <w:noProof/>
          <w:rtl/>
          <w:lang w:eastAsia="he-IL"/>
        </w:rPr>
      </w:pPr>
      <w:r w:rsidRPr="004D1F87">
        <w:rPr>
          <w:rFonts w:hint="cs"/>
          <w:noProof/>
          <w:rtl/>
        </w:rPr>
        <w:t xml:space="preserve"> </w:t>
      </w:r>
      <w:r w:rsidRPr="004D1F87">
        <w:rPr>
          <w:rFonts w:hint="cs"/>
          <w:noProof/>
          <w:rtl/>
          <w:lang w:eastAsia="he-IL"/>
        </w:rPr>
        <w:t>בעניין:</w:t>
      </w:r>
    </w:p>
    <w:p w:rsidR="00C06215" w:rsidRPr="004D1F87" w:rsidRDefault="00C06215" w:rsidP="00C06215">
      <w:pPr>
        <w:rPr>
          <w:rtl/>
          <w:lang w:eastAsia="he-IL"/>
        </w:rPr>
      </w:pPr>
    </w:p>
    <w:p w:rsidR="00C06215" w:rsidRPr="004D1F87" w:rsidRDefault="00C06215" w:rsidP="00C06215">
      <w:pPr>
        <w:tabs>
          <w:tab w:val="left" w:pos="567"/>
        </w:tabs>
        <w:jc w:val="center"/>
        <w:rPr>
          <w:b/>
          <w:bCs/>
          <w:rtl/>
        </w:rPr>
      </w:pPr>
      <w:r w:rsidRPr="004D1F87">
        <w:rPr>
          <w:rFonts w:hint="cs"/>
          <w:b/>
          <w:bCs/>
          <w:rtl/>
        </w:rPr>
        <w:t xml:space="preserve">התובע הצבאי - </w:t>
      </w:r>
      <w:r w:rsidRPr="004D1F87">
        <w:rPr>
          <w:rFonts w:hint="cs"/>
          <w:rtl/>
        </w:rPr>
        <w:t>המאשים</w:t>
      </w:r>
    </w:p>
    <w:p w:rsidR="00C06215" w:rsidRPr="004D1F87" w:rsidRDefault="00C06215" w:rsidP="00687C38">
      <w:pPr>
        <w:tabs>
          <w:tab w:val="left" w:pos="567"/>
        </w:tabs>
        <w:jc w:val="center"/>
        <w:rPr>
          <w:rtl/>
        </w:rPr>
      </w:pPr>
      <w:r w:rsidRPr="004D1F87">
        <w:rPr>
          <w:rFonts w:hint="cs"/>
          <w:rtl/>
        </w:rPr>
        <w:t>(ע"י ב"כ</w:t>
      </w:r>
      <w:r>
        <w:rPr>
          <w:rFonts w:hint="cs"/>
          <w:rtl/>
        </w:rPr>
        <w:t xml:space="preserve">, רס"ן </w:t>
      </w:r>
      <w:r w:rsidR="00687C38">
        <w:rPr>
          <w:rFonts w:hint="cs"/>
          <w:rtl/>
        </w:rPr>
        <w:t>שגב רום; סרן עינב אוראל כהן</w:t>
      </w:r>
      <w:r w:rsidRPr="004D1F87">
        <w:rPr>
          <w:rFonts w:hint="cs"/>
          <w:rtl/>
        </w:rPr>
        <w:t>)</w:t>
      </w:r>
    </w:p>
    <w:p w:rsidR="00C06215" w:rsidRPr="004D1F87" w:rsidRDefault="00C06215" w:rsidP="00C06215">
      <w:pPr>
        <w:keepNext/>
        <w:tabs>
          <w:tab w:val="left" w:pos="509"/>
          <w:tab w:val="left" w:pos="567"/>
          <w:tab w:val="left" w:pos="651"/>
          <w:tab w:val="left" w:pos="1076"/>
        </w:tabs>
        <w:jc w:val="center"/>
        <w:outlineLvl w:val="3"/>
        <w:rPr>
          <w:b/>
          <w:bCs/>
          <w:noProof/>
          <w:rtl/>
        </w:rPr>
      </w:pPr>
      <w:r w:rsidRPr="004D1F87">
        <w:rPr>
          <w:rFonts w:hint="cs"/>
          <w:b/>
          <w:bCs/>
          <w:noProof/>
          <w:rtl/>
        </w:rPr>
        <w:t>נ ג ד</w:t>
      </w:r>
    </w:p>
    <w:p w:rsidR="00C06215" w:rsidRPr="004D1F87" w:rsidRDefault="00C06215" w:rsidP="00C06215">
      <w:pPr>
        <w:rPr>
          <w:rtl/>
        </w:rPr>
      </w:pPr>
    </w:p>
    <w:p w:rsidR="00C06215" w:rsidRPr="004D1F87" w:rsidRDefault="00687C38" w:rsidP="00AC4818">
      <w:pPr>
        <w:tabs>
          <w:tab w:val="left" w:pos="509"/>
          <w:tab w:val="left" w:pos="567"/>
          <w:tab w:val="left" w:pos="651"/>
          <w:tab w:val="left" w:pos="1076"/>
        </w:tabs>
        <w:jc w:val="center"/>
        <w:rPr>
          <w:rFonts w:ascii="David" w:hAnsi="David"/>
          <w:rtl/>
        </w:rPr>
      </w:pPr>
      <w:r>
        <w:rPr>
          <w:rFonts w:hint="cs"/>
          <w:b/>
          <w:bCs/>
          <w:rtl/>
        </w:rPr>
        <w:t>מ</w:t>
      </w:r>
      <w:r w:rsidR="00C06215" w:rsidRPr="004D1F87">
        <w:rPr>
          <w:rFonts w:hint="cs"/>
          <w:b/>
          <w:bCs/>
          <w:rtl/>
        </w:rPr>
        <w:t>/</w:t>
      </w:r>
      <w:r w:rsidR="00AC4818">
        <w:rPr>
          <w:rFonts w:ascii="David" w:hAnsi="David" w:hint="cs"/>
          <w:b/>
          <w:bCs/>
        </w:rPr>
        <w:t>XXX</w:t>
      </w:r>
      <w:r w:rsidR="00C06215" w:rsidRPr="004D1F87">
        <w:rPr>
          <w:rFonts w:ascii="David" w:hAnsi="David" w:hint="cs"/>
          <w:b/>
          <w:bCs/>
          <w:rtl/>
        </w:rPr>
        <w:t xml:space="preserve"> </w:t>
      </w:r>
      <w:r>
        <w:rPr>
          <w:rFonts w:ascii="David" w:hAnsi="David" w:hint="cs"/>
          <w:b/>
          <w:bCs/>
          <w:rtl/>
        </w:rPr>
        <w:t>אל"ם</w:t>
      </w:r>
      <w:r w:rsidR="00C06215" w:rsidRPr="004D1F87">
        <w:rPr>
          <w:rFonts w:ascii="David" w:hAnsi="David" w:hint="cs"/>
          <w:b/>
          <w:bCs/>
          <w:rtl/>
        </w:rPr>
        <w:t xml:space="preserve"> </w:t>
      </w:r>
      <w:r w:rsidR="00075CC4">
        <w:rPr>
          <w:rFonts w:ascii="David" w:hAnsi="David" w:hint="cs"/>
          <w:b/>
          <w:bCs/>
          <w:rtl/>
        </w:rPr>
        <w:t>א' מ'</w:t>
      </w:r>
      <w:r w:rsidR="00C06215" w:rsidRPr="004D1F87">
        <w:rPr>
          <w:rFonts w:ascii="David" w:hAnsi="David" w:hint="cs"/>
          <w:b/>
          <w:bCs/>
          <w:rtl/>
        </w:rPr>
        <w:t xml:space="preserve"> - </w:t>
      </w:r>
      <w:r w:rsidR="00C06215" w:rsidRPr="004D1F87">
        <w:rPr>
          <w:rFonts w:ascii="David" w:hAnsi="David" w:hint="cs"/>
          <w:rtl/>
        </w:rPr>
        <w:t>הנאשם</w:t>
      </w:r>
    </w:p>
    <w:p w:rsidR="00C06215" w:rsidRDefault="00C06215" w:rsidP="00687C38">
      <w:pPr>
        <w:tabs>
          <w:tab w:val="left" w:pos="509"/>
          <w:tab w:val="left" w:pos="567"/>
          <w:tab w:val="left" w:pos="651"/>
          <w:tab w:val="left" w:pos="1076"/>
        </w:tabs>
        <w:jc w:val="center"/>
        <w:rPr>
          <w:rtl/>
        </w:rPr>
      </w:pPr>
      <w:r w:rsidRPr="004D1F87">
        <w:rPr>
          <w:rFonts w:hint="cs"/>
          <w:rtl/>
        </w:rPr>
        <w:t>(ע"י ב"כ,</w:t>
      </w:r>
      <w:r>
        <w:rPr>
          <w:rFonts w:hint="cs"/>
          <w:rtl/>
        </w:rPr>
        <w:t xml:space="preserve"> </w:t>
      </w:r>
      <w:r w:rsidR="00687C38">
        <w:rPr>
          <w:rFonts w:hint="cs"/>
          <w:rtl/>
        </w:rPr>
        <w:t>אל"ם ענבל דה-פז</w:t>
      </w:r>
      <w:r>
        <w:rPr>
          <w:rFonts w:hint="cs"/>
          <w:rtl/>
        </w:rPr>
        <w:t>; ס</w:t>
      </w:r>
      <w:r w:rsidR="00687C38">
        <w:rPr>
          <w:rFonts w:hint="cs"/>
          <w:rtl/>
        </w:rPr>
        <w:t>א"ל (מיל') בני קוזניץ; סרן איתי המר</w:t>
      </w:r>
      <w:r w:rsidRPr="004D1F87">
        <w:rPr>
          <w:rFonts w:hint="cs"/>
          <w:rtl/>
        </w:rPr>
        <w:t>)</w:t>
      </w:r>
    </w:p>
    <w:p w:rsidR="00687C38" w:rsidRDefault="00687C38" w:rsidP="00687C38">
      <w:pPr>
        <w:jc w:val="center"/>
        <w:rPr>
          <w:b/>
          <w:bCs/>
          <w:u w:val="single"/>
          <w:rtl/>
        </w:rPr>
      </w:pPr>
    </w:p>
    <w:p w:rsidR="00687C38" w:rsidRDefault="00687C38" w:rsidP="00687C38">
      <w:pPr>
        <w:jc w:val="center"/>
        <w:rPr>
          <w:b/>
          <w:bCs/>
          <w:u w:val="single"/>
          <w:rtl/>
        </w:rPr>
      </w:pPr>
    </w:p>
    <w:p w:rsidR="00687C38" w:rsidRDefault="00687C38" w:rsidP="00687C38">
      <w:pPr>
        <w:jc w:val="center"/>
        <w:rPr>
          <w:rtl/>
        </w:rPr>
      </w:pPr>
      <w:r w:rsidRPr="00687C38">
        <w:rPr>
          <w:rFonts w:hint="cs"/>
          <w:b/>
          <w:bCs/>
          <w:u w:val="single"/>
          <w:rtl/>
        </w:rPr>
        <w:t>ה</w:t>
      </w:r>
      <w:r>
        <w:rPr>
          <w:rFonts w:hint="cs"/>
          <w:b/>
          <w:bCs/>
          <w:u w:val="single"/>
          <w:rtl/>
        </w:rPr>
        <w:t xml:space="preserve"> </w:t>
      </w:r>
      <w:r w:rsidRPr="00687C38">
        <w:rPr>
          <w:rFonts w:hint="cs"/>
          <w:b/>
          <w:bCs/>
          <w:u w:val="single"/>
          <w:rtl/>
        </w:rPr>
        <w:t>כ</w:t>
      </w:r>
      <w:r>
        <w:rPr>
          <w:rFonts w:hint="cs"/>
          <w:b/>
          <w:bCs/>
          <w:u w:val="single"/>
          <w:rtl/>
        </w:rPr>
        <w:t xml:space="preserve"> </w:t>
      </w:r>
      <w:r w:rsidRPr="00687C38">
        <w:rPr>
          <w:rFonts w:hint="cs"/>
          <w:b/>
          <w:bCs/>
          <w:u w:val="single"/>
          <w:rtl/>
        </w:rPr>
        <w:t>ר</w:t>
      </w:r>
      <w:r>
        <w:rPr>
          <w:rFonts w:hint="cs"/>
          <w:b/>
          <w:bCs/>
          <w:u w:val="single"/>
          <w:rtl/>
        </w:rPr>
        <w:t xml:space="preserve"> </w:t>
      </w:r>
      <w:r w:rsidRPr="00687C38">
        <w:rPr>
          <w:rFonts w:hint="cs"/>
          <w:b/>
          <w:bCs/>
          <w:u w:val="single"/>
          <w:rtl/>
        </w:rPr>
        <w:t>ע</w:t>
      </w:r>
      <w:r>
        <w:rPr>
          <w:rFonts w:hint="cs"/>
          <w:b/>
          <w:bCs/>
          <w:u w:val="single"/>
          <w:rtl/>
        </w:rPr>
        <w:t xml:space="preserve"> </w:t>
      </w:r>
      <w:r w:rsidRPr="00687C38">
        <w:rPr>
          <w:rFonts w:hint="cs"/>
          <w:b/>
          <w:bCs/>
          <w:u w:val="single"/>
          <w:rtl/>
        </w:rPr>
        <w:t>ת</w:t>
      </w:r>
      <w:r>
        <w:rPr>
          <w:rFonts w:hint="cs"/>
          <w:b/>
          <w:bCs/>
          <w:u w:val="single"/>
          <w:rtl/>
        </w:rPr>
        <w:t xml:space="preserve">  - </w:t>
      </w:r>
      <w:r w:rsidRPr="00687C38">
        <w:rPr>
          <w:rFonts w:hint="cs"/>
          <w:b/>
          <w:bCs/>
          <w:u w:val="single"/>
          <w:rtl/>
        </w:rPr>
        <w:t xml:space="preserve"> ד</w:t>
      </w:r>
      <w:r>
        <w:rPr>
          <w:rFonts w:hint="cs"/>
          <w:b/>
          <w:bCs/>
          <w:u w:val="single"/>
          <w:rtl/>
        </w:rPr>
        <w:t xml:space="preserve"> </w:t>
      </w:r>
      <w:r w:rsidRPr="00687C38">
        <w:rPr>
          <w:rFonts w:hint="cs"/>
          <w:b/>
          <w:bCs/>
          <w:u w:val="single"/>
          <w:rtl/>
        </w:rPr>
        <w:t>י</w:t>
      </w:r>
      <w:r>
        <w:rPr>
          <w:rFonts w:hint="cs"/>
          <w:b/>
          <w:bCs/>
          <w:u w:val="single"/>
          <w:rtl/>
        </w:rPr>
        <w:t xml:space="preserve"> </w:t>
      </w:r>
      <w:r w:rsidRPr="00687C38">
        <w:rPr>
          <w:rFonts w:hint="cs"/>
          <w:b/>
          <w:bCs/>
          <w:u w:val="single"/>
          <w:rtl/>
        </w:rPr>
        <w:t>ן</w:t>
      </w:r>
    </w:p>
    <w:p w:rsidR="001466C5" w:rsidRPr="00687C38" w:rsidRDefault="001466C5" w:rsidP="00687C38">
      <w:pPr>
        <w:jc w:val="center"/>
        <w:rPr>
          <w:rtl/>
        </w:rPr>
      </w:pPr>
    </w:p>
    <w:p w:rsidR="00687C38" w:rsidRPr="00687C38" w:rsidRDefault="00BB503A" w:rsidP="001466C5">
      <w:pPr>
        <w:rPr>
          <w:rFonts w:ascii="Calibri" w:eastAsia="Calibri" w:hAnsi="Calibri"/>
          <w:rtl/>
        </w:rPr>
      </w:pPr>
      <w:r>
        <w:rPr>
          <w:rFonts w:ascii="Calibri" w:eastAsia="Calibri" w:hAnsi="Calibri" w:hint="cs"/>
          <w:rtl/>
        </w:rPr>
        <w:t>הנאשם מורשע, על סמך הודאתו</w:t>
      </w:r>
      <w:r w:rsidR="00D62F21">
        <w:rPr>
          <w:rFonts w:ascii="Calibri" w:eastAsia="Calibri" w:hAnsi="Calibri" w:hint="cs"/>
          <w:rtl/>
        </w:rPr>
        <w:t xml:space="preserve">, </w:t>
      </w:r>
      <w:r w:rsidR="00687C38" w:rsidRPr="00687C38">
        <w:rPr>
          <w:rFonts w:ascii="Calibri" w:eastAsia="Calibri" w:hAnsi="Calibri" w:hint="cs"/>
          <w:rtl/>
        </w:rPr>
        <w:t>בעבירה של א</w:t>
      </w:r>
      <w:r w:rsidR="001466C5">
        <w:rPr>
          <w:rFonts w:ascii="Calibri" w:eastAsia="Calibri" w:hAnsi="Calibri" w:hint="cs"/>
          <w:rtl/>
        </w:rPr>
        <w:t>י קיום הוראות המחייבות בצבא</w:t>
      </w:r>
      <w:r w:rsidR="00D62F21">
        <w:rPr>
          <w:rFonts w:ascii="Calibri" w:eastAsia="Calibri" w:hAnsi="Calibri" w:hint="cs"/>
          <w:rtl/>
        </w:rPr>
        <w:t>,</w:t>
      </w:r>
      <w:r w:rsidR="001466C5">
        <w:rPr>
          <w:rFonts w:ascii="Calibri" w:eastAsia="Calibri" w:hAnsi="Calibri" w:hint="cs"/>
          <w:rtl/>
        </w:rPr>
        <w:t xml:space="preserve"> לפי </w:t>
      </w:r>
      <w:r w:rsidR="00687C38" w:rsidRPr="00687C38">
        <w:rPr>
          <w:rFonts w:ascii="Calibri" w:eastAsia="Calibri" w:hAnsi="Calibri" w:hint="cs"/>
          <w:rtl/>
        </w:rPr>
        <w:t>סעיף 133(א)</w:t>
      </w:r>
      <w:r w:rsidR="001466C5">
        <w:rPr>
          <w:rFonts w:ascii="Calibri" w:eastAsia="Calibri" w:hAnsi="Calibri" w:hint="cs"/>
          <w:rtl/>
        </w:rPr>
        <w:t xml:space="preserve"> </w:t>
      </w:r>
      <w:r w:rsidR="00687C38" w:rsidRPr="00687C38">
        <w:rPr>
          <w:rFonts w:ascii="Calibri" w:eastAsia="Calibri" w:hAnsi="Calibri" w:hint="cs"/>
          <w:rtl/>
        </w:rPr>
        <w:t xml:space="preserve">לחוק השיפוט הצבאי, התשט"ו </w:t>
      </w:r>
      <w:r w:rsidR="00687C38" w:rsidRPr="00687C38">
        <w:rPr>
          <w:rFonts w:ascii="Calibri" w:eastAsia="Calibri" w:hAnsi="Calibri"/>
          <w:rtl/>
        </w:rPr>
        <w:t>–</w:t>
      </w:r>
      <w:r w:rsidR="00687C38" w:rsidRPr="00687C38">
        <w:rPr>
          <w:rFonts w:ascii="Calibri" w:eastAsia="Calibri" w:hAnsi="Calibri" w:hint="cs"/>
          <w:rtl/>
        </w:rPr>
        <w:t xml:space="preserve"> 1955, על פי כתב האישום והפרטים הנוספים.</w:t>
      </w:r>
    </w:p>
    <w:p w:rsidR="00687C38" w:rsidRPr="00687C38" w:rsidRDefault="001466C5" w:rsidP="001466C5">
      <w:pPr>
        <w:rPr>
          <w:b/>
          <w:bCs/>
          <w:sz w:val="24"/>
          <w:szCs w:val="24"/>
          <w:rtl/>
        </w:rPr>
      </w:pPr>
      <w:r>
        <w:rPr>
          <w:rFonts w:ascii="Calibri" w:eastAsia="Calibri" w:hAnsi="Calibri" w:hint="cs"/>
          <w:rtl/>
        </w:rPr>
        <w:t>ניתנה</w:t>
      </w:r>
      <w:r w:rsidR="00687C38" w:rsidRPr="00687C38">
        <w:rPr>
          <w:rFonts w:ascii="Calibri" w:eastAsia="Calibri" w:hAnsi="Calibri" w:hint="cs"/>
          <w:rtl/>
        </w:rPr>
        <w:t xml:space="preserve"> והודע</w:t>
      </w:r>
      <w:r>
        <w:rPr>
          <w:rFonts w:ascii="Calibri" w:eastAsia="Calibri" w:hAnsi="Calibri" w:hint="cs"/>
          <w:rtl/>
        </w:rPr>
        <w:t>ה</w:t>
      </w:r>
      <w:r w:rsidR="00687C38" w:rsidRPr="00687C38">
        <w:rPr>
          <w:rFonts w:ascii="Calibri" w:eastAsia="Calibri" w:hAnsi="Calibri" w:hint="cs"/>
          <w:rtl/>
        </w:rPr>
        <w:t xml:space="preserve"> היום, כ"ב באב התש"ף, 12.8.20</w:t>
      </w:r>
      <w:r>
        <w:rPr>
          <w:rFonts w:ascii="Calibri" w:eastAsia="Calibri" w:hAnsi="Calibri" w:hint="cs"/>
          <w:rtl/>
        </w:rPr>
        <w:t>20</w:t>
      </w:r>
      <w:r w:rsidR="00687C38" w:rsidRPr="00687C38">
        <w:rPr>
          <w:rFonts w:ascii="Calibri" w:eastAsia="Calibri" w:hAnsi="Calibri" w:hint="cs"/>
          <w:rtl/>
        </w:rPr>
        <w:t>, בפומבי ובמעמד הצדדים.</w:t>
      </w:r>
      <w:r w:rsidR="00687C38" w:rsidRPr="00687C38">
        <w:rPr>
          <w:rFonts w:hint="cs"/>
          <w:b/>
          <w:bCs/>
          <w:rtl/>
        </w:rPr>
        <w:tab/>
      </w:r>
      <w:r w:rsidR="00687C38" w:rsidRPr="00687C38">
        <w:rPr>
          <w:rFonts w:hint="cs"/>
          <w:b/>
          <w:bCs/>
          <w:rtl/>
        </w:rPr>
        <w:tab/>
      </w:r>
      <w:r w:rsidR="00687C38" w:rsidRPr="00687C38">
        <w:rPr>
          <w:rFonts w:hint="cs"/>
          <w:b/>
          <w:bCs/>
          <w:sz w:val="24"/>
          <w:szCs w:val="24"/>
          <w:rtl/>
        </w:rPr>
        <w:tab/>
        <w:t xml:space="preserve">     </w:t>
      </w:r>
      <w:r w:rsidR="00687C38" w:rsidRPr="00687C38">
        <w:rPr>
          <w:rFonts w:hint="cs"/>
          <w:b/>
          <w:bCs/>
          <w:sz w:val="24"/>
          <w:szCs w:val="24"/>
          <w:rtl/>
        </w:rPr>
        <w:tab/>
      </w:r>
      <w:r w:rsidR="00687C38" w:rsidRPr="00687C38">
        <w:rPr>
          <w:rFonts w:hint="cs"/>
          <w:b/>
          <w:bCs/>
          <w:sz w:val="24"/>
          <w:szCs w:val="24"/>
          <w:rtl/>
        </w:rPr>
        <w:tab/>
      </w:r>
    </w:p>
    <w:p w:rsidR="00687C38" w:rsidRPr="00687C38" w:rsidRDefault="00687C38" w:rsidP="00687C38">
      <w:pPr>
        <w:rPr>
          <w:b/>
          <w:bCs/>
          <w:sz w:val="24"/>
          <w:szCs w:val="24"/>
          <w:rtl/>
        </w:rPr>
      </w:pPr>
      <w:r w:rsidRPr="00687C38">
        <w:rPr>
          <w:rFonts w:hint="cs"/>
          <w:b/>
          <w:bCs/>
          <w:sz w:val="24"/>
          <w:szCs w:val="24"/>
          <w:rtl/>
        </w:rPr>
        <w:tab/>
        <w:t xml:space="preserve">     </w:t>
      </w:r>
    </w:p>
    <w:p w:rsidR="00687C38" w:rsidRPr="00687C38" w:rsidRDefault="00687C38" w:rsidP="00687C38">
      <w:pPr>
        <w:tabs>
          <w:tab w:val="left" w:pos="567"/>
        </w:tabs>
        <w:jc w:val="center"/>
        <w:rPr>
          <w:b/>
          <w:bCs/>
          <w:sz w:val="24"/>
          <w:szCs w:val="24"/>
          <w:rtl/>
        </w:rPr>
      </w:pPr>
      <w:r w:rsidRPr="00687C38">
        <w:rPr>
          <w:rFonts w:hint="cs"/>
          <w:b/>
          <w:bCs/>
          <w:sz w:val="24"/>
          <w:szCs w:val="24"/>
          <w:rtl/>
        </w:rPr>
        <w:t>________________               _______________                _________________</w:t>
      </w:r>
    </w:p>
    <w:p w:rsidR="00687C38" w:rsidRPr="00687C38" w:rsidRDefault="00687C38" w:rsidP="00687C38">
      <w:pPr>
        <w:tabs>
          <w:tab w:val="left" w:pos="567"/>
        </w:tabs>
        <w:jc w:val="center"/>
        <w:rPr>
          <w:sz w:val="24"/>
          <w:szCs w:val="24"/>
          <w:rtl/>
        </w:rPr>
      </w:pPr>
      <w:r>
        <w:rPr>
          <w:rFonts w:hint="cs"/>
          <w:b/>
          <w:bCs/>
          <w:rtl/>
        </w:rPr>
        <w:t>אב"ד</w:t>
      </w:r>
      <w:r w:rsidRPr="00687C38">
        <w:rPr>
          <w:rFonts w:hint="cs"/>
          <w:b/>
          <w:bCs/>
          <w:sz w:val="24"/>
          <w:szCs w:val="24"/>
          <w:rtl/>
        </w:rPr>
        <w:t xml:space="preserve">                                        </w:t>
      </w:r>
      <w:r>
        <w:rPr>
          <w:rFonts w:hint="cs"/>
          <w:b/>
          <w:bCs/>
          <w:sz w:val="24"/>
          <w:szCs w:val="24"/>
          <w:rtl/>
        </w:rPr>
        <w:t xml:space="preserve"> </w:t>
      </w:r>
      <w:r w:rsidRPr="00687C38">
        <w:rPr>
          <w:rFonts w:hint="cs"/>
          <w:b/>
          <w:bCs/>
          <w:sz w:val="24"/>
          <w:szCs w:val="24"/>
          <w:rtl/>
        </w:rPr>
        <w:t xml:space="preserve">  </w:t>
      </w:r>
      <w:r>
        <w:rPr>
          <w:rFonts w:hint="cs"/>
          <w:b/>
          <w:bCs/>
          <w:rtl/>
        </w:rPr>
        <w:t>שופט</w:t>
      </w:r>
      <w:r w:rsidRPr="00687C38">
        <w:rPr>
          <w:rFonts w:hint="cs"/>
          <w:b/>
          <w:bCs/>
          <w:rtl/>
        </w:rPr>
        <w:t xml:space="preserve">                                            שופט</w:t>
      </w:r>
    </w:p>
    <w:p w:rsidR="00C06215" w:rsidRDefault="00C06215" w:rsidP="00C06215">
      <w:pPr>
        <w:jc w:val="center"/>
        <w:rPr>
          <w:sz w:val="36"/>
          <w:szCs w:val="36"/>
          <w:rtl/>
        </w:rPr>
      </w:pPr>
    </w:p>
    <w:p w:rsidR="001466C5" w:rsidRDefault="001466C5" w:rsidP="001466C5">
      <w:pPr>
        <w:rPr>
          <w:b/>
          <w:bCs/>
          <w:u w:val="single"/>
          <w:rtl/>
        </w:rPr>
      </w:pPr>
    </w:p>
    <w:p w:rsidR="00753FED" w:rsidRDefault="00753FED" w:rsidP="001466C5">
      <w:pPr>
        <w:jc w:val="center"/>
        <w:rPr>
          <w:rtl/>
        </w:rPr>
      </w:pPr>
      <w:r w:rsidRPr="00753FED">
        <w:rPr>
          <w:rFonts w:hint="cs"/>
          <w:b/>
          <w:bCs/>
          <w:u w:val="single"/>
          <w:rtl/>
        </w:rPr>
        <w:lastRenderedPageBreak/>
        <w:t>ג</w:t>
      </w:r>
      <w:r>
        <w:rPr>
          <w:rFonts w:hint="cs"/>
          <w:b/>
          <w:bCs/>
          <w:u w:val="single"/>
          <w:rtl/>
        </w:rPr>
        <w:t xml:space="preserve"> </w:t>
      </w:r>
      <w:r w:rsidRPr="00753FED">
        <w:rPr>
          <w:rFonts w:hint="cs"/>
          <w:b/>
          <w:bCs/>
          <w:u w:val="single"/>
          <w:rtl/>
        </w:rPr>
        <w:t>ז</w:t>
      </w:r>
      <w:r>
        <w:rPr>
          <w:rFonts w:hint="cs"/>
          <w:b/>
          <w:bCs/>
          <w:u w:val="single"/>
          <w:rtl/>
        </w:rPr>
        <w:t xml:space="preserve"> </w:t>
      </w:r>
      <w:r w:rsidRPr="00753FED">
        <w:rPr>
          <w:rFonts w:hint="cs"/>
          <w:b/>
          <w:bCs/>
          <w:u w:val="single"/>
          <w:rtl/>
        </w:rPr>
        <w:t>ר</w:t>
      </w:r>
      <w:r>
        <w:rPr>
          <w:rFonts w:hint="cs"/>
          <w:b/>
          <w:bCs/>
          <w:u w:val="single"/>
          <w:rtl/>
        </w:rPr>
        <w:t xml:space="preserve"> </w:t>
      </w:r>
      <w:r>
        <w:rPr>
          <w:b/>
          <w:bCs/>
          <w:u w:val="single"/>
          <w:rtl/>
        </w:rPr>
        <w:t>–</w:t>
      </w:r>
      <w:r w:rsidRPr="00753FED">
        <w:rPr>
          <w:rFonts w:hint="cs"/>
          <w:b/>
          <w:bCs/>
          <w:u w:val="single"/>
          <w:rtl/>
        </w:rPr>
        <w:t xml:space="preserve"> ד</w:t>
      </w:r>
      <w:r>
        <w:rPr>
          <w:rFonts w:hint="cs"/>
          <w:b/>
          <w:bCs/>
          <w:u w:val="single"/>
          <w:rtl/>
        </w:rPr>
        <w:t xml:space="preserve"> </w:t>
      </w:r>
      <w:r w:rsidRPr="00753FED">
        <w:rPr>
          <w:rFonts w:hint="cs"/>
          <w:b/>
          <w:bCs/>
          <w:u w:val="single"/>
          <w:rtl/>
        </w:rPr>
        <w:t>י</w:t>
      </w:r>
      <w:r>
        <w:rPr>
          <w:rFonts w:hint="cs"/>
          <w:b/>
          <w:bCs/>
          <w:u w:val="single"/>
          <w:rtl/>
        </w:rPr>
        <w:t xml:space="preserve"> </w:t>
      </w:r>
      <w:r w:rsidRPr="00753FED">
        <w:rPr>
          <w:rFonts w:hint="cs"/>
          <w:b/>
          <w:bCs/>
          <w:u w:val="single"/>
          <w:rtl/>
        </w:rPr>
        <w:t>ן</w:t>
      </w:r>
    </w:p>
    <w:p w:rsidR="001466C5" w:rsidRPr="001466C5" w:rsidRDefault="001466C5" w:rsidP="001466C5">
      <w:pPr>
        <w:jc w:val="center"/>
        <w:rPr>
          <w:rtl/>
        </w:rPr>
      </w:pPr>
    </w:p>
    <w:p w:rsidR="00753FED" w:rsidRPr="00753FED" w:rsidRDefault="00753FED" w:rsidP="001466C5">
      <w:pPr>
        <w:numPr>
          <w:ilvl w:val="0"/>
          <w:numId w:val="1"/>
        </w:numPr>
        <w:tabs>
          <w:tab w:val="left" w:pos="-58"/>
          <w:tab w:val="left" w:pos="226"/>
          <w:tab w:val="left" w:pos="368"/>
          <w:tab w:val="left" w:pos="935"/>
        </w:tabs>
        <w:ind w:left="-58" w:firstLine="0"/>
        <w:rPr>
          <w:rtl/>
        </w:rPr>
      </w:pPr>
      <w:r w:rsidRPr="00753FED">
        <w:rPr>
          <w:rFonts w:hint="cs"/>
          <w:rtl/>
        </w:rPr>
        <w:t>הנאשם הורשע, על סמך הודאתו, בעבירה לפי סעיף 133(א) לחוק השיפוט הצבאי, התשט"ו-1955. ההודאה בכתב האישום ניתנה במסגרת הסדר טיעון אשר התגבש בין הצדדים, שלפיו עתרו במשותף להטיל על הנאשם עונש של מאסר מותנה.</w:t>
      </w:r>
    </w:p>
    <w:p w:rsidR="00C70E05" w:rsidRDefault="00C70E05" w:rsidP="00753FED">
      <w:pPr>
        <w:pStyle w:val="a3"/>
        <w:tabs>
          <w:tab w:val="left" w:pos="226"/>
          <w:tab w:val="left" w:pos="368"/>
        </w:tabs>
        <w:spacing w:line="360" w:lineRule="auto"/>
        <w:ind w:left="-58"/>
        <w:jc w:val="both"/>
        <w:outlineLvl w:val="0"/>
        <w:rPr>
          <w:rFonts w:cs="David"/>
          <w:b/>
          <w:bCs/>
          <w:sz w:val="28"/>
          <w:szCs w:val="28"/>
          <w:rtl/>
        </w:rPr>
      </w:pPr>
    </w:p>
    <w:p w:rsidR="00753FED" w:rsidRPr="00753FED" w:rsidRDefault="00753FED" w:rsidP="00C70E05">
      <w:pPr>
        <w:pStyle w:val="a3"/>
        <w:tabs>
          <w:tab w:val="left" w:pos="226"/>
          <w:tab w:val="left" w:pos="368"/>
        </w:tabs>
        <w:spacing w:after="0" w:line="360" w:lineRule="auto"/>
        <w:ind w:left="-57"/>
        <w:jc w:val="both"/>
        <w:outlineLvl w:val="0"/>
        <w:rPr>
          <w:rFonts w:cs="David"/>
          <w:b/>
          <w:bCs/>
          <w:sz w:val="28"/>
          <w:szCs w:val="28"/>
          <w:rtl/>
        </w:rPr>
      </w:pPr>
      <w:r w:rsidRPr="00753FED">
        <w:rPr>
          <w:rFonts w:cs="David" w:hint="cs"/>
          <w:b/>
          <w:bCs/>
          <w:sz w:val="28"/>
          <w:szCs w:val="28"/>
          <w:rtl/>
        </w:rPr>
        <w:t>עובדות כתב האישום</w:t>
      </w:r>
    </w:p>
    <w:p w:rsidR="00753FED" w:rsidRDefault="00753FED" w:rsidP="001466C5">
      <w:pPr>
        <w:numPr>
          <w:ilvl w:val="0"/>
          <w:numId w:val="1"/>
        </w:numPr>
        <w:tabs>
          <w:tab w:val="left" w:pos="-58"/>
          <w:tab w:val="left" w:pos="226"/>
          <w:tab w:val="left" w:pos="368"/>
          <w:tab w:val="left" w:pos="935"/>
        </w:tabs>
        <w:ind w:left="-58" w:firstLine="0"/>
      </w:pPr>
      <w:r w:rsidRPr="00753FED">
        <w:rPr>
          <w:rFonts w:hint="cs"/>
          <w:rtl/>
        </w:rPr>
        <w:t xml:space="preserve">הנאשם שירת, בתקופה הרלוונטית לכתב האישום, כסגן ראש המנהל האזרחי שבמחנה אוגדת איו"ש. מזה שנים, התקיים הסדר שלפיו עובדי מדינה שמועסקים במנהל האזרחי, המעוניינים בכך, שילמו סכום של 146 </w:t>
      </w:r>
      <w:r w:rsidR="00DC330C">
        <w:rPr>
          <w:rFonts w:hint="cs"/>
          <w:rtl/>
        </w:rPr>
        <w:t>ש</w:t>
      </w:r>
      <w:r w:rsidR="00DC330C">
        <w:rPr>
          <w:rtl/>
        </w:rPr>
        <w:t>"</w:t>
      </w:r>
      <w:r w:rsidR="00DC330C">
        <w:rPr>
          <w:rFonts w:hint="cs"/>
          <w:rtl/>
        </w:rPr>
        <w:t>ח</w:t>
      </w:r>
      <w:r w:rsidRPr="00753FED">
        <w:rPr>
          <w:rFonts w:hint="cs"/>
          <w:rtl/>
        </w:rPr>
        <w:t xml:space="preserve"> מדי חודש, אשר נוכה משכרם, בכדי לסעוד בחדר האוכל הצבאי של אוגדת איו"ש. באמצעות תשלומים אלו, נרכשו תלושי מזון, במסגרת התקשרות של המדינה עם חברת "מגה", שהועברו למטבח אוגדת איו"ש. בתחילת חודש מרץ 2015 בוטל ההסדר האמור על ידי חשב מתאם פעולות הממשלה בשטחים. ביום 8 ביולי 2015 נכנס הנאשם, כאמור, לתפקידו כסגן ראש המנהל האזרחי, והחל מיום 25 במרץ 2016 ועד לחודש יוני 2016, שירת הנאשם גם כממלא מקומו של ראש המנהל האזרחי. </w:t>
      </w:r>
    </w:p>
    <w:p w:rsidR="00753FED" w:rsidRPr="00753FED" w:rsidRDefault="00753FED" w:rsidP="00753FED">
      <w:pPr>
        <w:pStyle w:val="a3"/>
        <w:numPr>
          <w:ilvl w:val="0"/>
          <w:numId w:val="1"/>
        </w:numPr>
        <w:tabs>
          <w:tab w:val="left" w:pos="226"/>
          <w:tab w:val="left" w:pos="368"/>
        </w:tabs>
        <w:spacing w:line="360" w:lineRule="auto"/>
        <w:ind w:left="-58" w:firstLine="0"/>
        <w:jc w:val="both"/>
        <w:outlineLvl w:val="0"/>
        <w:rPr>
          <w:rFonts w:cs="David"/>
          <w:sz w:val="28"/>
          <w:szCs w:val="28"/>
          <w:rtl/>
        </w:rPr>
      </w:pPr>
      <w:r w:rsidRPr="00753FED">
        <w:rPr>
          <w:rFonts w:cs="David" w:hint="cs"/>
          <w:sz w:val="28"/>
          <w:szCs w:val="28"/>
          <w:rtl/>
        </w:rPr>
        <w:t xml:space="preserve">בין הנאשם, במסגרת תפקידו, לבין ועד העובדים במנהל האזרחי ומטבח אוגדת איו"ש, התגבש הסכם. ביום 10 במרץ 2016 הופץ מסמך בחתימת הנאשם המפרט את פרטי ההסכם, אשר במסגרתו הוסכם כי אזרחים המעוניינים בכך יוכלו לסעוד בחדר האוכל של אוגדת איו"ש, תמורת אותו סכום כסף </w:t>
      </w:r>
      <w:r w:rsidRPr="00753FED">
        <w:rPr>
          <w:rFonts w:cs="David"/>
          <w:sz w:val="28"/>
          <w:szCs w:val="28"/>
          <w:rtl/>
        </w:rPr>
        <w:t>–</w:t>
      </w:r>
      <w:r w:rsidRPr="00753FED">
        <w:rPr>
          <w:rFonts w:cs="David" w:hint="cs"/>
          <w:sz w:val="28"/>
          <w:szCs w:val="28"/>
          <w:rtl/>
        </w:rPr>
        <w:t xml:space="preserve"> 146 </w:t>
      </w:r>
      <w:r w:rsidR="00DC330C">
        <w:rPr>
          <w:rFonts w:cs="David" w:hint="cs"/>
          <w:sz w:val="28"/>
          <w:szCs w:val="28"/>
          <w:rtl/>
        </w:rPr>
        <w:t>ש</w:t>
      </w:r>
      <w:r w:rsidR="00DC330C">
        <w:rPr>
          <w:rFonts w:cs="David"/>
          <w:sz w:val="28"/>
          <w:szCs w:val="28"/>
          <w:rtl/>
        </w:rPr>
        <w:t>"</w:t>
      </w:r>
      <w:r w:rsidR="00DC330C">
        <w:rPr>
          <w:rFonts w:cs="David" w:hint="cs"/>
          <w:sz w:val="28"/>
          <w:szCs w:val="28"/>
          <w:rtl/>
        </w:rPr>
        <w:t>ח</w:t>
      </w:r>
      <w:r w:rsidRPr="00753FED">
        <w:rPr>
          <w:rFonts w:cs="David" w:hint="cs"/>
          <w:sz w:val="28"/>
          <w:szCs w:val="28"/>
          <w:rtl/>
        </w:rPr>
        <w:t xml:space="preserve"> לחודש, אותו יגבה ועד העובדים. בהסכם נקבע כי הכספים יחלוקו באופן הבא: 50% יועברו ל"קופת המפקד", הנאשם, בתפקידו כסגן ראש המנהל האזרחי; 25% יועברו לוועד העובדים במנהל האזרחי באמצעות תווי מזון מרשת "רמי לוי"; 25% יועברו למטבח האוגדה באמצעות תווי מזון מרשת "רמי לוי". בעקבות דרישה מטעם אוגדת איו"ש, נחתם הסכם נוסף עם מפקד מחנה אוגדת איו"ש, שלפיו הכספים ששולמו על ידי העובדים חולקו כך שהמטבח יקבל 75% מהם, והיתרה תחולק באופן שווה בין "קופת המפקד" לבין ועד העובדים במנהל האזרחי. </w:t>
      </w:r>
    </w:p>
    <w:p w:rsidR="00753FED" w:rsidRPr="00753FED" w:rsidRDefault="00753FED" w:rsidP="00753FED">
      <w:pPr>
        <w:pStyle w:val="a3"/>
        <w:numPr>
          <w:ilvl w:val="0"/>
          <w:numId w:val="1"/>
        </w:numPr>
        <w:tabs>
          <w:tab w:val="left" w:pos="226"/>
          <w:tab w:val="left" w:pos="368"/>
        </w:tabs>
        <w:spacing w:line="360" w:lineRule="auto"/>
        <w:ind w:left="-58" w:firstLine="0"/>
        <w:jc w:val="both"/>
        <w:outlineLvl w:val="0"/>
        <w:rPr>
          <w:rFonts w:cs="David"/>
          <w:sz w:val="28"/>
          <w:szCs w:val="28"/>
          <w:rtl/>
        </w:rPr>
      </w:pPr>
      <w:r w:rsidRPr="00753FED">
        <w:rPr>
          <w:rFonts w:cs="David" w:hint="cs"/>
          <w:sz w:val="28"/>
          <w:szCs w:val="28"/>
          <w:rtl/>
        </w:rPr>
        <w:t xml:space="preserve">במסגרת הסכמים אלו, הועבר ל"קופת המפקד" בתקופה שבין מרץ 2016 לאפריל 2018, סכום כסף שעולה על 62,500 </w:t>
      </w:r>
      <w:r w:rsidR="00DC330C">
        <w:rPr>
          <w:rFonts w:cs="David" w:hint="cs"/>
          <w:sz w:val="28"/>
          <w:szCs w:val="28"/>
          <w:rtl/>
        </w:rPr>
        <w:t>ש</w:t>
      </w:r>
      <w:r w:rsidR="00DC330C">
        <w:rPr>
          <w:rFonts w:cs="David"/>
          <w:sz w:val="28"/>
          <w:szCs w:val="28"/>
          <w:rtl/>
        </w:rPr>
        <w:t>"</w:t>
      </w:r>
      <w:r w:rsidR="00DC330C">
        <w:rPr>
          <w:rFonts w:cs="David" w:hint="cs"/>
          <w:sz w:val="28"/>
          <w:szCs w:val="28"/>
          <w:rtl/>
        </w:rPr>
        <w:t>ח</w:t>
      </w:r>
      <w:r w:rsidRPr="00753FED">
        <w:rPr>
          <w:rFonts w:cs="David" w:hint="cs"/>
          <w:sz w:val="28"/>
          <w:szCs w:val="28"/>
          <w:rtl/>
        </w:rPr>
        <w:t xml:space="preserve">, מרביתו בתווי מזון. בנוסף, במסגרת הסכמים אלו, הועבר לנאשם סכום כסף של 11,500 </w:t>
      </w:r>
      <w:r w:rsidR="00DC330C">
        <w:rPr>
          <w:rFonts w:cs="David" w:hint="cs"/>
          <w:sz w:val="28"/>
          <w:szCs w:val="28"/>
          <w:rtl/>
        </w:rPr>
        <w:t>ש</w:t>
      </w:r>
      <w:r w:rsidR="00DC330C">
        <w:rPr>
          <w:rFonts w:cs="David"/>
          <w:sz w:val="28"/>
          <w:szCs w:val="28"/>
          <w:rtl/>
        </w:rPr>
        <w:t>"</w:t>
      </w:r>
      <w:r w:rsidR="00DC330C">
        <w:rPr>
          <w:rFonts w:cs="David" w:hint="cs"/>
          <w:sz w:val="28"/>
          <w:szCs w:val="28"/>
          <w:rtl/>
        </w:rPr>
        <w:t>ח</w:t>
      </w:r>
      <w:r w:rsidRPr="00753FED">
        <w:rPr>
          <w:rFonts w:cs="David" w:hint="cs"/>
          <w:sz w:val="28"/>
          <w:szCs w:val="28"/>
          <w:rtl/>
        </w:rPr>
        <w:t xml:space="preserve"> במזומן, לאחר שפקודיו פדו המחאה בנקאית מטעם ועד העובדים, וכן סכום כסף של 5,000 </w:t>
      </w:r>
      <w:r w:rsidR="00DC330C">
        <w:rPr>
          <w:rFonts w:cs="David" w:hint="cs"/>
          <w:sz w:val="28"/>
          <w:szCs w:val="28"/>
          <w:rtl/>
        </w:rPr>
        <w:t>ש</w:t>
      </w:r>
      <w:r w:rsidR="00DC330C">
        <w:rPr>
          <w:rFonts w:cs="David"/>
          <w:sz w:val="28"/>
          <w:szCs w:val="28"/>
          <w:rtl/>
        </w:rPr>
        <w:t>"</w:t>
      </w:r>
      <w:r w:rsidR="00DC330C">
        <w:rPr>
          <w:rFonts w:cs="David" w:hint="cs"/>
          <w:sz w:val="28"/>
          <w:szCs w:val="28"/>
          <w:rtl/>
        </w:rPr>
        <w:t>ח</w:t>
      </w:r>
      <w:r w:rsidRPr="00753FED">
        <w:rPr>
          <w:rFonts w:cs="David" w:hint="cs"/>
          <w:sz w:val="28"/>
          <w:szCs w:val="28"/>
          <w:rtl/>
        </w:rPr>
        <w:t xml:space="preserve"> באמצעות המחאה בנקאית, שאותה הפקיד הנאשם בחשבון הבנק האישי שלו. בהוראת הנאשם או באישורו, חלק </w:t>
      </w:r>
      <w:r w:rsidR="00BB503A">
        <w:rPr>
          <w:rFonts w:cs="David" w:hint="cs"/>
          <w:sz w:val="28"/>
          <w:szCs w:val="28"/>
          <w:rtl/>
        </w:rPr>
        <w:t xml:space="preserve">מהכספים ששולמו לצורך הסעדה, </w:t>
      </w:r>
      <w:r w:rsidRPr="00753FED">
        <w:rPr>
          <w:rFonts w:cs="David" w:hint="cs"/>
          <w:sz w:val="28"/>
          <w:szCs w:val="28"/>
          <w:rtl/>
        </w:rPr>
        <w:t xml:space="preserve">שימש לצורכי האזרחים עובדי </w:t>
      </w:r>
      <w:r w:rsidRPr="00753FED">
        <w:rPr>
          <w:rFonts w:cs="David" w:hint="cs"/>
          <w:sz w:val="28"/>
          <w:szCs w:val="28"/>
          <w:rtl/>
        </w:rPr>
        <w:lastRenderedPageBreak/>
        <w:t xml:space="preserve">המנהל האזרחי, וחלקם האחר שימש לפעילויות משותפות של האזרחים וקציני המנהל האזרחי וחייליו. </w:t>
      </w:r>
    </w:p>
    <w:p w:rsidR="00753FED" w:rsidRPr="00753FED" w:rsidRDefault="00753FED" w:rsidP="00753FED">
      <w:pPr>
        <w:pStyle w:val="a3"/>
        <w:numPr>
          <w:ilvl w:val="0"/>
          <w:numId w:val="1"/>
        </w:numPr>
        <w:tabs>
          <w:tab w:val="left" w:pos="226"/>
          <w:tab w:val="left" w:pos="368"/>
        </w:tabs>
        <w:spacing w:line="360" w:lineRule="auto"/>
        <w:ind w:left="-58" w:firstLine="0"/>
        <w:jc w:val="both"/>
        <w:outlineLvl w:val="0"/>
        <w:rPr>
          <w:rFonts w:cs="David"/>
          <w:sz w:val="28"/>
          <w:szCs w:val="28"/>
          <w:rtl/>
        </w:rPr>
      </w:pPr>
      <w:r w:rsidRPr="00753FED">
        <w:rPr>
          <w:rFonts w:cs="David" w:hint="cs"/>
          <w:sz w:val="28"/>
          <w:szCs w:val="28"/>
          <w:rtl/>
        </w:rPr>
        <w:t>לפי ההסכמים הנ"ל, הכסף נשמר על ידי הנאשם והוצא ללא פיקוח או בקרה נאותים אחר תע</w:t>
      </w:r>
      <w:r w:rsidR="00BB503A">
        <w:rPr>
          <w:rFonts w:cs="David" w:hint="cs"/>
          <w:sz w:val="28"/>
          <w:szCs w:val="28"/>
          <w:rtl/>
        </w:rPr>
        <w:t>בורת הכספים או אחר השימוש בהם, ו</w:t>
      </w:r>
      <w:r w:rsidRPr="00753FED">
        <w:rPr>
          <w:rFonts w:cs="David" w:hint="cs"/>
          <w:sz w:val="28"/>
          <w:szCs w:val="28"/>
          <w:rtl/>
        </w:rPr>
        <w:t xml:space="preserve">זאת בניגוד לפקודות. מצב דברים זה, לא אפשר להתחקות אחר השימוש בכלל הכסף, ואחר הייעוד שאליו הועבר בפועל. בכך, לא קיים הנאשם את פקודות הצבא. </w:t>
      </w:r>
    </w:p>
    <w:p w:rsidR="00753FED" w:rsidRPr="00753FED" w:rsidRDefault="00753FED" w:rsidP="00753FED">
      <w:pPr>
        <w:pStyle w:val="a3"/>
        <w:numPr>
          <w:ilvl w:val="0"/>
          <w:numId w:val="1"/>
        </w:numPr>
        <w:tabs>
          <w:tab w:val="left" w:pos="226"/>
          <w:tab w:val="left" w:pos="368"/>
        </w:tabs>
        <w:spacing w:line="360" w:lineRule="auto"/>
        <w:ind w:left="-58" w:firstLine="0"/>
        <w:jc w:val="both"/>
        <w:outlineLvl w:val="0"/>
        <w:rPr>
          <w:rFonts w:cs="David"/>
          <w:sz w:val="28"/>
          <w:szCs w:val="28"/>
          <w:rtl/>
        </w:rPr>
      </w:pPr>
      <w:r w:rsidRPr="00753FED">
        <w:rPr>
          <w:rFonts w:cs="David" w:hint="cs"/>
          <w:sz w:val="28"/>
          <w:szCs w:val="28"/>
          <w:rtl/>
        </w:rPr>
        <w:t xml:space="preserve">החקירה נגד הנאשם, כך על פי הפרטים הנוספים, נפתחה בעקבות דיווחו של חשב מתאם פעולות הממשלה בשטחים, על אודות הסכם שכונן הנאשם באשר לשירותי ההסעדה. </w:t>
      </w:r>
    </w:p>
    <w:p w:rsidR="00753FED" w:rsidRDefault="00753FED" w:rsidP="00753FED">
      <w:pPr>
        <w:pStyle w:val="a3"/>
        <w:tabs>
          <w:tab w:val="left" w:pos="226"/>
          <w:tab w:val="left" w:pos="368"/>
        </w:tabs>
        <w:spacing w:line="360" w:lineRule="auto"/>
        <w:ind w:left="-58"/>
        <w:jc w:val="both"/>
        <w:outlineLvl w:val="0"/>
        <w:rPr>
          <w:rFonts w:cs="David"/>
          <w:sz w:val="28"/>
          <w:szCs w:val="28"/>
          <w:rtl/>
        </w:rPr>
      </w:pPr>
    </w:p>
    <w:p w:rsidR="00753FED" w:rsidRPr="00753FED" w:rsidRDefault="00753FED" w:rsidP="00753FED">
      <w:pPr>
        <w:pStyle w:val="a3"/>
        <w:tabs>
          <w:tab w:val="left" w:pos="226"/>
          <w:tab w:val="left" w:pos="368"/>
        </w:tabs>
        <w:spacing w:line="360" w:lineRule="auto"/>
        <w:ind w:left="-58"/>
        <w:jc w:val="both"/>
        <w:outlineLvl w:val="0"/>
        <w:rPr>
          <w:rFonts w:cs="David"/>
          <w:b/>
          <w:bCs/>
          <w:sz w:val="28"/>
          <w:szCs w:val="28"/>
          <w:rtl/>
        </w:rPr>
      </w:pPr>
      <w:r w:rsidRPr="00753FED">
        <w:rPr>
          <w:rFonts w:cs="David" w:hint="cs"/>
          <w:b/>
          <w:bCs/>
          <w:sz w:val="28"/>
          <w:szCs w:val="28"/>
          <w:rtl/>
        </w:rPr>
        <w:t>טיעוני הצדדים</w:t>
      </w:r>
    </w:p>
    <w:p w:rsidR="00753FED" w:rsidRDefault="00753FED" w:rsidP="00687C38">
      <w:pPr>
        <w:pStyle w:val="a3"/>
        <w:numPr>
          <w:ilvl w:val="0"/>
          <w:numId w:val="1"/>
        </w:numPr>
        <w:tabs>
          <w:tab w:val="left" w:pos="226"/>
          <w:tab w:val="left" w:pos="368"/>
        </w:tabs>
        <w:spacing w:after="120" w:line="360" w:lineRule="auto"/>
        <w:ind w:left="-57" w:firstLine="0"/>
        <w:jc w:val="both"/>
        <w:outlineLvl w:val="0"/>
        <w:rPr>
          <w:rFonts w:cs="David"/>
          <w:sz w:val="28"/>
          <w:szCs w:val="28"/>
        </w:rPr>
      </w:pPr>
      <w:r w:rsidRPr="00753FED">
        <w:rPr>
          <w:rFonts w:cs="David" w:hint="cs"/>
          <w:sz w:val="28"/>
          <w:szCs w:val="28"/>
          <w:rtl/>
        </w:rPr>
        <w:t>הצדדים ביקשו במשותף לכבד את הסדר הטיעון ולהטיל על הנאשם עונש מאסר מותנה, אשר צופה את פני העתיד. לצד זאת צוין, כי הנאשם תרם, שלא כרכיב עניש</w:t>
      </w:r>
      <w:r w:rsidR="00AA15C7">
        <w:rPr>
          <w:rFonts w:cs="David" w:hint="cs"/>
          <w:sz w:val="28"/>
          <w:szCs w:val="28"/>
          <w:rtl/>
        </w:rPr>
        <w:t xml:space="preserve">ה, סכום של 7,000 </w:t>
      </w:r>
      <w:r w:rsidR="00DC330C">
        <w:rPr>
          <w:rFonts w:cs="David" w:hint="cs"/>
          <w:sz w:val="28"/>
          <w:szCs w:val="28"/>
          <w:rtl/>
        </w:rPr>
        <w:t>ש</w:t>
      </w:r>
      <w:r w:rsidR="00DC330C">
        <w:rPr>
          <w:rFonts w:cs="David"/>
          <w:sz w:val="28"/>
          <w:szCs w:val="28"/>
          <w:rtl/>
        </w:rPr>
        <w:t>"</w:t>
      </w:r>
      <w:r w:rsidR="00DC330C">
        <w:rPr>
          <w:rFonts w:cs="David" w:hint="cs"/>
          <w:sz w:val="28"/>
          <w:szCs w:val="28"/>
          <w:rtl/>
        </w:rPr>
        <w:t>ח</w:t>
      </w:r>
      <w:r w:rsidR="00AA15C7">
        <w:rPr>
          <w:rFonts w:cs="David" w:hint="cs"/>
          <w:sz w:val="28"/>
          <w:szCs w:val="28"/>
          <w:rtl/>
        </w:rPr>
        <w:t xml:space="preserve"> לרווחת חיילי</w:t>
      </w:r>
      <w:r w:rsidRPr="00753FED">
        <w:rPr>
          <w:rFonts w:cs="David" w:hint="cs"/>
          <w:sz w:val="28"/>
          <w:szCs w:val="28"/>
          <w:rtl/>
        </w:rPr>
        <w:t xml:space="preserve"> צה"ל. </w:t>
      </w:r>
    </w:p>
    <w:p w:rsidR="00C06215" w:rsidRDefault="00753FED" w:rsidP="00687C38">
      <w:pPr>
        <w:pStyle w:val="a3"/>
        <w:numPr>
          <w:ilvl w:val="0"/>
          <w:numId w:val="1"/>
        </w:numPr>
        <w:tabs>
          <w:tab w:val="left" w:pos="226"/>
          <w:tab w:val="left" w:pos="368"/>
        </w:tabs>
        <w:spacing w:after="120" w:line="360" w:lineRule="auto"/>
        <w:ind w:left="-57" w:firstLine="0"/>
        <w:jc w:val="both"/>
        <w:outlineLvl w:val="0"/>
        <w:rPr>
          <w:rFonts w:cs="David"/>
          <w:sz w:val="28"/>
          <w:szCs w:val="28"/>
        </w:rPr>
      </w:pPr>
      <w:r w:rsidRPr="00753FED">
        <w:rPr>
          <w:rFonts w:cs="David" w:hint="cs"/>
          <w:sz w:val="28"/>
          <w:szCs w:val="28"/>
          <w:rtl/>
        </w:rPr>
        <w:t>התובעת הצבאית פירטה את מעשה העבירה שבוצע על ידי הנאשם, והדגישה את העובדה שלפיה לא היה פיקוח או בקרה אחר תעבורת הכספים או אחר השימוש בהם, בניגוד לפקודות הצבא ובניגוד לחובה הציבורית לנהוג בשקיפות בעת ניהול כספים. עם זאת, צוין כי ההסכם שכונן הנאשם, נעשה אל מול ועד העובדים של האזרחים שעבדו במנהל האזרחי. התובעת ציינה עוד כי במסגרת החקירה לא נשללה טענתו של הנאשם שלפיה השימוש בכספים היה לרווחת עובדי המנהל האזרחי וחייליו. התביעה עמדה על שירותו הצבאי הארוך והתורם של הנאשם, וכן על תרומתו לרווחת חיילי צה"ל, וביקשה לאמץ את הסדר הטיעון בהיותו סביר.</w:t>
      </w:r>
    </w:p>
    <w:p w:rsidR="00753FED" w:rsidRPr="00753FED" w:rsidRDefault="00753FED" w:rsidP="00687C38">
      <w:pPr>
        <w:pStyle w:val="a3"/>
        <w:numPr>
          <w:ilvl w:val="0"/>
          <w:numId w:val="1"/>
        </w:numPr>
        <w:tabs>
          <w:tab w:val="left" w:pos="226"/>
          <w:tab w:val="left" w:pos="368"/>
        </w:tabs>
        <w:spacing w:after="120" w:line="360" w:lineRule="auto"/>
        <w:ind w:left="-57" w:firstLine="0"/>
        <w:jc w:val="both"/>
        <w:outlineLvl w:val="0"/>
        <w:rPr>
          <w:rFonts w:cs="David"/>
          <w:sz w:val="28"/>
          <w:szCs w:val="28"/>
          <w:rtl/>
        </w:rPr>
      </w:pPr>
      <w:r w:rsidRPr="00753FED">
        <w:rPr>
          <w:rFonts w:cs="David" w:hint="cs"/>
          <w:sz w:val="28"/>
          <w:szCs w:val="28"/>
          <w:rtl/>
        </w:rPr>
        <w:t>הסניגור הצטרף לבקשה לכיבוד ההסדר</w:t>
      </w:r>
      <w:r w:rsidR="00D62F21">
        <w:rPr>
          <w:rFonts w:cs="David" w:hint="cs"/>
          <w:sz w:val="28"/>
          <w:szCs w:val="28"/>
          <w:rtl/>
        </w:rPr>
        <w:t xml:space="preserve">, </w:t>
      </w:r>
      <w:r w:rsidRPr="00753FED">
        <w:rPr>
          <w:rFonts w:cs="David" w:hint="cs"/>
          <w:sz w:val="28"/>
          <w:szCs w:val="28"/>
          <w:rtl/>
        </w:rPr>
        <w:t xml:space="preserve">על הטעמים שצוינו, והדגיש כי הנאשם ביקש במעשה אשר עשה "לפתור בעיה", לאחר שהסדר שהיה קיים עם האזרחים עובדי המנהל האזרחי הופסק. צוין כי אמנם מדובר במשגה של הנאשם, אולם הוא נעשה ללא </w:t>
      </w:r>
      <w:r w:rsidR="00C46D94">
        <w:rPr>
          <w:rFonts w:cs="David" w:hint="cs"/>
          <w:sz w:val="28"/>
          <w:szCs w:val="28"/>
          <w:rtl/>
        </w:rPr>
        <w:t>כל כוונה פלילית</w:t>
      </w:r>
      <w:r w:rsidR="00D62F21">
        <w:rPr>
          <w:rFonts w:cs="David" w:hint="cs"/>
          <w:sz w:val="28"/>
          <w:szCs w:val="28"/>
          <w:rtl/>
        </w:rPr>
        <w:t xml:space="preserve">, </w:t>
      </w:r>
      <w:r w:rsidR="00C46D94">
        <w:rPr>
          <w:rFonts w:cs="David" w:hint="cs"/>
          <w:sz w:val="28"/>
          <w:szCs w:val="28"/>
          <w:rtl/>
        </w:rPr>
        <w:t xml:space="preserve">וכי הכספים שימשו </w:t>
      </w:r>
      <w:r w:rsidRPr="00753FED">
        <w:rPr>
          <w:rFonts w:cs="David" w:hint="cs"/>
          <w:sz w:val="28"/>
          <w:szCs w:val="28"/>
          <w:rtl/>
        </w:rPr>
        <w:t>לצרכים צבאיים בלבד. עוד נטען כי ההסכם היה בתמיכת ועד העובדים, אשר ביצע את הגביה של הכספים בפועל. הודגש כי הנאשם נטל אחריות על המעשה שביצע, וכי הוא סיים את פרק שירותו הצבאי, עתיר ה</w:t>
      </w:r>
      <w:r w:rsidR="000534F5">
        <w:rPr>
          <w:rFonts w:cs="David" w:hint="cs"/>
          <w:sz w:val="28"/>
          <w:szCs w:val="28"/>
          <w:rtl/>
        </w:rPr>
        <w:t>זכויות, בתחילת שנה זו, לאחר למעל</w:t>
      </w:r>
      <w:r w:rsidRPr="00753FED">
        <w:rPr>
          <w:rFonts w:cs="David" w:hint="cs"/>
          <w:sz w:val="28"/>
          <w:szCs w:val="28"/>
          <w:rtl/>
        </w:rPr>
        <w:t>ה משלושים שנה. נוכח אלו, ביקש הסניגור לכבד את הסדר הטיעון בהיותו סביר.</w:t>
      </w:r>
    </w:p>
    <w:p w:rsidR="00BB503A" w:rsidRDefault="00BB503A" w:rsidP="00753FED">
      <w:pPr>
        <w:tabs>
          <w:tab w:val="left" w:pos="226"/>
          <w:tab w:val="left" w:pos="368"/>
        </w:tabs>
        <w:outlineLvl w:val="0"/>
        <w:rPr>
          <w:b/>
          <w:bCs/>
          <w:rtl/>
        </w:rPr>
      </w:pPr>
    </w:p>
    <w:p w:rsidR="00C46D94" w:rsidRDefault="00C46D94" w:rsidP="00753FED">
      <w:pPr>
        <w:tabs>
          <w:tab w:val="left" w:pos="226"/>
          <w:tab w:val="left" w:pos="368"/>
        </w:tabs>
        <w:outlineLvl w:val="0"/>
        <w:rPr>
          <w:b/>
          <w:bCs/>
          <w:rtl/>
        </w:rPr>
      </w:pPr>
    </w:p>
    <w:p w:rsidR="00753FED" w:rsidRPr="00753FED" w:rsidRDefault="00753FED" w:rsidP="00753FED">
      <w:pPr>
        <w:tabs>
          <w:tab w:val="left" w:pos="226"/>
          <w:tab w:val="left" w:pos="368"/>
        </w:tabs>
        <w:outlineLvl w:val="0"/>
        <w:rPr>
          <w:b/>
          <w:bCs/>
          <w:rtl/>
        </w:rPr>
      </w:pPr>
      <w:r w:rsidRPr="00753FED">
        <w:rPr>
          <w:rFonts w:hint="cs"/>
          <w:b/>
          <w:bCs/>
          <w:rtl/>
        </w:rPr>
        <w:lastRenderedPageBreak/>
        <w:t>דיון והכרעה</w:t>
      </w:r>
    </w:p>
    <w:p w:rsidR="00C06215" w:rsidRDefault="00753FED" w:rsidP="001466C5">
      <w:pPr>
        <w:pStyle w:val="a3"/>
        <w:numPr>
          <w:ilvl w:val="0"/>
          <w:numId w:val="1"/>
        </w:numPr>
        <w:tabs>
          <w:tab w:val="left" w:pos="226"/>
          <w:tab w:val="left" w:pos="368"/>
        </w:tabs>
        <w:spacing w:after="240" w:line="360" w:lineRule="auto"/>
        <w:ind w:left="-57" w:firstLine="0"/>
        <w:jc w:val="both"/>
        <w:outlineLvl w:val="0"/>
        <w:rPr>
          <w:rFonts w:cs="David"/>
          <w:sz w:val="28"/>
          <w:szCs w:val="28"/>
        </w:rPr>
      </w:pPr>
      <w:r w:rsidRPr="00753FED">
        <w:rPr>
          <w:rFonts w:cs="David" w:hint="cs"/>
          <w:sz w:val="28"/>
          <w:szCs w:val="28"/>
          <w:rtl/>
        </w:rPr>
        <w:t>נקדים ונציין כבר כעת, כי לאחר שבחנו את פרטי ההסדר אשר התגבש בין הצדדים, וכן את טעמיו, ולאור מעשה העבירה שפורט בכתב האישום, מצאנו לקבוע כי מדובר בהסדר טיעון נכון וראוי, ומכאן שאנו מכבדים אותו.</w:t>
      </w:r>
    </w:p>
    <w:p w:rsidR="00C06215" w:rsidRDefault="00753FED" w:rsidP="00D62F21">
      <w:pPr>
        <w:pStyle w:val="a3"/>
        <w:numPr>
          <w:ilvl w:val="0"/>
          <w:numId w:val="1"/>
        </w:numPr>
        <w:tabs>
          <w:tab w:val="left" w:pos="226"/>
          <w:tab w:val="left" w:pos="368"/>
        </w:tabs>
        <w:spacing w:after="120" w:line="360" w:lineRule="auto"/>
        <w:ind w:left="-57" w:firstLine="0"/>
        <w:jc w:val="both"/>
        <w:outlineLvl w:val="0"/>
        <w:rPr>
          <w:rFonts w:cs="David"/>
          <w:sz w:val="28"/>
          <w:szCs w:val="28"/>
        </w:rPr>
      </w:pPr>
      <w:r w:rsidRPr="00753FED">
        <w:rPr>
          <w:rFonts w:cs="David" w:hint="cs"/>
          <w:sz w:val="28"/>
          <w:szCs w:val="28"/>
          <w:rtl/>
        </w:rPr>
        <w:t>כפי שפורט, המשגה של הנאשם היה בכך שביקש למצוא פתרון להסעדת אזרחים עובדי המנהל האזרחי בחדר אוכל צבאי, לאחר שהסדר שהיה קיים קודם לכן, הופסק. ההסכם שגיבש הנאשם, ודרך הילוכו, היו מנוגדים לפקודות הצבא. ברם, הנאשם פעל באורח גלוי וגיבש את ההסכם אל מול ועד העובדים, ואף הפיץ את פרטיו בכתב. טענת הנאשם,</w:t>
      </w:r>
      <w:r w:rsidR="00D62F21">
        <w:rPr>
          <w:rFonts w:cs="David" w:hint="cs"/>
          <w:sz w:val="28"/>
          <w:szCs w:val="28"/>
          <w:rtl/>
        </w:rPr>
        <w:t xml:space="preserve"> </w:t>
      </w:r>
      <w:r w:rsidR="000534F5">
        <w:rPr>
          <w:rFonts w:cs="David" w:hint="cs"/>
          <w:sz w:val="28"/>
          <w:szCs w:val="28"/>
          <w:rtl/>
        </w:rPr>
        <w:t>אשר לפיה הכספים שימ</w:t>
      </w:r>
      <w:r w:rsidRPr="00753FED">
        <w:rPr>
          <w:rFonts w:cs="David" w:hint="cs"/>
          <w:sz w:val="28"/>
          <w:szCs w:val="28"/>
          <w:rtl/>
        </w:rPr>
        <w:t>שו לרווחת האזרחים עובדי המנהל האזרחי וחייליו, לא נשללה במסגרת החקירה.</w:t>
      </w:r>
      <w:r>
        <w:rPr>
          <w:rFonts w:cs="David" w:hint="cs"/>
          <w:sz w:val="28"/>
          <w:szCs w:val="28"/>
          <w:rtl/>
        </w:rPr>
        <w:t xml:space="preserve"> </w:t>
      </w:r>
      <w:r w:rsidRPr="00753FED">
        <w:rPr>
          <w:rFonts w:cs="David" w:hint="cs"/>
          <w:sz w:val="28"/>
          <w:szCs w:val="28"/>
          <w:rtl/>
        </w:rPr>
        <w:t>ועדיין, במעשיו פעל הנאשם בניגוד לפקודות הצבא, ולדברים חומרה ידועה</w:t>
      </w:r>
      <w:r w:rsidR="00D62F21">
        <w:rPr>
          <w:rFonts w:cs="David" w:hint="cs"/>
          <w:sz w:val="28"/>
          <w:szCs w:val="28"/>
          <w:rtl/>
        </w:rPr>
        <w:t xml:space="preserve">, </w:t>
      </w:r>
      <w:r w:rsidRPr="00753FED">
        <w:rPr>
          <w:rFonts w:cs="David" w:hint="cs"/>
          <w:sz w:val="28"/>
          <w:szCs w:val="28"/>
          <w:rtl/>
        </w:rPr>
        <w:t>בפרט היכן שמדובר בניהול כספים. החובה הציבורית והפיקודית אשר מוטלת על הנאשם, מעצם דרגתו ותפקידו, היא לפעול בשקיפות מלאה בניהול הכספים, ובוודאי לפעול בהתאם להוראות המחייבות. נוכח זאת, ראו הצדדים לנכון להביא את עניינו של הנאשם, במסגרת כתב אישום מוסכם בפרטיו, בפני בית דין צבאי, ולבקש להטיל עליו עונש אשר צופה את פני העתיד.</w:t>
      </w:r>
    </w:p>
    <w:p w:rsidR="00C06215" w:rsidRDefault="00753FED" w:rsidP="00687C38">
      <w:pPr>
        <w:pStyle w:val="a3"/>
        <w:numPr>
          <w:ilvl w:val="0"/>
          <w:numId w:val="1"/>
        </w:numPr>
        <w:tabs>
          <w:tab w:val="left" w:pos="226"/>
          <w:tab w:val="left" w:pos="368"/>
        </w:tabs>
        <w:spacing w:after="120" w:line="360" w:lineRule="auto"/>
        <w:ind w:left="-57" w:firstLine="0"/>
        <w:jc w:val="both"/>
        <w:outlineLvl w:val="0"/>
        <w:rPr>
          <w:rFonts w:cs="David"/>
          <w:sz w:val="28"/>
          <w:szCs w:val="28"/>
        </w:rPr>
      </w:pPr>
      <w:r w:rsidRPr="00753FED">
        <w:rPr>
          <w:rFonts w:cs="David" w:hint="cs"/>
          <w:sz w:val="28"/>
          <w:szCs w:val="28"/>
          <w:rtl/>
        </w:rPr>
        <w:t>בנסיבות הכוללות, ותוך בחינת זכויותיו הרבות של הנאשם במסגרת שירותו הצבאי הארוך, הודאתו וחרטתו הכנה אשר התרשמנו ממנה אף בצורה בלתי אמצעית וכן תרומתו הכספית לרווחת חיילי צה"ל, סברנו כי ההסדר משקף נקודת איזון נכונ</w:t>
      </w:r>
      <w:r w:rsidR="00C06215">
        <w:rPr>
          <w:rFonts w:cs="David" w:hint="cs"/>
          <w:sz w:val="28"/>
          <w:szCs w:val="28"/>
          <w:rtl/>
        </w:rPr>
        <w:t>ה וראויה, ועל כן הינו בר כיבוד.</w:t>
      </w:r>
    </w:p>
    <w:p w:rsidR="00DC330C" w:rsidRDefault="00753FED" w:rsidP="00DC330C">
      <w:pPr>
        <w:pStyle w:val="a3"/>
        <w:numPr>
          <w:ilvl w:val="0"/>
          <w:numId w:val="1"/>
        </w:numPr>
        <w:tabs>
          <w:tab w:val="left" w:pos="226"/>
          <w:tab w:val="left" w:pos="368"/>
        </w:tabs>
        <w:spacing w:line="360" w:lineRule="auto"/>
        <w:ind w:left="-58" w:firstLine="0"/>
        <w:jc w:val="both"/>
        <w:outlineLvl w:val="0"/>
        <w:rPr>
          <w:rFonts w:cs="David"/>
          <w:sz w:val="28"/>
          <w:szCs w:val="28"/>
        </w:rPr>
      </w:pPr>
      <w:r w:rsidRPr="00753FED">
        <w:rPr>
          <w:rFonts w:cs="David" w:hint="cs"/>
          <w:sz w:val="28"/>
          <w:szCs w:val="28"/>
          <w:rtl/>
        </w:rPr>
        <w:t>משכך, מוטל על הנאשם עונש של מאסר מותנה בן חודשיים, למשך שנה, והתנאי הוא שלא יעבור את העבירה בה הורשע לפי סעיף 133 (א) לחוק השיפוט הצבאי, התשט"ו-1955.</w:t>
      </w:r>
    </w:p>
    <w:p w:rsidR="00D62F21" w:rsidRDefault="00D62F21" w:rsidP="00DC330C">
      <w:pPr>
        <w:pStyle w:val="a3"/>
        <w:tabs>
          <w:tab w:val="left" w:pos="226"/>
          <w:tab w:val="left" w:pos="368"/>
        </w:tabs>
        <w:spacing w:line="360" w:lineRule="auto"/>
        <w:ind w:left="-58"/>
        <w:jc w:val="both"/>
        <w:outlineLvl w:val="0"/>
        <w:rPr>
          <w:rFonts w:cs="David"/>
          <w:sz w:val="28"/>
          <w:szCs w:val="28"/>
          <w:rtl/>
        </w:rPr>
      </w:pPr>
    </w:p>
    <w:p w:rsidR="00C06215" w:rsidRPr="00DC330C" w:rsidRDefault="00753FED" w:rsidP="00DC330C">
      <w:pPr>
        <w:pStyle w:val="a3"/>
        <w:tabs>
          <w:tab w:val="left" w:pos="226"/>
          <w:tab w:val="left" w:pos="368"/>
        </w:tabs>
        <w:spacing w:line="360" w:lineRule="auto"/>
        <w:ind w:left="-58"/>
        <w:jc w:val="both"/>
        <w:outlineLvl w:val="0"/>
        <w:rPr>
          <w:rFonts w:cs="David"/>
          <w:sz w:val="28"/>
          <w:szCs w:val="28"/>
          <w:rtl/>
        </w:rPr>
      </w:pPr>
      <w:r w:rsidRPr="00DC330C">
        <w:rPr>
          <w:rFonts w:cs="David" w:hint="cs"/>
          <w:sz w:val="28"/>
          <w:szCs w:val="28"/>
          <w:rtl/>
        </w:rPr>
        <w:t>זכות ערעור כחוק.</w:t>
      </w:r>
    </w:p>
    <w:p w:rsidR="00753FED" w:rsidRDefault="00753FED" w:rsidP="00D62F21">
      <w:pPr>
        <w:rPr>
          <w:b/>
          <w:bCs/>
          <w:rtl/>
        </w:rPr>
      </w:pPr>
      <w:r w:rsidRPr="00753FED">
        <w:rPr>
          <w:rFonts w:hint="cs"/>
          <w:rtl/>
        </w:rPr>
        <w:t>ניתן והודע היום, כ"ב באב התש"ף, 12</w:t>
      </w:r>
      <w:r w:rsidR="00BC07E0">
        <w:rPr>
          <w:rFonts w:hint="cs"/>
          <w:rtl/>
        </w:rPr>
        <w:t xml:space="preserve"> באוגוסט 2020</w:t>
      </w:r>
      <w:r w:rsidR="00687C38">
        <w:rPr>
          <w:rFonts w:hint="cs"/>
          <w:rtl/>
        </w:rPr>
        <w:t>, בפומבי ובמעמד הצדדים</w:t>
      </w:r>
      <w:r w:rsidR="00DC330C">
        <w:rPr>
          <w:rFonts w:hint="cs"/>
          <w:rtl/>
        </w:rPr>
        <w:t>.</w:t>
      </w:r>
      <w:r w:rsidRPr="00753FED">
        <w:rPr>
          <w:rFonts w:hint="cs"/>
          <w:rtl/>
        </w:rPr>
        <w:tab/>
      </w:r>
    </w:p>
    <w:p w:rsidR="00C06215" w:rsidRPr="00C06215" w:rsidRDefault="00C06215" w:rsidP="00C06215">
      <w:pPr>
        <w:spacing w:after="160"/>
        <w:rPr>
          <w:rFonts w:ascii="Calibri" w:eastAsia="Calibri" w:hAnsi="Calibri"/>
          <w:sz w:val="26"/>
          <w:szCs w:val="26"/>
          <w:rtl/>
        </w:rPr>
      </w:pPr>
      <w:r>
        <w:rPr>
          <w:rFonts w:ascii="Calibri" w:eastAsia="Calibri" w:hAnsi="Calibri" w:hint="cs"/>
          <w:sz w:val="26"/>
          <w:szCs w:val="26"/>
          <w:rtl/>
        </w:rPr>
        <w:t xml:space="preserve">   </w:t>
      </w:r>
      <w:r w:rsidRPr="00C06215">
        <w:rPr>
          <w:rFonts w:ascii="Calibri" w:eastAsia="Calibri" w:hAnsi="Calibri" w:hint="cs"/>
          <w:sz w:val="26"/>
          <w:szCs w:val="26"/>
          <w:rtl/>
        </w:rPr>
        <w:t>___________</w:t>
      </w:r>
      <w:r>
        <w:rPr>
          <w:rFonts w:ascii="Calibri" w:eastAsia="Calibri" w:hAnsi="Calibri"/>
          <w:sz w:val="26"/>
          <w:szCs w:val="26"/>
          <w:rtl/>
        </w:rPr>
        <w:tab/>
      </w:r>
      <w:r w:rsidRPr="00C06215">
        <w:rPr>
          <w:rFonts w:ascii="Calibri" w:eastAsia="Calibri" w:hAnsi="Calibri"/>
          <w:sz w:val="26"/>
          <w:szCs w:val="26"/>
          <w:rtl/>
        </w:rPr>
        <w:tab/>
      </w:r>
      <w:r>
        <w:rPr>
          <w:rFonts w:ascii="Calibri" w:eastAsia="Calibri" w:hAnsi="Calibri" w:hint="cs"/>
          <w:sz w:val="26"/>
          <w:szCs w:val="26"/>
          <w:rtl/>
        </w:rPr>
        <w:t xml:space="preserve">   </w:t>
      </w:r>
      <w:r w:rsidRPr="00C06215">
        <w:rPr>
          <w:rFonts w:ascii="Calibri" w:eastAsia="Calibri" w:hAnsi="Calibri" w:hint="cs"/>
          <w:sz w:val="26"/>
          <w:szCs w:val="26"/>
          <w:rtl/>
        </w:rPr>
        <w:t>____________</w:t>
      </w:r>
      <w:r w:rsidRPr="00C06215">
        <w:rPr>
          <w:rFonts w:ascii="Calibri" w:eastAsia="Calibri" w:hAnsi="Calibri"/>
          <w:sz w:val="26"/>
          <w:szCs w:val="26"/>
          <w:rtl/>
        </w:rPr>
        <w:tab/>
      </w:r>
      <w:r w:rsidRPr="00C06215">
        <w:rPr>
          <w:rFonts w:ascii="Calibri" w:eastAsia="Calibri" w:hAnsi="Calibri"/>
          <w:sz w:val="26"/>
          <w:szCs w:val="26"/>
          <w:rtl/>
        </w:rPr>
        <w:tab/>
      </w:r>
      <w:r>
        <w:rPr>
          <w:rFonts w:ascii="Calibri" w:eastAsia="Calibri" w:hAnsi="Calibri" w:hint="cs"/>
          <w:sz w:val="26"/>
          <w:szCs w:val="26"/>
          <w:rtl/>
        </w:rPr>
        <w:t xml:space="preserve">          </w:t>
      </w:r>
      <w:r w:rsidRPr="00C06215">
        <w:rPr>
          <w:rFonts w:ascii="Calibri" w:eastAsia="Calibri" w:hAnsi="Calibri" w:hint="cs"/>
          <w:sz w:val="26"/>
          <w:szCs w:val="26"/>
          <w:rtl/>
        </w:rPr>
        <w:t>_____________</w:t>
      </w:r>
    </w:p>
    <w:p w:rsidR="00D62F21" w:rsidRDefault="00C06215" w:rsidP="00D62F21">
      <w:pPr>
        <w:spacing w:after="160"/>
        <w:rPr>
          <w:rFonts w:ascii="Calibri" w:eastAsia="Calibri" w:hAnsi="Calibri"/>
          <w:b/>
          <w:bCs/>
          <w:rtl/>
        </w:rPr>
      </w:pPr>
      <w:r w:rsidRPr="00687C38">
        <w:rPr>
          <w:rFonts w:ascii="Calibri" w:eastAsia="Calibri" w:hAnsi="Calibri" w:hint="cs"/>
          <w:b/>
          <w:bCs/>
          <w:rtl/>
        </w:rPr>
        <w:t xml:space="preserve">       </w:t>
      </w:r>
      <w:r w:rsidR="00687C38" w:rsidRPr="00687C38">
        <w:rPr>
          <w:rFonts w:ascii="Calibri" w:eastAsia="Calibri" w:hAnsi="Calibri" w:hint="cs"/>
          <w:b/>
          <w:bCs/>
          <w:rtl/>
        </w:rPr>
        <w:t>אב"ד</w:t>
      </w:r>
      <w:r w:rsidRPr="00C06215">
        <w:rPr>
          <w:rFonts w:ascii="Calibri" w:eastAsia="Calibri" w:hAnsi="Calibri" w:hint="cs"/>
          <w:b/>
          <w:bCs/>
          <w:rtl/>
        </w:rPr>
        <w:t xml:space="preserve"> </w:t>
      </w:r>
      <w:r w:rsidRPr="00C06215">
        <w:rPr>
          <w:rFonts w:ascii="Calibri" w:eastAsia="Calibri" w:hAnsi="Calibri" w:hint="cs"/>
          <w:b/>
          <w:bCs/>
          <w:rtl/>
        </w:rPr>
        <w:tab/>
      </w:r>
      <w:r w:rsidRPr="00C06215">
        <w:rPr>
          <w:rFonts w:ascii="Calibri" w:eastAsia="Calibri" w:hAnsi="Calibri"/>
          <w:b/>
          <w:bCs/>
          <w:rtl/>
        </w:rPr>
        <w:tab/>
      </w:r>
      <w:r w:rsidRPr="00C06215">
        <w:rPr>
          <w:rFonts w:ascii="Calibri" w:eastAsia="Calibri" w:hAnsi="Calibri" w:hint="cs"/>
          <w:b/>
          <w:bCs/>
          <w:rtl/>
        </w:rPr>
        <w:t xml:space="preserve">                  </w:t>
      </w:r>
      <w:r>
        <w:rPr>
          <w:rFonts w:ascii="Calibri" w:eastAsia="Calibri" w:hAnsi="Calibri" w:hint="cs"/>
          <w:b/>
          <w:bCs/>
          <w:rtl/>
        </w:rPr>
        <w:t xml:space="preserve"> </w:t>
      </w:r>
      <w:r w:rsidRPr="00C06215">
        <w:rPr>
          <w:rFonts w:ascii="Calibri" w:eastAsia="Calibri" w:hAnsi="Calibri" w:hint="cs"/>
          <w:b/>
          <w:bCs/>
          <w:rtl/>
        </w:rPr>
        <w:t xml:space="preserve"> </w:t>
      </w:r>
      <w:r>
        <w:rPr>
          <w:rFonts w:ascii="Calibri" w:eastAsia="Calibri" w:hAnsi="Calibri" w:hint="cs"/>
          <w:b/>
          <w:bCs/>
          <w:rtl/>
        </w:rPr>
        <w:t xml:space="preserve">  </w:t>
      </w:r>
      <w:r w:rsidR="00687C38">
        <w:rPr>
          <w:rFonts w:ascii="Calibri" w:eastAsia="Calibri" w:hAnsi="Calibri" w:hint="cs"/>
          <w:b/>
          <w:bCs/>
          <w:rtl/>
        </w:rPr>
        <w:t>שופט</w:t>
      </w:r>
      <w:r w:rsidRPr="00C06215">
        <w:rPr>
          <w:rFonts w:ascii="Calibri" w:eastAsia="Calibri" w:hAnsi="Calibri"/>
          <w:b/>
          <w:bCs/>
          <w:rtl/>
        </w:rPr>
        <w:tab/>
      </w:r>
      <w:r w:rsidRPr="00C06215">
        <w:rPr>
          <w:rFonts w:ascii="Calibri" w:eastAsia="Calibri" w:hAnsi="Calibri"/>
          <w:b/>
          <w:bCs/>
          <w:rtl/>
        </w:rPr>
        <w:tab/>
      </w:r>
      <w:r w:rsidRPr="00C06215">
        <w:rPr>
          <w:rFonts w:ascii="Calibri" w:eastAsia="Calibri" w:hAnsi="Calibri"/>
          <w:b/>
          <w:bCs/>
          <w:rtl/>
        </w:rPr>
        <w:tab/>
      </w:r>
      <w:r w:rsidRPr="00C06215">
        <w:rPr>
          <w:rFonts w:ascii="Calibri" w:eastAsia="Calibri" w:hAnsi="Calibri"/>
          <w:b/>
          <w:bCs/>
          <w:rtl/>
        </w:rPr>
        <w:tab/>
      </w:r>
      <w:r>
        <w:rPr>
          <w:rFonts w:ascii="Calibri" w:eastAsia="Calibri" w:hAnsi="Calibri" w:hint="cs"/>
          <w:b/>
          <w:bCs/>
          <w:rtl/>
        </w:rPr>
        <w:t xml:space="preserve">      </w:t>
      </w:r>
      <w:r w:rsidRPr="00C06215">
        <w:rPr>
          <w:rFonts w:ascii="Calibri" w:eastAsia="Calibri" w:hAnsi="Calibri" w:hint="cs"/>
          <w:b/>
          <w:bCs/>
          <w:rtl/>
        </w:rPr>
        <w:t>שופט</w:t>
      </w:r>
    </w:p>
    <w:p w:rsidR="00C06215" w:rsidRPr="00D62F21" w:rsidRDefault="00C06215" w:rsidP="00D62F21">
      <w:pPr>
        <w:spacing w:after="160"/>
        <w:rPr>
          <w:rFonts w:ascii="Calibri" w:eastAsia="Calibri" w:hAnsi="Calibri"/>
          <w:b/>
          <w:bCs/>
          <w:rtl/>
        </w:rPr>
      </w:pPr>
      <w:r w:rsidRPr="00C06215">
        <w:rPr>
          <w:rFonts w:hint="eastAsia"/>
          <w:b/>
          <w:bCs/>
          <w:rtl/>
        </w:rPr>
        <w:t>חתימת</w:t>
      </w:r>
      <w:r w:rsidRPr="00C06215">
        <w:rPr>
          <w:b/>
          <w:bCs/>
          <w:rtl/>
        </w:rPr>
        <w:t xml:space="preserve"> </w:t>
      </w:r>
      <w:r w:rsidRPr="00C06215">
        <w:rPr>
          <w:rFonts w:hint="eastAsia"/>
          <w:b/>
          <w:bCs/>
          <w:rtl/>
        </w:rPr>
        <w:t>המגיה</w:t>
      </w:r>
      <w:r w:rsidRPr="00C06215">
        <w:rPr>
          <w:b/>
          <w:bCs/>
          <w:rtl/>
        </w:rPr>
        <w:t>: _________________</w:t>
      </w:r>
      <w:r w:rsidRPr="00C06215">
        <w:rPr>
          <w:rFonts w:hint="cs"/>
          <w:b/>
          <w:bCs/>
          <w:rtl/>
        </w:rPr>
        <w:tab/>
        <w:t xml:space="preserve">   </w:t>
      </w:r>
      <w:r w:rsidRPr="00C06215">
        <w:rPr>
          <w:rFonts w:hint="eastAsia"/>
          <w:b/>
          <w:bCs/>
          <w:rtl/>
        </w:rPr>
        <w:t>העתק</w:t>
      </w:r>
      <w:r w:rsidRPr="00C06215">
        <w:rPr>
          <w:rFonts w:hint="cs"/>
          <w:b/>
          <w:bCs/>
          <w:rtl/>
        </w:rPr>
        <w:t xml:space="preserve">         </w:t>
      </w:r>
      <w:r w:rsidRPr="00C06215">
        <w:rPr>
          <w:rFonts w:hint="eastAsia"/>
          <w:b/>
          <w:bCs/>
          <w:rtl/>
        </w:rPr>
        <w:t>נאמן</w:t>
      </w:r>
      <w:r w:rsidRPr="00C06215">
        <w:rPr>
          <w:b/>
          <w:bCs/>
          <w:rtl/>
        </w:rPr>
        <w:t xml:space="preserve"> </w:t>
      </w:r>
      <w:r w:rsidRPr="00C06215">
        <w:rPr>
          <w:rFonts w:hint="cs"/>
          <w:b/>
          <w:bCs/>
          <w:rtl/>
        </w:rPr>
        <w:t xml:space="preserve">        </w:t>
      </w:r>
      <w:r w:rsidRPr="00C06215">
        <w:rPr>
          <w:rFonts w:hint="eastAsia"/>
          <w:b/>
          <w:bCs/>
          <w:rtl/>
        </w:rPr>
        <w:t>למקור</w:t>
      </w:r>
      <w:r w:rsidRPr="00C06215">
        <w:rPr>
          <w:rFonts w:hint="cs"/>
          <w:b/>
          <w:bCs/>
          <w:rtl/>
        </w:rPr>
        <w:br/>
      </w:r>
      <w:r w:rsidRPr="00C06215">
        <w:rPr>
          <w:rFonts w:hint="cs"/>
          <w:b/>
          <w:bCs/>
          <w:rtl/>
        </w:rPr>
        <w:tab/>
        <w:t xml:space="preserve">                                                             סמ"ר עדי לביא  </w:t>
      </w:r>
      <w:r w:rsidRPr="00C06215">
        <w:rPr>
          <w:rFonts w:hint="cs"/>
          <w:b/>
          <w:bCs/>
          <w:rtl/>
        </w:rPr>
        <w:br/>
      </w:r>
      <w:r w:rsidRPr="00C06215">
        <w:rPr>
          <w:rFonts w:hint="eastAsia"/>
          <w:b/>
          <w:bCs/>
          <w:rtl/>
        </w:rPr>
        <w:t>תאריך</w:t>
      </w:r>
      <w:r w:rsidRPr="00C06215">
        <w:rPr>
          <w:b/>
          <w:bCs/>
          <w:rtl/>
        </w:rPr>
        <w:t>: ______________________</w:t>
      </w:r>
      <w:r w:rsidRPr="00C06215">
        <w:rPr>
          <w:rFonts w:hint="cs"/>
          <w:b/>
          <w:bCs/>
          <w:rtl/>
        </w:rPr>
        <w:tab/>
        <w:t xml:space="preserve">  קצינת                  בית                   הדין</w:t>
      </w:r>
    </w:p>
    <w:p w:rsidR="00753FED" w:rsidRPr="00753FED" w:rsidRDefault="00753FED" w:rsidP="00753FED">
      <w:pPr>
        <w:rPr>
          <w:b/>
          <w:bCs/>
          <w:rtl/>
        </w:rPr>
      </w:pPr>
      <w:r w:rsidRPr="00753FED">
        <w:rPr>
          <w:rFonts w:hint="cs"/>
          <w:b/>
          <w:bCs/>
          <w:rtl/>
        </w:rPr>
        <w:lastRenderedPageBreak/>
        <w:tab/>
        <w:t xml:space="preserve">     </w:t>
      </w:r>
    </w:p>
    <w:p w:rsidR="00753FED" w:rsidRPr="00753FED" w:rsidRDefault="00753FED" w:rsidP="00753FED">
      <w:pPr>
        <w:jc w:val="left"/>
        <w:rPr>
          <w:rtl/>
        </w:rPr>
      </w:pPr>
    </w:p>
    <w:p w:rsidR="00AC13FC" w:rsidRPr="00753FED" w:rsidRDefault="00AC13FC"/>
    <w:sectPr w:rsidR="00AC13FC" w:rsidRPr="00753FED" w:rsidSect="0084579C">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215" w:rsidRDefault="00C06215" w:rsidP="00C06215">
      <w:pPr>
        <w:spacing w:line="240" w:lineRule="auto"/>
      </w:pPr>
      <w:r>
        <w:separator/>
      </w:r>
    </w:p>
  </w:endnote>
  <w:endnote w:type="continuationSeparator" w:id="0">
    <w:p w:rsidR="00C06215" w:rsidRDefault="00C06215" w:rsidP="00C06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David">
    <w:altName w:val="Times New Roman"/>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riam">
    <w:altName w:val="Symbol"/>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16969013"/>
      <w:docPartObj>
        <w:docPartGallery w:val="Page Numbers (Bottom of Page)"/>
        <w:docPartUnique/>
      </w:docPartObj>
    </w:sdtPr>
    <w:sdtEndPr/>
    <w:sdtContent>
      <w:p w:rsidR="001466C5" w:rsidRDefault="001466C5">
        <w:pPr>
          <w:pStyle w:val="a7"/>
          <w:jc w:val="center"/>
        </w:pPr>
        <w:r>
          <w:fldChar w:fldCharType="begin"/>
        </w:r>
        <w:r>
          <w:instrText xml:space="preserve"> PAGE   \* MERGEFORMAT </w:instrText>
        </w:r>
        <w:r>
          <w:fldChar w:fldCharType="separate"/>
        </w:r>
        <w:r w:rsidR="00AC4818">
          <w:rPr>
            <w:noProof/>
            <w:rtl/>
          </w:rPr>
          <w:t>1</w:t>
        </w:r>
        <w:r>
          <w:rPr>
            <w:noProof/>
          </w:rPr>
          <w:fldChar w:fldCharType="end"/>
        </w:r>
      </w:p>
    </w:sdtContent>
  </w:sdt>
  <w:p w:rsidR="001466C5" w:rsidRDefault="001466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215" w:rsidRDefault="00C06215" w:rsidP="00C06215">
      <w:pPr>
        <w:spacing w:line="240" w:lineRule="auto"/>
      </w:pPr>
      <w:r>
        <w:separator/>
      </w:r>
    </w:p>
  </w:footnote>
  <w:footnote w:type="continuationSeparator" w:id="0">
    <w:p w:rsidR="00C06215" w:rsidRDefault="00C06215" w:rsidP="00C06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15" w:rsidRPr="00C06215" w:rsidRDefault="00C06215" w:rsidP="009965B1">
    <w:pPr>
      <w:tabs>
        <w:tab w:val="center" w:pos="4153"/>
        <w:tab w:val="right" w:pos="8306"/>
      </w:tabs>
      <w:spacing w:line="240" w:lineRule="auto"/>
      <w:jc w:val="left"/>
      <w:rPr>
        <w:rFonts w:ascii="Calibri" w:eastAsia="Calibri" w:hAnsi="Calibri"/>
        <w:rtl/>
      </w:rPr>
    </w:pPr>
    <w:r>
      <w:rPr>
        <w:rFonts w:ascii="Calibri" w:eastAsia="Calibri" w:hAnsi="Calibri" w:hint="cs"/>
        <w:rtl/>
      </w:rPr>
      <w:t xml:space="preserve">                                                             </w:t>
    </w:r>
    <w:r w:rsidR="00075CC4">
      <w:rPr>
        <w:rFonts w:ascii="Calibri" w:eastAsia="Calibri" w:hAnsi="Calibri" w:hint="cs"/>
        <w:rtl/>
      </w:rPr>
      <w:t>בלמ"ס</w:t>
    </w:r>
    <w:r w:rsidRPr="00C06215">
      <w:rPr>
        <w:rFonts w:ascii="Calibri" w:eastAsia="Calibri" w:hAnsi="Calibri" w:hint="cs"/>
        <w:rtl/>
      </w:rPr>
      <w:t xml:space="preserve">                                 </w:t>
    </w:r>
    <w:r w:rsidR="00BB503A">
      <w:rPr>
        <w:rFonts w:ascii="Calibri" w:eastAsia="Calibri" w:hAnsi="Calibri" w:hint="cs"/>
        <w:rtl/>
      </w:rPr>
      <w:t xml:space="preserve">         </w:t>
    </w:r>
    <w:r w:rsidRPr="00C06215">
      <w:rPr>
        <w:rFonts w:ascii="Calibri" w:eastAsia="Calibri" w:hAnsi="Calibri" w:hint="cs"/>
        <w:rtl/>
      </w:rPr>
      <w:t>מ/</w:t>
    </w:r>
    <w:r w:rsidR="009965B1">
      <w:rPr>
        <w:rFonts w:ascii="Calibri" w:eastAsia="Calibri" w:hAnsi="Calibri" w:hint="cs"/>
        <w:rtl/>
      </w:rPr>
      <w:t>3</w:t>
    </w:r>
    <w:r w:rsidRPr="00C06215">
      <w:rPr>
        <w:rFonts w:ascii="Calibri" w:eastAsia="Calibri" w:hAnsi="Calibri" w:hint="cs"/>
        <w:rtl/>
      </w:rPr>
      <w:t xml:space="preserve">/20 </w:t>
    </w:r>
  </w:p>
  <w:p w:rsidR="00C06215" w:rsidRDefault="00C062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F669A"/>
    <w:multiLevelType w:val="hybridMultilevel"/>
    <w:tmpl w:val="2E0A87B4"/>
    <w:lvl w:ilvl="0" w:tplc="B9DCA2F6">
      <w:start w:val="1"/>
      <w:numFmt w:val="decimal"/>
      <w:suff w:val="space"/>
      <w:lvlText w:val="%1."/>
      <w:lvlJc w:val="left"/>
      <w:pPr>
        <w:ind w:left="662" w:hanging="360"/>
      </w:pPr>
      <w:rPr>
        <w:rFonts w:cs="David" w:hint="default"/>
        <w:b w:val="0"/>
        <w:bCs w:val="0"/>
        <w:sz w:val="28"/>
        <w:szCs w:val="28"/>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ED"/>
    <w:rsid w:val="000534F5"/>
    <w:rsid w:val="00075CC4"/>
    <w:rsid w:val="001466C5"/>
    <w:rsid w:val="0019365B"/>
    <w:rsid w:val="00443541"/>
    <w:rsid w:val="00687C38"/>
    <w:rsid w:val="00744614"/>
    <w:rsid w:val="00753FED"/>
    <w:rsid w:val="0084579C"/>
    <w:rsid w:val="009965B1"/>
    <w:rsid w:val="00AA15C7"/>
    <w:rsid w:val="00AC13FC"/>
    <w:rsid w:val="00AC4818"/>
    <w:rsid w:val="00BB503A"/>
    <w:rsid w:val="00BC07E0"/>
    <w:rsid w:val="00C06215"/>
    <w:rsid w:val="00C46D94"/>
    <w:rsid w:val="00C70E05"/>
    <w:rsid w:val="00C85B34"/>
    <w:rsid w:val="00D62F21"/>
    <w:rsid w:val="00DC330C"/>
    <w:rsid w:val="00DD46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FD70A-8E24-49BA-A1B2-32591006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ED"/>
    <w:pPr>
      <w:bidi/>
      <w:spacing w:after="0" w:line="360" w:lineRule="auto"/>
      <w:jc w:val="both"/>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3FED"/>
    <w:pPr>
      <w:spacing w:after="200" w:line="276" w:lineRule="auto"/>
      <w:ind w:left="720"/>
      <w:contextualSpacing/>
      <w:jc w:val="left"/>
    </w:pPr>
    <w:rPr>
      <w:rFonts w:ascii="Calibri" w:eastAsia="Calibri" w:hAnsi="Calibri" w:cs="Arial"/>
      <w:sz w:val="22"/>
      <w:szCs w:val="22"/>
    </w:rPr>
  </w:style>
  <w:style w:type="character" w:customStyle="1" w:styleId="a4">
    <w:name w:val="פיסקת רשימה תו"/>
    <w:link w:val="a3"/>
    <w:uiPriority w:val="34"/>
    <w:locked/>
    <w:rsid w:val="00753FED"/>
    <w:rPr>
      <w:rFonts w:ascii="Calibri" w:eastAsia="Calibri" w:hAnsi="Calibri" w:cs="Arial"/>
    </w:rPr>
  </w:style>
  <w:style w:type="paragraph" w:styleId="a5">
    <w:name w:val="header"/>
    <w:basedOn w:val="a"/>
    <w:link w:val="a6"/>
    <w:uiPriority w:val="99"/>
    <w:unhideWhenUsed/>
    <w:rsid w:val="00C06215"/>
    <w:pPr>
      <w:tabs>
        <w:tab w:val="center" w:pos="4153"/>
        <w:tab w:val="right" w:pos="8306"/>
      </w:tabs>
      <w:spacing w:line="240" w:lineRule="auto"/>
    </w:pPr>
  </w:style>
  <w:style w:type="character" w:customStyle="1" w:styleId="a6">
    <w:name w:val="כותרת עליונה תו"/>
    <w:basedOn w:val="a0"/>
    <w:link w:val="a5"/>
    <w:uiPriority w:val="99"/>
    <w:rsid w:val="00C06215"/>
    <w:rPr>
      <w:rFonts w:ascii="Times New Roman" w:eastAsia="Times New Roman" w:hAnsi="Times New Roman" w:cs="David"/>
      <w:sz w:val="28"/>
      <w:szCs w:val="28"/>
    </w:rPr>
  </w:style>
  <w:style w:type="paragraph" w:styleId="a7">
    <w:name w:val="footer"/>
    <w:basedOn w:val="a"/>
    <w:link w:val="a8"/>
    <w:uiPriority w:val="99"/>
    <w:unhideWhenUsed/>
    <w:rsid w:val="00C06215"/>
    <w:pPr>
      <w:tabs>
        <w:tab w:val="center" w:pos="4153"/>
        <w:tab w:val="right" w:pos="8306"/>
      </w:tabs>
      <w:spacing w:line="240" w:lineRule="auto"/>
    </w:pPr>
  </w:style>
  <w:style w:type="character" w:customStyle="1" w:styleId="a8">
    <w:name w:val="כותרת תחתונה תו"/>
    <w:basedOn w:val="a0"/>
    <w:link w:val="a7"/>
    <w:uiPriority w:val="99"/>
    <w:rsid w:val="00C06215"/>
    <w:rPr>
      <w:rFonts w:ascii="Times New Roman" w:eastAsia="Times New Roman" w:hAnsi="Times New Roman" w:cs="David"/>
      <w:sz w:val="28"/>
      <w:szCs w:val="28"/>
    </w:rPr>
  </w:style>
  <w:style w:type="paragraph" w:styleId="a9">
    <w:name w:val="Balloon Text"/>
    <w:basedOn w:val="a"/>
    <w:link w:val="aa"/>
    <w:uiPriority w:val="99"/>
    <w:semiHidden/>
    <w:unhideWhenUsed/>
    <w:rsid w:val="00AA15C7"/>
    <w:pPr>
      <w:spacing w:line="240" w:lineRule="auto"/>
    </w:pPr>
    <w:rPr>
      <w:rFonts w:ascii="Segoe UI" w:hAnsi="Segoe UI" w:cs="Segoe UI"/>
      <w:sz w:val="18"/>
      <w:szCs w:val="18"/>
    </w:rPr>
  </w:style>
  <w:style w:type="character" w:customStyle="1" w:styleId="aa">
    <w:name w:val="טקסט בלונים תו"/>
    <w:basedOn w:val="a0"/>
    <w:link w:val="a9"/>
    <w:uiPriority w:val="99"/>
    <w:semiHidden/>
    <w:rsid w:val="00AA15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A5F5-6912-48E0-B9C3-F6CC42FF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1044</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s8825270</dc:creator>
  <cp:keywords/>
  <dc:description/>
  <cp:lastModifiedBy>s8825270</cp:lastModifiedBy>
  <cp:revision>16</cp:revision>
  <cp:lastPrinted>2020-09-10T08:50:00Z</cp:lastPrinted>
  <dcterms:created xsi:type="dcterms:W3CDTF">2020-09-09T10:28:00Z</dcterms:created>
  <dcterms:modified xsi:type="dcterms:W3CDTF">2020-10-25T10:03:00Z</dcterms:modified>
</cp:coreProperties>
</file>