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07C3" w14:textId="77777777" w:rsidR="008E6182" w:rsidRDefault="008E6182" w:rsidP="008E6182">
      <w:pPr>
        <w:tabs>
          <w:tab w:val="right" w:pos="6660"/>
        </w:tabs>
        <w:spacing w:line="480" w:lineRule="auto"/>
        <w:ind w:left="2549" w:right="1985"/>
        <w:rPr>
          <w:rtl/>
        </w:rPr>
      </w:pPr>
      <w:r w:rsidRPr="00164FD0">
        <w:rPr>
          <w:noProof/>
        </w:rPr>
        <w:drawing>
          <wp:inline distT="0" distB="0" distL="0" distR="0" wp14:anchorId="516079A3" wp14:editId="7D274C16">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679EDB14" wp14:editId="54478E78">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D88593D" w14:textId="32D44C55" w:rsidR="00D55FDE" w:rsidRDefault="00D55FDE" w:rsidP="00756755">
      <w:pPr>
        <w:pStyle w:val="NoSpacing"/>
        <w:spacing w:line="360" w:lineRule="auto"/>
        <w:jc w:val="both"/>
        <w:rPr>
          <w:rtl/>
        </w:rPr>
      </w:pPr>
    </w:p>
    <w:p w14:paraId="623C8ACD" w14:textId="77777777" w:rsidR="00D55FDE" w:rsidRPr="00FD2DDA" w:rsidRDefault="00D55FDE" w:rsidP="00D55FDE">
      <w:pPr>
        <w:bidi w:val="0"/>
        <w:spacing w:line="480" w:lineRule="auto"/>
        <w:jc w:val="center"/>
        <w:rPr>
          <w:rFonts w:ascii="David" w:hAnsi="David"/>
          <w:b/>
          <w:bCs/>
          <w:u w:val="single"/>
        </w:rPr>
      </w:pPr>
      <w:bookmarkStart w:id="0" w:name="_Hlk124684707"/>
      <w:r w:rsidRPr="00FD2DDA">
        <w:rPr>
          <w:rFonts w:ascii="David" w:hAnsi="David" w:hint="cs"/>
          <w:b/>
          <w:bCs/>
          <w:u w:val="single"/>
          <w:rtl/>
        </w:rPr>
        <w:t>בבית הדין הצבאי לערעורים</w:t>
      </w:r>
    </w:p>
    <w:p w14:paraId="47A5D7E7" w14:textId="77777777" w:rsidR="00D55FDE" w:rsidRPr="00FD2DDA" w:rsidRDefault="00D55FDE" w:rsidP="00D55FDE">
      <w:pPr>
        <w:spacing w:before="120" w:after="0" w:line="480" w:lineRule="auto"/>
        <w:rPr>
          <w:rFonts w:ascii="David" w:hAnsi="David"/>
          <w:rtl/>
        </w:rPr>
      </w:pPr>
      <w:r w:rsidRPr="00FD2DDA">
        <w:rPr>
          <w:rFonts w:ascii="David" w:hAnsi="David" w:hint="cs"/>
          <w:rtl/>
        </w:rPr>
        <w:t>בפני:</w:t>
      </w:r>
    </w:p>
    <w:p w14:paraId="4058954E" w14:textId="77777777" w:rsidR="00D55FDE" w:rsidRPr="00BB5867" w:rsidRDefault="00D55FDE" w:rsidP="00D55FDE">
      <w:pPr>
        <w:spacing w:line="240" w:lineRule="auto"/>
        <w:jc w:val="center"/>
        <w:rPr>
          <w:rtl/>
        </w:rPr>
      </w:pPr>
      <w:r w:rsidRPr="00ED4EF3">
        <w:rPr>
          <w:rFonts w:hint="cs"/>
          <w:b/>
          <w:bCs/>
          <w:rtl/>
        </w:rPr>
        <w:t>אל"ם מאיה גולדשמידט</w:t>
      </w:r>
      <w:r>
        <w:rPr>
          <w:rFonts w:hint="cs"/>
          <w:rtl/>
        </w:rPr>
        <w:t xml:space="preserve">    -   שופטת</w:t>
      </w:r>
    </w:p>
    <w:p w14:paraId="2164A9C1" w14:textId="77777777" w:rsidR="00D55FDE" w:rsidRPr="00FD2DDA" w:rsidRDefault="00D55FDE" w:rsidP="00D55FDE">
      <w:pPr>
        <w:rPr>
          <w:rFonts w:ascii="David" w:hAnsi="David"/>
          <w:rtl/>
        </w:rPr>
      </w:pPr>
      <w:r w:rsidRPr="00FD2DDA">
        <w:rPr>
          <w:rFonts w:ascii="David" w:hAnsi="David" w:hint="cs"/>
          <w:rtl/>
        </w:rPr>
        <w:t>בעניין:</w:t>
      </w:r>
    </w:p>
    <w:p w14:paraId="2DD1117A" w14:textId="7DA3D408" w:rsidR="00D55FDE" w:rsidRPr="00D55FDE" w:rsidRDefault="00D55FDE" w:rsidP="005B640A">
      <w:pPr>
        <w:pStyle w:val="Header"/>
        <w:tabs>
          <w:tab w:val="clear" w:pos="4153"/>
          <w:tab w:val="center" w:pos="4675"/>
        </w:tabs>
        <w:spacing w:line="360" w:lineRule="auto"/>
        <w:ind w:left="-144"/>
        <w:jc w:val="center"/>
      </w:pPr>
      <w:r w:rsidRPr="00D55FDE">
        <w:rPr>
          <w:b/>
          <w:bCs/>
          <w:rtl/>
        </w:rPr>
        <w:t>ב/</w:t>
      </w:r>
      <w:r w:rsidR="00C208D8">
        <w:rPr>
          <w:rFonts w:hint="cs"/>
          <w:b/>
          <w:bCs/>
          <w:rtl/>
        </w:rPr>
        <w:t>*******</w:t>
      </w:r>
      <w:r w:rsidRPr="00D55FDE">
        <w:rPr>
          <w:b/>
          <w:bCs/>
          <w:rtl/>
        </w:rPr>
        <w:t xml:space="preserve"> טור</w:t>
      </w:r>
      <w:r w:rsidR="00C208D8">
        <w:rPr>
          <w:rFonts w:hint="cs"/>
          <w:b/>
          <w:bCs/>
          <w:rtl/>
        </w:rPr>
        <w:t>'</w:t>
      </w:r>
      <w:r w:rsidRPr="00D55FDE">
        <w:rPr>
          <w:b/>
          <w:bCs/>
          <w:rtl/>
        </w:rPr>
        <w:t xml:space="preserve"> א</w:t>
      </w:r>
      <w:r w:rsidR="00C208D8">
        <w:rPr>
          <w:rFonts w:hint="cs"/>
          <w:b/>
          <w:bCs/>
          <w:rtl/>
        </w:rPr>
        <w:t>'</w:t>
      </w:r>
      <w:r w:rsidRPr="00D55FDE">
        <w:rPr>
          <w:rFonts w:hint="cs"/>
          <w:b/>
          <w:bCs/>
          <w:rtl/>
        </w:rPr>
        <w:t xml:space="preserve"> ח</w:t>
      </w:r>
      <w:r w:rsidR="00C208D8">
        <w:rPr>
          <w:rFonts w:hint="cs"/>
          <w:b/>
          <w:bCs/>
          <w:rtl/>
        </w:rPr>
        <w:t>'</w:t>
      </w:r>
      <w:r w:rsidRPr="00D55FDE">
        <w:rPr>
          <w:rFonts w:hint="cs"/>
          <w:b/>
          <w:bCs/>
          <w:rtl/>
        </w:rPr>
        <w:t xml:space="preserve"> נ</w:t>
      </w:r>
      <w:r w:rsidR="00C208D8">
        <w:rPr>
          <w:rFonts w:hint="cs"/>
          <w:b/>
          <w:bCs/>
          <w:rtl/>
        </w:rPr>
        <w:t>'</w:t>
      </w:r>
      <w:r w:rsidRPr="00FD2DDA">
        <w:rPr>
          <w:rFonts w:ascii="David" w:hAnsi="David" w:hint="cs"/>
          <w:b/>
          <w:bCs/>
          <w:rtl/>
        </w:rPr>
        <w:t xml:space="preserve"> –</w:t>
      </w:r>
      <w:r w:rsidRPr="00FD2DDA">
        <w:rPr>
          <w:rFonts w:ascii="David" w:hAnsi="David" w:hint="cs"/>
          <w:rtl/>
        </w:rPr>
        <w:t xml:space="preserve"> המערער (ע"י ב"כ, </w:t>
      </w:r>
      <w:r>
        <w:rPr>
          <w:rFonts w:ascii="David" w:hAnsi="David" w:hint="cs"/>
          <w:rtl/>
        </w:rPr>
        <w:t xml:space="preserve">רס"ן (במיל') אורן </w:t>
      </w:r>
      <w:proofErr w:type="spellStart"/>
      <w:r>
        <w:rPr>
          <w:rFonts w:ascii="David" w:hAnsi="David" w:hint="cs"/>
          <w:rtl/>
        </w:rPr>
        <w:t>ליבר</w:t>
      </w:r>
      <w:proofErr w:type="spellEnd"/>
      <w:r>
        <w:rPr>
          <w:rFonts w:ascii="David" w:hAnsi="David" w:hint="cs"/>
          <w:rtl/>
        </w:rPr>
        <w:t>; סרן אילון גונן</w:t>
      </w:r>
      <w:r w:rsidRPr="00FD2DDA">
        <w:rPr>
          <w:rFonts w:ascii="David" w:hAnsi="David" w:hint="cs"/>
          <w:rtl/>
        </w:rPr>
        <w:t>)</w:t>
      </w:r>
    </w:p>
    <w:p w14:paraId="48985048" w14:textId="77777777" w:rsidR="00D55FDE" w:rsidRPr="00FD2DDA" w:rsidRDefault="00D55FDE" w:rsidP="00D55FDE">
      <w:pPr>
        <w:jc w:val="center"/>
        <w:rPr>
          <w:rFonts w:ascii="David" w:hAnsi="David"/>
          <w:rtl/>
        </w:rPr>
      </w:pPr>
    </w:p>
    <w:p w14:paraId="164CC7A1" w14:textId="77777777" w:rsidR="00D55FDE" w:rsidRPr="00FD2DDA" w:rsidRDefault="00D55FDE" w:rsidP="00D55FDE">
      <w:pPr>
        <w:spacing w:after="360"/>
        <w:jc w:val="center"/>
        <w:rPr>
          <w:rFonts w:ascii="David" w:hAnsi="David"/>
          <w:b/>
          <w:bCs/>
          <w:rtl/>
        </w:rPr>
      </w:pPr>
      <w:r w:rsidRPr="00FD2DDA">
        <w:rPr>
          <w:rFonts w:ascii="David" w:hAnsi="David" w:hint="cs"/>
          <w:b/>
          <w:bCs/>
          <w:rtl/>
        </w:rPr>
        <w:t xml:space="preserve">נ ג ד </w:t>
      </w:r>
    </w:p>
    <w:p w14:paraId="1A932D6E" w14:textId="3C462F2A" w:rsidR="00D55FDE" w:rsidRPr="00FD2DDA" w:rsidRDefault="00D55FDE" w:rsidP="00D55FDE">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סרן יובל האן</w:t>
      </w:r>
      <w:r w:rsidRPr="00FD2DDA">
        <w:rPr>
          <w:rFonts w:ascii="David" w:hAnsi="David" w:hint="cs"/>
          <w:rtl/>
        </w:rPr>
        <w:t>)</w:t>
      </w:r>
    </w:p>
    <w:p w14:paraId="1B428272" w14:textId="77777777" w:rsidR="00D55FDE" w:rsidRPr="00FD2DDA" w:rsidRDefault="00D55FDE" w:rsidP="00D55FDE">
      <w:pPr>
        <w:spacing w:after="360" w:line="360" w:lineRule="auto"/>
        <w:rPr>
          <w:rFonts w:ascii="David" w:hAnsi="David"/>
          <w:b/>
          <w:bCs/>
          <w:u w:val="single"/>
          <w:rtl/>
        </w:rPr>
      </w:pPr>
    </w:p>
    <w:p w14:paraId="61930CB4" w14:textId="137018C0" w:rsidR="00D55FDE" w:rsidRDefault="00D55FDE" w:rsidP="00D55FDE">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 בבקשה לעיון בחומר חקירה</w:t>
      </w:r>
      <w:r w:rsidRPr="00FD2DDA">
        <w:rPr>
          <w:rFonts w:ascii="David" w:hAnsi="David" w:hint="cs"/>
          <w:rtl/>
        </w:rPr>
        <w:t xml:space="preserve"> של בית הדין הצבאי המחוזי במחוז שיפוטי </w:t>
      </w:r>
      <w:r w:rsidR="005B640A">
        <w:rPr>
          <w:rFonts w:ascii="David" w:hAnsi="David" w:hint="cs"/>
          <w:rtl/>
        </w:rPr>
        <w:t xml:space="preserve">חיל </w:t>
      </w:r>
      <w:r w:rsidR="004661F1">
        <w:rPr>
          <w:rFonts w:ascii="David" w:hAnsi="David" w:hint="cs"/>
          <w:rtl/>
        </w:rPr>
        <w:t>ה</w:t>
      </w:r>
      <w:r w:rsidR="005B640A">
        <w:rPr>
          <w:rFonts w:ascii="David" w:hAnsi="David" w:hint="cs"/>
          <w:rtl/>
        </w:rPr>
        <w:t>אוויר</w:t>
      </w:r>
      <w:r w:rsidRPr="00FD2DDA">
        <w:rPr>
          <w:rFonts w:ascii="David" w:hAnsi="David" w:hint="cs"/>
          <w:rtl/>
        </w:rPr>
        <w:t xml:space="preserve"> שניתן בתיק </w:t>
      </w:r>
      <w:r>
        <w:rPr>
          <w:rFonts w:ascii="David" w:hAnsi="David" w:hint="cs"/>
          <w:rtl/>
        </w:rPr>
        <w:t>ח"א</w:t>
      </w:r>
      <w:r w:rsidRPr="00FD2DDA">
        <w:rPr>
          <w:rFonts w:ascii="David" w:hAnsi="David" w:hint="cs"/>
          <w:rtl/>
        </w:rPr>
        <w:t xml:space="preserve"> </w:t>
      </w:r>
      <w:r w:rsidRPr="00FE7B6F">
        <w:rPr>
          <w:rFonts w:ascii="David" w:hAnsi="David" w:hint="cs"/>
          <w:rtl/>
        </w:rPr>
        <w:t>(</w:t>
      </w:r>
      <w:r w:rsidR="000A5732">
        <w:rPr>
          <w:rFonts w:ascii="David" w:hAnsi="David" w:hint="cs"/>
          <w:rtl/>
        </w:rPr>
        <w:t>ב"ש</w:t>
      </w:r>
      <w:r w:rsidRPr="00FE7B6F">
        <w:rPr>
          <w:rFonts w:ascii="David" w:hAnsi="David" w:hint="cs"/>
          <w:rtl/>
        </w:rPr>
        <w:t xml:space="preserve">) </w:t>
      </w:r>
      <w:r w:rsidR="000A5732">
        <w:rPr>
          <w:rFonts w:ascii="David" w:hAnsi="David" w:hint="cs"/>
          <w:rtl/>
        </w:rPr>
        <w:t>35</w:t>
      </w:r>
      <w:r w:rsidRPr="00FE7B6F">
        <w:rPr>
          <w:rFonts w:ascii="David" w:hAnsi="David" w:hint="cs"/>
          <w:rtl/>
        </w:rPr>
        <w:t>/22 (</w:t>
      </w:r>
      <w:r>
        <w:rPr>
          <w:rFonts w:ascii="David" w:hAnsi="David" w:hint="cs"/>
          <w:rtl/>
        </w:rPr>
        <w:t xml:space="preserve">סא"ל שאול ארבל </w:t>
      </w:r>
      <w:r>
        <w:rPr>
          <w:rFonts w:ascii="David" w:hAnsi="David"/>
          <w:rtl/>
        </w:rPr>
        <w:t>–</w:t>
      </w:r>
      <w:r>
        <w:rPr>
          <w:rFonts w:ascii="David" w:hAnsi="David" w:hint="cs"/>
          <w:rtl/>
        </w:rPr>
        <w:t xml:space="preserve"> אב"ד</w:t>
      </w:r>
      <w:r w:rsidRPr="00FE7B6F">
        <w:rPr>
          <w:rFonts w:ascii="David" w:hAnsi="David" w:hint="cs"/>
          <w:rtl/>
        </w:rPr>
        <w:t xml:space="preserve">) ביום </w:t>
      </w:r>
      <w:r w:rsidR="000A5732">
        <w:rPr>
          <w:rFonts w:ascii="David" w:hAnsi="David" w:hint="cs"/>
          <w:rtl/>
        </w:rPr>
        <w:t>11</w:t>
      </w:r>
      <w:r w:rsidRPr="00FE7B6F">
        <w:rPr>
          <w:rFonts w:ascii="David" w:hAnsi="David" w:hint="cs"/>
          <w:rtl/>
        </w:rPr>
        <w:t>.</w:t>
      </w:r>
      <w:r w:rsidR="000A5732">
        <w:rPr>
          <w:rFonts w:ascii="David" w:hAnsi="David" w:hint="cs"/>
          <w:rtl/>
        </w:rPr>
        <w:t>1</w:t>
      </w:r>
      <w:r w:rsidRPr="00FE7B6F">
        <w:rPr>
          <w:rFonts w:ascii="David" w:hAnsi="David" w:hint="cs"/>
          <w:rtl/>
        </w:rPr>
        <w:t>.202</w:t>
      </w:r>
      <w:r w:rsidR="000A5732">
        <w:rPr>
          <w:rFonts w:ascii="David" w:hAnsi="David" w:hint="cs"/>
          <w:rtl/>
        </w:rPr>
        <w:t>3</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r w:rsidR="005B640A">
        <w:rPr>
          <w:rFonts w:ascii="David" w:hAnsi="David" w:hint="cs"/>
          <w:rtl/>
        </w:rPr>
        <w:t>נדחה</w:t>
      </w:r>
      <w:r w:rsidRPr="00FE7B6F">
        <w:rPr>
          <w:rFonts w:ascii="David" w:hAnsi="David" w:hint="cs"/>
          <w:rtl/>
        </w:rPr>
        <w:t>.</w:t>
      </w:r>
    </w:p>
    <w:bookmarkEnd w:id="0"/>
    <w:p w14:paraId="13F4FF41" w14:textId="22EFDFD9" w:rsidR="00BC3751" w:rsidRPr="00154CDE" w:rsidRDefault="00BC3751" w:rsidP="00756755">
      <w:pPr>
        <w:pStyle w:val="NoSpacing"/>
        <w:spacing w:line="360" w:lineRule="auto"/>
        <w:jc w:val="center"/>
        <w:rPr>
          <w:b/>
          <w:bCs/>
          <w:u w:val="single"/>
          <w:rtl/>
        </w:rPr>
      </w:pPr>
      <w:r w:rsidRPr="00154CDE">
        <w:rPr>
          <w:rFonts w:hint="cs"/>
          <w:b/>
          <w:bCs/>
          <w:u w:val="single"/>
          <w:rtl/>
        </w:rPr>
        <w:t>ה ח ל ט ה</w:t>
      </w:r>
    </w:p>
    <w:p w14:paraId="1320ED97" w14:textId="7A62AFDE" w:rsidR="00BC3751" w:rsidRPr="00154CDE" w:rsidRDefault="00BC3751" w:rsidP="00756755">
      <w:pPr>
        <w:pStyle w:val="NoSpacing"/>
        <w:spacing w:line="360" w:lineRule="auto"/>
        <w:jc w:val="both"/>
        <w:rPr>
          <w:b/>
          <w:bCs/>
          <w:u w:val="single"/>
          <w:rtl/>
        </w:rPr>
      </w:pPr>
      <w:r w:rsidRPr="00154CDE">
        <w:rPr>
          <w:rFonts w:hint="cs"/>
          <w:b/>
          <w:bCs/>
          <w:u w:val="single"/>
          <w:rtl/>
        </w:rPr>
        <w:t>רקע</w:t>
      </w:r>
      <w:r w:rsidR="00BF4111">
        <w:rPr>
          <w:rFonts w:hint="cs"/>
          <w:b/>
          <w:bCs/>
          <w:u w:val="single"/>
          <w:rtl/>
        </w:rPr>
        <w:t xml:space="preserve"> </w:t>
      </w:r>
    </w:p>
    <w:p w14:paraId="5FB81F54" w14:textId="6DF92109" w:rsidR="00BC3751" w:rsidRDefault="00154CDE" w:rsidP="00D55FDE">
      <w:pPr>
        <w:pStyle w:val="NoSpacing"/>
        <w:numPr>
          <w:ilvl w:val="0"/>
          <w:numId w:val="3"/>
        </w:numPr>
        <w:spacing w:line="360" w:lineRule="auto"/>
        <w:ind w:left="-2" w:hanging="14"/>
        <w:jc w:val="both"/>
      </w:pPr>
      <w:r>
        <w:rPr>
          <w:rFonts w:hint="cs"/>
          <w:rtl/>
        </w:rPr>
        <w:t>כנגד</w:t>
      </w:r>
      <w:r w:rsidR="00953458">
        <w:rPr>
          <w:rFonts w:hint="cs"/>
          <w:rtl/>
        </w:rPr>
        <w:t xml:space="preserve"> </w:t>
      </w:r>
      <w:r w:rsidR="0074403A">
        <w:rPr>
          <w:rFonts w:hint="cs"/>
          <w:rtl/>
        </w:rPr>
        <w:t xml:space="preserve">המערער, </w:t>
      </w:r>
      <w:r>
        <w:rPr>
          <w:rFonts w:hint="cs"/>
          <w:rtl/>
        </w:rPr>
        <w:t xml:space="preserve">טור' </w:t>
      </w:r>
      <w:r w:rsidR="00C208D8">
        <w:rPr>
          <w:rFonts w:hint="cs"/>
          <w:rtl/>
        </w:rPr>
        <w:t>א'</w:t>
      </w:r>
      <w:r>
        <w:rPr>
          <w:rFonts w:hint="cs"/>
          <w:rtl/>
        </w:rPr>
        <w:t xml:space="preserve"> ח</w:t>
      </w:r>
      <w:r w:rsidR="00C208D8">
        <w:rPr>
          <w:rFonts w:hint="cs"/>
          <w:rtl/>
        </w:rPr>
        <w:t>'</w:t>
      </w:r>
      <w:r>
        <w:rPr>
          <w:rFonts w:hint="cs"/>
          <w:rtl/>
        </w:rPr>
        <w:t xml:space="preserve"> </w:t>
      </w:r>
      <w:r w:rsidR="00C208D8">
        <w:rPr>
          <w:rFonts w:hint="cs"/>
          <w:rtl/>
        </w:rPr>
        <w:t>נ'</w:t>
      </w:r>
      <w:r>
        <w:rPr>
          <w:rFonts w:hint="cs"/>
          <w:rtl/>
        </w:rPr>
        <w:t>, הוגש ביום</w:t>
      </w:r>
      <w:r w:rsidR="00BC3751" w:rsidRPr="00154CDE">
        <w:rPr>
          <w:rFonts w:hint="cs"/>
          <w:rtl/>
        </w:rPr>
        <w:t xml:space="preserve"> </w:t>
      </w:r>
      <w:r w:rsidR="00E66E29">
        <w:rPr>
          <w:rFonts w:hint="cs"/>
          <w:rtl/>
        </w:rPr>
        <w:t>29 בספטמבר 2022</w:t>
      </w:r>
      <w:r w:rsidR="00BC3751" w:rsidRPr="00154CDE">
        <w:rPr>
          <w:rFonts w:hint="cs"/>
          <w:rtl/>
        </w:rPr>
        <w:t xml:space="preserve"> כתב אישום המייחס לו</w:t>
      </w:r>
      <w:r w:rsidR="00EA086B" w:rsidRPr="00154CDE">
        <w:rPr>
          <w:rFonts w:hint="cs"/>
          <w:rtl/>
        </w:rPr>
        <w:t xml:space="preserve"> עביר</w:t>
      </w:r>
      <w:r w:rsidR="0074403A">
        <w:rPr>
          <w:rFonts w:hint="cs"/>
          <w:rtl/>
        </w:rPr>
        <w:t xml:space="preserve">ה מסוג פשע שעניינה </w:t>
      </w:r>
      <w:r w:rsidR="00EA086B" w:rsidRPr="00154CDE">
        <w:rPr>
          <w:rFonts w:hint="cs"/>
          <w:rtl/>
        </w:rPr>
        <w:t>ניסיון להצתה, לפי סעיפים 25 ו-488 לחוק העונשין, התשל"ז-1977</w:t>
      </w:r>
      <w:r w:rsidR="0074403A">
        <w:rPr>
          <w:rFonts w:hint="cs"/>
          <w:rtl/>
        </w:rPr>
        <w:t xml:space="preserve">. בכתב האישום נטען, כי </w:t>
      </w:r>
      <w:r w:rsidR="00CA0B6C">
        <w:rPr>
          <w:rFonts w:hint="cs"/>
          <w:rtl/>
        </w:rPr>
        <w:t xml:space="preserve">ביום 3 ביולי 2022, בעת ששירת כחייל בבסיס חצרים בחיל האוויר, ניסה להצית ארון בגדים של חברו ליחידה, בתגובה לכך שהאחרון נטל ממנו את המצית שלו. </w:t>
      </w:r>
    </w:p>
    <w:p w14:paraId="2E27728B" w14:textId="3E07A0A9" w:rsidR="004B273B" w:rsidRDefault="00CA0B6C" w:rsidP="00D55FDE">
      <w:pPr>
        <w:pStyle w:val="NoSpacing"/>
        <w:numPr>
          <w:ilvl w:val="0"/>
          <w:numId w:val="3"/>
        </w:numPr>
        <w:spacing w:line="360" w:lineRule="auto"/>
        <w:ind w:left="-2" w:hanging="14"/>
        <w:jc w:val="both"/>
      </w:pPr>
      <w:r>
        <w:rPr>
          <w:rFonts w:hint="cs"/>
          <w:rtl/>
        </w:rPr>
        <w:t xml:space="preserve">בטרם </w:t>
      </w:r>
      <w:r w:rsidR="00E37D9A">
        <w:rPr>
          <w:rFonts w:hint="cs"/>
          <w:rtl/>
        </w:rPr>
        <w:t xml:space="preserve">תמסור את </w:t>
      </w:r>
      <w:r>
        <w:rPr>
          <w:rFonts w:hint="cs"/>
          <w:rtl/>
        </w:rPr>
        <w:t>תשוב</w:t>
      </w:r>
      <w:r w:rsidR="00E37D9A">
        <w:rPr>
          <w:rFonts w:hint="cs"/>
          <w:rtl/>
        </w:rPr>
        <w:t>ת</w:t>
      </w:r>
      <w:r>
        <w:rPr>
          <w:rFonts w:hint="cs"/>
          <w:rtl/>
        </w:rPr>
        <w:t xml:space="preserve">ה לאשמה, מבקשת </w:t>
      </w:r>
      <w:r w:rsidR="0074403A">
        <w:rPr>
          <w:rFonts w:hint="cs"/>
          <w:rtl/>
        </w:rPr>
        <w:t xml:space="preserve">ההגנה להעלות טענה טרומית, </w:t>
      </w:r>
      <w:r w:rsidR="0074403A" w:rsidRPr="00154CDE">
        <w:rPr>
          <w:rFonts w:hint="cs"/>
          <w:rtl/>
        </w:rPr>
        <w:t xml:space="preserve">בהתאם לסעיף 351(ב) </w:t>
      </w:r>
      <w:proofErr w:type="spellStart"/>
      <w:r w:rsidR="0074403A" w:rsidRPr="00154CDE">
        <w:rPr>
          <w:rFonts w:hint="cs"/>
          <w:rtl/>
        </w:rPr>
        <w:t>לחש"ץ</w:t>
      </w:r>
      <w:proofErr w:type="spellEnd"/>
      <w:r w:rsidR="0074403A" w:rsidRPr="00154CDE">
        <w:rPr>
          <w:rFonts w:hint="cs"/>
          <w:rtl/>
        </w:rPr>
        <w:t xml:space="preserve">, </w:t>
      </w:r>
      <w:r w:rsidR="00E37D9A">
        <w:rPr>
          <w:rFonts w:hint="cs"/>
          <w:rtl/>
        </w:rPr>
        <w:t>ו</w:t>
      </w:r>
      <w:r w:rsidR="0074403A" w:rsidRPr="00154CDE">
        <w:rPr>
          <w:rFonts w:hint="cs"/>
          <w:rtl/>
        </w:rPr>
        <w:t xml:space="preserve">לפיה </w:t>
      </w:r>
      <w:r w:rsidR="0074403A">
        <w:rPr>
          <w:rFonts w:hint="cs"/>
          <w:rtl/>
        </w:rPr>
        <w:t xml:space="preserve">יש לבטל את כתב האישום שהוגש כנגד המערער, בשל הפרת חובת השימוע. בתמצית טוענת ההגנה, כי המערער מתגורר בפנימייה ואינו מקבל את הדואר באופן ישיר, אלא באמצעות חלוקתו לתאים; וכי מכתב היידוע </w:t>
      </w:r>
      <w:r>
        <w:rPr>
          <w:rFonts w:hint="cs"/>
          <w:rtl/>
        </w:rPr>
        <w:t xml:space="preserve">מטעם התביעה הצבאית, </w:t>
      </w:r>
      <w:r w:rsidR="0074403A">
        <w:rPr>
          <w:rFonts w:hint="cs"/>
          <w:rtl/>
        </w:rPr>
        <w:t>בדבר ה</w:t>
      </w:r>
      <w:r>
        <w:rPr>
          <w:rFonts w:hint="cs"/>
          <w:rtl/>
        </w:rPr>
        <w:t xml:space="preserve">כוונה לערוך לו </w:t>
      </w:r>
      <w:r w:rsidR="0074403A">
        <w:rPr>
          <w:rFonts w:hint="cs"/>
          <w:rtl/>
        </w:rPr>
        <w:t>שימוע</w:t>
      </w:r>
      <w:r>
        <w:rPr>
          <w:rFonts w:hint="cs"/>
          <w:rtl/>
        </w:rPr>
        <w:t>,</w:t>
      </w:r>
      <w:r w:rsidR="0074403A">
        <w:rPr>
          <w:rFonts w:hint="cs"/>
          <w:rtl/>
        </w:rPr>
        <w:t xml:space="preserve"> נמסר בפועל לנציג מהפנימייה ולא אליו ישירות. באופן זה, כך </w:t>
      </w:r>
      <w:r w:rsidR="0074403A">
        <w:rPr>
          <w:rFonts w:hint="cs"/>
          <w:rtl/>
        </w:rPr>
        <w:lastRenderedPageBreak/>
        <w:t xml:space="preserve">נטען, נודע למערער </w:t>
      </w:r>
      <w:r w:rsidR="00E37D9A">
        <w:rPr>
          <w:rFonts w:hint="cs"/>
          <w:rtl/>
        </w:rPr>
        <w:t xml:space="preserve">על </w:t>
      </w:r>
      <w:r w:rsidR="0074403A">
        <w:rPr>
          <w:rFonts w:hint="cs"/>
          <w:rtl/>
        </w:rPr>
        <w:t xml:space="preserve">הכוונה להגיש כתב אישום </w:t>
      </w:r>
      <w:r w:rsidR="00E37D9A">
        <w:rPr>
          <w:rFonts w:hint="cs"/>
          <w:rtl/>
        </w:rPr>
        <w:t xml:space="preserve">נגדו רק </w:t>
      </w:r>
      <w:r w:rsidR="0074403A">
        <w:rPr>
          <w:rFonts w:hint="cs"/>
          <w:rtl/>
        </w:rPr>
        <w:t xml:space="preserve">זמן קצר </w:t>
      </w:r>
      <w:r w:rsidR="00E37D9A">
        <w:rPr>
          <w:rFonts w:hint="cs"/>
          <w:rtl/>
        </w:rPr>
        <w:t xml:space="preserve">לפני </w:t>
      </w:r>
      <w:r w:rsidR="0074403A">
        <w:rPr>
          <w:rFonts w:hint="cs"/>
          <w:rtl/>
        </w:rPr>
        <w:t>הגשתו בפועל, כך ש</w:t>
      </w:r>
      <w:r w:rsidR="00E37D9A">
        <w:rPr>
          <w:rFonts w:hint="cs"/>
          <w:rtl/>
        </w:rPr>
        <w:t xml:space="preserve">בפועל, </w:t>
      </w:r>
      <w:r w:rsidR="0074403A">
        <w:rPr>
          <w:rFonts w:hint="cs"/>
          <w:rtl/>
        </w:rPr>
        <w:t>נמנע</w:t>
      </w:r>
      <w:r w:rsidR="00E37D9A">
        <w:rPr>
          <w:rFonts w:hint="cs"/>
          <w:rtl/>
        </w:rPr>
        <w:t>ה</w:t>
      </w:r>
      <w:r w:rsidR="0074403A">
        <w:rPr>
          <w:rFonts w:hint="cs"/>
          <w:rtl/>
        </w:rPr>
        <w:t xml:space="preserve"> ממנו </w:t>
      </w:r>
      <w:r w:rsidR="00E37D9A">
        <w:rPr>
          <w:rFonts w:hint="cs"/>
          <w:rtl/>
        </w:rPr>
        <w:t xml:space="preserve">האפשרות </w:t>
      </w:r>
      <w:r w:rsidR="0074403A">
        <w:rPr>
          <w:rFonts w:hint="cs"/>
          <w:rtl/>
        </w:rPr>
        <w:t>ל</w:t>
      </w:r>
      <w:r>
        <w:rPr>
          <w:rFonts w:hint="cs"/>
          <w:rtl/>
        </w:rPr>
        <w:t>קיים את ה</w:t>
      </w:r>
      <w:r w:rsidR="0074403A">
        <w:rPr>
          <w:rFonts w:hint="cs"/>
          <w:rtl/>
        </w:rPr>
        <w:t>שימוע טרם הגשת</w:t>
      </w:r>
      <w:r w:rsidR="00E37D9A">
        <w:rPr>
          <w:rFonts w:hint="cs"/>
          <w:rtl/>
        </w:rPr>
        <w:t xml:space="preserve">ו של </w:t>
      </w:r>
      <w:r w:rsidR="0074403A">
        <w:rPr>
          <w:rFonts w:hint="cs"/>
          <w:rtl/>
        </w:rPr>
        <w:t xml:space="preserve">האישום. </w:t>
      </w:r>
      <w:r w:rsidR="00E37D9A">
        <w:rPr>
          <w:rFonts w:hint="cs"/>
          <w:rtl/>
        </w:rPr>
        <w:t xml:space="preserve">כך, כאשר פנתה מטעמו </w:t>
      </w:r>
      <w:r w:rsidR="0074403A">
        <w:rPr>
          <w:rFonts w:hint="cs"/>
          <w:rtl/>
        </w:rPr>
        <w:t xml:space="preserve">הסניגוריה הצבאית, ביום 24 בנובמבר 2022 </w:t>
      </w:r>
      <w:r w:rsidR="00E37D9A">
        <w:rPr>
          <w:rFonts w:hint="cs"/>
          <w:rtl/>
        </w:rPr>
        <w:t xml:space="preserve">וביקשה מן התביעה לקיים בעניינו </w:t>
      </w:r>
      <w:r w:rsidR="0074403A">
        <w:rPr>
          <w:rFonts w:hint="cs"/>
          <w:rtl/>
        </w:rPr>
        <w:t xml:space="preserve">שימוע, נענתה כי כתב האישום </w:t>
      </w:r>
      <w:r w:rsidR="004B273B">
        <w:rPr>
          <w:rFonts w:hint="cs"/>
          <w:rtl/>
        </w:rPr>
        <w:t xml:space="preserve">כבר הוגש, </w:t>
      </w:r>
      <w:r w:rsidR="00E37D9A">
        <w:rPr>
          <w:rFonts w:hint="cs"/>
          <w:rtl/>
        </w:rPr>
        <w:t>ו</w:t>
      </w:r>
      <w:r w:rsidR="004B273B">
        <w:rPr>
          <w:rFonts w:hint="cs"/>
          <w:rtl/>
        </w:rPr>
        <w:t xml:space="preserve">הוצע לה לקיים שימוע בדיעבד. </w:t>
      </w:r>
      <w:r w:rsidR="00E37D9A">
        <w:rPr>
          <w:rFonts w:hint="cs"/>
          <w:rtl/>
        </w:rPr>
        <w:t>הצעה זו נדחתה על ידיה.</w:t>
      </w:r>
    </w:p>
    <w:p w14:paraId="5A4474A7" w14:textId="405BEEC6" w:rsidR="00BF4111" w:rsidRDefault="00E37D9A" w:rsidP="00D55FDE">
      <w:pPr>
        <w:pStyle w:val="NoSpacing"/>
        <w:numPr>
          <w:ilvl w:val="0"/>
          <w:numId w:val="3"/>
        </w:numPr>
        <w:spacing w:line="360" w:lineRule="auto"/>
        <w:ind w:left="-2" w:hanging="14"/>
        <w:jc w:val="both"/>
      </w:pPr>
      <w:r>
        <w:rPr>
          <w:rFonts w:hint="cs"/>
          <w:rtl/>
        </w:rPr>
        <w:t>לצורך העלאת הטענה המקדמית, בדבר אי קיום השימוע במועדו</w:t>
      </w:r>
      <w:r w:rsidR="00CA0B6C">
        <w:rPr>
          <w:rFonts w:hint="cs"/>
          <w:rtl/>
        </w:rPr>
        <w:t>,</w:t>
      </w:r>
      <w:r w:rsidR="00F1620A">
        <w:rPr>
          <w:rFonts w:hint="cs"/>
          <w:rtl/>
        </w:rPr>
        <w:t xml:space="preserve"> </w:t>
      </w:r>
      <w:r w:rsidR="004B273B">
        <w:rPr>
          <w:rFonts w:hint="cs"/>
          <w:rtl/>
        </w:rPr>
        <w:t xml:space="preserve">פנתה </w:t>
      </w:r>
      <w:r>
        <w:rPr>
          <w:rFonts w:hint="cs"/>
          <w:rtl/>
        </w:rPr>
        <w:t xml:space="preserve">ההגנה </w:t>
      </w:r>
      <w:r w:rsidR="004B273B">
        <w:rPr>
          <w:rFonts w:hint="cs"/>
          <w:rtl/>
        </w:rPr>
        <w:t xml:space="preserve">אל התביעה </w:t>
      </w:r>
      <w:r>
        <w:rPr>
          <w:rFonts w:hint="cs"/>
          <w:rtl/>
        </w:rPr>
        <w:t xml:space="preserve">בבקשה </w:t>
      </w:r>
      <w:r w:rsidR="004B273B">
        <w:rPr>
          <w:rFonts w:hint="cs"/>
          <w:rtl/>
        </w:rPr>
        <w:t xml:space="preserve">לקבלת </w:t>
      </w:r>
      <w:r w:rsidR="00CA0B6C">
        <w:rPr>
          <w:rFonts w:hint="cs"/>
          <w:rtl/>
        </w:rPr>
        <w:t>מידע</w:t>
      </w:r>
      <w:r>
        <w:rPr>
          <w:rFonts w:hint="cs"/>
          <w:rtl/>
        </w:rPr>
        <w:t xml:space="preserve"> </w:t>
      </w:r>
      <w:r w:rsidR="00CA0B6C">
        <w:rPr>
          <w:rFonts w:hint="cs"/>
          <w:rtl/>
        </w:rPr>
        <w:t>בנוגע ל</w:t>
      </w:r>
      <w:r w:rsidR="00F1620A">
        <w:rPr>
          <w:rFonts w:hint="cs"/>
          <w:rtl/>
        </w:rPr>
        <w:t>העברת מסמך היידוע אל המערער. בתגובה</w:t>
      </w:r>
      <w:r>
        <w:rPr>
          <w:rFonts w:hint="cs"/>
          <w:rtl/>
        </w:rPr>
        <w:t xml:space="preserve">, </w:t>
      </w:r>
      <w:r w:rsidR="00F1620A">
        <w:rPr>
          <w:rFonts w:hint="cs"/>
          <w:rtl/>
        </w:rPr>
        <w:t xml:space="preserve">העבירה </w:t>
      </w:r>
      <w:r w:rsidR="00CA0B6C">
        <w:rPr>
          <w:rFonts w:hint="cs"/>
          <w:rtl/>
        </w:rPr>
        <w:t xml:space="preserve">אליה </w:t>
      </w:r>
      <w:r w:rsidR="00F1620A">
        <w:rPr>
          <w:rFonts w:hint="cs"/>
          <w:rtl/>
        </w:rPr>
        <w:t>התביעה את מסמך היידוע</w:t>
      </w:r>
      <w:r w:rsidR="00E66E29">
        <w:rPr>
          <w:rFonts w:hint="cs"/>
          <w:rtl/>
        </w:rPr>
        <w:t xml:space="preserve"> </w:t>
      </w:r>
      <w:r>
        <w:rPr>
          <w:rFonts w:hint="cs"/>
          <w:rtl/>
        </w:rPr>
        <w:t xml:space="preserve">על </w:t>
      </w:r>
      <w:r w:rsidR="00E66E29">
        <w:rPr>
          <w:rFonts w:hint="cs"/>
          <w:rtl/>
        </w:rPr>
        <w:t>אודות הזכות לשימוע</w:t>
      </w:r>
      <w:r w:rsidR="00CA0B6C">
        <w:rPr>
          <w:rFonts w:hint="cs"/>
          <w:rtl/>
        </w:rPr>
        <w:t>,</w:t>
      </w:r>
      <w:r w:rsidR="00E66E29">
        <w:rPr>
          <w:rFonts w:hint="cs"/>
          <w:rtl/>
        </w:rPr>
        <w:t xml:space="preserve"> </w:t>
      </w:r>
      <w:r>
        <w:rPr>
          <w:rFonts w:hint="cs"/>
          <w:rtl/>
        </w:rPr>
        <w:t>מ</w:t>
      </w:r>
      <w:r w:rsidR="00E66E29">
        <w:rPr>
          <w:rFonts w:hint="cs"/>
          <w:rtl/>
        </w:rPr>
        <w:t>יום 11 באוגוסט 2022</w:t>
      </w:r>
      <w:r w:rsidR="00CA0B6C">
        <w:rPr>
          <w:rFonts w:hint="cs"/>
          <w:rtl/>
        </w:rPr>
        <w:t xml:space="preserve">. כמו כן, </w:t>
      </w:r>
      <w:r w:rsidR="00E66E29">
        <w:rPr>
          <w:rFonts w:hint="cs"/>
          <w:rtl/>
        </w:rPr>
        <w:t xml:space="preserve">לאחר בדיקה </w:t>
      </w:r>
      <w:r w:rsidR="00CA0B6C">
        <w:rPr>
          <w:rFonts w:hint="cs"/>
          <w:rtl/>
        </w:rPr>
        <w:t xml:space="preserve">באתר </w:t>
      </w:r>
      <w:r w:rsidR="00E66E29">
        <w:rPr>
          <w:rFonts w:hint="cs"/>
          <w:rtl/>
        </w:rPr>
        <w:t>דואר ישראל, צ</w:t>
      </w:r>
      <w:r w:rsidR="00CA0B6C">
        <w:rPr>
          <w:rFonts w:hint="cs"/>
          <w:rtl/>
        </w:rPr>
        <w:t>ירפה התביעה את</w:t>
      </w:r>
      <w:r w:rsidR="00E66E29">
        <w:rPr>
          <w:rFonts w:hint="cs"/>
          <w:rtl/>
        </w:rPr>
        <w:t xml:space="preserve"> מדבקת הדואר הרשום בדף הדואר שבו פרטי הנאשם</w:t>
      </w:r>
      <w:r>
        <w:rPr>
          <w:rFonts w:hint="cs"/>
          <w:rtl/>
        </w:rPr>
        <w:t>,</w:t>
      </w:r>
      <w:r w:rsidR="00E66E29">
        <w:rPr>
          <w:rFonts w:hint="cs"/>
          <w:rtl/>
        </w:rPr>
        <w:t xml:space="preserve"> </w:t>
      </w:r>
      <w:r w:rsidR="00E66E29" w:rsidRPr="00154CDE">
        <w:rPr>
          <w:rFonts w:hint="cs"/>
          <w:rtl/>
        </w:rPr>
        <w:t>ו</w:t>
      </w:r>
      <w:r>
        <w:rPr>
          <w:rFonts w:hint="cs"/>
          <w:rtl/>
        </w:rPr>
        <w:t xml:space="preserve">כן את </w:t>
      </w:r>
      <w:r w:rsidR="00E66E29" w:rsidRPr="00154CDE">
        <w:rPr>
          <w:rFonts w:hint="cs"/>
          <w:rtl/>
        </w:rPr>
        <w:t xml:space="preserve">אישור קבלת הדואר הרשום מדואר ישראל, </w:t>
      </w:r>
      <w:r>
        <w:rPr>
          <w:rFonts w:hint="cs"/>
          <w:rtl/>
        </w:rPr>
        <w:t>ש</w:t>
      </w:r>
      <w:r w:rsidR="00E66E29" w:rsidRPr="00154CDE">
        <w:rPr>
          <w:rFonts w:hint="cs"/>
          <w:rtl/>
        </w:rPr>
        <w:t xml:space="preserve">ממנו עולה כי נציג </w:t>
      </w:r>
      <w:r w:rsidR="00CA0B6C">
        <w:rPr>
          <w:rFonts w:hint="cs"/>
          <w:rtl/>
        </w:rPr>
        <w:t xml:space="preserve">מטעם </w:t>
      </w:r>
      <w:r w:rsidR="00E66E29" w:rsidRPr="00154CDE">
        <w:rPr>
          <w:rFonts w:hint="cs"/>
          <w:rtl/>
        </w:rPr>
        <w:t xml:space="preserve">המערער קיבל את מכתב </w:t>
      </w:r>
      <w:r w:rsidR="00CA0B6C">
        <w:rPr>
          <w:rFonts w:hint="cs"/>
          <w:rtl/>
        </w:rPr>
        <w:t xml:space="preserve">היידוע </w:t>
      </w:r>
      <w:r w:rsidR="00E66E29" w:rsidRPr="00154CDE">
        <w:rPr>
          <w:rFonts w:hint="cs"/>
          <w:rtl/>
        </w:rPr>
        <w:t>ביום 25 באוגוסט 2022.</w:t>
      </w:r>
      <w:r w:rsidR="00E66E29">
        <w:rPr>
          <w:rFonts w:hint="cs"/>
          <w:rtl/>
        </w:rPr>
        <w:t xml:space="preserve"> התביעה מסרה, כי אין ברשותה </w:t>
      </w:r>
      <w:r w:rsidR="00CA0B6C">
        <w:rPr>
          <w:rFonts w:hint="cs"/>
          <w:rtl/>
        </w:rPr>
        <w:t>מידע נוסף בעניין.</w:t>
      </w:r>
      <w:r w:rsidR="00E66E29">
        <w:rPr>
          <w:rFonts w:hint="cs"/>
          <w:rtl/>
        </w:rPr>
        <w:t xml:space="preserve"> </w:t>
      </w:r>
    </w:p>
    <w:p w14:paraId="79095052" w14:textId="77777777" w:rsidR="00CA0B6C" w:rsidRPr="00CA0B6C" w:rsidRDefault="00CA0B6C" w:rsidP="00D55FDE">
      <w:pPr>
        <w:pStyle w:val="NoSpacing"/>
        <w:spacing w:line="360" w:lineRule="auto"/>
        <w:ind w:left="-2" w:hanging="14"/>
        <w:jc w:val="both"/>
        <w:rPr>
          <w:rtl/>
        </w:rPr>
      </w:pPr>
    </w:p>
    <w:p w14:paraId="0C9F9FBD" w14:textId="02E2F1E3" w:rsidR="00BF4111" w:rsidRDefault="00BF4111" w:rsidP="00D55FDE">
      <w:pPr>
        <w:pStyle w:val="NoSpacing"/>
        <w:spacing w:line="360" w:lineRule="auto"/>
        <w:ind w:left="-2" w:hanging="14"/>
        <w:jc w:val="both"/>
        <w:rPr>
          <w:b/>
          <w:bCs/>
          <w:u w:val="single"/>
          <w:rtl/>
        </w:rPr>
      </w:pPr>
      <w:r>
        <w:rPr>
          <w:rFonts w:hint="cs"/>
          <w:b/>
          <w:bCs/>
          <w:u w:val="single"/>
          <w:rtl/>
        </w:rPr>
        <w:t>ההליכים בבית הדין המחוזי</w:t>
      </w:r>
    </w:p>
    <w:p w14:paraId="576635CE" w14:textId="77777777" w:rsidR="00D71F14" w:rsidRPr="00D71F14" w:rsidRDefault="00D71F14" w:rsidP="00D55FDE">
      <w:pPr>
        <w:pStyle w:val="NoSpacing"/>
        <w:spacing w:line="360" w:lineRule="auto"/>
        <w:ind w:left="-2" w:hanging="14"/>
        <w:jc w:val="both"/>
        <w:rPr>
          <w:b/>
          <w:bCs/>
          <w:sz w:val="14"/>
          <w:szCs w:val="14"/>
          <w:u w:val="single"/>
          <w:rtl/>
        </w:rPr>
      </w:pPr>
    </w:p>
    <w:p w14:paraId="3B2E674A" w14:textId="5C9CF116" w:rsidR="005727FF" w:rsidRDefault="00E66E29" w:rsidP="00D55FDE">
      <w:pPr>
        <w:pStyle w:val="NoSpacing"/>
        <w:numPr>
          <w:ilvl w:val="0"/>
          <w:numId w:val="3"/>
        </w:numPr>
        <w:spacing w:line="360" w:lineRule="auto"/>
        <w:ind w:left="-2" w:hanging="14"/>
        <w:jc w:val="both"/>
      </w:pPr>
      <w:r>
        <w:rPr>
          <w:rFonts w:hint="cs"/>
          <w:rtl/>
        </w:rPr>
        <w:t xml:space="preserve">לאור האמור הגישה  </w:t>
      </w:r>
      <w:r w:rsidRPr="00154CDE">
        <w:rPr>
          <w:rFonts w:hint="cs"/>
          <w:rtl/>
        </w:rPr>
        <w:t xml:space="preserve">ההגנה לבית הדין </w:t>
      </w:r>
      <w:r>
        <w:rPr>
          <w:rFonts w:hint="cs"/>
          <w:rtl/>
        </w:rPr>
        <w:t>המחוזי</w:t>
      </w:r>
      <w:r w:rsidRPr="00154CDE">
        <w:rPr>
          <w:rFonts w:hint="cs"/>
          <w:rtl/>
        </w:rPr>
        <w:t xml:space="preserve"> בקשה לקבלת חומר חקירה לפי ס' 74 לחוק סדר הדין הפלילי [נוסח משולב], תשמ"ב-1982</w:t>
      </w:r>
      <w:r>
        <w:rPr>
          <w:rFonts w:hint="cs"/>
          <w:rtl/>
        </w:rPr>
        <w:t xml:space="preserve">, ובה ביקשה לקבל לידיה </w:t>
      </w:r>
      <w:r w:rsidR="009B161E">
        <w:rPr>
          <w:rFonts w:hint="cs"/>
          <w:rtl/>
        </w:rPr>
        <w:t xml:space="preserve">מהתביעה </w:t>
      </w:r>
      <w:r>
        <w:rPr>
          <w:rFonts w:hint="cs"/>
          <w:rtl/>
        </w:rPr>
        <w:t xml:space="preserve">מידע כדלקמן: </w:t>
      </w:r>
      <w:r w:rsidR="00CF6ADF" w:rsidRPr="00154CDE">
        <w:rPr>
          <w:rFonts w:hint="cs"/>
          <w:rtl/>
        </w:rPr>
        <w:t xml:space="preserve">שם הנציג </w:t>
      </w:r>
      <w:r>
        <w:rPr>
          <w:rFonts w:hint="cs"/>
          <w:rtl/>
        </w:rPr>
        <w:t>שעל פי הנטען קיבל את מכתב היידוע</w:t>
      </w:r>
      <w:r w:rsidR="00CF6ADF" w:rsidRPr="00154CDE">
        <w:rPr>
          <w:rFonts w:hint="cs"/>
          <w:rtl/>
        </w:rPr>
        <w:t>; אישור המסירה</w:t>
      </w:r>
      <w:r w:rsidR="00BF4111">
        <w:rPr>
          <w:rFonts w:hint="cs"/>
          <w:rtl/>
        </w:rPr>
        <w:t xml:space="preserve"> של הדואר</w:t>
      </w:r>
      <w:r w:rsidR="00CF6ADF" w:rsidRPr="00154CDE">
        <w:rPr>
          <w:rFonts w:hint="cs"/>
          <w:rtl/>
        </w:rPr>
        <w:t>; ההעתק החתום שנשאר בידי הדואר; שם הד</w:t>
      </w:r>
      <w:r w:rsidR="00BF4111">
        <w:rPr>
          <w:rFonts w:hint="cs"/>
          <w:rtl/>
        </w:rPr>
        <w:t>וו</w:t>
      </w:r>
      <w:r w:rsidR="00CF6ADF" w:rsidRPr="00154CDE">
        <w:rPr>
          <w:rFonts w:hint="cs"/>
          <w:rtl/>
        </w:rPr>
        <w:t xml:space="preserve">ר שהעביר את הפריט וכל מסמך אחר המתעד מסירה זו. </w:t>
      </w:r>
      <w:r w:rsidR="00BF4111">
        <w:rPr>
          <w:rFonts w:hint="cs"/>
          <w:rtl/>
        </w:rPr>
        <w:t>התביעה מצידה השיבה כי ל</w:t>
      </w:r>
      <w:r w:rsidR="00CA0B6C">
        <w:rPr>
          <w:rFonts w:hint="cs"/>
          <w:rtl/>
        </w:rPr>
        <w:t>שיטת</w:t>
      </w:r>
      <w:r w:rsidR="00BF4111">
        <w:rPr>
          <w:rFonts w:hint="cs"/>
          <w:rtl/>
        </w:rPr>
        <w:t>ה,</w:t>
      </w:r>
      <w:r w:rsidR="001E1792" w:rsidRPr="00154CDE">
        <w:rPr>
          <w:rFonts w:hint="cs"/>
          <w:rtl/>
        </w:rPr>
        <w:t xml:space="preserve"> המידע המבוקש אינו רלוונטי להוכחת האישום, וכן לא מצוי בידי התביעה</w:t>
      </w:r>
      <w:r w:rsidR="00BF4111">
        <w:rPr>
          <w:rFonts w:hint="cs"/>
          <w:rtl/>
        </w:rPr>
        <w:t xml:space="preserve">. על כן ביקשה לדחות את הבקשה, תוך שצוין כי מדובר במידע שהדרך המתאימה לקבלתו היא באמצעות </w:t>
      </w:r>
      <w:r w:rsidR="00CA0B6C">
        <w:rPr>
          <w:rFonts w:hint="cs"/>
          <w:rtl/>
        </w:rPr>
        <w:t>פניה ל</w:t>
      </w:r>
      <w:r w:rsidR="00BF4111">
        <w:rPr>
          <w:rFonts w:hint="cs"/>
          <w:rtl/>
        </w:rPr>
        <w:t xml:space="preserve">פי סעיף 108 לחוק סדר הדין הפלילי. </w:t>
      </w:r>
    </w:p>
    <w:p w14:paraId="1595EE63" w14:textId="3CB5CFC0" w:rsidR="009B161E" w:rsidRDefault="00BF4111" w:rsidP="00D55FDE">
      <w:pPr>
        <w:pStyle w:val="NoSpacing"/>
        <w:numPr>
          <w:ilvl w:val="0"/>
          <w:numId w:val="3"/>
        </w:numPr>
        <w:spacing w:line="360" w:lineRule="auto"/>
        <w:ind w:left="-2" w:hanging="14"/>
        <w:jc w:val="both"/>
      </w:pPr>
      <w:r>
        <w:rPr>
          <w:rFonts w:hint="cs"/>
          <w:rtl/>
        </w:rPr>
        <w:t>בית הדין המחוזי (כב' השופט, סא"ל שאול ארבל), מצא, לאחר שמיעת טענות הצדדים, לדחות את בקשת ההגנה לקבלת חומר חקירה. בהחלטתו עמד על כך ש</w:t>
      </w:r>
      <w:r w:rsidR="007E52FC">
        <w:rPr>
          <w:rFonts w:hint="cs"/>
          <w:rtl/>
        </w:rPr>
        <w:t>בסע</w:t>
      </w:r>
      <w:r>
        <w:rPr>
          <w:rFonts w:hint="cs"/>
          <w:rtl/>
        </w:rPr>
        <w:t>יף 60א(ג)</w:t>
      </w:r>
      <w:r>
        <w:rPr>
          <w:rFonts w:hint="cs"/>
        </w:rPr>
        <w:t xml:space="preserve"> </w:t>
      </w:r>
      <w:r>
        <w:rPr>
          <w:rFonts w:hint="cs"/>
          <w:rtl/>
        </w:rPr>
        <w:t xml:space="preserve">לחוק סדר הדין הפלילי, </w:t>
      </w:r>
      <w:r w:rsidR="007E52FC">
        <w:rPr>
          <w:rFonts w:hint="cs"/>
          <w:rtl/>
        </w:rPr>
        <w:t xml:space="preserve">הקובע את חובת היידוע בדבר שימוע, נקבע כי יש לשלוח את מכתב היידוע בדואר רשום, ולא נקבעה חובה על התביעה לוודא את דבר קבלת הדואר; </w:t>
      </w:r>
      <w:r w:rsidR="00CA0B6C">
        <w:rPr>
          <w:rFonts w:hint="cs"/>
          <w:rtl/>
        </w:rPr>
        <w:t xml:space="preserve">ומקל וחומר הדברים אמורים </w:t>
      </w:r>
      <w:r w:rsidR="007E52FC">
        <w:rPr>
          <w:rFonts w:hint="cs"/>
          <w:rtl/>
        </w:rPr>
        <w:t xml:space="preserve">מקום </w:t>
      </w:r>
      <w:r w:rsidR="00E37D9A">
        <w:rPr>
          <w:rFonts w:hint="cs"/>
          <w:rtl/>
        </w:rPr>
        <w:t>ש</w:t>
      </w:r>
      <w:r w:rsidR="007E52FC">
        <w:rPr>
          <w:rFonts w:hint="cs"/>
          <w:rtl/>
        </w:rPr>
        <w:t xml:space="preserve">בו </w:t>
      </w:r>
      <w:r w:rsidR="00E37D9A">
        <w:rPr>
          <w:rFonts w:hint="cs"/>
          <w:rtl/>
        </w:rPr>
        <w:t xml:space="preserve">דבר </w:t>
      </w:r>
      <w:r w:rsidR="007E52FC">
        <w:rPr>
          <w:rFonts w:hint="cs"/>
          <w:rtl/>
        </w:rPr>
        <w:t xml:space="preserve">הדואר אכן הגיע למען הידוע (כפי שגם היה במקרה זה, שכן המערער אישר את </w:t>
      </w:r>
      <w:r w:rsidR="00DE4A28">
        <w:rPr>
          <w:rFonts w:hint="cs"/>
          <w:rtl/>
        </w:rPr>
        <w:t xml:space="preserve">כי הוא מתגורר </w:t>
      </w:r>
      <w:r w:rsidR="007E52FC">
        <w:rPr>
          <w:rFonts w:hint="cs"/>
          <w:rtl/>
        </w:rPr>
        <w:t xml:space="preserve">בכתובת </w:t>
      </w:r>
      <w:r w:rsidR="00DE4A28">
        <w:rPr>
          <w:rFonts w:hint="cs"/>
          <w:rtl/>
        </w:rPr>
        <w:t>ש</w:t>
      </w:r>
      <w:r w:rsidR="007E52FC">
        <w:rPr>
          <w:rFonts w:hint="cs"/>
          <w:rtl/>
        </w:rPr>
        <w:t xml:space="preserve">אליה נשלח דבר הדואר). </w:t>
      </w:r>
      <w:r w:rsidR="00CA0B6C">
        <w:rPr>
          <w:rFonts w:hint="cs"/>
          <w:rtl/>
        </w:rPr>
        <w:t>בוא</w:t>
      </w:r>
      <w:r w:rsidR="009B161E">
        <w:rPr>
          <w:rFonts w:hint="cs"/>
          <w:rtl/>
        </w:rPr>
        <w:t xml:space="preserve">ר, כי </w:t>
      </w:r>
      <w:r w:rsidR="00CA0B6C">
        <w:rPr>
          <w:rFonts w:hint="cs"/>
          <w:rtl/>
        </w:rPr>
        <w:t xml:space="preserve">התכלית בבסיס </w:t>
      </w:r>
      <w:r w:rsidR="00DE4A28">
        <w:rPr>
          <w:rFonts w:hint="cs"/>
          <w:rtl/>
        </w:rPr>
        <w:t>סעיף 60א(ג) הנ"ל</w:t>
      </w:r>
      <w:r w:rsidR="00CA0B6C">
        <w:rPr>
          <w:rFonts w:hint="cs"/>
          <w:rtl/>
        </w:rPr>
        <w:t xml:space="preserve">, היא </w:t>
      </w:r>
      <w:r w:rsidR="009B161E">
        <w:rPr>
          <w:rFonts w:hint="cs"/>
          <w:rtl/>
        </w:rPr>
        <w:t xml:space="preserve">להתמודד עם מקרים </w:t>
      </w:r>
      <w:r w:rsidR="00DE4A28">
        <w:rPr>
          <w:rFonts w:hint="cs"/>
          <w:rtl/>
        </w:rPr>
        <w:t>ש</w:t>
      </w:r>
      <w:r w:rsidR="009B161E">
        <w:rPr>
          <w:rFonts w:hint="cs"/>
          <w:rtl/>
        </w:rPr>
        <w:t>בהם יימנעו הנמענים מלקחת את דבר הדואר</w:t>
      </w:r>
      <w:r w:rsidR="00DE4A28">
        <w:rPr>
          <w:rFonts w:hint="cs"/>
          <w:rtl/>
        </w:rPr>
        <w:t>,</w:t>
      </w:r>
      <w:r w:rsidR="009B161E">
        <w:rPr>
          <w:rFonts w:hint="cs"/>
          <w:rtl/>
        </w:rPr>
        <w:t xml:space="preserve"> או יסתייעו באדם אחר לצורך התחמקות מהדין. </w:t>
      </w:r>
      <w:r w:rsidR="00DE4A28">
        <w:rPr>
          <w:rFonts w:hint="cs"/>
          <w:rtl/>
        </w:rPr>
        <w:t xml:space="preserve">בהיעדר </w:t>
      </w:r>
      <w:r w:rsidR="009B161E">
        <w:rPr>
          <w:rFonts w:hint="cs"/>
          <w:rtl/>
        </w:rPr>
        <w:t xml:space="preserve">דרישה </w:t>
      </w:r>
      <w:r w:rsidR="00DE4A28">
        <w:rPr>
          <w:rFonts w:hint="cs"/>
          <w:rtl/>
        </w:rPr>
        <w:t xml:space="preserve">מן התביעה לוודא את </w:t>
      </w:r>
      <w:r w:rsidR="009B161E">
        <w:rPr>
          <w:rFonts w:hint="cs"/>
          <w:rtl/>
        </w:rPr>
        <w:t>מסירת דבר הדואר בפועל</w:t>
      </w:r>
      <w:r w:rsidR="00DE4A28">
        <w:rPr>
          <w:rFonts w:hint="cs"/>
          <w:rtl/>
        </w:rPr>
        <w:t xml:space="preserve"> - הרי ש</w:t>
      </w:r>
      <w:r w:rsidR="005B5D03" w:rsidRPr="00154CDE">
        <w:rPr>
          <w:rFonts w:hint="cs"/>
          <w:rtl/>
        </w:rPr>
        <w:t>טענות ההגנה הן ספקולטיביות וערטילאיות</w:t>
      </w:r>
      <w:r w:rsidR="00DE4A28">
        <w:rPr>
          <w:rFonts w:hint="cs"/>
          <w:rtl/>
        </w:rPr>
        <w:t>,</w:t>
      </w:r>
      <w:r w:rsidR="001C32D1" w:rsidRPr="00154CDE">
        <w:rPr>
          <w:rFonts w:hint="cs"/>
          <w:rtl/>
        </w:rPr>
        <w:t xml:space="preserve"> ומהוות </w:t>
      </w:r>
      <w:r w:rsidR="009B161E">
        <w:rPr>
          <w:rFonts w:hint="cs"/>
          <w:rtl/>
        </w:rPr>
        <w:t>"</w:t>
      </w:r>
      <w:r w:rsidR="001C32D1" w:rsidRPr="00154CDE">
        <w:rPr>
          <w:rFonts w:hint="cs"/>
          <w:rtl/>
        </w:rPr>
        <w:t>מסע דייג</w:t>
      </w:r>
      <w:r w:rsidR="009B161E">
        <w:rPr>
          <w:rFonts w:hint="cs"/>
          <w:rtl/>
        </w:rPr>
        <w:t>"</w:t>
      </w:r>
      <w:r w:rsidR="001C32D1" w:rsidRPr="00154CDE">
        <w:rPr>
          <w:rFonts w:hint="cs"/>
          <w:rtl/>
        </w:rPr>
        <w:t xml:space="preserve"> שאינו רלוונטי לאישום לגופו או להגנת ה</w:t>
      </w:r>
      <w:r w:rsidR="00AD6549">
        <w:rPr>
          <w:rFonts w:hint="cs"/>
          <w:rtl/>
        </w:rPr>
        <w:t xml:space="preserve">מערער. כן עמד בית הדין קמא על כך </w:t>
      </w:r>
      <w:r w:rsidR="00AD6549">
        <w:rPr>
          <w:rFonts w:hint="cs"/>
          <w:rtl/>
        </w:rPr>
        <w:lastRenderedPageBreak/>
        <w:t>ש</w:t>
      </w:r>
      <w:r w:rsidR="001C32D1" w:rsidRPr="00154CDE">
        <w:rPr>
          <w:rFonts w:hint="cs"/>
          <w:rtl/>
        </w:rPr>
        <w:t>מדובר בחומר שלא נאסף</w:t>
      </w:r>
      <w:r w:rsidR="00B83BC6">
        <w:rPr>
          <w:rFonts w:hint="cs"/>
          <w:rtl/>
        </w:rPr>
        <w:t>, ולא צריך היה להיאסף,</w:t>
      </w:r>
      <w:r w:rsidR="001C32D1" w:rsidRPr="00154CDE">
        <w:rPr>
          <w:rFonts w:hint="cs"/>
          <w:rtl/>
        </w:rPr>
        <w:t xml:space="preserve"> על ידי התביעה או גורמי החקירה</w:t>
      </w:r>
      <w:r w:rsidR="009B161E">
        <w:rPr>
          <w:rFonts w:hint="cs"/>
          <w:rtl/>
        </w:rPr>
        <w:t>. על כן נדחתה, כאמור, בקשת ההגנה.</w:t>
      </w:r>
    </w:p>
    <w:p w14:paraId="21CD76A1" w14:textId="54FE4ADE" w:rsidR="009B7F13" w:rsidRDefault="00E456D9" w:rsidP="00D55FDE">
      <w:pPr>
        <w:pStyle w:val="NoSpacing"/>
        <w:numPr>
          <w:ilvl w:val="0"/>
          <w:numId w:val="3"/>
        </w:numPr>
        <w:spacing w:line="360" w:lineRule="auto"/>
        <w:ind w:left="-2" w:hanging="14"/>
        <w:jc w:val="both"/>
      </w:pPr>
      <w:r w:rsidRPr="00154CDE">
        <w:rPr>
          <w:rFonts w:hint="cs"/>
          <w:rtl/>
        </w:rPr>
        <w:t xml:space="preserve">ההגנה לא </w:t>
      </w:r>
      <w:r w:rsidR="009B161E">
        <w:rPr>
          <w:rFonts w:hint="cs"/>
          <w:rtl/>
        </w:rPr>
        <w:t>השלימה עם ה</w:t>
      </w:r>
      <w:r w:rsidR="00AD6549">
        <w:rPr>
          <w:rFonts w:hint="cs"/>
          <w:rtl/>
        </w:rPr>
        <w:t>חלט</w:t>
      </w:r>
      <w:r w:rsidR="009B161E">
        <w:rPr>
          <w:rFonts w:hint="cs"/>
          <w:rtl/>
        </w:rPr>
        <w:t xml:space="preserve">ת בית </w:t>
      </w:r>
      <w:r w:rsidRPr="00154CDE">
        <w:rPr>
          <w:rFonts w:hint="cs"/>
          <w:rtl/>
        </w:rPr>
        <w:t>הדין קמא ומכאן הערעור שלפניי.</w:t>
      </w:r>
    </w:p>
    <w:p w14:paraId="503A8664" w14:textId="77777777" w:rsidR="009B161E" w:rsidRPr="00AD6549" w:rsidRDefault="009B161E" w:rsidP="00D55FDE">
      <w:pPr>
        <w:pStyle w:val="NoSpacing"/>
        <w:spacing w:line="360" w:lineRule="auto"/>
        <w:ind w:left="-2" w:hanging="14"/>
        <w:jc w:val="both"/>
        <w:rPr>
          <w:rtl/>
        </w:rPr>
      </w:pPr>
    </w:p>
    <w:p w14:paraId="35C9A615" w14:textId="072AFD5A" w:rsidR="009B7F13" w:rsidRDefault="009B7F13" w:rsidP="00D55FDE">
      <w:pPr>
        <w:pStyle w:val="NoSpacing"/>
        <w:spacing w:line="360" w:lineRule="auto"/>
        <w:ind w:left="-2" w:hanging="14"/>
        <w:jc w:val="both"/>
        <w:rPr>
          <w:rtl/>
        </w:rPr>
      </w:pPr>
      <w:r w:rsidRPr="00154CDE">
        <w:rPr>
          <w:rFonts w:hint="cs"/>
          <w:b/>
          <w:bCs/>
          <w:u w:val="single"/>
          <w:rtl/>
        </w:rPr>
        <w:t>ערעור ההגנה וטענות הצדדים</w:t>
      </w:r>
      <w:r w:rsidRPr="00154CDE">
        <w:rPr>
          <w:rFonts w:hint="cs"/>
          <w:rtl/>
        </w:rPr>
        <w:t>:</w:t>
      </w:r>
    </w:p>
    <w:p w14:paraId="17462430" w14:textId="77777777" w:rsidR="00D71F14" w:rsidRPr="00D71F14" w:rsidRDefault="00D71F14" w:rsidP="00D55FDE">
      <w:pPr>
        <w:pStyle w:val="NoSpacing"/>
        <w:spacing w:line="360" w:lineRule="auto"/>
        <w:ind w:left="-2" w:hanging="14"/>
        <w:jc w:val="both"/>
        <w:rPr>
          <w:sz w:val="14"/>
          <w:szCs w:val="14"/>
          <w:rtl/>
        </w:rPr>
      </w:pPr>
    </w:p>
    <w:p w14:paraId="628A6AB9" w14:textId="7FF72277" w:rsidR="00B34C31" w:rsidRDefault="009B161E" w:rsidP="00D55FDE">
      <w:pPr>
        <w:pStyle w:val="NoSpacing"/>
        <w:numPr>
          <w:ilvl w:val="0"/>
          <w:numId w:val="3"/>
        </w:numPr>
        <w:spacing w:line="360" w:lineRule="auto"/>
        <w:ind w:left="-2" w:hanging="14"/>
        <w:jc w:val="both"/>
      </w:pPr>
      <w:r>
        <w:rPr>
          <w:rFonts w:hint="cs"/>
          <w:rtl/>
        </w:rPr>
        <w:t>בפי ההגנה מספר טענות מרכזיות</w:t>
      </w:r>
      <w:r w:rsidR="005D0BDE">
        <w:rPr>
          <w:rFonts w:hint="cs"/>
          <w:rtl/>
        </w:rPr>
        <w:t>: בראש ובראשונה</w:t>
      </w:r>
      <w:r w:rsidR="00217E62">
        <w:rPr>
          <w:rFonts w:hint="cs"/>
          <w:rtl/>
        </w:rPr>
        <w:t xml:space="preserve"> הטעימה כי </w:t>
      </w:r>
      <w:r w:rsidR="00B55162">
        <w:rPr>
          <w:rFonts w:hint="cs"/>
          <w:rtl/>
        </w:rPr>
        <w:t>ב</w:t>
      </w:r>
      <w:r w:rsidR="00217E62">
        <w:rPr>
          <w:rFonts w:hint="cs"/>
          <w:rtl/>
        </w:rPr>
        <w:t>ראייתה, טענת המערער בדבר פגיעה בזכותו לעריכת שימוע</w:t>
      </w:r>
      <w:r w:rsidR="00B55162">
        <w:rPr>
          <w:rFonts w:hint="cs"/>
          <w:rtl/>
        </w:rPr>
        <w:t>,</w:t>
      </w:r>
      <w:r w:rsidR="00217E62">
        <w:rPr>
          <w:rFonts w:hint="cs"/>
          <w:rtl/>
        </w:rPr>
        <w:t xml:space="preserve"> ו</w:t>
      </w:r>
      <w:r w:rsidR="00B55162">
        <w:rPr>
          <w:rFonts w:hint="cs"/>
          <w:rtl/>
        </w:rPr>
        <w:t>ה</w:t>
      </w:r>
      <w:r w:rsidR="00217E62">
        <w:rPr>
          <w:rFonts w:hint="cs"/>
          <w:rtl/>
        </w:rPr>
        <w:t xml:space="preserve">אופן </w:t>
      </w:r>
      <w:r w:rsidR="00B55162">
        <w:rPr>
          <w:rFonts w:hint="cs"/>
          <w:rtl/>
        </w:rPr>
        <w:t xml:space="preserve">שבו התנהלה </w:t>
      </w:r>
      <w:r w:rsidR="00217E62">
        <w:rPr>
          <w:rFonts w:hint="cs"/>
          <w:rtl/>
        </w:rPr>
        <w:t xml:space="preserve">הרשות, </w:t>
      </w:r>
      <w:r w:rsidR="00B55162">
        <w:rPr>
          <w:rFonts w:hint="cs"/>
          <w:rtl/>
        </w:rPr>
        <w:t xml:space="preserve">עשויים </w:t>
      </w:r>
      <w:r w:rsidR="00217E62">
        <w:rPr>
          <w:rFonts w:hint="cs"/>
          <w:rtl/>
        </w:rPr>
        <w:t>להביא לביטול כתב האישום או להשפיע באופן אחר על ההליך, וה</w:t>
      </w:r>
      <w:r w:rsidR="005D0BDE">
        <w:rPr>
          <w:rFonts w:hint="cs"/>
          <w:rtl/>
        </w:rPr>
        <w:t xml:space="preserve">מסמכים שהתבקשו הם חלק מהתשתית הראייתית העומדת בבסיס הטענה המקדמית </w:t>
      </w:r>
      <w:r w:rsidR="00217E62">
        <w:rPr>
          <w:rFonts w:hint="cs"/>
          <w:rtl/>
        </w:rPr>
        <w:t xml:space="preserve">האמורה; </w:t>
      </w:r>
      <w:r w:rsidR="005D0BDE">
        <w:rPr>
          <w:rFonts w:hint="cs"/>
          <w:rtl/>
        </w:rPr>
        <w:t xml:space="preserve">על כן נטען, כי החומר המבוקש הוא בעל זיקה ישירה להליך המתנהל בפני בית הדין. </w:t>
      </w:r>
      <w:r w:rsidR="00B34C31">
        <w:rPr>
          <w:rFonts w:hint="cs"/>
          <w:rtl/>
        </w:rPr>
        <w:t xml:space="preserve">הוסבר, כי אף שמכתב היידוע נשלח </w:t>
      </w:r>
      <w:r w:rsidR="00217E62">
        <w:rPr>
          <w:rFonts w:hint="cs"/>
          <w:rtl/>
        </w:rPr>
        <w:t xml:space="preserve">אל המערער </w:t>
      </w:r>
      <w:r w:rsidR="00B34C31">
        <w:rPr>
          <w:rFonts w:hint="cs"/>
          <w:rtl/>
        </w:rPr>
        <w:t>ב</w:t>
      </w:r>
      <w:r w:rsidR="00217E62">
        <w:rPr>
          <w:rFonts w:hint="cs"/>
          <w:rtl/>
        </w:rPr>
        <w:t xml:space="preserve">חודש </w:t>
      </w:r>
      <w:r w:rsidR="00B34C31">
        <w:rPr>
          <w:rFonts w:hint="cs"/>
          <w:rtl/>
        </w:rPr>
        <w:t>אוגוסט 2022, בפועל הוא הגיע לידיו  רק ביום 13 בספטמבר 2022, כשבועיים טרם הגשת כתב האישום, ובתקופ</w:t>
      </w:r>
      <w:r w:rsidR="00217E62">
        <w:rPr>
          <w:rFonts w:hint="cs"/>
          <w:rtl/>
        </w:rPr>
        <w:t>ת</w:t>
      </w:r>
      <w:r w:rsidR="00B34C31">
        <w:rPr>
          <w:rFonts w:hint="cs"/>
          <w:rtl/>
        </w:rPr>
        <w:t xml:space="preserve"> חגי תשרי, באופן </w:t>
      </w:r>
      <w:r w:rsidR="002B4E49">
        <w:rPr>
          <w:rFonts w:hint="cs"/>
          <w:rtl/>
        </w:rPr>
        <w:t xml:space="preserve">שעיכב </w:t>
      </w:r>
      <w:r w:rsidR="00217E62">
        <w:rPr>
          <w:rFonts w:hint="cs"/>
          <w:rtl/>
        </w:rPr>
        <w:t>א</w:t>
      </w:r>
      <w:r w:rsidR="00B34C31">
        <w:rPr>
          <w:rFonts w:hint="cs"/>
          <w:rtl/>
        </w:rPr>
        <w:t xml:space="preserve">ת הפניה לסניגוריה לצורך עריכת שימוע. </w:t>
      </w:r>
      <w:r w:rsidR="00C55159">
        <w:rPr>
          <w:rFonts w:hint="cs"/>
          <w:rtl/>
        </w:rPr>
        <w:t>הוטעם</w:t>
      </w:r>
      <w:r w:rsidR="004E5631">
        <w:rPr>
          <w:rFonts w:hint="cs"/>
          <w:rtl/>
        </w:rPr>
        <w:t xml:space="preserve">, כי הפנימיה </w:t>
      </w:r>
      <w:r w:rsidR="00C55159">
        <w:rPr>
          <w:rFonts w:hint="cs"/>
          <w:rtl/>
        </w:rPr>
        <w:t>ש</w:t>
      </w:r>
      <w:r w:rsidR="004E5631">
        <w:rPr>
          <w:rFonts w:hint="cs"/>
          <w:rtl/>
        </w:rPr>
        <w:t xml:space="preserve">בה מתגורר המערער, </w:t>
      </w:r>
      <w:r w:rsidR="00C55159">
        <w:rPr>
          <w:rFonts w:hint="cs"/>
          <w:rtl/>
        </w:rPr>
        <w:t>ממוקמת במבנה ה</w:t>
      </w:r>
      <w:r w:rsidR="004E5631">
        <w:rPr>
          <w:rFonts w:hint="cs"/>
          <w:rtl/>
        </w:rPr>
        <w:t>מושכר לעמותה שמכוחה הוא פועל. במקום יש עובדים רבים</w:t>
      </w:r>
      <w:r w:rsidR="00C55159">
        <w:rPr>
          <w:rFonts w:hint="cs"/>
          <w:rtl/>
        </w:rPr>
        <w:t>,</w:t>
      </w:r>
      <w:r w:rsidR="004E5631">
        <w:rPr>
          <w:rFonts w:hint="cs"/>
          <w:rtl/>
        </w:rPr>
        <w:t xml:space="preserve"> ואין כל דרך להתחקות אחר השאלה מי העובד שקיבל בפועל את המכתב, ללא קבלת המידע מהתביעה. </w:t>
      </w:r>
    </w:p>
    <w:p w14:paraId="6D2CDA05" w14:textId="6C9E8453" w:rsidR="005D0BDE" w:rsidRDefault="004E5631" w:rsidP="00D55FDE">
      <w:pPr>
        <w:pStyle w:val="NoSpacing"/>
        <w:spacing w:line="360" w:lineRule="auto"/>
        <w:ind w:left="-2" w:hanging="14"/>
        <w:jc w:val="both"/>
        <w:rPr>
          <w:rtl/>
        </w:rPr>
      </w:pPr>
      <w:r>
        <w:rPr>
          <w:rFonts w:hint="cs"/>
          <w:rtl/>
        </w:rPr>
        <w:t xml:space="preserve">ההגנה סבורה, כי </w:t>
      </w:r>
      <w:r w:rsidR="00B34C31">
        <w:rPr>
          <w:rFonts w:hint="cs"/>
          <w:rtl/>
        </w:rPr>
        <w:t xml:space="preserve">על </w:t>
      </w:r>
      <w:r w:rsidR="00A31507">
        <w:rPr>
          <w:rFonts w:hint="cs"/>
          <w:rtl/>
        </w:rPr>
        <w:t xml:space="preserve">התביעה כרשות, </w:t>
      </w:r>
      <w:r>
        <w:rPr>
          <w:rFonts w:hint="cs"/>
          <w:rtl/>
        </w:rPr>
        <w:t xml:space="preserve">מוטלת </w:t>
      </w:r>
      <w:r w:rsidR="00A31507">
        <w:rPr>
          <w:rFonts w:hint="cs"/>
          <w:rtl/>
        </w:rPr>
        <w:t>ה</w:t>
      </w:r>
      <w:r w:rsidR="00B34C31">
        <w:rPr>
          <w:rFonts w:hint="cs"/>
          <w:rtl/>
        </w:rPr>
        <w:t xml:space="preserve">חובה לבחון </w:t>
      </w:r>
      <w:r w:rsidR="00A31507">
        <w:rPr>
          <w:rFonts w:hint="cs"/>
          <w:rtl/>
        </w:rPr>
        <w:t xml:space="preserve">האם הגיע מכתב היידוע לרשות </w:t>
      </w:r>
      <w:r w:rsidR="00047316">
        <w:rPr>
          <w:rFonts w:hint="cs"/>
          <w:rtl/>
        </w:rPr>
        <w:t>המערער</w:t>
      </w:r>
      <w:r w:rsidR="00C55159">
        <w:rPr>
          <w:rFonts w:hint="cs"/>
          <w:rtl/>
        </w:rPr>
        <w:t xml:space="preserve"> </w:t>
      </w:r>
      <w:r w:rsidR="00C55159">
        <w:rPr>
          <w:rtl/>
        </w:rPr>
        <w:t>–</w:t>
      </w:r>
      <w:r w:rsidR="00C55159">
        <w:rPr>
          <w:rFonts w:hint="cs"/>
          <w:rtl/>
        </w:rPr>
        <w:t xml:space="preserve"> ולראיה, בעקבות פנייתה, אכן פעלה התביעה כדי </w:t>
      </w:r>
      <w:r w:rsidR="005D0BDE">
        <w:rPr>
          <w:rFonts w:hint="cs"/>
          <w:rtl/>
        </w:rPr>
        <w:t>לקבל חומרים נוספים בדבר שליחת מכתב היידוע, כגון מדבקת הדואר הרשום. מכאן שהתביעה הי</w:t>
      </w:r>
      <w:r>
        <w:rPr>
          <w:rFonts w:hint="cs"/>
          <w:rtl/>
        </w:rPr>
        <w:t>י</w:t>
      </w:r>
      <w:r w:rsidR="005D0BDE">
        <w:rPr>
          <w:rFonts w:hint="cs"/>
          <w:rtl/>
        </w:rPr>
        <w:t>תה סבורה כי מדובר אכן בחומרים רלוונטיים לאישום</w:t>
      </w:r>
      <w:r>
        <w:rPr>
          <w:rFonts w:hint="cs"/>
          <w:rtl/>
        </w:rPr>
        <w:t xml:space="preserve">, והיה </w:t>
      </w:r>
      <w:r w:rsidR="005D0BDE">
        <w:rPr>
          <w:rFonts w:hint="cs"/>
          <w:rtl/>
        </w:rPr>
        <w:t xml:space="preserve">עליה להשיג את כלל החומרים הרלוונטיים ולא רק את חלקם. </w:t>
      </w:r>
      <w:r w:rsidR="00047316">
        <w:rPr>
          <w:rFonts w:hint="cs"/>
          <w:rtl/>
        </w:rPr>
        <w:t xml:space="preserve">עוד ציינה ההגנה בהקשר זה, כי גם דואר ישראל הוא בבחינת רשות </w:t>
      </w:r>
      <w:r>
        <w:rPr>
          <w:rFonts w:hint="cs"/>
          <w:rtl/>
        </w:rPr>
        <w:t xml:space="preserve">הפועלת מטעם </w:t>
      </w:r>
      <w:r w:rsidR="00047316">
        <w:rPr>
          <w:rFonts w:hint="cs"/>
          <w:rtl/>
        </w:rPr>
        <w:t xml:space="preserve">המדינה, ועל כן </w:t>
      </w:r>
      <w:r>
        <w:rPr>
          <w:rFonts w:hint="cs"/>
          <w:rtl/>
        </w:rPr>
        <w:t xml:space="preserve">אך </w:t>
      </w:r>
      <w:r w:rsidR="00047316">
        <w:rPr>
          <w:rFonts w:hint="cs"/>
          <w:rtl/>
        </w:rPr>
        <w:t xml:space="preserve">הגיוני </w:t>
      </w:r>
      <w:r>
        <w:rPr>
          <w:rFonts w:hint="cs"/>
          <w:rtl/>
        </w:rPr>
        <w:t xml:space="preserve">הוא </w:t>
      </w:r>
      <w:r w:rsidR="00047316">
        <w:rPr>
          <w:rFonts w:hint="cs"/>
          <w:rtl/>
        </w:rPr>
        <w:t xml:space="preserve">כי </w:t>
      </w:r>
      <w:r w:rsidR="00C55159">
        <w:rPr>
          <w:rFonts w:hint="cs"/>
          <w:rtl/>
        </w:rPr>
        <w:t>התביעה תעמוד עימו בקשר.</w:t>
      </w:r>
    </w:p>
    <w:p w14:paraId="015BB027" w14:textId="65CBB043" w:rsidR="00C55159" w:rsidRDefault="00C55159" w:rsidP="00D55FDE">
      <w:pPr>
        <w:pStyle w:val="NoSpacing"/>
        <w:spacing w:line="360" w:lineRule="auto"/>
        <w:ind w:left="-2" w:hanging="14"/>
        <w:jc w:val="both"/>
        <w:rPr>
          <w:rtl/>
        </w:rPr>
      </w:pPr>
      <w:r>
        <w:rPr>
          <w:rFonts w:hint="cs"/>
          <w:rtl/>
        </w:rPr>
        <w:t xml:space="preserve">ההגנה הדגישה, כי בפיה טענות משמעותיות ביותר באשר למצבו הנפשי של המערער, שעמד, כנטען, בבסיס המעשים המיוחסים לו, בבסיס פיטוריו משירות - וכן בבסיס החלטתו לשוב ולהתנדב לשירות. על כן ראוי היה לאפשר לה עריכת שימוע בנפש חפצה ולא כפי שמוצע לה כעת </w:t>
      </w:r>
      <w:r>
        <w:rPr>
          <w:rtl/>
        </w:rPr>
        <w:t>–</w:t>
      </w:r>
      <w:r>
        <w:rPr>
          <w:rFonts w:hint="cs"/>
          <w:rtl/>
        </w:rPr>
        <w:t xml:space="preserve"> לאחר שכתב האישום הוא בבחינת עובדה קיימת. </w:t>
      </w:r>
    </w:p>
    <w:p w14:paraId="4D9BAA47" w14:textId="46F226AB" w:rsidR="00047316" w:rsidRDefault="00047316" w:rsidP="00D55FDE">
      <w:pPr>
        <w:pStyle w:val="NoSpacing"/>
        <w:numPr>
          <w:ilvl w:val="0"/>
          <w:numId w:val="3"/>
        </w:numPr>
        <w:spacing w:line="360" w:lineRule="auto"/>
        <w:ind w:left="-2" w:hanging="14"/>
        <w:jc w:val="both"/>
      </w:pPr>
      <w:r>
        <w:rPr>
          <w:rFonts w:hint="cs"/>
          <w:rtl/>
        </w:rPr>
        <w:t>מנגד טוענת ה</w:t>
      </w:r>
      <w:r w:rsidR="004E5631">
        <w:rPr>
          <w:rFonts w:hint="cs"/>
          <w:rtl/>
        </w:rPr>
        <w:t>תביע</w:t>
      </w:r>
      <w:r>
        <w:rPr>
          <w:rFonts w:hint="cs"/>
          <w:rtl/>
        </w:rPr>
        <w:t xml:space="preserve">ה, כי החומר המבוקש אינו נוגע בליבת המחלוקת, וכן אינו מצוי בידיה. צוין, כי התשובה שנמסרה להגנה בעקבות פנייתה היא פרי חיפוש באתר הדואר, ואינה מהווה פעולת חקירה עצמאית לאיתור מידע, כפי שמבקשת ההגנה עתה. התביעה הדגישה, כי פעלה בכל הנוגע למשלוח מכתב היידוע בהתאם לכללים שנקבעו בהנחיית התביעה הצבאית הראשית, מס' 3.01 "שימוע לפני הגשת כתב אישום פלילי". </w:t>
      </w:r>
      <w:r w:rsidR="004E5631">
        <w:rPr>
          <w:rFonts w:hint="cs"/>
          <w:rtl/>
        </w:rPr>
        <w:t>להשקפתה, כ</w:t>
      </w:r>
      <w:r>
        <w:rPr>
          <w:rFonts w:hint="cs"/>
          <w:rtl/>
        </w:rPr>
        <w:t xml:space="preserve">יוון שבקשת ההגנה מתייחסת לחומר המצוי בידיו של צד ג' </w:t>
      </w:r>
      <w:r>
        <w:rPr>
          <w:rtl/>
        </w:rPr>
        <w:t>–</w:t>
      </w:r>
      <w:r>
        <w:rPr>
          <w:rFonts w:hint="cs"/>
          <w:rtl/>
        </w:rPr>
        <w:t xml:space="preserve"> רשות הדואר </w:t>
      </w:r>
      <w:r>
        <w:rPr>
          <w:rtl/>
        </w:rPr>
        <w:t>–</w:t>
      </w:r>
      <w:r>
        <w:rPr>
          <w:rFonts w:hint="cs"/>
          <w:rtl/>
        </w:rPr>
        <w:t xml:space="preserve"> על ההגנה לפנות בבקשה מתאימה לפי סעיף  108 לחוק סדר הדין הפלילי. </w:t>
      </w:r>
    </w:p>
    <w:p w14:paraId="5B4A538F" w14:textId="4294770D" w:rsidR="00047316" w:rsidRDefault="00323FA6" w:rsidP="00D55FDE">
      <w:pPr>
        <w:pStyle w:val="NoSpacing"/>
        <w:numPr>
          <w:ilvl w:val="0"/>
          <w:numId w:val="3"/>
        </w:numPr>
        <w:spacing w:line="360" w:lineRule="auto"/>
        <w:ind w:left="-2" w:hanging="14"/>
        <w:jc w:val="both"/>
      </w:pPr>
      <w:r>
        <w:rPr>
          <w:rFonts w:hint="cs"/>
          <w:rtl/>
        </w:rPr>
        <w:lastRenderedPageBreak/>
        <w:t>בהמשך ל</w:t>
      </w:r>
      <w:r w:rsidR="00BA61F4">
        <w:rPr>
          <w:rFonts w:hint="cs"/>
          <w:rtl/>
        </w:rPr>
        <w:t>דיון שהתקיים בפניי</w:t>
      </w:r>
      <w:r>
        <w:rPr>
          <w:rFonts w:hint="cs"/>
          <w:rtl/>
        </w:rPr>
        <w:t xml:space="preserve">, ניסו הצדדים לגבש </w:t>
      </w:r>
      <w:r w:rsidR="00047316">
        <w:rPr>
          <w:rFonts w:hint="cs"/>
          <w:rtl/>
        </w:rPr>
        <w:t>מתווה עובדתי מוסכם</w:t>
      </w:r>
      <w:r w:rsidR="004E5631">
        <w:rPr>
          <w:rFonts w:hint="cs"/>
          <w:rtl/>
        </w:rPr>
        <w:t>,</w:t>
      </w:r>
      <w:r w:rsidR="00047316">
        <w:rPr>
          <w:rFonts w:hint="cs"/>
          <w:rtl/>
        </w:rPr>
        <w:t xml:space="preserve"> שיעמוד בבסיס </w:t>
      </w:r>
      <w:r w:rsidR="004E5631">
        <w:rPr>
          <w:rFonts w:hint="cs"/>
          <w:rtl/>
        </w:rPr>
        <w:t>טענתה המקדמית של ההגנה,</w:t>
      </w:r>
      <w:r w:rsidR="00047316">
        <w:rPr>
          <w:rFonts w:hint="cs"/>
          <w:rtl/>
        </w:rPr>
        <w:t xml:space="preserve"> </w:t>
      </w:r>
      <w:r w:rsidR="004E5631">
        <w:rPr>
          <w:rFonts w:hint="cs"/>
          <w:rtl/>
        </w:rPr>
        <w:t>ויתב</w:t>
      </w:r>
      <w:r w:rsidR="00047316">
        <w:rPr>
          <w:rFonts w:hint="cs"/>
          <w:rtl/>
        </w:rPr>
        <w:t>סס על תצהיר שימסור המערער בדבר נסיבות קבלת מכתב היידוע</w:t>
      </w:r>
      <w:r w:rsidR="004E5631">
        <w:rPr>
          <w:rFonts w:hint="cs"/>
          <w:rtl/>
        </w:rPr>
        <w:t xml:space="preserve"> לידיו</w:t>
      </w:r>
      <w:r w:rsidR="00047316">
        <w:rPr>
          <w:rFonts w:hint="cs"/>
          <w:rtl/>
        </w:rPr>
        <w:t xml:space="preserve">. עם זאת, </w:t>
      </w:r>
      <w:r>
        <w:rPr>
          <w:rFonts w:hint="cs"/>
          <w:rtl/>
        </w:rPr>
        <w:t xml:space="preserve">הניסיון לא צלח ולפיכך ביקשו הצדדים כי </w:t>
      </w:r>
      <w:r w:rsidR="00047316">
        <w:rPr>
          <w:rFonts w:hint="cs"/>
          <w:rtl/>
        </w:rPr>
        <w:t xml:space="preserve">תינתן החלטה בערעור. </w:t>
      </w:r>
    </w:p>
    <w:p w14:paraId="447CF7BB" w14:textId="39C7FF20" w:rsidR="00047316" w:rsidRDefault="00047316" w:rsidP="00D55FDE">
      <w:pPr>
        <w:pStyle w:val="NoSpacing"/>
        <w:spacing w:line="360" w:lineRule="auto"/>
        <w:ind w:left="-2" w:hanging="14"/>
        <w:jc w:val="both"/>
        <w:rPr>
          <w:b/>
          <w:bCs/>
          <w:u w:val="single"/>
          <w:rtl/>
        </w:rPr>
      </w:pPr>
      <w:r>
        <w:rPr>
          <w:rFonts w:hint="cs"/>
          <w:b/>
          <w:bCs/>
          <w:u w:val="single"/>
          <w:rtl/>
        </w:rPr>
        <w:t xml:space="preserve">דיון והכרעה </w:t>
      </w:r>
    </w:p>
    <w:p w14:paraId="489330F0" w14:textId="77777777" w:rsidR="00047316" w:rsidRPr="00D71F14" w:rsidRDefault="00047316" w:rsidP="00D55FDE">
      <w:pPr>
        <w:pStyle w:val="NoSpacing"/>
        <w:spacing w:line="360" w:lineRule="auto"/>
        <w:ind w:left="-2" w:hanging="14"/>
        <w:jc w:val="both"/>
        <w:rPr>
          <w:b/>
          <w:bCs/>
          <w:sz w:val="14"/>
          <w:szCs w:val="14"/>
          <w:u w:val="single"/>
        </w:rPr>
      </w:pPr>
    </w:p>
    <w:p w14:paraId="6D25B9CF" w14:textId="03476970" w:rsidR="004E5631" w:rsidRDefault="004E5631" w:rsidP="00D55FDE">
      <w:pPr>
        <w:pStyle w:val="NoSpacing"/>
        <w:numPr>
          <w:ilvl w:val="0"/>
          <w:numId w:val="3"/>
        </w:numPr>
        <w:spacing w:line="360" w:lineRule="auto"/>
        <w:ind w:left="-2" w:hanging="14"/>
        <w:jc w:val="both"/>
      </w:pPr>
      <w:r>
        <w:rPr>
          <w:rFonts w:hint="cs"/>
          <w:rtl/>
        </w:rPr>
        <w:t xml:space="preserve">דין הערעור להידחות. </w:t>
      </w:r>
    </w:p>
    <w:p w14:paraId="4D0B080F" w14:textId="0BB78F5B" w:rsidR="006747AC" w:rsidRDefault="00C55159" w:rsidP="00D55FDE">
      <w:pPr>
        <w:pStyle w:val="NoSpacing"/>
        <w:numPr>
          <w:ilvl w:val="0"/>
          <w:numId w:val="3"/>
        </w:numPr>
        <w:spacing w:line="360" w:lineRule="auto"/>
        <w:ind w:left="-2" w:hanging="14"/>
        <w:jc w:val="both"/>
      </w:pPr>
      <w:r>
        <w:rPr>
          <w:rFonts w:hint="cs"/>
          <w:rtl/>
        </w:rPr>
        <w:t>כידוע, ל</w:t>
      </w:r>
      <w:r w:rsidR="006747AC">
        <w:rPr>
          <w:rFonts w:hint="cs"/>
          <w:rtl/>
        </w:rPr>
        <w:t>זכות העיון בחומר חקירה, שנקבעה בסעיף 74 לחוק סדר הדין הפלילי, ניתנה פרש</w:t>
      </w:r>
      <w:r w:rsidR="004E5631">
        <w:rPr>
          <w:rFonts w:hint="cs"/>
          <w:rtl/>
        </w:rPr>
        <w:t>נ</w:t>
      </w:r>
      <w:r w:rsidR="006747AC">
        <w:rPr>
          <w:rFonts w:hint="cs"/>
          <w:rtl/>
        </w:rPr>
        <w:t xml:space="preserve">ות מרחיבה </w:t>
      </w:r>
      <w:r>
        <w:rPr>
          <w:rFonts w:hint="cs"/>
          <w:rtl/>
        </w:rPr>
        <w:t>בפסיקה</w:t>
      </w:r>
      <w:r w:rsidR="006747AC">
        <w:rPr>
          <w:rFonts w:hint="cs"/>
          <w:rtl/>
        </w:rPr>
        <w:t xml:space="preserve">, </w:t>
      </w:r>
      <w:r w:rsidR="006747AC" w:rsidRPr="00FE4495">
        <w:rPr>
          <w:rtl/>
        </w:rPr>
        <w:t xml:space="preserve">ונקבע כי יש לכלול </w:t>
      </w:r>
      <w:proofErr w:type="spellStart"/>
      <w:r w:rsidR="006747AC" w:rsidRPr="00FE4495">
        <w:rPr>
          <w:rtl/>
        </w:rPr>
        <w:t>בגדרי</w:t>
      </w:r>
      <w:r w:rsidR="006747AC">
        <w:rPr>
          <w:rFonts w:hint="cs"/>
          <w:rtl/>
        </w:rPr>
        <w:t>ו</w:t>
      </w:r>
      <w:proofErr w:type="spellEnd"/>
      <w:r w:rsidR="006747AC" w:rsidRPr="00FE4495">
        <w:rPr>
          <w:rtl/>
        </w:rPr>
        <w:t xml:space="preserve"> כל חומר הנוגע במישרין או בעקיפין לאישום (</w:t>
      </w:r>
      <w:proofErr w:type="spellStart"/>
      <w:r w:rsidR="006747AC" w:rsidRPr="00FE4495">
        <w:rPr>
          <w:rtl/>
        </w:rPr>
        <w:t>בש"פ</w:t>
      </w:r>
      <w:proofErr w:type="spellEnd"/>
      <w:r w:rsidR="006747AC" w:rsidRPr="00FE4495">
        <w:rPr>
          <w:rtl/>
        </w:rPr>
        <w:t xml:space="preserve"> 6520/21 </w:t>
      </w:r>
      <w:r w:rsidR="006747AC" w:rsidRPr="004E5631">
        <w:rPr>
          <w:b/>
          <w:bCs/>
          <w:rtl/>
        </w:rPr>
        <w:t>פלוני נ' מדינת ישראל</w:t>
      </w:r>
      <w:r w:rsidR="006747AC" w:rsidRPr="000E11C3">
        <w:rPr>
          <w:rtl/>
        </w:rPr>
        <w:t>,</w:t>
      </w:r>
      <w:r w:rsidR="006747AC" w:rsidRPr="00FE4495">
        <w:rPr>
          <w:rtl/>
        </w:rPr>
        <w:t xml:space="preserve"> בפסקה 6 (2021)). </w:t>
      </w:r>
      <w:r w:rsidR="00BA61F4">
        <w:rPr>
          <w:rFonts w:hint="cs"/>
          <w:rtl/>
        </w:rPr>
        <w:t xml:space="preserve">הזכות לעיון בחומר חקירה </w:t>
      </w:r>
      <w:r w:rsidR="006747AC">
        <w:rPr>
          <w:rFonts w:hint="cs"/>
          <w:rtl/>
        </w:rPr>
        <w:t xml:space="preserve">נחשבת </w:t>
      </w:r>
      <w:proofErr w:type="spellStart"/>
      <w:r>
        <w:rPr>
          <w:rFonts w:hint="cs"/>
          <w:rtl/>
        </w:rPr>
        <w:t>כ</w:t>
      </w:r>
      <w:r w:rsidR="004E5631">
        <w:rPr>
          <w:rFonts w:hint="cs"/>
          <w:rtl/>
        </w:rPr>
        <w:t>כזו</w:t>
      </w:r>
      <w:proofErr w:type="spellEnd"/>
      <w:r w:rsidR="006747AC" w:rsidRPr="00FE4495">
        <w:rPr>
          <w:rtl/>
        </w:rPr>
        <w:t xml:space="preserve"> המצויה בליבת הזכות להליך הוגן, </w:t>
      </w:r>
      <w:r>
        <w:rPr>
          <w:rFonts w:hint="cs"/>
          <w:rtl/>
        </w:rPr>
        <w:t>משנועדה</w:t>
      </w:r>
      <w:r w:rsidRPr="00FE4495">
        <w:rPr>
          <w:rtl/>
        </w:rPr>
        <w:t xml:space="preserve"> </w:t>
      </w:r>
      <w:r w:rsidR="006747AC" w:rsidRPr="00FE4495">
        <w:rPr>
          <w:rtl/>
        </w:rPr>
        <w:t xml:space="preserve">לתת </w:t>
      </w:r>
      <w:r>
        <w:rPr>
          <w:rFonts w:hint="cs"/>
          <w:rtl/>
        </w:rPr>
        <w:t xml:space="preserve">לנאשם </w:t>
      </w:r>
      <w:r w:rsidR="006747AC" w:rsidRPr="00FE4495">
        <w:rPr>
          <w:rtl/>
        </w:rPr>
        <w:t>כלים להתגונן כראוי מפני האישומים נגדו</w:t>
      </w:r>
      <w:r>
        <w:rPr>
          <w:rFonts w:hint="cs"/>
          <w:rtl/>
        </w:rPr>
        <w:t>.</w:t>
      </w:r>
      <w:r w:rsidR="006747AC" w:rsidRPr="00FE4495">
        <w:rPr>
          <w:rtl/>
        </w:rPr>
        <w:t xml:space="preserve"> מכאן</w:t>
      </w:r>
      <w:r>
        <w:rPr>
          <w:rFonts w:hint="cs"/>
          <w:rtl/>
        </w:rPr>
        <w:t xml:space="preserve">, כי זכות זו </w:t>
      </w:r>
      <w:r w:rsidR="006747AC" w:rsidRPr="00FE4495">
        <w:rPr>
          <w:rtl/>
        </w:rPr>
        <w:t xml:space="preserve">משרתת גם אינטרס ציבורי רחב </w:t>
      </w:r>
      <w:r w:rsidR="006747AC">
        <w:rPr>
          <w:rFonts w:hint="cs"/>
          <w:rtl/>
        </w:rPr>
        <w:t>ב</w:t>
      </w:r>
      <w:r w:rsidR="006747AC" w:rsidRPr="00FE4495">
        <w:rPr>
          <w:rtl/>
        </w:rPr>
        <w:t xml:space="preserve">שמירה על תקינות והוגנות ההליך הפלילי, לצד חשיפת האמת (ראה </w:t>
      </w:r>
      <w:proofErr w:type="spellStart"/>
      <w:r w:rsidR="006747AC" w:rsidRPr="00FE4495">
        <w:rPr>
          <w:rtl/>
        </w:rPr>
        <w:t>בש"פ</w:t>
      </w:r>
      <w:proofErr w:type="spellEnd"/>
      <w:r w:rsidR="006747AC" w:rsidRPr="00FE4495">
        <w:rPr>
          <w:rtl/>
        </w:rPr>
        <w:t xml:space="preserve"> 5763/21 </w:t>
      </w:r>
      <w:r w:rsidR="006747AC" w:rsidRPr="004E5631">
        <w:rPr>
          <w:b/>
          <w:bCs/>
          <w:rtl/>
        </w:rPr>
        <w:t>פלוני נ' מדינת ישראל</w:t>
      </w:r>
      <w:r w:rsidR="006747AC" w:rsidRPr="00FE4495">
        <w:rPr>
          <w:rtl/>
        </w:rPr>
        <w:t xml:space="preserve"> בפסקה 5 (2021))</w:t>
      </w:r>
      <w:r w:rsidR="006747AC">
        <w:rPr>
          <w:rFonts w:hint="cs"/>
          <w:rtl/>
        </w:rPr>
        <w:t xml:space="preserve">. </w:t>
      </w:r>
      <w:r w:rsidR="006747AC" w:rsidRPr="000E11C3">
        <w:rPr>
          <w:rtl/>
        </w:rPr>
        <w:t>לפיכך</w:t>
      </w:r>
      <w:r>
        <w:rPr>
          <w:rFonts w:hint="cs"/>
          <w:rtl/>
        </w:rPr>
        <w:t>,</w:t>
      </w:r>
      <w:r w:rsidR="006747AC" w:rsidRPr="000E11C3">
        <w:rPr>
          <w:rtl/>
        </w:rPr>
        <w:t xml:space="preserve"> אומץ בפסיקה מבחן גמיש יחסית, </w:t>
      </w:r>
      <w:r>
        <w:rPr>
          <w:rFonts w:hint="cs"/>
          <w:rtl/>
        </w:rPr>
        <w:t>ש</w:t>
      </w:r>
      <w:r w:rsidR="006747AC" w:rsidRPr="000E11C3">
        <w:rPr>
          <w:rtl/>
        </w:rPr>
        <w:t>במסגרתו יש לבחון את מידת הרלוונטיות והזיקה בין החומר המבוקש לבין האישומים (</w:t>
      </w:r>
      <w:proofErr w:type="spellStart"/>
      <w:r w:rsidR="006747AC" w:rsidRPr="000E11C3">
        <w:rPr>
          <w:rtl/>
        </w:rPr>
        <w:t>בש"פ</w:t>
      </w:r>
      <w:proofErr w:type="spellEnd"/>
      <w:r w:rsidR="006747AC" w:rsidRPr="000E11C3">
        <w:rPr>
          <w:rtl/>
        </w:rPr>
        <w:t xml:space="preserve"> 8100/21 </w:t>
      </w:r>
      <w:proofErr w:type="spellStart"/>
      <w:r w:rsidR="006747AC" w:rsidRPr="004E5631">
        <w:rPr>
          <w:b/>
          <w:bCs/>
          <w:rtl/>
        </w:rPr>
        <w:t>טראבין</w:t>
      </w:r>
      <w:proofErr w:type="spellEnd"/>
      <w:r w:rsidR="006747AC" w:rsidRPr="004E5631">
        <w:rPr>
          <w:b/>
          <w:bCs/>
          <w:rtl/>
        </w:rPr>
        <w:t xml:space="preserve"> נ' מדינת ישראל</w:t>
      </w:r>
      <w:r w:rsidR="006747AC" w:rsidRPr="000E11C3">
        <w:rPr>
          <w:rtl/>
        </w:rPr>
        <w:t xml:space="preserve"> בפסקה 16 (2021)</w:t>
      </w:r>
      <w:r w:rsidR="006747AC">
        <w:rPr>
          <w:rFonts w:hint="cs"/>
          <w:rtl/>
        </w:rPr>
        <w:t>. לצד זאת  נפסק</w:t>
      </w:r>
      <w:r w:rsidR="006747AC">
        <w:rPr>
          <w:rtl/>
        </w:rPr>
        <w:t xml:space="preserve">, כי אין להרחיב את </w:t>
      </w:r>
      <w:r w:rsidR="00847A50">
        <w:rPr>
          <w:rFonts w:hint="cs"/>
          <w:rtl/>
        </w:rPr>
        <w:t xml:space="preserve">הגדרתו של </w:t>
      </w:r>
      <w:r w:rsidR="006747AC">
        <w:rPr>
          <w:rtl/>
        </w:rPr>
        <w:t xml:space="preserve">'חומר חקירה' </w:t>
      </w:r>
      <w:r w:rsidR="00847A50">
        <w:rPr>
          <w:rFonts w:hint="cs"/>
          <w:rtl/>
        </w:rPr>
        <w:t>ל</w:t>
      </w:r>
      <w:r w:rsidR="006747AC">
        <w:rPr>
          <w:rtl/>
        </w:rPr>
        <w:t>חומר שהרל</w:t>
      </w:r>
      <w:r w:rsidR="006747AC">
        <w:rPr>
          <w:rFonts w:hint="cs"/>
          <w:rtl/>
        </w:rPr>
        <w:t>וו</w:t>
      </w:r>
      <w:r w:rsidR="006747AC">
        <w:rPr>
          <w:rtl/>
        </w:rPr>
        <w:t xml:space="preserve">נטיות </w:t>
      </w:r>
      <w:r w:rsidR="00847A50">
        <w:rPr>
          <w:rtl/>
        </w:rPr>
        <w:t>של</w:t>
      </w:r>
      <w:r w:rsidR="00847A50">
        <w:rPr>
          <w:rFonts w:hint="cs"/>
          <w:rtl/>
        </w:rPr>
        <w:t>ו</w:t>
      </w:r>
      <w:r w:rsidR="00847A50">
        <w:rPr>
          <w:rtl/>
        </w:rPr>
        <w:t xml:space="preserve"> </w:t>
      </w:r>
      <w:r w:rsidR="006747AC">
        <w:rPr>
          <w:rtl/>
        </w:rPr>
        <w:t>להגנת הנאשם היא רחוקה, שולית או ספקולטיבית,</w:t>
      </w:r>
      <w:r w:rsidR="006747AC">
        <w:rPr>
          <w:rFonts w:hint="cs"/>
          <w:rtl/>
        </w:rPr>
        <w:t xml:space="preserve"> וחסרת "נקודת אחיזה ממשית",</w:t>
      </w:r>
      <w:r w:rsidR="006747AC">
        <w:rPr>
          <w:rtl/>
        </w:rPr>
        <w:t xml:space="preserve"> ואל לבית המשפט להתיר 'מסע דיג'</w:t>
      </w:r>
      <w:r w:rsidR="00847A50">
        <w:rPr>
          <w:rFonts w:hint="cs"/>
          <w:rtl/>
        </w:rPr>
        <w:t>,</w:t>
      </w:r>
      <w:r w:rsidR="006747AC">
        <w:rPr>
          <w:rtl/>
        </w:rPr>
        <w:t xml:space="preserve"> </w:t>
      </w:r>
      <w:r w:rsidR="006747AC">
        <w:rPr>
          <w:rFonts w:hint="cs"/>
          <w:rtl/>
        </w:rPr>
        <w:t xml:space="preserve">בתקווה </w:t>
      </w:r>
      <w:r w:rsidR="00847A50">
        <w:rPr>
          <w:rFonts w:hint="cs"/>
          <w:rtl/>
        </w:rPr>
        <w:t xml:space="preserve">למציאתו של </w:t>
      </w:r>
      <w:r w:rsidR="006747AC">
        <w:rPr>
          <w:rFonts w:hint="cs"/>
          <w:rtl/>
        </w:rPr>
        <w:t xml:space="preserve">חומר חקירה </w:t>
      </w:r>
      <w:r w:rsidR="00847A50">
        <w:rPr>
          <w:rFonts w:hint="cs"/>
          <w:rtl/>
        </w:rPr>
        <w:t xml:space="preserve">העשוי </w:t>
      </w:r>
      <w:r w:rsidR="006747AC">
        <w:rPr>
          <w:rFonts w:hint="cs"/>
          <w:rtl/>
        </w:rPr>
        <w:t xml:space="preserve">לסייע </w:t>
      </w:r>
      <w:r w:rsidR="00847A50">
        <w:rPr>
          <w:rFonts w:hint="cs"/>
          <w:rtl/>
        </w:rPr>
        <w:t xml:space="preserve">להגנה </w:t>
      </w:r>
      <w:r w:rsidR="006747AC">
        <w:rPr>
          <w:rFonts w:hint="cs"/>
          <w:rtl/>
        </w:rPr>
        <w:t>(</w:t>
      </w:r>
      <w:proofErr w:type="spellStart"/>
      <w:r w:rsidR="006747AC" w:rsidRPr="001133EE">
        <w:rPr>
          <w:rtl/>
        </w:rPr>
        <w:t>עלב"ש</w:t>
      </w:r>
      <w:proofErr w:type="spellEnd"/>
      <w:r w:rsidR="006747AC" w:rsidRPr="001133EE">
        <w:rPr>
          <w:rtl/>
        </w:rPr>
        <w:t>/3/19</w:t>
      </w:r>
      <w:r w:rsidR="006747AC">
        <w:rPr>
          <w:rFonts w:hint="cs"/>
          <w:rtl/>
        </w:rPr>
        <w:t xml:space="preserve"> </w:t>
      </w:r>
      <w:r w:rsidR="006747AC" w:rsidRPr="004E5631">
        <w:rPr>
          <w:rFonts w:hint="cs"/>
          <w:b/>
          <w:bCs/>
          <w:rtl/>
        </w:rPr>
        <w:t xml:space="preserve">רנ"ג </w:t>
      </w:r>
      <w:r w:rsidR="004E5631" w:rsidRPr="004E5631">
        <w:rPr>
          <w:rFonts w:hint="cs"/>
          <w:b/>
          <w:bCs/>
          <w:rtl/>
        </w:rPr>
        <w:t>ישראלי</w:t>
      </w:r>
      <w:r w:rsidR="006747AC" w:rsidRPr="004E5631">
        <w:rPr>
          <w:rFonts w:hint="cs"/>
          <w:b/>
          <w:bCs/>
          <w:rtl/>
        </w:rPr>
        <w:t xml:space="preserve"> נ' התובע הצבאי הראשי</w:t>
      </w:r>
      <w:r w:rsidR="006747AC" w:rsidRPr="00671EE6">
        <w:rPr>
          <w:rFonts w:hint="cs"/>
          <w:rtl/>
        </w:rPr>
        <w:t>, פסקה 20</w:t>
      </w:r>
      <w:r w:rsidR="006747AC">
        <w:rPr>
          <w:rFonts w:hint="cs"/>
          <w:rtl/>
        </w:rPr>
        <w:t xml:space="preserve"> (2019)).</w:t>
      </w:r>
    </w:p>
    <w:p w14:paraId="34B6C1E3" w14:textId="38384601" w:rsidR="00C42B9A" w:rsidRDefault="00694DB8" w:rsidP="00D55FDE">
      <w:pPr>
        <w:pStyle w:val="NoSpacing"/>
        <w:numPr>
          <w:ilvl w:val="0"/>
          <w:numId w:val="3"/>
        </w:numPr>
        <w:spacing w:line="360" w:lineRule="auto"/>
        <w:ind w:left="-2" w:hanging="14"/>
        <w:jc w:val="both"/>
      </w:pPr>
      <w:r>
        <w:rPr>
          <w:rFonts w:hint="cs"/>
          <w:rtl/>
        </w:rPr>
        <w:t>בענייננו</w:t>
      </w:r>
      <w:r w:rsidR="00847A50">
        <w:rPr>
          <w:rFonts w:hint="cs"/>
          <w:rtl/>
        </w:rPr>
        <w:t>,</w:t>
      </w:r>
      <w:r>
        <w:rPr>
          <w:rFonts w:hint="cs"/>
          <w:rtl/>
        </w:rPr>
        <w:t xml:space="preserve"> מבקשת ההגנה לקבל </w:t>
      </w:r>
      <w:r w:rsidR="006472E6">
        <w:rPr>
          <w:rFonts w:hint="cs"/>
          <w:rtl/>
        </w:rPr>
        <w:t xml:space="preserve">מידע </w:t>
      </w:r>
      <w:r>
        <w:rPr>
          <w:rFonts w:hint="cs"/>
          <w:rtl/>
        </w:rPr>
        <w:t xml:space="preserve">שאינו נוגע לאישום כנגד המערער, </w:t>
      </w:r>
      <w:r w:rsidR="006472E6">
        <w:rPr>
          <w:rFonts w:hint="cs"/>
          <w:rtl/>
        </w:rPr>
        <w:t xml:space="preserve">אלא </w:t>
      </w:r>
      <w:r w:rsidR="00847A50">
        <w:rPr>
          <w:rFonts w:hint="cs"/>
          <w:rtl/>
        </w:rPr>
        <w:t xml:space="preserve">כזה </w:t>
      </w:r>
      <w:r>
        <w:rPr>
          <w:rFonts w:hint="cs"/>
          <w:rtl/>
        </w:rPr>
        <w:t xml:space="preserve">שנועד לסייע לה </w:t>
      </w:r>
      <w:r w:rsidR="00847A50">
        <w:rPr>
          <w:rFonts w:hint="cs"/>
          <w:rtl/>
        </w:rPr>
        <w:t>ב</w:t>
      </w:r>
      <w:r>
        <w:rPr>
          <w:rFonts w:hint="cs"/>
          <w:rtl/>
        </w:rPr>
        <w:t xml:space="preserve">העלאת טענה </w:t>
      </w:r>
      <w:r w:rsidR="00847A50">
        <w:rPr>
          <w:rFonts w:hint="cs"/>
          <w:rtl/>
        </w:rPr>
        <w:t xml:space="preserve">מקדמית של הגנה מן הצדק, שעניינה </w:t>
      </w:r>
      <w:r>
        <w:rPr>
          <w:rFonts w:hint="cs"/>
          <w:rtl/>
        </w:rPr>
        <w:t>אי עריכת שימוע כדין</w:t>
      </w:r>
      <w:r w:rsidR="00847A50">
        <w:rPr>
          <w:rFonts w:hint="cs"/>
          <w:rtl/>
        </w:rPr>
        <w:t xml:space="preserve"> </w:t>
      </w:r>
      <w:r>
        <w:rPr>
          <w:rFonts w:hint="cs"/>
          <w:rtl/>
        </w:rPr>
        <w:t>(</w:t>
      </w:r>
      <w:proofErr w:type="spellStart"/>
      <w:r>
        <w:rPr>
          <w:rFonts w:hint="cs"/>
          <w:rtl/>
        </w:rPr>
        <w:t>בש"פ</w:t>
      </w:r>
      <w:proofErr w:type="spellEnd"/>
      <w:r>
        <w:rPr>
          <w:rFonts w:hint="cs"/>
          <w:rtl/>
        </w:rPr>
        <w:t xml:space="preserve"> 2778/10 </w:t>
      </w:r>
      <w:r w:rsidRPr="003C6D63">
        <w:rPr>
          <w:rFonts w:hint="cs"/>
          <w:b/>
          <w:bCs/>
          <w:rtl/>
        </w:rPr>
        <w:t xml:space="preserve">סאלם נ' מדינת ישראל, </w:t>
      </w:r>
      <w:r>
        <w:rPr>
          <w:rFonts w:hint="cs"/>
          <w:rtl/>
        </w:rPr>
        <w:t>פסקה 7 (18.4.2010)).</w:t>
      </w:r>
      <w:r w:rsidR="003C6D63">
        <w:rPr>
          <w:rFonts w:hint="cs"/>
          <w:rtl/>
        </w:rPr>
        <w:t xml:space="preserve"> החומר המבוקש לא נאסף על ידי גורמי החקירה ואינו מצוי בשליטת התביעה</w:t>
      </w:r>
      <w:r w:rsidR="00847A50">
        <w:rPr>
          <w:rFonts w:hint="cs"/>
          <w:rtl/>
        </w:rPr>
        <w:t>, ומכאן חזקה כי אינו "חומר חקירה"</w:t>
      </w:r>
      <w:r w:rsidR="003C6D63">
        <w:rPr>
          <w:rFonts w:hint="cs"/>
          <w:rtl/>
        </w:rPr>
        <w:t>; ואף אם קיימת אפשרות של התביעה להשיג את החומר המבוקש, לא די בכך, כדי להכריע כי מדובר בחומר חקירה או כי החומר רלוונטי לבירור האשמה (</w:t>
      </w:r>
      <w:proofErr w:type="spellStart"/>
      <w:r w:rsidR="003C6D63">
        <w:rPr>
          <w:rFonts w:hint="cs"/>
          <w:rtl/>
        </w:rPr>
        <w:t>בש"פ</w:t>
      </w:r>
      <w:proofErr w:type="spellEnd"/>
      <w:r w:rsidR="003C6D63">
        <w:rPr>
          <w:rFonts w:hint="cs"/>
          <w:rtl/>
        </w:rPr>
        <w:t xml:space="preserve"> 82852/13 </w:t>
      </w:r>
      <w:r w:rsidR="003C6D63">
        <w:rPr>
          <w:rFonts w:hint="cs"/>
          <w:b/>
          <w:bCs/>
          <w:rtl/>
        </w:rPr>
        <w:t xml:space="preserve">מדינת ישראל נ' </w:t>
      </w:r>
      <w:proofErr w:type="spellStart"/>
      <w:r w:rsidR="003C6D63">
        <w:rPr>
          <w:rFonts w:hint="cs"/>
          <w:b/>
          <w:bCs/>
          <w:rtl/>
        </w:rPr>
        <w:t>שיינר</w:t>
      </w:r>
      <w:proofErr w:type="spellEnd"/>
      <w:r w:rsidR="003C6D63">
        <w:rPr>
          <w:rFonts w:hint="cs"/>
          <w:rtl/>
        </w:rPr>
        <w:t>, פסקה 11</w:t>
      </w:r>
      <w:r w:rsidR="003C6D63">
        <w:rPr>
          <w:rFonts w:hint="cs"/>
          <w:b/>
          <w:bCs/>
          <w:rtl/>
        </w:rPr>
        <w:t xml:space="preserve"> </w:t>
      </w:r>
      <w:r w:rsidR="003C6D63">
        <w:rPr>
          <w:rFonts w:hint="cs"/>
          <w:rtl/>
        </w:rPr>
        <w:t xml:space="preserve">(23.1.2014)). </w:t>
      </w:r>
      <w:r w:rsidR="006472E6">
        <w:rPr>
          <w:rFonts w:hint="cs"/>
          <w:rtl/>
        </w:rPr>
        <w:t>על פני הדברים</w:t>
      </w:r>
      <w:r w:rsidR="00847A50">
        <w:rPr>
          <w:rFonts w:hint="cs"/>
          <w:rtl/>
        </w:rPr>
        <w:t>,</w:t>
      </w:r>
      <w:r w:rsidR="006472E6">
        <w:rPr>
          <w:rFonts w:hint="cs"/>
          <w:rtl/>
        </w:rPr>
        <w:t xml:space="preserve"> גם רלוונטיות החומר המבוקש לטענת ההגנה </w:t>
      </w:r>
      <w:r w:rsidR="00847A50">
        <w:rPr>
          <w:rFonts w:hint="cs"/>
          <w:rtl/>
        </w:rPr>
        <w:t xml:space="preserve">אינה ברורה </w:t>
      </w:r>
      <w:r w:rsidR="006472E6">
        <w:rPr>
          <w:rFonts w:hint="cs"/>
          <w:rtl/>
        </w:rPr>
        <w:t>די צרכה, בשים לב לכך שאין חולק כי מכתב היידוע אכן ה</w:t>
      </w:r>
      <w:r w:rsidR="00A724A7">
        <w:rPr>
          <w:rFonts w:hint="cs"/>
          <w:rtl/>
        </w:rPr>
        <w:t>גיע לנציג של המערער ולא אליו ישירות, ומשם נמסר למערער</w:t>
      </w:r>
      <w:r w:rsidR="00847A50">
        <w:rPr>
          <w:rFonts w:hint="cs"/>
          <w:rtl/>
        </w:rPr>
        <w:t xml:space="preserve">. </w:t>
      </w:r>
      <w:r w:rsidR="00A724A7">
        <w:rPr>
          <w:rFonts w:hint="cs"/>
          <w:rtl/>
        </w:rPr>
        <w:t xml:space="preserve">המחלוקת העיקרית בין הצדדים היא לגבי </w:t>
      </w:r>
      <w:r w:rsidR="00A724A7" w:rsidRPr="00BA61F4">
        <w:rPr>
          <w:rFonts w:hint="cs"/>
          <w:b/>
          <w:bCs/>
          <w:rtl/>
        </w:rPr>
        <w:t xml:space="preserve">מועד </w:t>
      </w:r>
      <w:r w:rsidR="00847A50" w:rsidRPr="00BA61F4">
        <w:rPr>
          <w:rFonts w:hint="cs"/>
          <w:b/>
          <w:bCs/>
          <w:rtl/>
        </w:rPr>
        <w:t>ה</w:t>
      </w:r>
      <w:r w:rsidR="00A724A7" w:rsidRPr="00BA61F4">
        <w:rPr>
          <w:rFonts w:hint="cs"/>
          <w:b/>
          <w:bCs/>
          <w:rtl/>
        </w:rPr>
        <w:t>מסירה</w:t>
      </w:r>
      <w:r w:rsidR="00A724A7">
        <w:rPr>
          <w:rFonts w:hint="cs"/>
          <w:rtl/>
        </w:rPr>
        <w:t xml:space="preserve"> למערער, </w:t>
      </w:r>
      <w:r w:rsidR="00323FA6">
        <w:rPr>
          <w:rFonts w:hint="cs"/>
          <w:rtl/>
        </w:rPr>
        <w:t xml:space="preserve">בתא הדואר המיועד לו </w:t>
      </w:r>
      <w:r w:rsidR="00A724A7">
        <w:rPr>
          <w:rFonts w:hint="cs"/>
          <w:rtl/>
        </w:rPr>
        <w:t xml:space="preserve">בתוך הפנימיה עצמה; לא בואר אפוא, במה יועילו לשם כך דווקא המסמכים המצויים בדואר ישראל.  </w:t>
      </w:r>
    </w:p>
    <w:p w14:paraId="0668153F" w14:textId="24824B5D" w:rsidR="008460C4" w:rsidRDefault="00847A50" w:rsidP="00D55FDE">
      <w:pPr>
        <w:pStyle w:val="NoSpacing"/>
        <w:numPr>
          <w:ilvl w:val="0"/>
          <w:numId w:val="3"/>
        </w:numPr>
        <w:spacing w:line="360" w:lineRule="auto"/>
        <w:ind w:left="-2" w:hanging="14"/>
        <w:jc w:val="both"/>
      </w:pPr>
      <w:r>
        <w:rPr>
          <w:rFonts w:hint="cs"/>
          <w:rtl/>
        </w:rPr>
        <w:t xml:space="preserve">כפי שנפסק, </w:t>
      </w:r>
      <w:r w:rsidR="006472E6">
        <w:rPr>
          <w:rFonts w:hint="cs"/>
          <w:rtl/>
        </w:rPr>
        <w:t xml:space="preserve">מקום </w:t>
      </w:r>
      <w:r>
        <w:rPr>
          <w:rFonts w:hint="cs"/>
          <w:rtl/>
        </w:rPr>
        <w:t>ש</w:t>
      </w:r>
      <w:r w:rsidR="006472E6">
        <w:rPr>
          <w:rFonts w:hint="cs"/>
          <w:rtl/>
        </w:rPr>
        <w:t xml:space="preserve">בו מבקשת ההגנה לקבל מידע </w:t>
      </w:r>
      <w:r w:rsidR="00D02F71">
        <w:rPr>
          <w:rFonts w:hint="cs"/>
          <w:rtl/>
        </w:rPr>
        <w:t xml:space="preserve">הדרוש לה לשם העלאת טענה מקדמית, </w:t>
      </w:r>
      <w:r>
        <w:rPr>
          <w:rFonts w:hint="cs"/>
          <w:rtl/>
        </w:rPr>
        <w:t xml:space="preserve">עליה לפנות למותב הדן בתיק, </w:t>
      </w:r>
      <w:r w:rsidR="00D02F71">
        <w:rPr>
          <w:rFonts w:hint="cs"/>
          <w:rtl/>
        </w:rPr>
        <w:t>במסגרת סעיף 108 לחוק סדר הדין הפלילי</w:t>
      </w:r>
      <w:r>
        <w:rPr>
          <w:rFonts w:hint="cs"/>
          <w:rtl/>
        </w:rPr>
        <w:t xml:space="preserve"> (בג"ץ 4922/19 </w:t>
      </w:r>
      <w:proofErr w:type="spellStart"/>
      <w:r>
        <w:rPr>
          <w:rFonts w:hint="cs"/>
          <w:b/>
          <w:bCs/>
          <w:rtl/>
        </w:rPr>
        <w:t>נוה</w:t>
      </w:r>
      <w:proofErr w:type="spellEnd"/>
      <w:r>
        <w:rPr>
          <w:rFonts w:hint="cs"/>
          <w:b/>
          <w:bCs/>
          <w:rtl/>
        </w:rPr>
        <w:t xml:space="preserve"> נ' מדינת ישראל </w:t>
      </w:r>
      <w:r>
        <w:rPr>
          <w:rFonts w:hint="cs"/>
          <w:rtl/>
        </w:rPr>
        <w:t>(9.12.2019))</w:t>
      </w:r>
      <w:r w:rsidR="00D02F71">
        <w:rPr>
          <w:rFonts w:hint="cs"/>
          <w:rtl/>
        </w:rPr>
        <w:t xml:space="preserve">. </w:t>
      </w:r>
      <w:r w:rsidR="00A11426">
        <w:rPr>
          <w:rFonts w:hint="cs"/>
          <w:rtl/>
        </w:rPr>
        <w:t xml:space="preserve">הדברים אמורים ודאי, מקום </w:t>
      </w:r>
      <w:r>
        <w:rPr>
          <w:rFonts w:hint="cs"/>
          <w:rtl/>
        </w:rPr>
        <w:t>ש</w:t>
      </w:r>
      <w:r w:rsidR="00A11426">
        <w:rPr>
          <w:rFonts w:hint="cs"/>
          <w:rtl/>
        </w:rPr>
        <w:t xml:space="preserve">בו הטעם לבקשת </w:t>
      </w:r>
      <w:r w:rsidR="00A11426">
        <w:rPr>
          <w:rFonts w:hint="cs"/>
          <w:rtl/>
        </w:rPr>
        <w:lastRenderedPageBreak/>
        <w:t xml:space="preserve">ההגנה הוא באירוע מאוחר לקיומה של החקירה, כבענייננו (ר' </w:t>
      </w:r>
      <w:proofErr w:type="spellStart"/>
      <w:r w:rsidR="00A11426">
        <w:rPr>
          <w:rFonts w:hint="cs"/>
          <w:rtl/>
        </w:rPr>
        <w:t>עלב"ש</w:t>
      </w:r>
      <w:proofErr w:type="spellEnd"/>
      <w:r w:rsidR="00A11426">
        <w:rPr>
          <w:rFonts w:hint="cs"/>
          <w:rtl/>
        </w:rPr>
        <w:t xml:space="preserve"> 10/18 </w:t>
      </w:r>
      <w:r w:rsidR="00A11426">
        <w:rPr>
          <w:rFonts w:hint="cs"/>
          <w:b/>
          <w:bCs/>
          <w:rtl/>
        </w:rPr>
        <w:t xml:space="preserve">סמל </w:t>
      </w:r>
      <w:proofErr w:type="spellStart"/>
      <w:r w:rsidR="00A11426">
        <w:rPr>
          <w:rFonts w:hint="cs"/>
          <w:b/>
          <w:bCs/>
          <w:rtl/>
        </w:rPr>
        <w:t>ארגואטי</w:t>
      </w:r>
      <w:proofErr w:type="spellEnd"/>
      <w:r w:rsidR="00A11426">
        <w:rPr>
          <w:rFonts w:hint="cs"/>
          <w:b/>
          <w:bCs/>
          <w:rtl/>
        </w:rPr>
        <w:t xml:space="preserve"> נ' התובע הצבאי הראשי, </w:t>
      </w:r>
      <w:r w:rsidR="00A11426">
        <w:rPr>
          <w:rFonts w:hint="cs"/>
          <w:rtl/>
        </w:rPr>
        <w:t xml:space="preserve">פסקה 22 (2018)). </w:t>
      </w:r>
    </w:p>
    <w:p w14:paraId="68D9F0B5" w14:textId="64DE6341" w:rsidR="00A11426" w:rsidRDefault="00A11426" w:rsidP="00D55FDE">
      <w:pPr>
        <w:pStyle w:val="NoSpacing"/>
        <w:numPr>
          <w:ilvl w:val="0"/>
          <w:numId w:val="3"/>
        </w:numPr>
        <w:spacing w:line="360" w:lineRule="auto"/>
        <w:ind w:left="-2" w:hanging="14"/>
        <w:jc w:val="both"/>
      </w:pPr>
      <w:r>
        <w:rPr>
          <w:rFonts w:hint="cs"/>
          <w:rtl/>
        </w:rPr>
        <w:t>כידוע מאפשר סעיף 108 לחוק סדר הדין הפלילי לערכאה השיפוטית להורות לעד שהוזמן</w:t>
      </w:r>
      <w:r w:rsidR="00847A50">
        <w:rPr>
          <w:rFonts w:hint="cs"/>
          <w:rtl/>
        </w:rPr>
        <w:t>,</w:t>
      </w:r>
      <w:r>
        <w:rPr>
          <w:rFonts w:hint="cs"/>
          <w:rtl/>
        </w:rPr>
        <w:t xml:space="preserve"> או לכל אדם אחר</w:t>
      </w:r>
      <w:r w:rsidR="00847A50">
        <w:rPr>
          <w:rFonts w:hint="cs"/>
          <w:rtl/>
        </w:rPr>
        <w:t>,</w:t>
      </w:r>
      <w:r>
        <w:rPr>
          <w:rFonts w:hint="cs"/>
          <w:rtl/>
        </w:rPr>
        <w:t xml:space="preserve"> להמציא לבית המשפט מידע בדבר מסמכים המצויים ברשותו. החומר המבוקש על ידי ההגנה הוא חומר המצוי בידי רשות הדואר</w:t>
      </w:r>
      <w:r w:rsidR="006472E6">
        <w:rPr>
          <w:rFonts w:hint="cs"/>
          <w:rtl/>
        </w:rPr>
        <w:t xml:space="preserve">, שהיא אמנם חברה ממשלתית אך אינה מהווה "רשות של המדינה", </w:t>
      </w:r>
      <w:r w:rsidR="00847A50">
        <w:rPr>
          <w:rFonts w:hint="cs"/>
          <w:rtl/>
        </w:rPr>
        <w:t>בניגוד ל</w:t>
      </w:r>
      <w:r w:rsidR="006472E6">
        <w:rPr>
          <w:rFonts w:hint="cs"/>
          <w:rtl/>
        </w:rPr>
        <w:t>טענת ההגנה</w:t>
      </w:r>
      <w:r w:rsidR="00847A50">
        <w:rPr>
          <w:rFonts w:hint="cs"/>
          <w:rtl/>
        </w:rPr>
        <w:t xml:space="preserve">. זאת ועוד, </w:t>
      </w:r>
      <w:r w:rsidR="006472E6">
        <w:rPr>
          <w:rFonts w:hint="cs"/>
          <w:rtl/>
        </w:rPr>
        <w:t xml:space="preserve">הן </w:t>
      </w:r>
      <w:r w:rsidR="00847A50">
        <w:rPr>
          <w:rFonts w:hint="cs"/>
          <w:rtl/>
        </w:rPr>
        <w:t>ל</w:t>
      </w:r>
      <w:r>
        <w:rPr>
          <w:rFonts w:hint="cs"/>
          <w:rtl/>
        </w:rPr>
        <w:t>פי הנחי</w:t>
      </w:r>
      <w:r w:rsidR="006472E6">
        <w:rPr>
          <w:rFonts w:hint="cs"/>
          <w:rtl/>
        </w:rPr>
        <w:t xml:space="preserve">ית התביעה הצבאית הראשית שפורטה לעיל, והן </w:t>
      </w:r>
      <w:r w:rsidR="00847A50">
        <w:rPr>
          <w:rFonts w:hint="cs"/>
          <w:rtl/>
        </w:rPr>
        <w:t xml:space="preserve">לפי </w:t>
      </w:r>
      <w:r>
        <w:rPr>
          <w:rFonts w:hint="cs"/>
          <w:rtl/>
        </w:rPr>
        <w:t>סעיפים 24 ו-28 להנחיית פרקליט המדינה 14.21 "הליכי יידוע ושימוע בהליכים פליליים"</w:t>
      </w:r>
      <w:r w:rsidR="00847A50">
        <w:rPr>
          <w:rFonts w:hint="cs"/>
          <w:rtl/>
        </w:rPr>
        <w:t>,</w:t>
      </w:r>
      <w:r>
        <w:rPr>
          <w:rFonts w:hint="cs"/>
          <w:rtl/>
        </w:rPr>
        <w:t xml:space="preserve"> לא מוטלת על</w:t>
      </w:r>
      <w:r w:rsidR="006472E6">
        <w:rPr>
          <w:rFonts w:hint="cs"/>
          <w:rtl/>
        </w:rPr>
        <w:t xml:space="preserve"> התביעה</w:t>
      </w:r>
      <w:r>
        <w:rPr>
          <w:rFonts w:hint="cs"/>
          <w:rtl/>
        </w:rPr>
        <w:t xml:space="preserve"> החובה </w:t>
      </w:r>
      <w:r w:rsidR="00847A50">
        <w:rPr>
          <w:rFonts w:hint="cs"/>
          <w:rtl/>
        </w:rPr>
        <w:t xml:space="preserve">לברר </w:t>
      </w:r>
      <w:r>
        <w:rPr>
          <w:rFonts w:hint="cs"/>
          <w:rtl/>
        </w:rPr>
        <w:t xml:space="preserve">מי קיבל לידיו את מכתב היידוע, מקום </w:t>
      </w:r>
      <w:r w:rsidR="00847A50">
        <w:rPr>
          <w:rFonts w:hint="cs"/>
          <w:rtl/>
        </w:rPr>
        <w:t>ש</w:t>
      </w:r>
      <w:r>
        <w:rPr>
          <w:rFonts w:hint="cs"/>
          <w:rtl/>
        </w:rPr>
        <w:t xml:space="preserve">בו נמסר לתעודתו. </w:t>
      </w:r>
      <w:r w:rsidR="008460C4">
        <w:rPr>
          <w:rFonts w:hint="cs"/>
          <w:rtl/>
        </w:rPr>
        <w:t>במצב דברים זה</w:t>
      </w:r>
      <w:r w:rsidR="00A724A7">
        <w:rPr>
          <w:rFonts w:hint="cs"/>
          <w:rtl/>
        </w:rPr>
        <w:t xml:space="preserve">, אין כל מקום להורות </w:t>
      </w:r>
      <w:r w:rsidR="009A5020">
        <w:rPr>
          <w:rFonts w:hint="cs"/>
          <w:rtl/>
        </w:rPr>
        <w:t xml:space="preserve">לתביעה לתפוס חומר שאינו ברשותה </w:t>
      </w:r>
      <w:r w:rsidR="00A724A7">
        <w:rPr>
          <w:rFonts w:hint="cs"/>
          <w:rtl/>
        </w:rPr>
        <w:t xml:space="preserve">(ר' </w:t>
      </w:r>
      <w:r w:rsidR="008460C4">
        <w:rPr>
          <w:rFonts w:hint="cs"/>
          <w:rtl/>
        </w:rPr>
        <w:t xml:space="preserve">עניין </w:t>
      </w:r>
      <w:proofErr w:type="spellStart"/>
      <w:r w:rsidR="008460C4" w:rsidRPr="006472E6">
        <w:rPr>
          <w:rFonts w:hint="cs"/>
          <w:b/>
          <w:bCs/>
          <w:rtl/>
        </w:rPr>
        <w:t>שיינר</w:t>
      </w:r>
      <w:proofErr w:type="spellEnd"/>
      <w:r w:rsidR="008460C4" w:rsidRPr="006472E6">
        <w:rPr>
          <w:rFonts w:hint="cs"/>
          <w:b/>
          <w:bCs/>
          <w:rtl/>
        </w:rPr>
        <w:t xml:space="preserve"> </w:t>
      </w:r>
      <w:r w:rsidR="008460C4">
        <w:rPr>
          <w:rFonts w:hint="cs"/>
          <w:rtl/>
        </w:rPr>
        <w:t xml:space="preserve">הנ"ל בפסקה 18; </w:t>
      </w:r>
      <w:proofErr w:type="spellStart"/>
      <w:r w:rsidR="008460C4">
        <w:rPr>
          <w:rFonts w:hint="cs"/>
          <w:rtl/>
        </w:rPr>
        <w:t>בש"פ</w:t>
      </w:r>
      <w:proofErr w:type="spellEnd"/>
      <w:r w:rsidR="008460C4">
        <w:rPr>
          <w:rFonts w:hint="cs"/>
          <w:rtl/>
        </w:rPr>
        <w:t xml:space="preserve"> 5400/01 </w:t>
      </w:r>
      <w:r w:rsidR="008460C4" w:rsidRPr="006472E6">
        <w:rPr>
          <w:rFonts w:hint="cs"/>
          <w:b/>
          <w:bCs/>
          <w:rtl/>
        </w:rPr>
        <w:t>פלוני נ' מדינת ישראל</w:t>
      </w:r>
      <w:r w:rsidR="008460C4">
        <w:rPr>
          <w:rFonts w:hint="cs"/>
          <w:rtl/>
        </w:rPr>
        <w:t xml:space="preserve"> (6.8.2001)). </w:t>
      </w:r>
      <w:r>
        <w:rPr>
          <w:rFonts w:hint="cs"/>
          <w:rtl/>
        </w:rPr>
        <w:t xml:space="preserve"> </w:t>
      </w:r>
    </w:p>
    <w:p w14:paraId="44898009" w14:textId="57BE3D08" w:rsidR="008460C4" w:rsidRDefault="008460C4" w:rsidP="00D55FDE">
      <w:pPr>
        <w:pStyle w:val="NoSpacing"/>
        <w:numPr>
          <w:ilvl w:val="0"/>
          <w:numId w:val="3"/>
        </w:numPr>
        <w:spacing w:line="360" w:lineRule="auto"/>
        <w:ind w:left="-2" w:hanging="14"/>
        <w:jc w:val="both"/>
      </w:pPr>
      <w:r>
        <w:rPr>
          <w:rFonts w:hint="cs"/>
          <w:rtl/>
        </w:rPr>
        <w:t xml:space="preserve">לאור האמור, מצאתי </w:t>
      </w:r>
      <w:r w:rsidR="009A5020">
        <w:rPr>
          <w:rFonts w:hint="cs"/>
          <w:rtl/>
        </w:rPr>
        <w:t>לדחות את הערעור על החלטתו של בית הדין קמא</w:t>
      </w:r>
      <w:r>
        <w:rPr>
          <w:rFonts w:hint="cs"/>
          <w:rtl/>
        </w:rPr>
        <w:t>. כאמור, בידי ההגנה פתוחה הדרך להגיש בקשה מתאימה למותב הדן בתיק, בהתאם לסעיף 108 לחוק סדר הדין הפלילי</w:t>
      </w:r>
      <w:r w:rsidR="00A724A7">
        <w:rPr>
          <w:rFonts w:hint="cs"/>
          <w:rtl/>
        </w:rPr>
        <w:t xml:space="preserve">, </w:t>
      </w:r>
      <w:r w:rsidR="009A5020">
        <w:rPr>
          <w:rFonts w:hint="cs"/>
          <w:rtl/>
        </w:rPr>
        <w:t>והוא יחליט בה כחוכמתו.</w:t>
      </w:r>
    </w:p>
    <w:p w14:paraId="174ACA7C" w14:textId="2B46A37B" w:rsidR="008460C4" w:rsidRPr="00A724A7" w:rsidRDefault="008460C4" w:rsidP="00D55FDE">
      <w:pPr>
        <w:pStyle w:val="NoSpacing"/>
        <w:spacing w:line="360" w:lineRule="auto"/>
        <w:ind w:left="-2" w:hanging="14"/>
        <w:jc w:val="both"/>
        <w:rPr>
          <w:rtl/>
        </w:rPr>
      </w:pPr>
    </w:p>
    <w:p w14:paraId="56547C5D" w14:textId="09D219FD" w:rsidR="008460C4" w:rsidRDefault="008460C4" w:rsidP="00D55FDE">
      <w:pPr>
        <w:tabs>
          <w:tab w:val="left" w:pos="282"/>
        </w:tabs>
        <w:spacing w:after="0" w:line="360" w:lineRule="auto"/>
        <w:ind w:left="-2" w:hanging="14"/>
        <w:jc w:val="both"/>
        <w:rPr>
          <w:rFonts w:ascii="David" w:hAnsi="David"/>
          <w:rtl/>
        </w:rPr>
      </w:pPr>
      <w:r w:rsidRPr="00247C7A">
        <w:rPr>
          <w:rFonts w:ascii="David" w:hAnsi="David" w:hint="cs"/>
          <w:rtl/>
        </w:rPr>
        <w:t>ניתנה היום,</w:t>
      </w:r>
      <w:r>
        <w:rPr>
          <w:rFonts w:ascii="David" w:hAnsi="David" w:hint="cs"/>
          <w:rtl/>
        </w:rPr>
        <w:t xml:space="preserve"> </w:t>
      </w:r>
      <w:r w:rsidR="00BA61F4">
        <w:rPr>
          <w:rFonts w:ascii="David" w:hAnsi="David" w:hint="cs"/>
          <w:rtl/>
        </w:rPr>
        <w:t>ט</w:t>
      </w:r>
      <w:r>
        <w:rPr>
          <w:rFonts w:ascii="David" w:hAnsi="David" w:hint="cs"/>
          <w:rtl/>
        </w:rPr>
        <w:t xml:space="preserve">' </w:t>
      </w:r>
      <w:r w:rsidR="00B65EA4">
        <w:rPr>
          <w:rFonts w:ascii="David" w:hAnsi="David" w:hint="cs"/>
          <w:rtl/>
        </w:rPr>
        <w:t>ב</w:t>
      </w:r>
      <w:r>
        <w:rPr>
          <w:rFonts w:ascii="David" w:hAnsi="David" w:hint="cs"/>
          <w:rtl/>
        </w:rPr>
        <w:t xml:space="preserve">אדר </w:t>
      </w:r>
      <w:proofErr w:type="spellStart"/>
      <w:r>
        <w:rPr>
          <w:rFonts w:ascii="David" w:hAnsi="David" w:hint="cs"/>
          <w:rtl/>
        </w:rPr>
        <w:t>התשפ"ג</w:t>
      </w:r>
      <w:proofErr w:type="spellEnd"/>
      <w:r>
        <w:rPr>
          <w:rFonts w:ascii="David" w:hAnsi="David" w:hint="cs"/>
          <w:rtl/>
        </w:rPr>
        <w:t xml:space="preserve">,  </w:t>
      </w:r>
      <w:r w:rsidR="00BA61F4">
        <w:rPr>
          <w:rFonts w:ascii="David" w:hAnsi="David" w:hint="cs"/>
          <w:rtl/>
        </w:rPr>
        <w:t xml:space="preserve">2 במארס </w:t>
      </w:r>
      <w:r>
        <w:rPr>
          <w:rFonts w:ascii="David" w:hAnsi="David" w:hint="cs"/>
          <w:rtl/>
        </w:rPr>
        <w:t xml:space="preserve">2023, בלשכה ותועבר לצדדים על ידי </w:t>
      </w:r>
      <w:proofErr w:type="spellStart"/>
      <w:r>
        <w:rPr>
          <w:rFonts w:ascii="David" w:hAnsi="David" w:hint="cs"/>
          <w:rtl/>
        </w:rPr>
        <w:t>הקבי"ד</w:t>
      </w:r>
      <w:proofErr w:type="spellEnd"/>
      <w:r>
        <w:rPr>
          <w:rFonts w:ascii="David" w:hAnsi="David" w:hint="cs"/>
          <w:rtl/>
        </w:rPr>
        <w:t>.</w:t>
      </w:r>
    </w:p>
    <w:p w14:paraId="0233CD29" w14:textId="77777777" w:rsidR="008460C4" w:rsidRDefault="008460C4" w:rsidP="008460C4">
      <w:pPr>
        <w:tabs>
          <w:tab w:val="left" w:pos="282"/>
        </w:tabs>
        <w:spacing w:after="0" w:line="360" w:lineRule="auto"/>
        <w:ind w:left="-1"/>
        <w:jc w:val="both"/>
        <w:rPr>
          <w:rFonts w:ascii="David" w:hAnsi="David"/>
          <w:rtl/>
        </w:rPr>
      </w:pPr>
    </w:p>
    <w:p w14:paraId="30071E8F" w14:textId="77777777" w:rsidR="00BA61F4" w:rsidRPr="00247C7A" w:rsidRDefault="00BA61F4" w:rsidP="008460C4">
      <w:pPr>
        <w:tabs>
          <w:tab w:val="left" w:pos="282"/>
        </w:tabs>
        <w:spacing w:after="0" w:line="360" w:lineRule="auto"/>
        <w:ind w:left="-1"/>
        <w:jc w:val="both"/>
        <w:rPr>
          <w:rFonts w:ascii="David" w:hAnsi="David"/>
          <w:rtl/>
        </w:rPr>
      </w:pPr>
    </w:p>
    <w:p w14:paraId="7E4617D0" w14:textId="7001400B" w:rsidR="008460C4" w:rsidRPr="00B54F91" w:rsidRDefault="008460C4" w:rsidP="008460C4">
      <w:pPr>
        <w:spacing w:after="0" w:line="360" w:lineRule="auto"/>
        <w:jc w:val="both"/>
        <w:rPr>
          <w:rFonts w:ascii="David" w:eastAsia="Times New Roman" w:hAnsi="David"/>
          <w:b/>
          <w:bCs/>
          <w:rtl/>
        </w:rPr>
      </w:pPr>
      <w:r w:rsidRPr="00247C7A">
        <w:rPr>
          <w:rFonts w:ascii="David" w:eastAsia="Times New Roman" w:hAnsi="David" w:hint="cs"/>
          <w:b/>
          <w:bCs/>
          <w:rtl/>
        </w:rPr>
        <w:t xml:space="preserve">                                                                             </w:t>
      </w:r>
      <w:r w:rsidR="00D55FDE">
        <w:rPr>
          <w:rFonts w:ascii="David" w:eastAsia="Times New Roman" w:hAnsi="David" w:hint="cs"/>
          <w:b/>
          <w:bCs/>
          <w:rtl/>
        </w:rPr>
        <w:t xml:space="preserve">             </w:t>
      </w:r>
      <w:r w:rsidRPr="00247C7A">
        <w:rPr>
          <w:rFonts w:ascii="David" w:eastAsia="Times New Roman" w:hAnsi="David" w:hint="cs"/>
          <w:b/>
          <w:bCs/>
          <w:rtl/>
        </w:rPr>
        <w:t xml:space="preserve"> ________________________</w:t>
      </w:r>
    </w:p>
    <w:p w14:paraId="620C7DEC" w14:textId="04E60CCE" w:rsidR="008460C4" w:rsidRPr="00247C7A" w:rsidRDefault="008460C4" w:rsidP="008460C4">
      <w:pPr>
        <w:keepNext/>
        <w:spacing w:after="0" w:line="360" w:lineRule="auto"/>
        <w:jc w:val="both"/>
        <w:outlineLvl w:val="0"/>
        <w:rPr>
          <w:rFonts w:ascii="David" w:eastAsia="Times New Roman" w:hAnsi="David"/>
          <w:b/>
          <w:bCs/>
          <w:rtl/>
        </w:rPr>
      </w:pPr>
      <w:r w:rsidRPr="00247C7A">
        <w:rPr>
          <w:rFonts w:ascii="David" w:eastAsia="Times New Roman" w:hAnsi="David" w:hint="cs"/>
          <w:b/>
          <w:bCs/>
          <w:rtl/>
        </w:rPr>
        <w:t xml:space="preserve">                                                                         </w:t>
      </w:r>
      <w:r w:rsidR="00D55FDE">
        <w:rPr>
          <w:rFonts w:ascii="David" w:eastAsia="Times New Roman" w:hAnsi="David" w:hint="cs"/>
          <w:b/>
          <w:bCs/>
          <w:rtl/>
        </w:rPr>
        <w:t xml:space="preserve">            </w:t>
      </w:r>
      <w:r w:rsidRPr="00247C7A">
        <w:rPr>
          <w:rFonts w:ascii="David" w:eastAsia="Times New Roman" w:hAnsi="David" w:hint="cs"/>
          <w:b/>
          <w:bCs/>
          <w:rtl/>
        </w:rPr>
        <w:t xml:space="preserve">    </w:t>
      </w:r>
      <w:r w:rsidR="00D55FDE">
        <w:rPr>
          <w:rFonts w:ascii="David" w:eastAsia="Times New Roman" w:hAnsi="David" w:hint="cs"/>
          <w:b/>
          <w:bCs/>
          <w:rtl/>
        </w:rPr>
        <w:t xml:space="preserve"> </w:t>
      </w:r>
      <w:r w:rsidRPr="00247C7A">
        <w:rPr>
          <w:rFonts w:ascii="David" w:eastAsia="Times New Roman" w:hAnsi="David" w:hint="cs"/>
          <w:b/>
          <w:bCs/>
          <w:rtl/>
        </w:rPr>
        <w:t xml:space="preserve">  </w:t>
      </w:r>
      <w:r>
        <w:rPr>
          <w:rFonts w:ascii="David" w:eastAsia="Times New Roman" w:hAnsi="David" w:hint="cs"/>
          <w:b/>
          <w:bCs/>
          <w:rtl/>
        </w:rPr>
        <w:t xml:space="preserve">אל"ם                מאיה </w:t>
      </w:r>
      <w:r w:rsidR="000A5732">
        <w:rPr>
          <w:rFonts w:ascii="David" w:eastAsia="Times New Roman" w:hAnsi="David" w:hint="cs"/>
          <w:b/>
          <w:bCs/>
          <w:rtl/>
        </w:rPr>
        <w:t xml:space="preserve">     </w:t>
      </w:r>
      <w:r>
        <w:rPr>
          <w:rFonts w:ascii="David" w:eastAsia="Times New Roman" w:hAnsi="David" w:hint="cs"/>
          <w:b/>
          <w:bCs/>
          <w:rtl/>
        </w:rPr>
        <w:t xml:space="preserve">גולדשמידט </w:t>
      </w:r>
      <w:r w:rsidRPr="00247C7A">
        <w:rPr>
          <w:rFonts w:ascii="David" w:eastAsia="Times New Roman" w:hAnsi="David" w:hint="cs"/>
          <w:b/>
          <w:bCs/>
          <w:rtl/>
        </w:rPr>
        <w:t xml:space="preserve"> </w:t>
      </w:r>
    </w:p>
    <w:p w14:paraId="1447AE37" w14:textId="482D56FF" w:rsidR="008460C4" w:rsidRPr="00247C7A" w:rsidRDefault="008460C4" w:rsidP="008460C4">
      <w:pPr>
        <w:keepNext/>
        <w:spacing w:after="0" w:line="360" w:lineRule="auto"/>
        <w:jc w:val="both"/>
        <w:outlineLvl w:val="0"/>
        <w:rPr>
          <w:rFonts w:ascii="David" w:eastAsia="Times New Roman" w:hAnsi="David"/>
          <w:b/>
          <w:bCs/>
          <w:rtl/>
        </w:rPr>
      </w:pPr>
      <w:r w:rsidRPr="00247C7A">
        <w:rPr>
          <w:rFonts w:ascii="David" w:eastAsia="Times New Roman" w:hAnsi="David" w:hint="cs"/>
          <w:b/>
          <w:bCs/>
          <w:rtl/>
        </w:rPr>
        <w:t xml:space="preserve">                                                                             </w:t>
      </w:r>
      <w:r w:rsidR="00D55FDE">
        <w:rPr>
          <w:rFonts w:ascii="David" w:eastAsia="Times New Roman" w:hAnsi="David" w:hint="cs"/>
          <w:b/>
          <w:bCs/>
          <w:rtl/>
        </w:rPr>
        <w:t xml:space="preserve">            </w:t>
      </w:r>
      <w:r w:rsidRPr="00247C7A">
        <w:rPr>
          <w:rFonts w:ascii="David" w:eastAsia="Times New Roman" w:hAnsi="David" w:hint="cs"/>
          <w:b/>
          <w:bCs/>
          <w:rtl/>
        </w:rPr>
        <w:t xml:space="preserve">  </w:t>
      </w:r>
      <w:r>
        <w:rPr>
          <w:rFonts w:ascii="David" w:eastAsia="Times New Roman" w:hAnsi="David" w:hint="cs"/>
          <w:b/>
          <w:bCs/>
          <w:rtl/>
        </w:rPr>
        <w:t xml:space="preserve">שופטת </w:t>
      </w:r>
      <w:r w:rsidRPr="00247C7A">
        <w:rPr>
          <w:rFonts w:ascii="David" w:eastAsia="Times New Roman" w:hAnsi="David" w:hint="cs"/>
          <w:b/>
          <w:bCs/>
          <w:rtl/>
        </w:rPr>
        <w:tab/>
      </w:r>
      <w:r>
        <w:rPr>
          <w:rFonts w:ascii="David" w:eastAsia="Times New Roman" w:hAnsi="David" w:hint="cs"/>
          <w:b/>
          <w:bCs/>
          <w:rtl/>
        </w:rPr>
        <w:t xml:space="preserve">    </w:t>
      </w:r>
      <w:r w:rsidRPr="00247C7A">
        <w:rPr>
          <w:rFonts w:ascii="David" w:eastAsia="Times New Roman" w:hAnsi="David" w:hint="cs"/>
          <w:b/>
          <w:bCs/>
          <w:rtl/>
        </w:rPr>
        <w:t xml:space="preserve">בית </w:t>
      </w:r>
      <w:r>
        <w:rPr>
          <w:rFonts w:ascii="David" w:eastAsia="Times New Roman" w:hAnsi="David" w:hint="cs"/>
          <w:b/>
          <w:bCs/>
          <w:rtl/>
        </w:rPr>
        <w:t xml:space="preserve"> </w:t>
      </w:r>
      <w:r w:rsidR="00D55FDE">
        <w:rPr>
          <w:rFonts w:ascii="David" w:eastAsia="Times New Roman" w:hAnsi="David" w:hint="cs"/>
          <w:b/>
          <w:bCs/>
          <w:rtl/>
        </w:rPr>
        <w:t xml:space="preserve"> </w:t>
      </w:r>
      <w:r>
        <w:rPr>
          <w:rFonts w:ascii="David" w:eastAsia="Times New Roman" w:hAnsi="David" w:hint="cs"/>
          <w:b/>
          <w:bCs/>
          <w:rtl/>
        </w:rPr>
        <w:t xml:space="preserve">   הדין</w:t>
      </w:r>
      <w:r w:rsidRPr="00247C7A">
        <w:rPr>
          <w:rFonts w:ascii="David" w:eastAsia="Times New Roman" w:hAnsi="David" w:hint="cs"/>
          <w:b/>
          <w:bCs/>
          <w:rtl/>
        </w:rPr>
        <w:t xml:space="preserve">       הצבאי </w:t>
      </w:r>
    </w:p>
    <w:p w14:paraId="1CF3218A" w14:textId="18F3F199" w:rsidR="008460C4" w:rsidRDefault="008460C4" w:rsidP="008460C4">
      <w:pPr>
        <w:spacing w:after="0" w:line="360" w:lineRule="auto"/>
        <w:jc w:val="both"/>
        <w:rPr>
          <w:rtl/>
        </w:rPr>
      </w:pPr>
      <w:r w:rsidRPr="00247C7A">
        <w:rPr>
          <w:rFonts w:ascii="David" w:eastAsia="Times New Roman" w:hAnsi="David" w:hint="cs"/>
          <w:b/>
          <w:bCs/>
          <w:rtl/>
        </w:rPr>
        <w:t xml:space="preserve">                                                                            </w:t>
      </w:r>
      <w:r w:rsidR="00D55FDE">
        <w:rPr>
          <w:rFonts w:ascii="David" w:eastAsia="Times New Roman" w:hAnsi="David" w:hint="cs"/>
          <w:b/>
          <w:bCs/>
          <w:rtl/>
        </w:rPr>
        <w:t xml:space="preserve">             </w:t>
      </w:r>
      <w:r w:rsidRPr="00247C7A">
        <w:rPr>
          <w:rFonts w:ascii="David" w:eastAsia="Times New Roman" w:hAnsi="David" w:hint="cs"/>
          <w:b/>
          <w:bCs/>
          <w:rtl/>
        </w:rPr>
        <w:t xml:space="preserve"> </w:t>
      </w:r>
      <w:r w:rsidR="00D55FDE">
        <w:rPr>
          <w:rFonts w:ascii="David" w:eastAsia="Times New Roman" w:hAnsi="David" w:hint="cs"/>
          <w:b/>
          <w:bCs/>
          <w:rtl/>
        </w:rPr>
        <w:t xml:space="preserve"> </w:t>
      </w:r>
      <w:r w:rsidRPr="00247C7A">
        <w:rPr>
          <w:rFonts w:ascii="David" w:eastAsia="Times New Roman" w:hAnsi="David" w:hint="cs"/>
          <w:b/>
          <w:bCs/>
          <w:rtl/>
        </w:rPr>
        <w:t xml:space="preserve"> </w:t>
      </w:r>
      <w:r w:rsidR="000A5732">
        <w:rPr>
          <w:rFonts w:ascii="David" w:eastAsia="Times New Roman" w:hAnsi="David" w:hint="cs"/>
          <w:b/>
          <w:bCs/>
          <w:rtl/>
        </w:rPr>
        <w:t>ל</w:t>
      </w:r>
      <w:r w:rsidRPr="00247C7A">
        <w:rPr>
          <w:rFonts w:ascii="David" w:eastAsia="Times New Roman" w:hAnsi="David" w:hint="cs"/>
          <w:b/>
          <w:bCs/>
          <w:rtl/>
        </w:rPr>
        <w:t xml:space="preserve">     ע     ר     ע    </w:t>
      </w:r>
      <w:r w:rsidR="000A5732">
        <w:rPr>
          <w:rFonts w:ascii="David" w:eastAsia="Times New Roman" w:hAnsi="David" w:hint="cs"/>
          <w:b/>
          <w:bCs/>
          <w:rtl/>
        </w:rPr>
        <w:t xml:space="preserve"> </w:t>
      </w:r>
      <w:r w:rsidRPr="00247C7A">
        <w:rPr>
          <w:rFonts w:ascii="David" w:eastAsia="Times New Roman" w:hAnsi="David" w:hint="cs"/>
          <w:b/>
          <w:bCs/>
          <w:rtl/>
        </w:rPr>
        <w:t xml:space="preserve">  ו      ר      י    ם</w:t>
      </w:r>
    </w:p>
    <w:p w14:paraId="69A38C96" w14:textId="238B4987" w:rsidR="00D55FDE" w:rsidRPr="007B7648" w:rsidRDefault="00D55FDE" w:rsidP="00D71F14">
      <w:pPr>
        <w:spacing w:after="0" w:line="360" w:lineRule="auto"/>
        <w:ind w:right="284"/>
        <w:jc w:val="both"/>
      </w:pPr>
    </w:p>
    <w:p w14:paraId="2DB3A39C" w14:textId="129D4E17" w:rsidR="00D55FDE" w:rsidRPr="00B53ED3" w:rsidRDefault="00D55FDE" w:rsidP="00D71F14">
      <w:pPr>
        <w:ind w:left="-58" w:right="-142"/>
        <w:rPr>
          <w:rFonts w:ascii="David" w:hAnsi="David"/>
          <w:b/>
          <w:bCs/>
          <w:rtl/>
        </w:rPr>
      </w:pPr>
      <w:bookmarkStart w:id="1" w:name="_Hlk122599666"/>
      <w:r w:rsidRPr="00B53ED3">
        <w:rPr>
          <w:rFonts w:ascii="David" w:hAnsi="David" w:hint="cs"/>
          <w:b/>
          <w:bCs/>
          <w:rtl/>
        </w:rPr>
        <w:t>חתימת המגיה: __________________</w:t>
      </w:r>
      <w:r>
        <w:rPr>
          <w:rFonts w:ascii="David" w:hAnsi="David" w:hint="cs"/>
          <w:b/>
          <w:bCs/>
          <w:rtl/>
        </w:rPr>
        <w:t xml:space="preserve">______ </w:t>
      </w:r>
      <w:r w:rsidRPr="00B53ED3">
        <w:rPr>
          <w:rFonts w:ascii="David" w:hAnsi="David" w:hint="cs"/>
          <w:b/>
          <w:bCs/>
          <w:rtl/>
        </w:rPr>
        <w:t xml:space="preserve">  </w:t>
      </w:r>
      <w:r>
        <w:rPr>
          <w:rFonts w:ascii="David" w:hAnsi="David" w:hint="cs"/>
          <w:b/>
          <w:bCs/>
          <w:rtl/>
        </w:rPr>
        <w:t xml:space="preserve"> </w:t>
      </w:r>
      <w:r w:rsidR="00D71F14">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העתק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00D71F14">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למקור</w:t>
      </w:r>
    </w:p>
    <w:p w14:paraId="5F985915" w14:textId="1F9F804B" w:rsidR="00D55FDE" w:rsidRPr="007D6E18" w:rsidRDefault="00D55FDE" w:rsidP="00D71F14">
      <w:pPr>
        <w:ind w:left="-58"/>
        <w:rPr>
          <w:rFonts w:ascii="David" w:hAnsi="David"/>
          <w:b/>
          <w:bCs/>
        </w:rPr>
      </w:pP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D71F14">
        <w:rPr>
          <w:rFonts w:ascii="David" w:hAnsi="David" w:hint="cs"/>
          <w:b/>
          <w:bCs/>
          <w:rtl/>
        </w:rPr>
        <w:t xml:space="preserve">   </w:t>
      </w:r>
      <w:r>
        <w:rPr>
          <w:rFonts w:ascii="David" w:hAnsi="David" w:hint="cs"/>
          <w:b/>
          <w:bCs/>
          <w:rtl/>
        </w:rPr>
        <w:t xml:space="preserve">  סרן</w:t>
      </w:r>
      <w:r w:rsidRPr="00B53ED3">
        <w:rPr>
          <w:rFonts w:ascii="David" w:hAnsi="David" w:hint="cs"/>
          <w:b/>
          <w:bCs/>
          <w:rtl/>
        </w:rPr>
        <w:t xml:space="preserve">     </w:t>
      </w:r>
      <w:r>
        <w:rPr>
          <w:rFonts w:ascii="David" w:hAnsi="David" w:hint="cs"/>
          <w:b/>
          <w:bCs/>
          <w:rtl/>
        </w:rPr>
        <w:t xml:space="preserve">   </w:t>
      </w:r>
      <w:r w:rsidR="00D71F14">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D71F14">
        <w:rPr>
          <w:rFonts w:ascii="David" w:hAnsi="David" w:hint="cs"/>
          <w:b/>
          <w:bCs/>
          <w:rtl/>
        </w:rPr>
        <w:t xml:space="preserve">   </w:t>
      </w:r>
      <w:r>
        <w:rPr>
          <w:rFonts w:ascii="David" w:hAnsi="David" w:hint="cs"/>
          <w:b/>
          <w:bCs/>
          <w:rtl/>
        </w:rPr>
        <w:t xml:space="preserve">       </w:t>
      </w:r>
      <w:r w:rsidRPr="00B53ED3">
        <w:rPr>
          <w:rFonts w:ascii="David" w:hAnsi="David" w:hint="cs"/>
          <w:b/>
          <w:bCs/>
          <w:rtl/>
        </w:rPr>
        <w:t>לב</w:t>
      </w:r>
      <w:r>
        <w:rPr>
          <w:rFonts w:ascii="David" w:hAnsi="David" w:hint="cs"/>
          <w:b/>
          <w:bCs/>
          <w:rtl/>
        </w:rPr>
        <w:t xml:space="preserve">    ת</w:t>
      </w:r>
      <w:r w:rsidRPr="00B53ED3">
        <w:rPr>
          <w:rFonts w:ascii="David" w:hAnsi="David" w:hint="cs"/>
          <w:b/>
          <w:bCs/>
          <w:rtl/>
        </w:rPr>
        <w:t>אריך: _______________________</w:t>
      </w:r>
      <w:r>
        <w:rPr>
          <w:rFonts w:ascii="David" w:hAnsi="David" w:hint="cs"/>
          <w:b/>
          <w:bCs/>
          <w:rtl/>
        </w:rPr>
        <w:t>______</w:t>
      </w:r>
      <w:r w:rsidRPr="00B53ED3">
        <w:rPr>
          <w:rFonts w:ascii="David" w:hAnsi="David" w:hint="cs"/>
          <w:b/>
          <w:bCs/>
          <w:rtl/>
        </w:rPr>
        <w:t xml:space="preserve">  </w:t>
      </w:r>
      <w:r>
        <w:rPr>
          <w:rFonts w:ascii="David" w:hAnsi="David" w:hint="cs"/>
          <w:b/>
          <w:bCs/>
          <w:rtl/>
        </w:rPr>
        <w:t xml:space="preserve"> </w:t>
      </w:r>
      <w:r w:rsidR="00D71F14">
        <w:rPr>
          <w:rFonts w:ascii="David" w:hAnsi="David" w:hint="cs"/>
          <w:b/>
          <w:bCs/>
          <w:rtl/>
        </w:rPr>
        <w:t xml:space="preserve">       </w:t>
      </w:r>
      <w:r w:rsidRPr="00B53ED3">
        <w:rPr>
          <w:rFonts w:ascii="David" w:hAnsi="David" w:hint="cs"/>
          <w:b/>
          <w:bCs/>
          <w:rtl/>
        </w:rPr>
        <w:t xml:space="preserve"> </w:t>
      </w:r>
      <w:r w:rsidR="00D71F14">
        <w:rPr>
          <w:rFonts w:ascii="David" w:hAnsi="David" w:hint="cs"/>
          <w:b/>
          <w:bCs/>
          <w:rtl/>
        </w:rPr>
        <w:t xml:space="preserve">  </w:t>
      </w:r>
      <w:r w:rsidRPr="00B53ED3">
        <w:rPr>
          <w:rFonts w:ascii="David" w:hAnsi="David" w:hint="cs"/>
          <w:b/>
          <w:bCs/>
          <w:rtl/>
        </w:rPr>
        <w:t>קצי</w:t>
      </w:r>
      <w:r>
        <w:rPr>
          <w:rFonts w:ascii="David" w:hAnsi="David" w:hint="cs"/>
          <w:b/>
          <w:bCs/>
          <w:rtl/>
        </w:rPr>
        <w:t>ן</w:t>
      </w:r>
      <w:r w:rsidRPr="00B53ED3">
        <w:rPr>
          <w:rFonts w:ascii="David" w:hAnsi="David" w:hint="cs"/>
          <w:b/>
          <w:bCs/>
          <w:rtl/>
        </w:rPr>
        <w:t xml:space="preserve">  </w:t>
      </w:r>
      <w:r w:rsidR="00D71F14">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00D71F14">
        <w:rPr>
          <w:rFonts w:ascii="David" w:hAnsi="David" w:hint="cs"/>
          <w:b/>
          <w:bCs/>
          <w:rtl/>
        </w:rPr>
        <w:t xml:space="preserve">    </w:t>
      </w:r>
      <w:r>
        <w:rPr>
          <w:rFonts w:ascii="David" w:hAnsi="David" w:hint="cs"/>
          <w:b/>
          <w:bCs/>
          <w:rtl/>
        </w:rPr>
        <w:t xml:space="preserve">  </w:t>
      </w:r>
      <w:r w:rsidR="00D71F14">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הדין</w:t>
      </w:r>
    </w:p>
    <w:bookmarkEnd w:id="1"/>
    <w:p w14:paraId="4FFA7482" w14:textId="77777777" w:rsidR="008460C4" w:rsidRPr="00D55FDE" w:rsidRDefault="008460C4" w:rsidP="00D71F14">
      <w:pPr>
        <w:pStyle w:val="NoSpacing"/>
        <w:spacing w:line="360" w:lineRule="auto"/>
        <w:ind w:right="284"/>
        <w:jc w:val="both"/>
      </w:pPr>
    </w:p>
    <w:sectPr w:rsidR="008460C4" w:rsidRPr="00D55FDE" w:rsidSect="00BC3751">
      <w:headerReference w:type="default" r:id="rId9"/>
      <w:footerReference w:type="default" r:id="rId10"/>
      <w:pgSz w:w="11906" w:h="16838"/>
      <w:pgMar w:top="1418" w:right="1418"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FE8E7" w14:textId="77777777" w:rsidR="00E2090D" w:rsidRDefault="00E2090D" w:rsidP="00BC3751">
      <w:pPr>
        <w:spacing w:after="0" w:line="240" w:lineRule="auto"/>
      </w:pPr>
      <w:r>
        <w:separator/>
      </w:r>
    </w:p>
  </w:endnote>
  <w:endnote w:type="continuationSeparator" w:id="0">
    <w:p w14:paraId="6376909B" w14:textId="77777777" w:rsidR="00E2090D" w:rsidRDefault="00E2090D" w:rsidP="00BC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9768022"/>
      <w:docPartObj>
        <w:docPartGallery w:val="Page Numbers (Bottom of Page)"/>
        <w:docPartUnique/>
      </w:docPartObj>
    </w:sdtPr>
    <w:sdtEndPr>
      <w:rPr>
        <w:rFonts w:ascii="David" w:hAnsi="David"/>
      </w:rPr>
    </w:sdtEndPr>
    <w:sdtContent>
      <w:p w14:paraId="047E493D" w14:textId="77777777" w:rsidR="005B640A" w:rsidRDefault="005B640A">
        <w:pPr>
          <w:pStyle w:val="Footer"/>
          <w:jc w:val="center"/>
          <w:rPr>
            <w:rFonts w:ascii="David" w:hAnsi="David"/>
          </w:rPr>
        </w:pPr>
      </w:p>
      <w:p w14:paraId="749F3438" w14:textId="32A524B7" w:rsidR="005B640A" w:rsidRPr="005B640A" w:rsidRDefault="005B640A">
        <w:pPr>
          <w:pStyle w:val="Footer"/>
          <w:jc w:val="center"/>
          <w:rPr>
            <w:rFonts w:ascii="David" w:hAnsi="David"/>
          </w:rPr>
        </w:pPr>
        <w:r w:rsidRPr="005B640A">
          <w:rPr>
            <w:rFonts w:ascii="David" w:hAnsi="David"/>
          </w:rPr>
          <w:fldChar w:fldCharType="begin"/>
        </w:r>
        <w:r w:rsidRPr="005B640A">
          <w:rPr>
            <w:rFonts w:ascii="David" w:hAnsi="David"/>
          </w:rPr>
          <w:instrText>PAGE   \* MERGEFORMAT</w:instrText>
        </w:r>
        <w:r w:rsidRPr="005B640A">
          <w:rPr>
            <w:rFonts w:ascii="David" w:hAnsi="David"/>
          </w:rPr>
          <w:fldChar w:fldCharType="separate"/>
        </w:r>
        <w:r w:rsidRPr="005B640A">
          <w:rPr>
            <w:rFonts w:ascii="David" w:hAnsi="David"/>
            <w:rtl/>
            <w:lang w:val="he-IL"/>
          </w:rPr>
          <w:t>2</w:t>
        </w:r>
        <w:r w:rsidRPr="005B640A">
          <w:rPr>
            <w:rFonts w:ascii="David" w:hAnsi="David"/>
          </w:rPr>
          <w:fldChar w:fldCharType="end"/>
        </w:r>
      </w:p>
    </w:sdtContent>
  </w:sdt>
  <w:p w14:paraId="6668A68B" w14:textId="77777777" w:rsidR="005B640A" w:rsidRDefault="005B6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FCB7" w14:textId="77777777" w:rsidR="00E2090D" w:rsidRDefault="00E2090D" w:rsidP="00BC3751">
      <w:pPr>
        <w:spacing w:after="0" w:line="240" w:lineRule="auto"/>
      </w:pPr>
      <w:r>
        <w:separator/>
      </w:r>
    </w:p>
  </w:footnote>
  <w:footnote w:type="continuationSeparator" w:id="0">
    <w:p w14:paraId="1FFFBB90" w14:textId="77777777" w:rsidR="00E2090D" w:rsidRDefault="00E2090D" w:rsidP="00BC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ABC8" w14:textId="01AD63EE" w:rsidR="00BC3751" w:rsidRDefault="00BC3751" w:rsidP="00BC3751">
    <w:pPr>
      <w:pStyle w:val="Header"/>
      <w:tabs>
        <w:tab w:val="clear" w:pos="4153"/>
        <w:tab w:val="center" w:pos="4675"/>
      </w:tabs>
      <w:ind w:left="-144"/>
      <w:rPr>
        <w:rtl/>
      </w:rPr>
    </w:pPr>
    <w:r w:rsidRPr="00BC3751">
      <w:ptab w:relativeTo="margin" w:alignment="center" w:leader="none"/>
    </w:r>
    <w:r w:rsidR="00C208D8">
      <w:rPr>
        <w:rFonts w:hint="cs"/>
        <w:rtl/>
      </w:rPr>
      <w:t>ב ל מ " ס</w:t>
    </w:r>
    <w:r w:rsidRPr="00BC3751">
      <w:ptab w:relativeTo="margin" w:alignment="right" w:leader="none"/>
    </w:r>
    <w:proofErr w:type="spellStart"/>
    <w:r w:rsidRPr="00BC3751">
      <w:rPr>
        <w:rtl/>
      </w:rPr>
      <w:t>עלב"ש</w:t>
    </w:r>
    <w:proofErr w:type="spellEnd"/>
    <w:r w:rsidRPr="00BC3751">
      <w:rPr>
        <w:rtl/>
      </w:rPr>
      <w:t>/1/23</w:t>
    </w:r>
  </w:p>
  <w:p w14:paraId="50DAC75E" w14:textId="436741CD" w:rsidR="00BC3751" w:rsidRDefault="00BC3751" w:rsidP="00BC3751">
    <w:pPr>
      <w:pStyle w:val="Header"/>
      <w:tabs>
        <w:tab w:val="clear" w:pos="4153"/>
        <w:tab w:val="center" w:pos="4675"/>
      </w:tabs>
      <w:ind w:left="-14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268"/>
    <w:multiLevelType w:val="hybridMultilevel"/>
    <w:tmpl w:val="46DE1A4E"/>
    <w:lvl w:ilvl="0" w:tplc="58C2A24E">
      <w:start w:val="1"/>
      <w:numFmt w:val="decimal"/>
      <w:pStyle w:val="2"/>
      <w:suff w:val="nothing"/>
      <w:lvlText w:val="%1."/>
      <w:lvlJc w:val="left"/>
      <w:pPr>
        <w:ind w:left="2344"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351C8C"/>
    <w:multiLevelType w:val="hybridMultilevel"/>
    <w:tmpl w:val="19AA007C"/>
    <w:lvl w:ilvl="0" w:tplc="012C50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265216"/>
    <w:multiLevelType w:val="hybridMultilevel"/>
    <w:tmpl w:val="FC4453FC"/>
    <w:lvl w:ilvl="0" w:tplc="3722938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5F"/>
    <w:rsid w:val="00047316"/>
    <w:rsid w:val="000A5732"/>
    <w:rsid w:val="00130F7E"/>
    <w:rsid w:val="00141F50"/>
    <w:rsid w:val="00154CDE"/>
    <w:rsid w:val="001852B5"/>
    <w:rsid w:val="001C32D1"/>
    <w:rsid w:val="001E10E3"/>
    <w:rsid w:val="001E1792"/>
    <w:rsid w:val="00217E62"/>
    <w:rsid w:val="002B4E49"/>
    <w:rsid w:val="002B77BD"/>
    <w:rsid w:val="003134B2"/>
    <w:rsid w:val="00323FA6"/>
    <w:rsid w:val="00342ABF"/>
    <w:rsid w:val="003803CA"/>
    <w:rsid w:val="003C6D63"/>
    <w:rsid w:val="00410621"/>
    <w:rsid w:val="004661F1"/>
    <w:rsid w:val="004B273B"/>
    <w:rsid w:val="004D576B"/>
    <w:rsid w:val="004E5631"/>
    <w:rsid w:val="005527A8"/>
    <w:rsid w:val="005727FF"/>
    <w:rsid w:val="005927AC"/>
    <w:rsid w:val="005B5D03"/>
    <w:rsid w:val="005B640A"/>
    <w:rsid w:val="005D0BDE"/>
    <w:rsid w:val="00624028"/>
    <w:rsid w:val="0063796D"/>
    <w:rsid w:val="006472E6"/>
    <w:rsid w:val="006747AC"/>
    <w:rsid w:val="00694DB8"/>
    <w:rsid w:val="006F6C08"/>
    <w:rsid w:val="0074403A"/>
    <w:rsid w:val="00756755"/>
    <w:rsid w:val="007D16F7"/>
    <w:rsid w:val="007D4D07"/>
    <w:rsid w:val="007E52FC"/>
    <w:rsid w:val="008460C4"/>
    <w:rsid w:val="00847A50"/>
    <w:rsid w:val="008E6182"/>
    <w:rsid w:val="00953458"/>
    <w:rsid w:val="009A5020"/>
    <w:rsid w:val="009B161E"/>
    <w:rsid w:val="009B7F13"/>
    <w:rsid w:val="00A11426"/>
    <w:rsid w:val="00A31507"/>
    <w:rsid w:val="00A724A7"/>
    <w:rsid w:val="00AD6549"/>
    <w:rsid w:val="00B1415F"/>
    <w:rsid w:val="00B34C31"/>
    <w:rsid w:val="00B367FB"/>
    <w:rsid w:val="00B50F08"/>
    <w:rsid w:val="00B55162"/>
    <w:rsid w:val="00B55BA1"/>
    <w:rsid w:val="00B65EA4"/>
    <w:rsid w:val="00B83BC6"/>
    <w:rsid w:val="00BA61F4"/>
    <w:rsid w:val="00BC3751"/>
    <w:rsid w:val="00BC7968"/>
    <w:rsid w:val="00BF4111"/>
    <w:rsid w:val="00C208D8"/>
    <w:rsid w:val="00C42B9A"/>
    <w:rsid w:val="00C55159"/>
    <w:rsid w:val="00C93E29"/>
    <w:rsid w:val="00CA0B6C"/>
    <w:rsid w:val="00CF6ADF"/>
    <w:rsid w:val="00D02F71"/>
    <w:rsid w:val="00D35391"/>
    <w:rsid w:val="00D55FDE"/>
    <w:rsid w:val="00D7190F"/>
    <w:rsid w:val="00D71F14"/>
    <w:rsid w:val="00DB1C3D"/>
    <w:rsid w:val="00DE4A28"/>
    <w:rsid w:val="00E2090D"/>
    <w:rsid w:val="00E37D9A"/>
    <w:rsid w:val="00E456D9"/>
    <w:rsid w:val="00E66E29"/>
    <w:rsid w:val="00EA086B"/>
    <w:rsid w:val="00F1620A"/>
    <w:rsid w:val="00F3698B"/>
    <w:rsid w:val="00FF7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68E56"/>
  <w15:chartTrackingRefBased/>
  <w15:docId w15:val="{C491BC9B-402A-4CE2-8672-12D8A1BC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51"/>
    <w:pPr>
      <w:bidi/>
      <w:spacing w:after="200" w:line="276" w:lineRule="auto"/>
    </w:pPr>
    <w:rPr>
      <w:rFonts w:ascii="Calibri" w:eastAsia="Calibri" w:hAnsi="Calibri"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BC3751"/>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BC3751"/>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BC3751"/>
    <w:pPr>
      <w:numPr>
        <w:numId w:val="1"/>
      </w:numPr>
      <w:spacing w:line="360" w:lineRule="auto"/>
      <w:jc w:val="both"/>
    </w:pPr>
    <w:rPr>
      <w:rFonts w:cs="David"/>
      <w:sz w:val="28"/>
      <w:szCs w:val="28"/>
    </w:rPr>
  </w:style>
  <w:style w:type="paragraph" w:styleId="Header">
    <w:name w:val="header"/>
    <w:basedOn w:val="Normal"/>
    <w:link w:val="HeaderChar"/>
    <w:uiPriority w:val="99"/>
    <w:unhideWhenUsed/>
    <w:rsid w:val="00BC37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3751"/>
    <w:rPr>
      <w:rFonts w:ascii="Calibri" w:eastAsia="Calibri" w:hAnsi="Calibri" w:cs="David"/>
      <w:sz w:val="28"/>
      <w:szCs w:val="28"/>
    </w:rPr>
  </w:style>
  <w:style w:type="paragraph" w:styleId="Footer">
    <w:name w:val="footer"/>
    <w:basedOn w:val="Normal"/>
    <w:link w:val="FooterChar"/>
    <w:uiPriority w:val="99"/>
    <w:unhideWhenUsed/>
    <w:rsid w:val="00BC37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3751"/>
    <w:rPr>
      <w:rFonts w:ascii="Calibri" w:eastAsia="Calibri" w:hAnsi="Calibri" w:cs="David"/>
      <w:sz w:val="28"/>
      <w:szCs w:val="28"/>
    </w:rPr>
  </w:style>
  <w:style w:type="paragraph" w:styleId="NoSpacing">
    <w:name w:val="No Spacing"/>
    <w:uiPriority w:val="1"/>
    <w:qFormat/>
    <w:rsid w:val="00756755"/>
    <w:pPr>
      <w:bidi/>
      <w:spacing w:after="0" w:line="240" w:lineRule="auto"/>
    </w:pPr>
    <w:rPr>
      <w:rFonts w:ascii="Calibri" w:eastAsia="Calibri" w:hAnsi="Calibri" w:cs="David"/>
      <w:sz w:val="28"/>
      <w:szCs w:val="28"/>
    </w:rPr>
  </w:style>
  <w:style w:type="character" w:customStyle="1" w:styleId="20">
    <w:name w:val="סגנון2 תו"/>
    <w:link w:val="2"/>
    <w:rsid w:val="00141F50"/>
    <w:rPr>
      <w:rFonts w:ascii="Times New Roman" w:eastAsia="Times New Roman" w:hAnsi="Times New Roman" w:cs="David"/>
      <w:sz w:val="28"/>
      <w:szCs w:val="28"/>
    </w:rPr>
  </w:style>
  <w:style w:type="paragraph" w:styleId="ListParagraph">
    <w:name w:val="List Paragraph"/>
    <w:basedOn w:val="Normal"/>
    <w:uiPriority w:val="34"/>
    <w:qFormat/>
    <w:rsid w:val="00141F50"/>
    <w:pPr>
      <w:ind w:left="720"/>
      <w:contextualSpacing/>
    </w:pPr>
  </w:style>
  <w:style w:type="character" w:styleId="CommentReference">
    <w:name w:val="annotation reference"/>
    <w:basedOn w:val="DefaultParagraphFont"/>
    <w:uiPriority w:val="99"/>
    <w:semiHidden/>
    <w:unhideWhenUsed/>
    <w:rsid w:val="00C55159"/>
    <w:rPr>
      <w:sz w:val="16"/>
      <w:szCs w:val="16"/>
    </w:rPr>
  </w:style>
  <w:style w:type="paragraph" w:styleId="CommentText">
    <w:name w:val="annotation text"/>
    <w:basedOn w:val="Normal"/>
    <w:link w:val="CommentTextChar"/>
    <w:uiPriority w:val="99"/>
    <w:semiHidden/>
    <w:unhideWhenUsed/>
    <w:rsid w:val="00C55159"/>
    <w:pPr>
      <w:spacing w:line="240" w:lineRule="auto"/>
    </w:pPr>
    <w:rPr>
      <w:sz w:val="20"/>
      <w:szCs w:val="20"/>
    </w:rPr>
  </w:style>
  <w:style w:type="character" w:customStyle="1" w:styleId="CommentTextChar">
    <w:name w:val="Comment Text Char"/>
    <w:basedOn w:val="DefaultParagraphFont"/>
    <w:link w:val="CommentText"/>
    <w:uiPriority w:val="99"/>
    <w:semiHidden/>
    <w:rsid w:val="00C55159"/>
    <w:rPr>
      <w:rFonts w:ascii="Calibri" w:eastAsia="Calibri" w:hAnsi="Calibri" w:cs="David"/>
      <w:sz w:val="20"/>
      <w:szCs w:val="20"/>
    </w:rPr>
  </w:style>
  <w:style w:type="paragraph" w:styleId="CommentSubject">
    <w:name w:val="annotation subject"/>
    <w:basedOn w:val="CommentText"/>
    <w:next w:val="CommentText"/>
    <w:link w:val="CommentSubjectChar"/>
    <w:uiPriority w:val="99"/>
    <w:semiHidden/>
    <w:unhideWhenUsed/>
    <w:rsid w:val="00C55159"/>
    <w:rPr>
      <w:b/>
      <w:bCs/>
    </w:rPr>
  </w:style>
  <w:style w:type="character" w:customStyle="1" w:styleId="CommentSubjectChar">
    <w:name w:val="Comment Subject Char"/>
    <w:basedOn w:val="CommentTextChar"/>
    <w:link w:val="CommentSubject"/>
    <w:uiPriority w:val="99"/>
    <w:semiHidden/>
    <w:rsid w:val="00C55159"/>
    <w:rPr>
      <w:rFonts w:ascii="Calibri" w:eastAsia="Calibri" w:hAnsi="Calibri"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1591</Words>
  <Characters>7958</Characters>
  <Application>Microsoft Office Word</Application>
  <DocSecurity>0</DocSecurity>
  <Lines>66</Lines>
  <Paragraphs>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מפצ"ר 9605/דניאל אוזן</dc:creator>
  <cp:keywords/>
  <dc:description/>
  <cp:lastModifiedBy>יבד"ץ 205/בית הדין לערעורים/עוזרת משפטית/דניאל אוזן</cp:lastModifiedBy>
  <cp:revision>15</cp:revision>
  <cp:lastPrinted>2023-03-08T12:52:00Z</cp:lastPrinted>
  <dcterms:created xsi:type="dcterms:W3CDTF">2023-03-08T12:53:00Z</dcterms:created>
  <dcterms:modified xsi:type="dcterms:W3CDTF">2023-03-09T09:52:00Z</dcterms:modified>
</cp:coreProperties>
</file>