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9CDB" w14:textId="77777777" w:rsidR="0024745D" w:rsidRDefault="0024745D" w:rsidP="0024745D">
      <w:pPr>
        <w:spacing w:line="480" w:lineRule="auto"/>
        <w:jc w:val="center"/>
        <w:rPr>
          <w:rFonts w:cs="David"/>
          <w:b/>
          <w:bCs/>
          <w:sz w:val="28"/>
          <w:szCs w:val="28"/>
          <w:u w:val="single"/>
          <w:rtl/>
        </w:rPr>
      </w:pPr>
      <w:r>
        <w:rPr>
          <w:noProof/>
        </w:rPr>
        <mc:AlternateContent>
          <mc:Choice Requires="wpg">
            <w:drawing>
              <wp:anchor distT="0" distB="0" distL="114300" distR="114300" simplePos="0" relativeHeight="251659264" behindDoc="0" locked="0" layoutInCell="1" allowOverlap="1" wp14:anchorId="1C8546B1" wp14:editId="74445DD8">
                <wp:simplePos x="0" y="0"/>
                <wp:positionH relativeFrom="margin">
                  <wp:align>center</wp:align>
                </wp:positionH>
                <wp:positionV relativeFrom="paragraph">
                  <wp:posOffset>11430</wp:posOffset>
                </wp:positionV>
                <wp:extent cx="2828925" cy="809625"/>
                <wp:effectExtent l="0" t="0" r="9525"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8925" cy="809625"/>
                          <a:chOff x="0" y="0"/>
                          <a:chExt cx="2828925" cy="809625"/>
                        </a:xfrm>
                      </wpg:grpSpPr>
                      <pic:pic xmlns:pic="http://schemas.openxmlformats.org/drawingml/2006/picture">
                        <pic:nvPicPr>
                          <pic:cNvPr id="5" name="תמונה 14" descr="zaal"/>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962150" y="0"/>
                            <a:ext cx="866775" cy="790575"/>
                          </a:xfrm>
                          <a:prstGeom prst="rect">
                            <a:avLst/>
                          </a:prstGeom>
                          <a:solidFill>
                            <a:srgbClr val="FFCC00"/>
                          </a:solidFill>
                          <a:ln>
                            <a:noFill/>
                          </a:ln>
                        </pic:spPr>
                      </pic:pic>
                      <pic:pic xmlns:pic="http://schemas.openxmlformats.org/drawingml/2006/picture">
                        <pic:nvPicPr>
                          <pic:cNvPr id="6" name="תמונה 15" descr="סמל"/>
                          <pic:cNvPicPr>
                            <a:picLocks noChangeAspect="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19050"/>
                            <a:ext cx="581025" cy="7905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F6BAAEC" id="Group 4" o:spid="_x0000_s1026" style="position:absolute;left:0;text-align:left;margin-left:0;margin-top:.9pt;width:222.75pt;height:63.75pt;z-index:251659264;mso-position-horizontal:center;mso-position-horizontal-relative:margin" coordsize="28289,809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4" o:spid="_x0000_s1027" type="#_x0000_t75" alt="zaal" style="position:absolute;left:19621;width:8668;height:7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" filled="t" fillcolor="#fc0">
                  <v:imagedata r:id="rId10" o:title="zaal"/>
                </v:shape>
                <v:shape id="תמונה 15" o:spid="_x0000_s1028" type="#_x0000_t75" alt="סמל" style="position:absolute;top:190;width:5810;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">
                  <v:imagedata r:id="rId11" o:title="סמל" gain="69719f" blacklevel="13763f" grayscale="t"/>
                </v:shape>
                <w10:wrap anchorx="margin"/>
              </v:group>
            </w:pict>
          </mc:Fallback>
        </mc:AlternateContent>
      </w:r>
    </w:p>
    <w:p w14:paraId="596C8965" w14:textId="78FF17AF" w:rsidR="0019586B" w:rsidRDefault="0019586B" w:rsidP="0035073D">
      <w:pPr>
        <w:bidi w:val="0"/>
        <w:spacing w:line="480" w:lineRule="auto"/>
        <w:jc w:val="center"/>
        <w:rPr>
          <w:rFonts w:cs="David"/>
          <w:b/>
          <w:bCs/>
          <w:sz w:val="22"/>
          <w:szCs w:val="22"/>
          <w:u w:val="single"/>
        </w:rPr>
      </w:pPr>
    </w:p>
    <w:p w14:paraId="71540B9A" w14:textId="77777777" w:rsidR="0024745D" w:rsidRPr="0019586B" w:rsidRDefault="0024745D" w:rsidP="0024745D">
      <w:pPr>
        <w:bidi w:val="0"/>
        <w:spacing w:line="480" w:lineRule="auto"/>
        <w:jc w:val="center"/>
        <w:rPr>
          <w:rFonts w:cs="David"/>
          <w:b/>
          <w:bCs/>
          <w:sz w:val="22"/>
          <w:szCs w:val="22"/>
          <w:u w:val="single"/>
          <w:rtl/>
        </w:rPr>
      </w:pPr>
    </w:p>
    <w:p w14:paraId="55DA7326" w14:textId="2A27F19B" w:rsidR="0035073D" w:rsidRPr="0035073D" w:rsidRDefault="0035073D" w:rsidP="0019586B">
      <w:pPr>
        <w:bidi w:val="0"/>
        <w:spacing w:line="480" w:lineRule="auto"/>
        <w:jc w:val="center"/>
        <w:rPr>
          <w:rFonts w:cs="David"/>
          <w:b/>
          <w:bCs/>
          <w:sz w:val="28"/>
          <w:szCs w:val="28"/>
          <w:u w:val="single"/>
          <w:rtl/>
        </w:rPr>
      </w:pPr>
      <w:r w:rsidRPr="0035073D">
        <w:rPr>
          <w:rFonts w:cs="David"/>
          <w:b/>
          <w:bCs/>
          <w:sz w:val="28"/>
          <w:szCs w:val="28"/>
          <w:u w:val="single"/>
          <w:rtl/>
        </w:rPr>
        <w:t xml:space="preserve"> בבית הדין הצבאי לערעורים</w:t>
      </w:r>
    </w:p>
    <w:p w14:paraId="38804FDF" w14:textId="77777777" w:rsidR="0035073D" w:rsidRPr="0035073D" w:rsidRDefault="0035073D" w:rsidP="0035073D">
      <w:pPr>
        <w:spacing w:line="480" w:lineRule="auto"/>
        <w:jc w:val="both"/>
        <w:rPr>
          <w:rFonts w:cs="David"/>
          <w:sz w:val="28"/>
          <w:szCs w:val="28"/>
          <w:rtl/>
        </w:rPr>
      </w:pPr>
      <w:r w:rsidRPr="0035073D">
        <w:rPr>
          <w:rFonts w:cs="David" w:hint="cs"/>
          <w:sz w:val="28"/>
          <w:szCs w:val="28"/>
          <w:rtl/>
        </w:rPr>
        <w:t>ב</w:t>
      </w:r>
      <w:r w:rsidRPr="0035073D">
        <w:rPr>
          <w:rFonts w:cs="David"/>
          <w:sz w:val="28"/>
          <w:szCs w:val="28"/>
          <w:rtl/>
        </w:rPr>
        <w:t>פני:</w:t>
      </w:r>
    </w:p>
    <w:tbl>
      <w:tblPr>
        <w:bidiVisual/>
        <w:tblW w:w="0" w:type="auto"/>
        <w:tblInd w:w="1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03"/>
        <w:gridCol w:w="687"/>
        <w:gridCol w:w="2240"/>
      </w:tblGrid>
      <w:tr w:rsidR="0035073D" w:rsidRPr="0035073D" w14:paraId="0C3909C1" w14:textId="77777777" w:rsidTr="0019586B">
        <w:trPr>
          <w:trHeight w:val="572"/>
        </w:trPr>
        <w:tc>
          <w:tcPr>
            <w:tcW w:w="2803" w:type="dxa"/>
          </w:tcPr>
          <w:p w14:paraId="2D84FA66" w14:textId="70E16861" w:rsidR="0035073D" w:rsidRPr="0035073D" w:rsidRDefault="0019586B" w:rsidP="0035073D">
            <w:pPr>
              <w:tabs>
                <w:tab w:val="right" w:pos="1897"/>
              </w:tabs>
              <w:spacing w:line="360" w:lineRule="auto"/>
              <w:jc w:val="both"/>
              <w:rPr>
                <w:rFonts w:cs="David"/>
                <w:b/>
                <w:bCs/>
                <w:sz w:val="28"/>
                <w:szCs w:val="28"/>
                <w:rtl/>
              </w:rPr>
            </w:pPr>
            <w:r>
              <w:rPr>
                <w:rFonts w:cs="David" w:hint="cs"/>
                <w:b/>
                <w:bCs/>
                <w:sz w:val="28"/>
                <w:szCs w:val="28"/>
                <w:rtl/>
              </w:rPr>
              <w:t xml:space="preserve">אלופה </w:t>
            </w:r>
            <w:r w:rsidR="00EE3D55">
              <w:rPr>
                <w:rFonts w:cs="David" w:hint="cs"/>
                <w:b/>
                <w:bCs/>
                <w:sz w:val="28"/>
                <w:szCs w:val="28"/>
                <w:rtl/>
              </w:rPr>
              <w:t xml:space="preserve">  </w:t>
            </w:r>
            <w:r w:rsidR="0035073D" w:rsidRPr="0035073D">
              <w:rPr>
                <w:rFonts w:cs="David" w:hint="cs"/>
                <w:b/>
                <w:bCs/>
                <w:sz w:val="28"/>
                <w:szCs w:val="28"/>
                <w:rtl/>
              </w:rPr>
              <w:t xml:space="preserve">אורלי  </w:t>
            </w:r>
            <w:r>
              <w:rPr>
                <w:rFonts w:cs="David" w:hint="cs"/>
                <w:b/>
                <w:bCs/>
                <w:sz w:val="28"/>
                <w:szCs w:val="28"/>
                <w:rtl/>
              </w:rPr>
              <w:t xml:space="preserve">   </w:t>
            </w:r>
            <w:r w:rsidR="00EE3D55">
              <w:rPr>
                <w:rFonts w:cs="David" w:hint="cs"/>
                <w:b/>
                <w:bCs/>
                <w:sz w:val="28"/>
                <w:szCs w:val="28"/>
                <w:rtl/>
              </w:rPr>
              <w:t xml:space="preserve">   </w:t>
            </w:r>
            <w:r w:rsidR="0035073D" w:rsidRPr="0035073D">
              <w:rPr>
                <w:rFonts w:cs="David" w:hint="cs"/>
                <w:b/>
                <w:bCs/>
                <w:sz w:val="28"/>
                <w:szCs w:val="28"/>
                <w:rtl/>
              </w:rPr>
              <w:t>מרקמן</w:t>
            </w:r>
          </w:p>
        </w:tc>
        <w:tc>
          <w:tcPr>
            <w:tcW w:w="687" w:type="dxa"/>
          </w:tcPr>
          <w:p w14:paraId="6186F378" w14:textId="77777777" w:rsidR="0035073D" w:rsidRPr="0035073D" w:rsidRDefault="0035073D" w:rsidP="0035073D">
            <w:pPr>
              <w:spacing w:line="360" w:lineRule="auto"/>
              <w:jc w:val="center"/>
              <w:rPr>
                <w:rFonts w:cs="David"/>
                <w:b/>
                <w:bCs/>
                <w:sz w:val="28"/>
                <w:szCs w:val="28"/>
                <w:rtl/>
              </w:rPr>
            </w:pPr>
            <w:r w:rsidRPr="0035073D">
              <w:rPr>
                <w:rFonts w:cs="David" w:hint="cs"/>
                <w:b/>
                <w:bCs/>
                <w:sz w:val="28"/>
                <w:szCs w:val="28"/>
                <w:rtl/>
              </w:rPr>
              <w:t>-</w:t>
            </w:r>
          </w:p>
        </w:tc>
        <w:tc>
          <w:tcPr>
            <w:tcW w:w="2240" w:type="dxa"/>
          </w:tcPr>
          <w:p w14:paraId="11372953" w14:textId="39F414EE" w:rsidR="0035073D" w:rsidRPr="0035073D" w:rsidRDefault="0019586B" w:rsidP="0035073D">
            <w:pPr>
              <w:tabs>
                <w:tab w:val="right" w:pos="1789"/>
              </w:tabs>
              <w:spacing w:line="360" w:lineRule="auto"/>
              <w:jc w:val="both"/>
              <w:rPr>
                <w:rFonts w:cs="David"/>
                <w:sz w:val="28"/>
                <w:szCs w:val="28"/>
                <w:rtl/>
              </w:rPr>
            </w:pPr>
            <w:r>
              <w:rPr>
                <w:rFonts w:cs="David" w:hint="cs"/>
                <w:sz w:val="28"/>
                <w:szCs w:val="28"/>
                <w:rtl/>
              </w:rPr>
              <w:t xml:space="preserve"> נשיאה</w:t>
            </w:r>
          </w:p>
        </w:tc>
      </w:tr>
      <w:tr w:rsidR="0035073D" w:rsidRPr="0035073D" w14:paraId="56802B78" w14:textId="77777777" w:rsidTr="0019586B">
        <w:trPr>
          <w:trHeight w:val="1190"/>
        </w:trPr>
        <w:tc>
          <w:tcPr>
            <w:tcW w:w="2803" w:type="dxa"/>
          </w:tcPr>
          <w:p w14:paraId="0337F839" w14:textId="344E642A" w:rsidR="0035073D" w:rsidRPr="0035073D" w:rsidRDefault="00FD7522" w:rsidP="0035073D">
            <w:pPr>
              <w:tabs>
                <w:tab w:val="right" w:pos="1897"/>
              </w:tabs>
              <w:spacing w:line="480" w:lineRule="auto"/>
              <w:jc w:val="both"/>
              <w:rPr>
                <w:rFonts w:cs="David"/>
                <w:b/>
                <w:bCs/>
                <w:sz w:val="28"/>
                <w:szCs w:val="28"/>
                <w:rtl/>
              </w:rPr>
            </w:pPr>
            <w:r>
              <w:rPr>
                <w:rFonts w:cs="David" w:hint="cs"/>
                <w:b/>
                <w:bCs/>
                <w:sz w:val="28"/>
                <w:szCs w:val="28"/>
                <w:rtl/>
              </w:rPr>
              <w:t>תא"ל (מיל')     אבי     לוי</w:t>
            </w:r>
            <w:r w:rsidRPr="0035073D">
              <w:rPr>
                <w:rFonts w:cs="David" w:hint="cs"/>
                <w:b/>
                <w:bCs/>
                <w:sz w:val="28"/>
                <w:szCs w:val="28"/>
                <w:rtl/>
              </w:rPr>
              <w:t xml:space="preserve"> </w:t>
            </w:r>
            <w:r w:rsidR="0035073D" w:rsidRPr="0035073D">
              <w:rPr>
                <w:rFonts w:cs="David" w:hint="cs"/>
                <w:b/>
                <w:bCs/>
                <w:sz w:val="28"/>
                <w:szCs w:val="28"/>
                <w:rtl/>
              </w:rPr>
              <w:t xml:space="preserve">אל"ם  </w:t>
            </w:r>
            <w:r w:rsidR="0019586B">
              <w:rPr>
                <w:rFonts w:cs="David" w:hint="cs"/>
                <w:b/>
                <w:bCs/>
                <w:sz w:val="28"/>
                <w:szCs w:val="28"/>
                <w:rtl/>
              </w:rPr>
              <w:t>מאיה   גולדשמידט</w:t>
            </w:r>
          </w:p>
          <w:p w14:paraId="153A64A6" w14:textId="5BE8EEFC" w:rsidR="0035073D" w:rsidRPr="0035073D" w:rsidRDefault="0035073D" w:rsidP="0035073D">
            <w:pPr>
              <w:spacing w:line="480" w:lineRule="auto"/>
              <w:jc w:val="both"/>
              <w:rPr>
                <w:rFonts w:cs="David"/>
                <w:b/>
                <w:bCs/>
                <w:sz w:val="28"/>
                <w:szCs w:val="28"/>
                <w:rtl/>
              </w:rPr>
            </w:pPr>
          </w:p>
        </w:tc>
        <w:tc>
          <w:tcPr>
            <w:tcW w:w="687" w:type="dxa"/>
          </w:tcPr>
          <w:p w14:paraId="7C33E1C9" w14:textId="77777777" w:rsidR="0035073D" w:rsidRPr="0035073D" w:rsidRDefault="0035073D" w:rsidP="0035073D">
            <w:pPr>
              <w:spacing w:line="480" w:lineRule="auto"/>
              <w:jc w:val="center"/>
              <w:rPr>
                <w:rFonts w:cs="David"/>
                <w:b/>
                <w:bCs/>
                <w:sz w:val="28"/>
                <w:szCs w:val="28"/>
                <w:rtl/>
              </w:rPr>
            </w:pPr>
            <w:r w:rsidRPr="0035073D">
              <w:rPr>
                <w:rFonts w:cs="David" w:hint="cs"/>
                <w:b/>
                <w:bCs/>
                <w:sz w:val="28"/>
                <w:szCs w:val="28"/>
                <w:rtl/>
              </w:rPr>
              <w:t>-</w:t>
            </w:r>
          </w:p>
          <w:p w14:paraId="6D69D6AD" w14:textId="77777777" w:rsidR="0035073D" w:rsidRPr="0035073D" w:rsidRDefault="0035073D" w:rsidP="0035073D">
            <w:pPr>
              <w:spacing w:line="480" w:lineRule="auto"/>
              <w:jc w:val="both"/>
              <w:rPr>
                <w:rFonts w:cs="David"/>
                <w:b/>
                <w:bCs/>
                <w:sz w:val="28"/>
                <w:szCs w:val="28"/>
                <w:rtl/>
              </w:rPr>
            </w:pPr>
            <w:r w:rsidRPr="0035073D">
              <w:rPr>
                <w:rFonts w:cs="David" w:hint="cs"/>
                <w:sz w:val="28"/>
                <w:szCs w:val="28"/>
                <w:rtl/>
              </w:rPr>
              <w:t xml:space="preserve">  </w:t>
            </w:r>
            <w:r w:rsidRPr="0035073D">
              <w:rPr>
                <w:rFonts w:cs="David" w:hint="cs"/>
                <w:b/>
                <w:bCs/>
                <w:sz w:val="28"/>
                <w:szCs w:val="28"/>
                <w:rtl/>
              </w:rPr>
              <w:t xml:space="preserve">-      </w:t>
            </w:r>
          </w:p>
        </w:tc>
        <w:tc>
          <w:tcPr>
            <w:tcW w:w="2240" w:type="dxa"/>
          </w:tcPr>
          <w:p w14:paraId="105D9207" w14:textId="3E655DC0" w:rsidR="0035073D" w:rsidRPr="0035073D" w:rsidRDefault="0035073D" w:rsidP="0035073D">
            <w:pPr>
              <w:spacing w:line="480" w:lineRule="auto"/>
              <w:jc w:val="both"/>
              <w:rPr>
                <w:rFonts w:cs="David"/>
                <w:sz w:val="28"/>
                <w:szCs w:val="28"/>
                <w:rtl/>
              </w:rPr>
            </w:pPr>
            <w:r w:rsidRPr="0035073D">
              <w:rPr>
                <w:rFonts w:cs="David" w:hint="cs"/>
                <w:sz w:val="28"/>
                <w:szCs w:val="28"/>
                <w:rtl/>
              </w:rPr>
              <w:t>שופט</w:t>
            </w:r>
          </w:p>
          <w:p w14:paraId="70B7CEA9" w14:textId="51CA54F5" w:rsidR="0035073D" w:rsidRPr="0035073D" w:rsidRDefault="0019586B" w:rsidP="0035073D">
            <w:pPr>
              <w:spacing w:line="480" w:lineRule="auto"/>
              <w:jc w:val="both"/>
              <w:rPr>
                <w:rFonts w:cs="David"/>
                <w:sz w:val="28"/>
                <w:szCs w:val="28"/>
                <w:rtl/>
              </w:rPr>
            </w:pPr>
            <w:r>
              <w:rPr>
                <w:rFonts w:cs="David" w:hint="cs"/>
                <w:sz w:val="28"/>
                <w:szCs w:val="28"/>
                <w:rtl/>
              </w:rPr>
              <w:t xml:space="preserve">  </w:t>
            </w:r>
            <w:r w:rsidR="0035073D" w:rsidRPr="0035073D">
              <w:rPr>
                <w:rFonts w:cs="David" w:hint="cs"/>
                <w:sz w:val="28"/>
                <w:szCs w:val="28"/>
                <w:rtl/>
              </w:rPr>
              <w:t>שופט</w:t>
            </w:r>
            <w:r w:rsidR="00FD7522">
              <w:rPr>
                <w:rFonts w:cs="David" w:hint="cs"/>
                <w:sz w:val="28"/>
                <w:szCs w:val="28"/>
                <w:rtl/>
              </w:rPr>
              <w:t>ת</w:t>
            </w:r>
          </w:p>
        </w:tc>
      </w:tr>
    </w:tbl>
    <w:p w14:paraId="0E108106" w14:textId="2624FDB6" w:rsidR="0035073D" w:rsidRDefault="0035073D" w:rsidP="0035073D">
      <w:pPr>
        <w:spacing w:after="160" w:line="259" w:lineRule="auto"/>
        <w:jc w:val="both"/>
        <w:rPr>
          <w:rFonts w:ascii="Tahoma" w:hAnsi="Tahoma" w:cs="David"/>
          <w:sz w:val="28"/>
          <w:szCs w:val="28"/>
          <w:rtl/>
        </w:rPr>
      </w:pPr>
      <w:r w:rsidRPr="0035073D">
        <w:rPr>
          <w:rFonts w:cs="David" w:hint="cs"/>
          <w:sz w:val="28"/>
          <w:szCs w:val="28"/>
          <w:rtl/>
        </w:rPr>
        <w:t>בעניין:</w:t>
      </w:r>
    </w:p>
    <w:p w14:paraId="74260462" w14:textId="77777777" w:rsidR="0019586B" w:rsidRPr="0035073D" w:rsidRDefault="0019586B" w:rsidP="0035073D">
      <w:pPr>
        <w:spacing w:after="160" w:line="259" w:lineRule="auto"/>
        <w:jc w:val="both"/>
        <w:rPr>
          <w:rFonts w:ascii="Tahoma" w:hAnsi="Tahoma" w:cs="David"/>
          <w:sz w:val="28"/>
          <w:szCs w:val="28"/>
          <w:rtl/>
        </w:rPr>
      </w:pPr>
    </w:p>
    <w:p w14:paraId="2A328245" w14:textId="3465037B" w:rsidR="0035073D" w:rsidRPr="0035073D" w:rsidRDefault="0019586B" w:rsidP="00A6611E">
      <w:pPr>
        <w:spacing w:after="360" w:line="259" w:lineRule="auto"/>
        <w:jc w:val="center"/>
        <w:rPr>
          <w:rFonts w:ascii="Tahoma" w:hAnsi="Tahoma" w:cs="David"/>
          <w:sz w:val="28"/>
          <w:szCs w:val="28"/>
          <w:rtl/>
        </w:rPr>
      </w:pPr>
      <w:r>
        <w:rPr>
          <w:rFonts w:cs="David" w:hint="cs"/>
          <w:b/>
          <w:bCs/>
          <w:sz w:val="28"/>
          <w:szCs w:val="28"/>
          <w:rtl/>
        </w:rPr>
        <w:t>ב/</w:t>
      </w:r>
      <w:r w:rsidR="00A6611E">
        <w:rPr>
          <w:rFonts w:cs="David" w:hint="cs"/>
          <w:b/>
          <w:bCs/>
          <w:sz w:val="28"/>
          <w:szCs w:val="28"/>
          <w:rtl/>
        </w:rPr>
        <w:t>*******</w:t>
      </w:r>
      <w:r>
        <w:rPr>
          <w:rFonts w:cs="David" w:hint="cs"/>
          <w:b/>
          <w:bCs/>
          <w:sz w:val="28"/>
          <w:szCs w:val="28"/>
          <w:rtl/>
        </w:rPr>
        <w:t xml:space="preserve"> רס"ר </w:t>
      </w:r>
      <w:r w:rsidR="00A6611E">
        <w:rPr>
          <w:rFonts w:cs="David" w:hint="cs"/>
          <w:b/>
          <w:bCs/>
          <w:sz w:val="28"/>
          <w:szCs w:val="28"/>
          <w:rtl/>
        </w:rPr>
        <w:t xml:space="preserve">א' ש' </w:t>
      </w:r>
      <w:r w:rsidR="00BA6258">
        <w:rPr>
          <w:rFonts w:cs="David" w:hint="cs"/>
          <w:b/>
          <w:bCs/>
          <w:sz w:val="28"/>
          <w:szCs w:val="28"/>
          <w:rtl/>
        </w:rPr>
        <w:t xml:space="preserve"> </w:t>
      </w:r>
      <w:r w:rsidR="0035073D" w:rsidRPr="0035073D">
        <w:rPr>
          <w:rFonts w:cs="David"/>
          <w:b/>
          <w:bCs/>
          <w:sz w:val="28"/>
          <w:szCs w:val="28"/>
          <w:rtl/>
        </w:rPr>
        <w:t>–</w:t>
      </w:r>
      <w:r w:rsidR="0035073D" w:rsidRPr="0035073D">
        <w:rPr>
          <w:rFonts w:cs="David"/>
          <w:sz w:val="28"/>
          <w:szCs w:val="28"/>
          <w:rtl/>
        </w:rPr>
        <w:t xml:space="preserve"> </w:t>
      </w:r>
      <w:r w:rsidR="0035073D" w:rsidRPr="0035073D">
        <w:rPr>
          <w:rFonts w:cs="David" w:hint="cs"/>
          <w:sz w:val="28"/>
          <w:szCs w:val="28"/>
          <w:rtl/>
        </w:rPr>
        <w:t>המערער</w:t>
      </w:r>
      <w:r w:rsidR="0035073D" w:rsidRPr="0035073D">
        <w:rPr>
          <w:rFonts w:cs="David"/>
          <w:sz w:val="28"/>
          <w:szCs w:val="28"/>
          <w:rtl/>
        </w:rPr>
        <w:t xml:space="preserve"> (ע"י ב"כ,</w:t>
      </w:r>
      <w:r w:rsidR="0035073D" w:rsidRPr="0035073D">
        <w:rPr>
          <w:rFonts w:cs="David" w:hint="cs"/>
          <w:sz w:val="28"/>
          <w:szCs w:val="28"/>
          <w:rtl/>
        </w:rPr>
        <w:t xml:space="preserve"> </w:t>
      </w:r>
      <w:r>
        <w:rPr>
          <w:rFonts w:cs="David" w:hint="cs"/>
          <w:sz w:val="28"/>
          <w:szCs w:val="28"/>
          <w:rtl/>
        </w:rPr>
        <w:t>עו"ד עדי אייזנר</w:t>
      </w:r>
      <w:r w:rsidR="0035073D" w:rsidRPr="0035073D">
        <w:rPr>
          <w:rFonts w:cs="David"/>
          <w:sz w:val="28"/>
          <w:szCs w:val="28"/>
          <w:rtl/>
        </w:rPr>
        <w:t>)</w:t>
      </w:r>
    </w:p>
    <w:p w14:paraId="6EBC68A8" w14:textId="046AD247" w:rsidR="0035073D" w:rsidRDefault="0035073D" w:rsidP="00A6611E">
      <w:pPr>
        <w:spacing w:after="360" w:line="259" w:lineRule="auto"/>
        <w:jc w:val="center"/>
        <w:rPr>
          <w:rFonts w:ascii="Tahoma" w:hAnsi="Tahoma" w:cs="David"/>
          <w:sz w:val="28"/>
          <w:szCs w:val="28"/>
          <w:rtl/>
        </w:rPr>
      </w:pPr>
      <w:r w:rsidRPr="0035073D">
        <w:rPr>
          <w:rFonts w:cs="David"/>
          <w:b/>
          <w:bCs/>
          <w:sz w:val="28"/>
          <w:szCs w:val="28"/>
          <w:rtl/>
        </w:rPr>
        <w:t>נ ג ד</w:t>
      </w:r>
    </w:p>
    <w:p w14:paraId="1111A4CB" w14:textId="77777777" w:rsidR="00A6611E" w:rsidRPr="0035073D" w:rsidRDefault="00A6611E" w:rsidP="00A6611E">
      <w:pPr>
        <w:spacing w:after="360" w:line="259" w:lineRule="auto"/>
        <w:jc w:val="center"/>
        <w:rPr>
          <w:rFonts w:ascii="Tahoma" w:hAnsi="Tahoma" w:cs="David"/>
          <w:sz w:val="28"/>
          <w:szCs w:val="28"/>
          <w:rtl/>
        </w:rPr>
      </w:pPr>
    </w:p>
    <w:p w14:paraId="4D07DBD5" w14:textId="22434560" w:rsidR="0035073D" w:rsidRDefault="0019586B" w:rsidP="00A6611E">
      <w:pPr>
        <w:spacing w:after="160" w:line="259" w:lineRule="auto"/>
        <w:jc w:val="center"/>
        <w:rPr>
          <w:rFonts w:cs="Arial"/>
          <w:sz w:val="22"/>
          <w:szCs w:val="22"/>
          <w:rtl/>
        </w:rPr>
      </w:pPr>
      <w:r w:rsidRPr="0035073D">
        <w:rPr>
          <w:rFonts w:ascii="David" w:hAnsi="David" w:cs="David" w:hint="cs"/>
          <w:b/>
          <w:bCs/>
          <w:sz w:val="28"/>
          <w:szCs w:val="28"/>
          <w:rtl/>
        </w:rPr>
        <w:t>התובע הצבאי הראשי</w:t>
      </w:r>
      <w:r w:rsidRPr="0035073D">
        <w:rPr>
          <w:rFonts w:cs="David"/>
          <w:b/>
          <w:bCs/>
          <w:sz w:val="28"/>
          <w:szCs w:val="28"/>
          <w:rtl/>
        </w:rPr>
        <w:t xml:space="preserve"> </w:t>
      </w:r>
      <w:r w:rsidR="0035073D" w:rsidRPr="0035073D">
        <w:rPr>
          <w:rFonts w:cs="David"/>
          <w:b/>
          <w:bCs/>
          <w:sz w:val="28"/>
          <w:szCs w:val="28"/>
          <w:rtl/>
        </w:rPr>
        <w:t>–</w:t>
      </w:r>
      <w:r w:rsidR="0035073D" w:rsidRPr="0035073D">
        <w:rPr>
          <w:rFonts w:cs="David"/>
          <w:sz w:val="28"/>
          <w:szCs w:val="28"/>
          <w:rtl/>
        </w:rPr>
        <w:t xml:space="preserve"> המ</w:t>
      </w:r>
      <w:r w:rsidR="0035073D" w:rsidRPr="0035073D">
        <w:rPr>
          <w:rFonts w:cs="David" w:hint="cs"/>
          <w:sz w:val="28"/>
          <w:szCs w:val="28"/>
          <w:rtl/>
        </w:rPr>
        <w:t>שיב</w:t>
      </w:r>
      <w:r w:rsidR="0035073D" w:rsidRPr="0035073D">
        <w:rPr>
          <w:rFonts w:cs="David"/>
          <w:sz w:val="28"/>
          <w:szCs w:val="28"/>
          <w:rtl/>
        </w:rPr>
        <w:t xml:space="preserve"> (ע"י ב"כ</w:t>
      </w:r>
      <w:r w:rsidR="0035073D" w:rsidRPr="0035073D">
        <w:rPr>
          <w:rFonts w:cs="David" w:hint="cs"/>
          <w:sz w:val="28"/>
          <w:szCs w:val="28"/>
          <w:rtl/>
        </w:rPr>
        <w:t xml:space="preserve">, </w:t>
      </w:r>
      <w:r>
        <w:rPr>
          <w:rFonts w:cs="David" w:hint="cs"/>
          <w:sz w:val="28"/>
          <w:szCs w:val="28"/>
          <w:rtl/>
        </w:rPr>
        <w:t>רס"ן מאשה יודקין</w:t>
      </w:r>
      <w:r w:rsidR="0035073D" w:rsidRPr="0035073D">
        <w:rPr>
          <w:rFonts w:cs="David"/>
          <w:sz w:val="28"/>
          <w:szCs w:val="28"/>
          <w:rtl/>
        </w:rPr>
        <w:t>)</w:t>
      </w:r>
    </w:p>
    <w:p w14:paraId="2B248DEA" w14:textId="77777777" w:rsidR="00A6611E" w:rsidRDefault="00A6611E" w:rsidP="00A6611E">
      <w:pPr>
        <w:spacing w:after="160" w:line="259" w:lineRule="auto"/>
        <w:jc w:val="center"/>
        <w:rPr>
          <w:rFonts w:cs="Arial"/>
          <w:sz w:val="22"/>
          <w:szCs w:val="22"/>
          <w:rtl/>
        </w:rPr>
      </w:pPr>
    </w:p>
    <w:p w14:paraId="6D3D1258" w14:textId="62548E90" w:rsidR="0019586B" w:rsidRDefault="0019586B" w:rsidP="00A6611E">
      <w:pPr>
        <w:spacing w:after="160" w:line="259" w:lineRule="auto"/>
        <w:jc w:val="center"/>
        <w:rPr>
          <w:rFonts w:ascii="Tahoma" w:hAnsi="Tahoma" w:cs="David"/>
          <w:sz w:val="28"/>
          <w:szCs w:val="28"/>
          <w:rtl/>
        </w:rPr>
      </w:pPr>
      <w:r>
        <w:rPr>
          <w:rFonts w:cs="David" w:hint="cs"/>
          <w:sz w:val="28"/>
          <w:szCs w:val="28"/>
          <w:rtl/>
        </w:rPr>
        <w:t>וב</w:t>
      </w:r>
      <w:r w:rsidRPr="0035073D">
        <w:rPr>
          <w:rFonts w:cs="David" w:hint="cs"/>
          <w:sz w:val="28"/>
          <w:szCs w:val="28"/>
          <w:rtl/>
        </w:rPr>
        <w:t>עניין:</w:t>
      </w:r>
    </w:p>
    <w:p w14:paraId="60EE043A" w14:textId="77777777" w:rsidR="0019586B" w:rsidRPr="0035073D" w:rsidRDefault="0019586B" w:rsidP="00A6611E">
      <w:pPr>
        <w:spacing w:after="160" w:line="259" w:lineRule="auto"/>
        <w:jc w:val="center"/>
        <w:rPr>
          <w:rFonts w:ascii="Tahoma" w:hAnsi="Tahoma" w:cs="David"/>
          <w:sz w:val="28"/>
          <w:szCs w:val="28"/>
          <w:rtl/>
        </w:rPr>
      </w:pPr>
    </w:p>
    <w:p w14:paraId="49F1AB8B" w14:textId="09C9367D" w:rsidR="0019586B" w:rsidRDefault="0019586B" w:rsidP="00A6611E">
      <w:pPr>
        <w:spacing w:after="160" w:line="259" w:lineRule="auto"/>
        <w:jc w:val="center"/>
        <w:rPr>
          <w:rFonts w:cs="Arial"/>
          <w:sz w:val="22"/>
          <w:szCs w:val="22"/>
          <w:rtl/>
        </w:rPr>
      </w:pPr>
      <w:r w:rsidRPr="0035073D">
        <w:rPr>
          <w:rFonts w:ascii="David" w:hAnsi="David" w:cs="David" w:hint="cs"/>
          <w:b/>
          <w:bCs/>
          <w:sz w:val="28"/>
          <w:szCs w:val="28"/>
          <w:rtl/>
        </w:rPr>
        <w:t>התובע הצבאי הראשי</w:t>
      </w:r>
      <w:r w:rsidRPr="0035073D">
        <w:rPr>
          <w:rFonts w:cs="David"/>
          <w:b/>
          <w:bCs/>
          <w:sz w:val="28"/>
          <w:szCs w:val="28"/>
          <w:rtl/>
        </w:rPr>
        <w:t xml:space="preserve"> –</w:t>
      </w:r>
      <w:r w:rsidRPr="0035073D">
        <w:rPr>
          <w:rFonts w:cs="David"/>
          <w:sz w:val="28"/>
          <w:szCs w:val="28"/>
          <w:rtl/>
        </w:rPr>
        <w:t xml:space="preserve"> המ</w:t>
      </w:r>
      <w:r>
        <w:rPr>
          <w:rFonts w:cs="David" w:hint="cs"/>
          <w:sz w:val="28"/>
          <w:szCs w:val="28"/>
          <w:rtl/>
        </w:rPr>
        <w:t>ערער</w:t>
      </w:r>
      <w:r w:rsidRPr="0035073D">
        <w:rPr>
          <w:rFonts w:cs="David"/>
          <w:sz w:val="28"/>
          <w:szCs w:val="28"/>
          <w:rtl/>
        </w:rPr>
        <w:t xml:space="preserve"> (ע"י ב"כ</w:t>
      </w:r>
      <w:r w:rsidRPr="0035073D">
        <w:rPr>
          <w:rFonts w:cs="David" w:hint="cs"/>
          <w:sz w:val="28"/>
          <w:szCs w:val="28"/>
          <w:rtl/>
        </w:rPr>
        <w:t xml:space="preserve">, </w:t>
      </w:r>
      <w:r>
        <w:rPr>
          <w:rFonts w:cs="David" w:hint="cs"/>
          <w:sz w:val="28"/>
          <w:szCs w:val="28"/>
          <w:rtl/>
        </w:rPr>
        <w:t>רס"ן מאשה יודקין</w:t>
      </w:r>
      <w:r w:rsidRPr="0035073D">
        <w:rPr>
          <w:rFonts w:cs="David"/>
          <w:sz w:val="28"/>
          <w:szCs w:val="28"/>
          <w:rtl/>
        </w:rPr>
        <w:t>)</w:t>
      </w:r>
    </w:p>
    <w:p w14:paraId="3C31120B" w14:textId="77777777" w:rsidR="00A6611E" w:rsidRPr="0035073D" w:rsidRDefault="00A6611E" w:rsidP="00A6611E">
      <w:pPr>
        <w:spacing w:after="160" w:line="259" w:lineRule="auto"/>
        <w:jc w:val="center"/>
        <w:rPr>
          <w:rFonts w:cs="Arial"/>
          <w:sz w:val="22"/>
          <w:szCs w:val="22"/>
          <w:rtl/>
        </w:rPr>
      </w:pPr>
    </w:p>
    <w:p w14:paraId="7EC08392" w14:textId="3A8466DC" w:rsidR="00A6611E" w:rsidRPr="0035073D" w:rsidRDefault="0019586B" w:rsidP="00A6611E">
      <w:pPr>
        <w:spacing w:after="360" w:line="259" w:lineRule="auto"/>
        <w:jc w:val="center"/>
        <w:rPr>
          <w:rFonts w:ascii="Tahoma" w:hAnsi="Tahoma" w:cs="David"/>
          <w:sz w:val="28"/>
          <w:szCs w:val="28"/>
          <w:rtl/>
        </w:rPr>
      </w:pPr>
      <w:r w:rsidRPr="0035073D">
        <w:rPr>
          <w:rFonts w:cs="David"/>
          <w:b/>
          <w:bCs/>
          <w:sz w:val="28"/>
          <w:szCs w:val="28"/>
          <w:rtl/>
        </w:rPr>
        <w:t>נ ג ד</w:t>
      </w:r>
    </w:p>
    <w:p w14:paraId="0C9FE5BC" w14:textId="073C1F3F" w:rsidR="0019586B" w:rsidRPr="0035073D" w:rsidRDefault="0019586B" w:rsidP="00A6611E">
      <w:pPr>
        <w:spacing w:after="360" w:line="259" w:lineRule="auto"/>
        <w:jc w:val="center"/>
        <w:rPr>
          <w:rFonts w:ascii="Tahoma" w:hAnsi="Tahoma" w:cs="David"/>
          <w:sz w:val="28"/>
          <w:szCs w:val="28"/>
          <w:rtl/>
        </w:rPr>
      </w:pPr>
      <w:r>
        <w:rPr>
          <w:rFonts w:cs="David" w:hint="cs"/>
          <w:b/>
          <w:bCs/>
          <w:sz w:val="28"/>
          <w:szCs w:val="28"/>
          <w:rtl/>
        </w:rPr>
        <w:t>ב/</w:t>
      </w:r>
      <w:r w:rsidR="00A6611E">
        <w:rPr>
          <w:rFonts w:cs="David" w:hint="cs"/>
          <w:b/>
          <w:bCs/>
          <w:sz w:val="28"/>
          <w:szCs w:val="28"/>
          <w:rtl/>
        </w:rPr>
        <w:t>*******</w:t>
      </w:r>
      <w:r>
        <w:rPr>
          <w:rFonts w:cs="David" w:hint="cs"/>
          <w:b/>
          <w:bCs/>
          <w:sz w:val="28"/>
          <w:szCs w:val="28"/>
          <w:rtl/>
        </w:rPr>
        <w:t xml:space="preserve"> רס"ר </w:t>
      </w:r>
      <w:r w:rsidR="00A6611E">
        <w:rPr>
          <w:rFonts w:cs="David" w:hint="cs"/>
          <w:b/>
          <w:bCs/>
          <w:sz w:val="28"/>
          <w:szCs w:val="28"/>
          <w:rtl/>
        </w:rPr>
        <w:t xml:space="preserve">א' ש' </w:t>
      </w:r>
      <w:r w:rsidR="00BA6258">
        <w:rPr>
          <w:rFonts w:cs="David" w:hint="cs"/>
          <w:b/>
          <w:bCs/>
          <w:sz w:val="28"/>
          <w:szCs w:val="28"/>
          <w:rtl/>
        </w:rPr>
        <w:t xml:space="preserve"> </w:t>
      </w:r>
      <w:r w:rsidRPr="0035073D">
        <w:rPr>
          <w:rFonts w:cs="David"/>
          <w:b/>
          <w:bCs/>
          <w:sz w:val="28"/>
          <w:szCs w:val="28"/>
          <w:rtl/>
        </w:rPr>
        <w:t>–</w:t>
      </w:r>
      <w:r w:rsidRPr="0035073D">
        <w:rPr>
          <w:rFonts w:cs="David"/>
          <w:sz w:val="28"/>
          <w:szCs w:val="28"/>
          <w:rtl/>
        </w:rPr>
        <w:t xml:space="preserve"> </w:t>
      </w:r>
      <w:r w:rsidRPr="0035073D">
        <w:rPr>
          <w:rFonts w:cs="David" w:hint="cs"/>
          <w:sz w:val="28"/>
          <w:szCs w:val="28"/>
          <w:rtl/>
        </w:rPr>
        <w:t>המ</w:t>
      </w:r>
      <w:r>
        <w:rPr>
          <w:rFonts w:cs="David" w:hint="cs"/>
          <w:sz w:val="28"/>
          <w:szCs w:val="28"/>
          <w:rtl/>
        </w:rPr>
        <w:t>שיב</w:t>
      </w:r>
      <w:r w:rsidRPr="0035073D">
        <w:rPr>
          <w:rFonts w:cs="David"/>
          <w:sz w:val="28"/>
          <w:szCs w:val="28"/>
          <w:rtl/>
        </w:rPr>
        <w:t xml:space="preserve"> (ע"י ב"כ,</w:t>
      </w:r>
      <w:r w:rsidRPr="0035073D">
        <w:rPr>
          <w:rFonts w:cs="David" w:hint="cs"/>
          <w:sz w:val="28"/>
          <w:szCs w:val="28"/>
          <w:rtl/>
        </w:rPr>
        <w:t xml:space="preserve"> </w:t>
      </w:r>
      <w:r>
        <w:rPr>
          <w:rFonts w:cs="David" w:hint="cs"/>
          <w:sz w:val="28"/>
          <w:szCs w:val="28"/>
          <w:rtl/>
        </w:rPr>
        <w:t>עו"ד עדי אייזנר</w:t>
      </w:r>
      <w:r w:rsidRPr="0035073D">
        <w:rPr>
          <w:rFonts w:cs="David"/>
          <w:sz w:val="28"/>
          <w:szCs w:val="28"/>
          <w:rtl/>
        </w:rPr>
        <w:t>)</w:t>
      </w:r>
    </w:p>
    <w:p w14:paraId="627930EB" w14:textId="4647EBBC" w:rsidR="00A6611E" w:rsidRPr="00BA6258" w:rsidRDefault="0035073D" w:rsidP="00A6611E">
      <w:pPr>
        <w:spacing w:before="600" w:after="480" w:line="360" w:lineRule="auto"/>
        <w:jc w:val="both"/>
        <w:rPr>
          <w:rFonts w:cs="David"/>
          <w:sz w:val="28"/>
          <w:szCs w:val="28"/>
          <w:rtl/>
        </w:rPr>
      </w:pPr>
      <w:r w:rsidRPr="0035073D">
        <w:rPr>
          <w:rFonts w:cs="David"/>
          <w:sz w:val="28"/>
          <w:szCs w:val="28"/>
          <w:rtl/>
        </w:rPr>
        <w:t>ערעור על פסק</w:t>
      </w:r>
      <w:r w:rsidRPr="0035073D">
        <w:rPr>
          <w:rFonts w:cs="David" w:hint="cs"/>
          <w:sz w:val="28"/>
          <w:szCs w:val="28"/>
          <w:rtl/>
        </w:rPr>
        <w:t xml:space="preserve"> </w:t>
      </w:r>
      <w:r w:rsidRPr="0035073D">
        <w:rPr>
          <w:rFonts w:cs="David"/>
          <w:sz w:val="28"/>
          <w:szCs w:val="28"/>
          <w:rtl/>
        </w:rPr>
        <w:t>דין של בית הדין הצבאי המחוזי במחוז שיפוט</w:t>
      </w:r>
      <w:r w:rsidRPr="0035073D">
        <w:rPr>
          <w:rFonts w:cs="David" w:hint="cs"/>
          <w:sz w:val="28"/>
          <w:szCs w:val="28"/>
          <w:rtl/>
        </w:rPr>
        <w:t>י</w:t>
      </w:r>
      <w:r w:rsidRPr="0035073D">
        <w:rPr>
          <w:rFonts w:cs="David"/>
          <w:sz w:val="28"/>
          <w:szCs w:val="28"/>
          <w:rtl/>
        </w:rPr>
        <w:t xml:space="preserve"> </w:t>
      </w:r>
      <w:r w:rsidR="0019586B">
        <w:rPr>
          <w:rFonts w:cs="David" w:hint="cs"/>
          <w:sz w:val="28"/>
          <w:szCs w:val="28"/>
          <w:rtl/>
        </w:rPr>
        <w:t>חיל הים</w:t>
      </w:r>
      <w:r w:rsidRPr="0035073D">
        <w:rPr>
          <w:rFonts w:cs="David" w:hint="cs"/>
          <w:sz w:val="28"/>
          <w:szCs w:val="28"/>
          <w:rtl/>
        </w:rPr>
        <w:t xml:space="preserve"> </w:t>
      </w:r>
      <w:r w:rsidRPr="0035073D">
        <w:rPr>
          <w:rFonts w:cs="David"/>
          <w:sz w:val="28"/>
          <w:szCs w:val="28"/>
          <w:rtl/>
        </w:rPr>
        <w:t>שניתן בתיק</w:t>
      </w:r>
      <w:r w:rsidRPr="0035073D">
        <w:rPr>
          <w:rFonts w:cs="David" w:hint="cs"/>
          <w:sz w:val="28"/>
          <w:szCs w:val="28"/>
          <w:rtl/>
        </w:rPr>
        <w:t xml:space="preserve"> </w:t>
      </w:r>
      <w:r w:rsidR="0019586B">
        <w:rPr>
          <w:rFonts w:cs="David" w:hint="cs"/>
          <w:sz w:val="28"/>
          <w:szCs w:val="28"/>
          <w:rtl/>
        </w:rPr>
        <w:t>ח"י</w:t>
      </w:r>
      <w:r w:rsidRPr="0035073D">
        <w:rPr>
          <w:rFonts w:cs="David" w:hint="cs"/>
          <w:sz w:val="28"/>
          <w:szCs w:val="28"/>
          <w:rtl/>
        </w:rPr>
        <w:t xml:space="preserve"> (מחוזי) </w:t>
      </w:r>
      <w:r w:rsidR="0019586B">
        <w:rPr>
          <w:rFonts w:cs="David" w:hint="cs"/>
          <w:sz w:val="28"/>
          <w:szCs w:val="28"/>
          <w:rtl/>
        </w:rPr>
        <w:t>19/20</w:t>
      </w:r>
      <w:r w:rsidRPr="0035073D">
        <w:rPr>
          <w:rFonts w:cs="David" w:hint="cs"/>
          <w:sz w:val="28"/>
          <w:szCs w:val="28"/>
          <w:rtl/>
        </w:rPr>
        <w:t xml:space="preserve"> </w:t>
      </w:r>
      <w:r w:rsidRPr="0035073D">
        <w:rPr>
          <w:rFonts w:cs="David"/>
          <w:sz w:val="28"/>
          <w:szCs w:val="28"/>
          <w:rtl/>
        </w:rPr>
        <w:t>(</w:t>
      </w:r>
      <w:r w:rsidRPr="0035073D">
        <w:rPr>
          <w:rFonts w:cs="David" w:hint="cs"/>
          <w:sz w:val="28"/>
          <w:szCs w:val="28"/>
          <w:rtl/>
        </w:rPr>
        <w:t xml:space="preserve">אל"ם </w:t>
      </w:r>
      <w:r w:rsidR="00BA6258">
        <w:rPr>
          <w:rFonts w:cs="David" w:hint="cs"/>
          <w:sz w:val="28"/>
          <w:szCs w:val="28"/>
          <w:rtl/>
        </w:rPr>
        <w:t>טלי פריד</w:t>
      </w:r>
      <w:r w:rsidRPr="0035073D">
        <w:rPr>
          <w:rFonts w:cs="David" w:hint="cs"/>
          <w:sz w:val="28"/>
          <w:szCs w:val="28"/>
          <w:rtl/>
        </w:rPr>
        <w:t xml:space="preserve"> </w:t>
      </w:r>
      <w:r w:rsidRPr="0035073D">
        <w:rPr>
          <w:rFonts w:cs="David"/>
          <w:sz w:val="28"/>
          <w:szCs w:val="28"/>
          <w:rtl/>
        </w:rPr>
        <w:t>–</w:t>
      </w:r>
      <w:r w:rsidRPr="0035073D">
        <w:rPr>
          <w:rFonts w:cs="David" w:hint="cs"/>
          <w:sz w:val="28"/>
          <w:szCs w:val="28"/>
          <w:rtl/>
        </w:rPr>
        <w:t xml:space="preserve"> </w:t>
      </w:r>
      <w:r w:rsidR="00BA6258">
        <w:rPr>
          <w:rFonts w:cs="David" w:hint="cs"/>
          <w:sz w:val="28"/>
          <w:szCs w:val="28"/>
          <w:rtl/>
        </w:rPr>
        <w:t>אב"ד; סא"ל</w:t>
      </w:r>
      <w:r w:rsidR="00547F20">
        <w:rPr>
          <w:rFonts w:cs="David" w:hint="cs"/>
          <w:sz w:val="28"/>
          <w:szCs w:val="28"/>
          <w:rtl/>
        </w:rPr>
        <w:t xml:space="preserve"> (</w:t>
      </w:r>
      <w:r w:rsidR="00FD7522">
        <w:rPr>
          <w:rFonts w:cs="David" w:hint="cs"/>
          <w:sz w:val="28"/>
          <w:szCs w:val="28"/>
          <w:rtl/>
        </w:rPr>
        <w:t>כתוארו אז</w:t>
      </w:r>
      <w:r w:rsidR="00547F20">
        <w:rPr>
          <w:rFonts w:cs="David" w:hint="cs"/>
          <w:sz w:val="28"/>
          <w:szCs w:val="28"/>
          <w:rtl/>
        </w:rPr>
        <w:t>)</w:t>
      </w:r>
      <w:r w:rsidR="00FD7522">
        <w:rPr>
          <w:rFonts w:cs="David" w:hint="cs"/>
          <w:sz w:val="28"/>
          <w:szCs w:val="28"/>
          <w:rtl/>
        </w:rPr>
        <w:t xml:space="preserve"> </w:t>
      </w:r>
      <w:r w:rsidR="00BA6258">
        <w:rPr>
          <w:rFonts w:cs="David" w:hint="cs"/>
          <w:sz w:val="28"/>
          <w:szCs w:val="28"/>
          <w:rtl/>
        </w:rPr>
        <w:t xml:space="preserve">מאיר ויגיסר </w:t>
      </w:r>
      <w:r w:rsidR="00BA6258">
        <w:rPr>
          <w:rFonts w:cs="David"/>
          <w:sz w:val="28"/>
          <w:szCs w:val="28"/>
          <w:rtl/>
        </w:rPr>
        <w:t>–</w:t>
      </w:r>
      <w:r w:rsidR="00BA6258">
        <w:rPr>
          <w:rFonts w:cs="David" w:hint="cs"/>
          <w:sz w:val="28"/>
          <w:szCs w:val="28"/>
          <w:rtl/>
        </w:rPr>
        <w:t xml:space="preserve"> שופט; רס"ן הדס הראל - שופטת</w:t>
      </w:r>
      <w:r w:rsidRPr="0035073D">
        <w:rPr>
          <w:rFonts w:cs="David"/>
          <w:sz w:val="28"/>
          <w:szCs w:val="28"/>
          <w:rtl/>
        </w:rPr>
        <w:t>) ב</w:t>
      </w:r>
      <w:r w:rsidRPr="0035073D">
        <w:rPr>
          <w:rFonts w:cs="David" w:hint="cs"/>
          <w:sz w:val="28"/>
          <w:szCs w:val="28"/>
          <w:rtl/>
        </w:rPr>
        <w:t xml:space="preserve">יום </w:t>
      </w:r>
      <w:r w:rsidR="00BA6258">
        <w:rPr>
          <w:rFonts w:cs="David" w:hint="cs"/>
          <w:sz w:val="28"/>
          <w:szCs w:val="28"/>
          <w:rtl/>
        </w:rPr>
        <w:t>13.9.2021</w:t>
      </w:r>
      <w:r w:rsidRPr="0035073D">
        <w:rPr>
          <w:rFonts w:cs="David"/>
          <w:sz w:val="28"/>
          <w:szCs w:val="28"/>
          <w:rtl/>
        </w:rPr>
        <w:t xml:space="preserve">. </w:t>
      </w:r>
      <w:r w:rsidR="0019586B">
        <w:rPr>
          <w:rFonts w:cs="David" w:hint="cs"/>
          <w:sz w:val="28"/>
          <w:szCs w:val="28"/>
          <w:rtl/>
        </w:rPr>
        <w:t>ערעור ההגנה</w:t>
      </w:r>
      <w:r w:rsidRPr="0035073D">
        <w:rPr>
          <w:rFonts w:cs="David" w:hint="cs"/>
          <w:sz w:val="28"/>
          <w:szCs w:val="28"/>
          <w:rtl/>
        </w:rPr>
        <w:t xml:space="preserve"> (</w:t>
      </w:r>
      <w:r w:rsidR="0019586B">
        <w:rPr>
          <w:rFonts w:cs="David" w:hint="cs"/>
          <w:sz w:val="28"/>
          <w:szCs w:val="28"/>
          <w:rtl/>
        </w:rPr>
        <w:t xml:space="preserve">הכרעת הדין </w:t>
      </w:r>
      <w:r w:rsidR="00EE3D55">
        <w:rPr>
          <w:rFonts w:cs="David" w:hint="cs"/>
          <w:sz w:val="28"/>
          <w:szCs w:val="28"/>
          <w:rtl/>
        </w:rPr>
        <w:t>ו</w:t>
      </w:r>
      <w:r w:rsidR="0019586B">
        <w:rPr>
          <w:rFonts w:cs="David" w:hint="cs"/>
          <w:sz w:val="28"/>
          <w:szCs w:val="28"/>
          <w:rtl/>
        </w:rPr>
        <w:t>חומרת העונש</w:t>
      </w:r>
      <w:r w:rsidRPr="0035073D">
        <w:rPr>
          <w:rFonts w:cs="David"/>
          <w:sz w:val="28"/>
          <w:szCs w:val="28"/>
          <w:rtl/>
        </w:rPr>
        <w:t>)</w:t>
      </w:r>
      <w:r w:rsidRPr="0035073D">
        <w:rPr>
          <w:rFonts w:cs="David" w:hint="cs"/>
          <w:sz w:val="28"/>
          <w:szCs w:val="28"/>
          <w:rtl/>
        </w:rPr>
        <w:t xml:space="preserve"> </w:t>
      </w:r>
      <w:r w:rsidR="0019586B">
        <w:rPr>
          <w:rFonts w:cs="David" w:hint="cs"/>
          <w:sz w:val="28"/>
          <w:szCs w:val="28"/>
          <w:rtl/>
        </w:rPr>
        <w:t>נדחה;</w:t>
      </w:r>
      <w:r w:rsidR="0019586B" w:rsidRPr="0019586B">
        <w:rPr>
          <w:rFonts w:cs="David" w:hint="cs"/>
          <w:sz w:val="28"/>
          <w:szCs w:val="28"/>
          <w:rtl/>
        </w:rPr>
        <w:t xml:space="preserve"> </w:t>
      </w:r>
      <w:r w:rsidR="0019586B">
        <w:rPr>
          <w:rFonts w:cs="David" w:hint="cs"/>
          <w:sz w:val="28"/>
          <w:szCs w:val="28"/>
          <w:rtl/>
        </w:rPr>
        <w:t>ערעור התביעה</w:t>
      </w:r>
      <w:r w:rsidR="0019586B" w:rsidRPr="0035073D">
        <w:rPr>
          <w:rFonts w:cs="David" w:hint="cs"/>
          <w:sz w:val="28"/>
          <w:szCs w:val="28"/>
          <w:rtl/>
        </w:rPr>
        <w:t xml:space="preserve"> (</w:t>
      </w:r>
      <w:r w:rsidR="0019586B">
        <w:rPr>
          <w:rFonts w:cs="David" w:hint="cs"/>
          <w:sz w:val="28"/>
          <w:szCs w:val="28"/>
          <w:rtl/>
        </w:rPr>
        <w:t>ק</w:t>
      </w:r>
      <w:r w:rsidR="00EE3D55">
        <w:rPr>
          <w:rFonts w:cs="David" w:hint="cs"/>
          <w:sz w:val="28"/>
          <w:szCs w:val="28"/>
          <w:rtl/>
        </w:rPr>
        <w:t>ולת</w:t>
      </w:r>
      <w:r w:rsidR="0019586B">
        <w:rPr>
          <w:rFonts w:cs="David" w:hint="cs"/>
          <w:sz w:val="28"/>
          <w:szCs w:val="28"/>
          <w:rtl/>
        </w:rPr>
        <w:t xml:space="preserve"> העונש</w:t>
      </w:r>
      <w:r w:rsidR="0019586B" w:rsidRPr="0035073D">
        <w:rPr>
          <w:rFonts w:cs="David"/>
          <w:sz w:val="28"/>
          <w:szCs w:val="28"/>
          <w:rtl/>
        </w:rPr>
        <w:t>)</w:t>
      </w:r>
      <w:r w:rsidR="001A2612">
        <w:rPr>
          <w:rFonts w:cs="David" w:hint="cs"/>
          <w:sz w:val="28"/>
          <w:szCs w:val="28"/>
          <w:rtl/>
        </w:rPr>
        <w:t>0</w:t>
      </w:r>
      <w:r w:rsidR="0019586B" w:rsidRPr="0035073D">
        <w:rPr>
          <w:rFonts w:cs="David" w:hint="cs"/>
          <w:sz w:val="28"/>
          <w:szCs w:val="28"/>
          <w:rtl/>
        </w:rPr>
        <w:t xml:space="preserve"> </w:t>
      </w:r>
      <w:r w:rsidR="0019586B">
        <w:rPr>
          <w:rFonts w:cs="David" w:hint="cs"/>
          <w:sz w:val="28"/>
          <w:szCs w:val="28"/>
          <w:rtl/>
        </w:rPr>
        <w:t xml:space="preserve">התקבל </w:t>
      </w:r>
      <w:r w:rsidRPr="0035073D">
        <w:rPr>
          <w:rFonts w:cs="David" w:hint="cs"/>
          <w:sz w:val="28"/>
          <w:szCs w:val="28"/>
          <w:rtl/>
        </w:rPr>
        <w:t>.</w:t>
      </w:r>
    </w:p>
    <w:p w14:paraId="10194744" w14:textId="419D6A78" w:rsidR="00FB2D20" w:rsidRDefault="00FB2D20" w:rsidP="0019586B">
      <w:pPr>
        <w:spacing w:line="360" w:lineRule="auto"/>
        <w:jc w:val="center"/>
        <w:rPr>
          <w:rFonts w:cs="David"/>
          <w:b/>
          <w:bCs/>
          <w:sz w:val="28"/>
          <w:szCs w:val="28"/>
          <w:u w:val="single"/>
          <w:rtl/>
        </w:rPr>
      </w:pPr>
      <w:r w:rsidRPr="005B6B0D">
        <w:rPr>
          <w:rFonts w:cs="David" w:hint="cs"/>
          <w:b/>
          <w:bCs/>
          <w:sz w:val="28"/>
          <w:szCs w:val="28"/>
          <w:u w:val="single"/>
          <w:rtl/>
        </w:rPr>
        <w:lastRenderedPageBreak/>
        <w:t>פ ס ק - ד י ן</w:t>
      </w:r>
    </w:p>
    <w:p w14:paraId="34CFC3B6" w14:textId="77777777" w:rsidR="00FB2D20" w:rsidRDefault="00FB2D20" w:rsidP="00FB2D20">
      <w:pPr>
        <w:spacing w:line="360" w:lineRule="auto"/>
        <w:jc w:val="both"/>
        <w:rPr>
          <w:rFonts w:cs="David"/>
          <w:b/>
          <w:bCs/>
          <w:sz w:val="28"/>
          <w:szCs w:val="28"/>
          <w:u w:val="single"/>
          <w:rtl/>
        </w:rPr>
      </w:pPr>
      <w:r w:rsidRPr="005B6B0D">
        <w:rPr>
          <w:rFonts w:cs="David" w:hint="cs"/>
          <w:b/>
          <w:bCs/>
          <w:sz w:val="28"/>
          <w:szCs w:val="28"/>
          <w:u w:val="single"/>
          <w:rtl/>
        </w:rPr>
        <w:t>רקע</w:t>
      </w:r>
    </w:p>
    <w:p w14:paraId="2193E5F3" w14:textId="77777777" w:rsidR="00FB2D20" w:rsidRDefault="00FB2D20" w:rsidP="00FB2D20">
      <w:pPr>
        <w:spacing w:line="360" w:lineRule="auto"/>
        <w:jc w:val="both"/>
        <w:rPr>
          <w:rFonts w:cs="David"/>
          <w:b/>
          <w:bCs/>
          <w:sz w:val="28"/>
          <w:szCs w:val="28"/>
          <w:u w:val="single"/>
          <w:rtl/>
        </w:rPr>
      </w:pPr>
    </w:p>
    <w:p w14:paraId="41E96408" w14:textId="2F24D8DC" w:rsidR="00FB2D20" w:rsidRPr="0091122C" w:rsidRDefault="00FB2D20" w:rsidP="009E7CF6">
      <w:pPr>
        <w:numPr>
          <w:ilvl w:val="0"/>
          <w:numId w:val="5"/>
        </w:numPr>
        <w:tabs>
          <w:tab w:val="left" w:pos="282"/>
        </w:tabs>
        <w:spacing w:line="360" w:lineRule="auto"/>
        <w:ind w:left="0" w:firstLine="0"/>
        <w:jc w:val="both"/>
        <w:rPr>
          <w:rFonts w:cs="David"/>
          <w:sz w:val="28"/>
          <w:szCs w:val="28"/>
        </w:rPr>
      </w:pPr>
      <w:r w:rsidRPr="0091122C">
        <w:rPr>
          <w:rFonts w:cs="David" w:hint="cs"/>
          <w:sz w:val="28"/>
          <w:szCs w:val="28"/>
          <w:rtl/>
        </w:rPr>
        <w:t xml:space="preserve">המערער, רס"ר </w:t>
      </w:r>
      <w:r w:rsidR="00FA4D71">
        <w:rPr>
          <w:rFonts w:cs="David" w:hint="cs"/>
          <w:sz w:val="28"/>
          <w:szCs w:val="28"/>
          <w:rtl/>
        </w:rPr>
        <w:t xml:space="preserve">א' ש' </w:t>
      </w:r>
      <w:r w:rsidRPr="0091122C">
        <w:rPr>
          <w:rFonts w:cs="David" w:hint="cs"/>
          <w:sz w:val="28"/>
          <w:szCs w:val="28"/>
          <w:rtl/>
        </w:rPr>
        <w:t>, הורשע לאחר שמיעת ראיות בעבירות של סחיטה באיומים, לפי סעיף 428 לחוק העונשין, תשל"ז - 1977, ניסיון לגרם מעשה אינוס, לפי סעי</w:t>
      </w:r>
      <w:r>
        <w:rPr>
          <w:rFonts w:cs="David" w:hint="cs"/>
          <w:sz w:val="28"/>
          <w:szCs w:val="28"/>
          <w:rtl/>
        </w:rPr>
        <w:t>פים</w:t>
      </w:r>
      <w:r w:rsidRPr="0091122C">
        <w:rPr>
          <w:rFonts w:cs="David" w:hint="cs"/>
          <w:sz w:val="28"/>
          <w:szCs w:val="28"/>
          <w:rtl/>
        </w:rPr>
        <w:t xml:space="preserve"> 345(א)(1), 350 ו-25 לחוק העונשין, הדחה בחקירה, לפי סעיף 245(ב) לחוק העונשין והתנהגות שאינה הולמת, לפי סעיף 130 לחוק השיפוט הצבאי, תשט"ו - 1955. </w:t>
      </w:r>
      <w:r>
        <w:rPr>
          <w:rFonts w:cs="David" w:hint="cs"/>
          <w:sz w:val="28"/>
          <w:szCs w:val="28"/>
          <w:rtl/>
        </w:rPr>
        <w:t>בית הדין החליט לבטל את האישום ב</w:t>
      </w:r>
      <w:r w:rsidRPr="0091122C">
        <w:rPr>
          <w:rFonts w:cs="David" w:hint="cs"/>
          <w:sz w:val="28"/>
          <w:szCs w:val="28"/>
          <w:rtl/>
        </w:rPr>
        <w:t>עבירה נוספת ש</w:t>
      </w:r>
      <w:r>
        <w:rPr>
          <w:rFonts w:cs="David" w:hint="cs"/>
          <w:sz w:val="28"/>
          <w:szCs w:val="28"/>
          <w:rtl/>
        </w:rPr>
        <w:t>יוחסה למערער</w:t>
      </w:r>
      <w:r w:rsidRPr="0091122C">
        <w:rPr>
          <w:rFonts w:cs="David" w:hint="cs"/>
          <w:sz w:val="28"/>
          <w:szCs w:val="28"/>
          <w:rtl/>
        </w:rPr>
        <w:t>, שעניינה נ</w:t>
      </w:r>
      <w:r>
        <w:rPr>
          <w:rFonts w:cs="David" w:hint="cs"/>
          <w:sz w:val="28"/>
          <w:szCs w:val="28"/>
          <w:rtl/>
        </w:rPr>
        <w:t>י</w:t>
      </w:r>
      <w:r w:rsidRPr="0091122C">
        <w:rPr>
          <w:rFonts w:cs="David" w:hint="cs"/>
          <w:sz w:val="28"/>
          <w:szCs w:val="28"/>
          <w:rtl/>
        </w:rPr>
        <w:t>סיון לגרם מעשה מגונה</w:t>
      </w:r>
      <w:r>
        <w:rPr>
          <w:rFonts w:cs="David" w:hint="cs"/>
          <w:sz w:val="28"/>
          <w:szCs w:val="28"/>
          <w:rtl/>
        </w:rPr>
        <w:t>,</w:t>
      </w:r>
      <w:r w:rsidRPr="0091122C">
        <w:rPr>
          <w:rFonts w:cs="David" w:hint="cs"/>
          <w:sz w:val="28"/>
          <w:szCs w:val="28"/>
          <w:rtl/>
        </w:rPr>
        <w:t xml:space="preserve"> </w:t>
      </w:r>
      <w:r>
        <w:rPr>
          <w:rFonts w:cs="David" w:hint="cs"/>
          <w:sz w:val="28"/>
          <w:szCs w:val="28"/>
          <w:rtl/>
        </w:rPr>
        <w:t xml:space="preserve">וכל זאת </w:t>
      </w:r>
      <w:r w:rsidRPr="0091122C">
        <w:rPr>
          <w:rFonts w:cs="David" w:hint="cs"/>
          <w:sz w:val="28"/>
          <w:szCs w:val="28"/>
          <w:rtl/>
        </w:rPr>
        <w:t>בנסיבות שיבוארו להלן. בעקבות הרשעתו של המערער, נגזר</w:t>
      </w:r>
      <w:r>
        <w:rPr>
          <w:rFonts w:cs="David" w:hint="cs"/>
          <w:sz w:val="28"/>
          <w:szCs w:val="28"/>
          <w:rtl/>
        </w:rPr>
        <w:t>ו</w:t>
      </w:r>
      <w:r w:rsidRPr="0091122C">
        <w:rPr>
          <w:rFonts w:cs="David" w:hint="cs"/>
          <w:sz w:val="28"/>
          <w:szCs w:val="28"/>
          <w:rtl/>
        </w:rPr>
        <w:t xml:space="preserve"> עליו עונש של שלוש שנות מאסר</w:t>
      </w:r>
      <w:r>
        <w:rPr>
          <w:rFonts w:cs="David" w:hint="cs"/>
          <w:sz w:val="28"/>
          <w:szCs w:val="28"/>
          <w:rtl/>
        </w:rPr>
        <w:t xml:space="preserve"> בפועל</w:t>
      </w:r>
      <w:r w:rsidRPr="0091122C">
        <w:rPr>
          <w:rFonts w:cs="David" w:hint="cs"/>
          <w:sz w:val="28"/>
          <w:szCs w:val="28"/>
          <w:rtl/>
        </w:rPr>
        <w:t>, עונשי מאסר מותנים</w:t>
      </w:r>
      <w:r>
        <w:rPr>
          <w:rFonts w:cs="David" w:hint="cs"/>
          <w:sz w:val="28"/>
          <w:szCs w:val="28"/>
          <w:rtl/>
        </w:rPr>
        <w:t xml:space="preserve"> והורדה לדרגת טוראי. </w:t>
      </w:r>
      <w:r w:rsidRPr="0091122C">
        <w:rPr>
          <w:rFonts w:cs="David" w:hint="cs"/>
          <w:sz w:val="28"/>
          <w:szCs w:val="28"/>
          <w:rtl/>
        </w:rPr>
        <w:t xml:space="preserve">לנפגעת העבירה </w:t>
      </w:r>
      <w:r>
        <w:rPr>
          <w:rFonts w:cs="David" w:hint="cs"/>
          <w:sz w:val="28"/>
          <w:szCs w:val="28"/>
          <w:rtl/>
        </w:rPr>
        <w:t xml:space="preserve">נפסקו פיצויים </w:t>
      </w:r>
      <w:r w:rsidRPr="0091122C">
        <w:rPr>
          <w:rFonts w:cs="David" w:hint="cs"/>
          <w:sz w:val="28"/>
          <w:szCs w:val="28"/>
          <w:rtl/>
        </w:rPr>
        <w:t xml:space="preserve">בסך 10,000 ש"ח. </w:t>
      </w:r>
    </w:p>
    <w:p w14:paraId="31AF6F0F" w14:textId="0537D1AF"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שני הצדדים לא השלימו עם פסק דינו של בית הדין קמא הנכבד. ההגנה הגישה ערעור על הכרעת דינו המרשיעה של בית הדין קמא, וכן עתרה להתערב ולהקל בעונש המאסר שנגזר על המערער. ערעורה של התביעה הוגש כנגד קולת העונש, ונטען בו כי יש להחמיר הן בעונש המאסר והן ברכיב הפיצויים. </w:t>
      </w:r>
    </w:p>
    <w:p w14:paraId="3244585C" w14:textId="3B12616C" w:rsidR="00FB2D20" w:rsidRDefault="003879D9"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 </w:t>
      </w:r>
      <w:r w:rsidR="00FB2D20">
        <w:rPr>
          <w:rFonts w:cs="David" w:hint="cs"/>
          <w:sz w:val="28"/>
          <w:szCs w:val="28"/>
          <w:rtl/>
        </w:rPr>
        <w:t xml:space="preserve">בעקבות שמיעת הערותינו, במהלך הדיון בערעור, הודיעה ההגנה כי לא תעמוד על הערעור כנגד הכרעת הדין בהיבטיו העובדתיים, אך הבהירה כי היא עומדת על טענותיה המשפטיות, הנוגעות לחלק מפרטי האישום שבהם הורשע המערער. שני הצדדים עמדו על הערעורים לעניין העונש. </w:t>
      </w:r>
    </w:p>
    <w:p w14:paraId="02FE86F6" w14:textId="77777777" w:rsidR="00FB2D20" w:rsidRDefault="00FB2D20" w:rsidP="00FB2D20">
      <w:pPr>
        <w:spacing w:line="360" w:lineRule="auto"/>
        <w:ind w:left="-58"/>
        <w:jc w:val="both"/>
        <w:rPr>
          <w:rFonts w:cs="David"/>
          <w:b/>
          <w:bCs/>
          <w:sz w:val="28"/>
          <w:szCs w:val="28"/>
          <w:u w:val="single"/>
          <w:rtl/>
        </w:rPr>
      </w:pPr>
    </w:p>
    <w:p w14:paraId="798C2E0E" w14:textId="77777777" w:rsidR="00FB2D20" w:rsidRDefault="00FB2D20" w:rsidP="00FB2D20">
      <w:pPr>
        <w:spacing w:line="360" w:lineRule="auto"/>
        <w:ind w:left="-58"/>
        <w:jc w:val="both"/>
        <w:rPr>
          <w:rFonts w:cs="David"/>
          <w:b/>
          <w:bCs/>
          <w:sz w:val="28"/>
          <w:szCs w:val="28"/>
          <w:u w:val="single"/>
          <w:rtl/>
        </w:rPr>
      </w:pPr>
      <w:r>
        <w:rPr>
          <w:rFonts w:cs="David" w:hint="cs"/>
          <w:b/>
          <w:bCs/>
          <w:sz w:val="28"/>
          <w:szCs w:val="28"/>
          <w:u w:val="single"/>
          <w:rtl/>
        </w:rPr>
        <w:t>הכרעת  הדין של בית הדין המחוזי</w:t>
      </w:r>
    </w:p>
    <w:p w14:paraId="11CFD31D" w14:textId="77777777" w:rsidR="00FB2D20" w:rsidRPr="00EE3D55" w:rsidRDefault="00FB2D20" w:rsidP="00EE3D55">
      <w:pPr>
        <w:spacing w:line="360" w:lineRule="auto"/>
        <w:jc w:val="both"/>
        <w:rPr>
          <w:rFonts w:cs="David"/>
          <w:b/>
          <w:bCs/>
          <w:sz w:val="16"/>
          <w:szCs w:val="16"/>
          <w:u w:val="single"/>
          <w:rtl/>
        </w:rPr>
      </w:pPr>
    </w:p>
    <w:p w14:paraId="49D6D709" w14:textId="5204597F" w:rsidR="00BA6258" w:rsidRPr="0091122C" w:rsidRDefault="00FB2D20" w:rsidP="00BA6258">
      <w:pPr>
        <w:spacing w:line="360" w:lineRule="auto"/>
        <w:ind w:left="-58"/>
        <w:jc w:val="both"/>
        <w:rPr>
          <w:rFonts w:cs="David"/>
          <w:sz w:val="28"/>
          <w:szCs w:val="28"/>
          <w:u w:val="single"/>
          <w:rtl/>
        </w:rPr>
      </w:pPr>
      <w:r>
        <w:rPr>
          <w:rFonts w:cs="David" w:hint="cs"/>
          <w:sz w:val="28"/>
          <w:szCs w:val="28"/>
          <w:u w:val="single"/>
          <w:rtl/>
        </w:rPr>
        <w:t>סיפור המעשה</w:t>
      </w:r>
    </w:p>
    <w:p w14:paraId="301778B6" w14:textId="5EE4C2AA" w:rsidR="00FB2D20" w:rsidRDefault="00FB2D20" w:rsidP="009E7CF6">
      <w:pPr>
        <w:numPr>
          <w:ilvl w:val="0"/>
          <w:numId w:val="5"/>
        </w:numPr>
        <w:tabs>
          <w:tab w:val="left" w:pos="282"/>
        </w:tabs>
        <w:spacing w:line="360" w:lineRule="auto"/>
        <w:ind w:left="0" w:firstLine="0"/>
        <w:jc w:val="both"/>
        <w:rPr>
          <w:rFonts w:cs="David"/>
          <w:sz w:val="28"/>
          <w:szCs w:val="28"/>
        </w:rPr>
      </w:pPr>
      <w:r>
        <w:rPr>
          <w:rFonts w:cs="David" w:hint="cs"/>
          <w:sz w:val="28"/>
          <w:szCs w:val="28"/>
          <w:rtl/>
        </w:rPr>
        <w:t xml:space="preserve">בטרם נפנה לבחינת פסק דינו של בית הדין קמא הנכבד, יובאו להלן עיקריה של המסכת העובדתית שבגינה הורשע המערער. יובהר, כי המחלוקת בין הצדדים בבית הדין קמא לא נסבה על אודות עצם קרות האירוע, אלא עסקה  בשאלת זיהויו של המערער כמבצע העבירות המפורטות בכתב האישום. מכל מקום, כאמור, ההגנה אינה חולקת עוד על עובדות הרשעתו של המערער. </w:t>
      </w:r>
    </w:p>
    <w:p w14:paraId="0F7EB663" w14:textId="45FED5A6"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על פי עובדות כתב האישום שבו הורשע המערער, הוא שירת בתקופה שבמהלכה בוצעו העבירות (יולי 2019 - אפריל 2020) כסגן המפקד (והמפקד המיועד), של חוליית המחשוב בבסיס חיל הים באשדוד. נפגעת העבירה הייתה אז חיילת ששירתה </w:t>
      </w:r>
      <w:r w:rsidR="008550F7">
        <w:rPr>
          <w:rFonts w:cs="David" w:hint="cs"/>
          <w:sz w:val="28"/>
          <w:szCs w:val="28"/>
          <w:rtl/>
        </w:rPr>
        <w:t xml:space="preserve">בפלגת כח האדם </w:t>
      </w:r>
      <w:r>
        <w:rPr>
          <w:rFonts w:cs="David" w:hint="cs"/>
          <w:sz w:val="28"/>
          <w:szCs w:val="28"/>
          <w:rtl/>
        </w:rPr>
        <w:t xml:space="preserve">בבסיס. </w:t>
      </w:r>
    </w:p>
    <w:p w14:paraId="0B27A665" w14:textId="77777777" w:rsidR="00FB2D20" w:rsidRDefault="00FB2D20" w:rsidP="001A563F">
      <w:pPr>
        <w:tabs>
          <w:tab w:val="left" w:pos="282"/>
        </w:tabs>
        <w:spacing w:line="360" w:lineRule="auto"/>
        <w:ind w:left="-1"/>
        <w:jc w:val="both"/>
        <w:rPr>
          <w:rFonts w:cs="David"/>
          <w:sz w:val="28"/>
          <w:szCs w:val="28"/>
          <w:rtl/>
        </w:rPr>
      </w:pPr>
      <w:r>
        <w:rPr>
          <w:rFonts w:cs="David" w:hint="cs"/>
          <w:sz w:val="28"/>
          <w:szCs w:val="28"/>
          <w:rtl/>
        </w:rPr>
        <w:t xml:space="preserve">ביום 21 ביולי 2019 פתח המערער במחשב הנייד האישי שלו סרטון באורך 14:47 דקות, באמצעות יישומון לעריכת וידאו. בסרטון זה נראה חדר המקלחות של הבנות, </w:t>
      </w:r>
      <w:r>
        <w:rPr>
          <w:rFonts w:cs="David" w:hint="cs"/>
          <w:sz w:val="28"/>
          <w:szCs w:val="28"/>
          <w:rtl/>
        </w:rPr>
        <w:lastRenderedPageBreak/>
        <w:t xml:space="preserve">בקומה התחתונה בבסיס, וניתן לראות כי הצילום נערך בסתר. נראות בו עשר חיילות המשרתות בבסיס, מתארגנות למקלחת ולאחר מכן מתקלחות. שש מהן צולמו בעירום מלא, שלוש מהן בעירום חלקי ואחת לבושה. ניתן לראות בבירור את פניהן של שמונה מתוך עשר החיילות. נפגעת העבירה צולמה כאשר היא מתקלחת, כך שניתן לראות באופן מלא את פניה ואת גופה. </w:t>
      </w:r>
    </w:p>
    <w:p w14:paraId="0B272D89" w14:textId="77777777" w:rsidR="00FB2D20" w:rsidRDefault="00FB2D20" w:rsidP="001A563F">
      <w:pPr>
        <w:tabs>
          <w:tab w:val="left" w:pos="282"/>
        </w:tabs>
        <w:spacing w:line="360" w:lineRule="auto"/>
        <w:ind w:left="-1"/>
        <w:jc w:val="both"/>
        <w:rPr>
          <w:rFonts w:cs="David"/>
          <w:sz w:val="28"/>
          <w:szCs w:val="28"/>
          <w:rtl/>
        </w:rPr>
      </w:pPr>
      <w:r>
        <w:rPr>
          <w:rFonts w:cs="David" w:hint="cs"/>
          <w:sz w:val="28"/>
          <w:szCs w:val="28"/>
          <w:rtl/>
        </w:rPr>
        <w:t xml:space="preserve">ביום 20 באפריל 2020 ערך המערער, מתוך הסרטון המלא, שני סרטונים חלקיים שמשכם 4:55 דקות ו-4:23 דקות, ובהם ניתן להבחין בנפגעת העבירה בעירום מלא ובחיילת נוספת כאשר היא נכנסת לחדר המקלחת, בעירום חלקי, עטופה במגבת. על גבי הסרטון שאורכו 4:23 דקות שתל המערער כיתובים שונים, כאשר בראש המסך הופיע המשפט: "אנחנו מגיעים לכל מקום ורואים הכל". בתחתית המסך הופיע משפט הכולל את המילה "צוות" וצירוף מילים המרכיב את שמה הפרטי של נפגעת העבירה ולאחריו המונח </w:t>
      </w:r>
      <w:r>
        <w:rPr>
          <w:rFonts w:cs="David"/>
          <w:sz w:val="28"/>
          <w:szCs w:val="28"/>
        </w:rPr>
        <w:t>4you</w:t>
      </w:r>
      <w:r>
        <w:rPr>
          <w:rFonts w:cs="David" w:hint="cs"/>
          <w:sz w:val="28"/>
          <w:szCs w:val="28"/>
          <w:rtl/>
        </w:rPr>
        <w:t xml:space="preserve">. באותו מועד פתח המערער גם תיבת דואר אלקטרונית ייעודית, המורכבת משמה המלא של נפגעת העבירה ולאחריו המונח </w:t>
      </w:r>
      <w:r>
        <w:rPr>
          <w:rFonts w:cs="David"/>
          <w:sz w:val="28"/>
          <w:szCs w:val="28"/>
        </w:rPr>
        <w:t>4you@gmail.com</w:t>
      </w:r>
      <w:r>
        <w:rPr>
          <w:rFonts w:cs="David" w:hint="cs"/>
          <w:sz w:val="28"/>
          <w:szCs w:val="28"/>
          <w:rtl/>
        </w:rPr>
        <w:t xml:space="preserve"> (להלן: "תיבת דוא"ל הסחיטה").</w:t>
      </w:r>
    </w:p>
    <w:p w14:paraId="790AA720" w14:textId="77777777" w:rsidR="00FB2D20" w:rsidRDefault="00FB2D20" w:rsidP="001A563F">
      <w:pPr>
        <w:tabs>
          <w:tab w:val="left" w:pos="282"/>
        </w:tabs>
        <w:spacing w:line="360" w:lineRule="auto"/>
        <w:ind w:left="-1"/>
        <w:jc w:val="both"/>
        <w:rPr>
          <w:rFonts w:cs="David"/>
          <w:sz w:val="28"/>
          <w:szCs w:val="28"/>
          <w:rtl/>
        </w:rPr>
      </w:pPr>
      <w:r>
        <w:rPr>
          <w:rFonts w:cs="David" w:hint="cs"/>
          <w:sz w:val="28"/>
          <w:szCs w:val="28"/>
          <w:rtl/>
        </w:rPr>
        <w:t xml:space="preserve">את הסרטון שערך המערער, אשר יקרא להלן: "סרטון הסחיטה", הוא צרב על גבי דיסק, ולאחר מכן כתב שני מכתבים. באחד מהם הורה לנפגעת העבירה לצפות בדיסק כשהיא לבדה, ולקרוא לאחר מכן את המכתב השני, שהיה מהודק בסיכות ונשא את הכותרת "לפתוח אחרי הדיסק" (להלן: "מכתב הסחיטה"). את שני המכתבים והדיסק טמן המערער במעטפה חומה מלבנית, שעליה כתב את שמה המלא של נפגעת העבירה ולאחריו את המילה "אישי". </w:t>
      </w:r>
    </w:p>
    <w:p w14:paraId="28BA65F8" w14:textId="77777777" w:rsidR="00FB2D20" w:rsidRDefault="00FB2D20" w:rsidP="001A563F">
      <w:pPr>
        <w:tabs>
          <w:tab w:val="left" w:pos="282"/>
        </w:tabs>
        <w:spacing w:line="360" w:lineRule="auto"/>
        <w:ind w:left="-1"/>
        <w:jc w:val="both"/>
        <w:rPr>
          <w:rFonts w:cs="David"/>
          <w:sz w:val="28"/>
          <w:szCs w:val="28"/>
          <w:rtl/>
        </w:rPr>
      </w:pPr>
      <w:r>
        <w:rPr>
          <w:rFonts w:cs="David" w:hint="cs"/>
          <w:sz w:val="28"/>
          <w:szCs w:val="28"/>
          <w:rtl/>
        </w:rPr>
        <w:t xml:space="preserve">ביום 26 באפריל 2020, יומה האחרון לשירותה של נפגעת העבירה בצה"ל, בשעה 17:46, בעת שהיא וחברותיה נטלו חלק באימון גופני בבסיס, הגיע המערער אל משרדה, ותחב את המעטפה החומה תחת הדלת. </w:t>
      </w:r>
    </w:p>
    <w:p w14:paraId="11E6B1F0" w14:textId="77777777" w:rsidR="00FB2D20" w:rsidRDefault="00FB2D20" w:rsidP="001A563F">
      <w:pPr>
        <w:tabs>
          <w:tab w:val="left" w:pos="282"/>
        </w:tabs>
        <w:spacing w:line="360" w:lineRule="auto"/>
        <w:ind w:left="-1"/>
        <w:jc w:val="both"/>
        <w:rPr>
          <w:rFonts w:cs="David"/>
          <w:sz w:val="28"/>
          <w:szCs w:val="28"/>
          <w:rtl/>
        </w:rPr>
      </w:pPr>
      <w:r>
        <w:rPr>
          <w:rFonts w:cs="David" w:hint="cs"/>
          <w:sz w:val="28"/>
          <w:szCs w:val="28"/>
          <w:rtl/>
        </w:rPr>
        <w:t xml:space="preserve">בשעה 18:30 באותו היום הגיעה נפגעת העבירה אל המשרד, בצוותא עם חיילות נוספות, ומצאה שם את המעטפה. בתחילה, סברה כי מדובר בהפתעה שאותה הכין אחד ממכריה, וסירבה לפתוח את המעטפה, על מנת שלא לקלקל את ההפתעה בעבור מי שביקש ממנה לפתוח את המעטפה כשהיא לבדה. לאחר שכנוע מצד חברותיה, הסכימה לבסוף לפתוח את המעטפה. </w:t>
      </w:r>
    </w:p>
    <w:p w14:paraId="5A450BAB" w14:textId="77777777" w:rsidR="00FB2D20" w:rsidRDefault="00FB2D20" w:rsidP="001A563F">
      <w:pPr>
        <w:tabs>
          <w:tab w:val="left" w:pos="282"/>
        </w:tabs>
        <w:spacing w:line="360" w:lineRule="auto"/>
        <w:ind w:left="-1"/>
        <w:jc w:val="both"/>
        <w:rPr>
          <w:rFonts w:cs="David"/>
          <w:sz w:val="28"/>
          <w:szCs w:val="28"/>
          <w:rtl/>
        </w:rPr>
      </w:pPr>
      <w:r>
        <w:rPr>
          <w:rFonts w:cs="David" w:hint="cs"/>
          <w:sz w:val="28"/>
          <w:szCs w:val="28"/>
          <w:rtl/>
        </w:rPr>
        <w:t xml:space="preserve">בעת שקראה את המכתב השני, הבינה נפגעת העבירה כי לא מדובר במתנה מחבריה. במכתב, נקט המערער לשון רבים, וכינה את עצמו בכינוי המתחיל במילה "צוות" ומסתיים בביטוי </w:t>
      </w:r>
      <w:r>
        <w:rPr>
          <w:rFonts w:cs="David"/>
          <w:sz w:val="28"/>
          <w:szCs w:val="28"/>
        </w:rPr>
        <w:t>xxxxx4you</w:t>
      </w:r>
      <w:r>
        <w:rPr>
          <w:rFonts w:cs="David" w:hint="cs"/>
          <w:sz w:val="28"/>
          <w:szCs w:val="28"/>
          <w:rtl/>
        </w:rPr>
        <w:t xml:space="preserve"> (שמה הפרטי של נפגעת העבירה בצירוף התווים </w:t>
      </w:r>
      <w:r>
        <w:rPr>
          <w:rFonts w:cs="David"/>
          <w:sz w:val="28"/>
          <w:szCs w:val="28"/>
        </w:rPr>
        <w:t>(4you</w:t>
      </w:r>
      <w:r>
        <w:rPr>
          <w:rFonts w:cs="David" w:hint="cs"/>
          <w:sz w:val="28"/>
          <w:szCs w:val="28"/>
          <w:rtl/>
        </w:rPr>
        <w:t xml:space="preserve">. בגוף המכתב, כתב המערער כי הצוות עוקב אחר נפגעת העבירה במשך שנתיים, וכי ברשותו סרטונים שבהם היא מופיעה בעירום, וכן תמונות שלה, כאשר כלל הסרטונים והתמונות צולמו בביתה ובמקומות נוספים. כלל החומרים, כך נכתב, </w:t>
      </w:r>
      <w:r>
        <w:rPr>
          <w:rFonts w:cs="David" w:hint="cs"/>
          <w:sz w:val="28"/>
          <w:szCs w:val="28"/>
          <w:rtl/>
        </w:rPr>
        <w:lastRenderedPageBreak/>
        <w:t xml:space="preserve">שמורים בשרתי הצוות - ולפיכך הציב המערער בפני נפגעת העבירה שלוש אפשרויות, שכונו על ידיו "אפשרויות יציאה": </w:t>
      </w:r>
    </w:p>
    <w:p w14:paraId="25DD83E7" w14:textId="77777777" w:rsidR="00FB2D20" w:rsidRDefault="00FB2D20" w:rsidP="001A563F">
      <w:pPr>
        <w:tabs>
          <w:tab w:val="left" w:pos="282"/>
        </w:tabs>
        <w:spacing w:line="360" w:lineRule="auto"/>
        <w:ind w:left="-1"/>
        <w:jc w:val="both"/>
        <w:rPr>
          <w:rFonts w:cs="David"/>
          <w:sz w:val="28"/>
          <w:szCs w:val="28"/>
          <w:rtl/>
        </w:rPr>
      </w:pPr>
      <w:r>
        <w:rPr>
          <w:rFonts w:cs="David" w:hint="cs"/>
          <w:sz w:val="28"/>
          <w:szCs w:val="28"/>
          <w:u w:val="single"/>
          <w:rtl/>
        </w:rPr>
        <w:t>אפשרות ראשונה</w:t>
      </w:r>
      <w:r>
        <w:rPr>
          <w:rFonts w:cs="David" w:hint="cs"/>
          <w:sz w:val="28"/>
          <w:szCs w:val="28"/>
          <w:rtl/>
        </w:rPr>
        <w:t xml:space="preserve"> - שלפיה תצלם ותשלח סרטון שלה, שבו מצולם פלג גופה העליון כשהוא חשוף לחלוטין. עליה לאשר לצוות, בקולה, לעשות שימוש בסרטון זה ובחומרים נוספים, בזו הלשון: "לכל חברי הצוות</w:t>
      </w:r>
      <w:r>
        <w:rPr>
          <w:rFonts w:cs="David"/>
          <w:sz w:val="28"/>
          <w:szCs w:val="28"/>
        </w:rPr>
        <w:t xml:space="preserve">xxxxx </w:t>
      </w:r>
      <w:r>
        <w:rPr>
          <w:rFonts w:cs="David" w:hint="cs"/>
          <w:sz w:val="28"/>
          <w:szCs w:val="28"/>
          <w:rtl/>
        </w:rPr>
        <w:t xml:space="preserve">, אני מקווה שאתם נהנים מסרטוני העירום שלי, אני מאשרת לכם להשתמש בהם לשימוש אישי ללא חשש. הסכמה זו מהווה אסמכתא לידיעה שהחומרים אצלכם ויודעת שלא תהיה האפשרות להתלונן עליכם בפני שום גורם בעתיד". בתמורה, כך כתב המערער, ישמור הצוות את סרטון הסחיטה ואת החומרים הנוספים "לשימוש אישי בלבד". את הסרטון התבקשה נפגעת העבירה לשלוח לתיבת דוא"ל הסחיטה. </w:t>
      </w:r>
    </w:p>
    <w:p w14:paraId="3E19F428" w14:textId="77777777" w:rsidR="00FB2D20" w:rsidRDefault="00FB2D20" w:rsidP="001A563F">
      <w:pPr>
        <w:tabs>
          <w:tab w:val="left" w:pos="282"/>
        </w:tabs>
        <w:spacing w:line="360" w:lineRule="auto"/>
        <w:ind w:left="-1"/>
        <w:jc w:val="both"/>
        <w:rPr>
          <w:rFonts w:cs="David"/>
          <w:sz w:val="28"/>
          <w:szCs w:val="28"/>
          <w:rtl/>
        </w:rPr>
      </w:pPr>
      <w:r>
        <w:rPr>
          <w:rFonts w:cs="David" w:hint="cs"/>
          <w:sz w:val="28"/>
          <w:szCs w:val="28"/>
          <w:u w:val="single"/>
          <w:rtl/>
        </w:rPr>
        <w:t>אפשרות שניה</w:t>
      </w:r>
      <w:r>
        <w:rPr>
          <w:rFonts w:cs="David" w:hint="cs"/>
          <w:sz w:val="28"/>
          <w:szCs w:val="28"/>
          <w:rtl/>
        </w:rPr>
        <w:t xml:space="preserve"> - שבמסגרתה אסר המערער על נפגעת העבירה לפנות לכל גורם חיצוני ולדווח על אודות המכתב והסרטון. צוין, כי חברי הצוות מבינים, שהם מסתכנים בפנייה של נפגעת העבירה לגורמים חיצוניים שעלולה לסכן אותם. לכן הם ימשיכו לעקוב אחריה; ואם אכן תפנה לגורם חוץ, יופצו כלל החומרים המצויים בידי הצוות ברשתות החברתיות וברשת האינטרנט בתוך דקות בודדות, ללא אזכור לחברי הצוות.  עוד הוטעם, כי ככל שהנפגעת לא תשיב לתיבת הדוא"ל הייעודית עד ליום 29 באפריל 2020, יראה אותה הצוות כמי שבחרה באפשרות זו. </w:t>
      </w:r>
    </w:p>
    <w:p w14:paraId="04B88810" w14:textId="77777777" w:rsidR="00FB2D20" w:rsidRDefault="00FB2D20" w:rsidP="001A563F">
      <w:pPr>
        <w:tabs>
          <w:tab w:val="left" w:pos="282"/>
        </w:tabs>
        <w:spacing w:line="360" w:lineRule="auto"/>
        <w:ind w:left="-1"/>
        <w:jc w:val="both"/>
        <w:rPr>
          <w:rFonts w:cs="David"/>
          <w:sz w:val="28"/>
          <w:szCs w:val="28"/>
          <w:rtl/>
        </w:rPr>
      </w:pPr>
      <w:r>
        <w:rPr>
          <w:rFonts w:cs="David" w:hint="cs"/>
          <w:sz w:val="28"/>
          <w:szCs w:val="28"/>
          <w:u w:val="single"/>
          <w:rtl/>
        </w:rPr>
        <w:t>אפשרות שלישית</w:t>
      </w:r>
      <w:r>
        <w:rPr>
          <w:rFonts w:cs="David" w:hint="cs"/>
          <w:sz w:val="28"/>
          <w:szCs w:val="28"/>
          <w:rtl/>
        </w:rPr>
        <w:t xml:space="preserve"> - שלפיה תצלם נפגעת העבירה סרטון, ובו היא נראית בעירום מלא ומבצעת בעצמה אקטים מיניים, ובפרט מחדירה אצבעות לתוך איבר המין שלה. על פי ההוראות במכתב, על הסרטון להיות בן שתיים עד שלוש דקות ובמהלכו על נפגעת העבירה לומר בבירור, ובעודה מצולמת בעירום מלא כאמור: "לכל חברי צוות </w:t>
      </w:r>
      <w:r>
        <w:rPr>
          <w:rFonts w:cs="David"/>
          <w:sz w:val="28"/>
          <w:szCs w:val="28"/>
        </w:rPr>
        <w:t>xxxxx</w:t>
      </w:r>
      <w:r>
        <w:rPr>
          <w:rFonts w:cs="David" w:hint="cs"/>
          <w:sz w:val="28"/>
          <w:szCs w:val="28"/>
          <w:rtl/>
        </w:rPr>
        <w:t xml:space="preserve"> אני מקווה שאתם נהנים מסרטוני העירום שלי, הכנתי לכם סרטון פרידה שלאחריו אתם מתחייבים למחוק את כלל החומרים כולל סרטון זה". לאחר מכן, פורטו במכתב הוראות ספציפיות באשר למהלך הדברים שנדרשה נפגעת העבירה לעשות ובפרט, האופן שבו היה עליה לצלם את עצמה בעירום מחדירה לאיבר מינה אצבעות. בתמורה לכך, נכתב, ימחק הצוות את סרטון הסחיטה ואת החומרים הנוספים. </w:t>
      </w:r>
    </w:p>
    <w:p w14:paraId="36488602" w14:textId="77777777" w:rsidR="00FB2D20" w:rsidRDefault="00FB2D20" w:rsidP="001A563F">
      <w:pPr>
        <w:tabs>
          <w:tab w:val="left" w:pos="282"/>
        </w:tabs>
        <w:spacing w:line="360" w:lineRule="auto"/>
        <w:ind w:left="-1"/>
        <w:jc w:val="both"/>
        <w:rPr>
          <w:rFonts w:cs="David"/>
          <w:sz w:val="28"/>
          <w:szCs w:val="28"/>
          <w:rtl/>
        </w:rPr>
      </w:pPr>
      <w:r>
        <w:rPr>
          <w:rFonts w:cs="David" w:hint="cs"/>
          <w:sz w:val="28"/>
          <w:szCs w:val="28"/>
          <w:rtl/>
        </w:rPr>
        <w:t xml:space="preserve">בעקבות קריאת המכתב, נחרדה נפגעת העבירה מהאפשרות שמא בדיסק שצורף למכתב אכן קיים סרטון שבו היא מופיעה בעירום. היא פנתה בלוויית חיילות שנכחו במשרד, למשרד אחר, שבו מצוי מחשב מתאים - ואז צפתה, בצוותא עם החיילות האחרות, בסרטון הסחיטה. </w:t>
      </w:r>
    </w:p>
    <w:p w14:paraId="1749DD69" w14:textId="77777777" w:rsidR="00FB2D20" w:rsidRDefault="00FB2D20" w:rsidP="00FB2D20">
      <w:pPr>
        <w:spacing w:line="360" w:lineRule="auto"/>
        <w:ind w:left="368"/>
        <w:jc w:val="both"/>
        <w:rPr>
          <w:rFonts w:cs="David"/>
          <w:sz w:val="28"/>
          <w:szCs w:val="28"/>
          <w:rtl/>
        </w:rPr>
      </w:pPr>
    </w:p>
    <w:p w14:paraId="35936C3D" w14:textId="73AC40F7" w:rsidR="00BA6258" w:rsidRPr="0091122C" w:rsidRDefault="00FB2D20" w:rsidP="00BA6258">
      <w:pPr>
        <w:spacing w:line="360" w:lineRule="auto"/>
        <w:jc w:val="both"/>
        <w:rPr>
          <w:rFonts w:cs="David"/>
          <w:sz w:val="28"/>
          <w:szCs w:val="28"/>
          <w:u w:val="single"/>
          <w:rtl/>
        </w:rPr>
      </w:pPr>
      <w:r>
        <w:rPr>
          <w:rFonts w:cs="David" w:hint="cs"/>
          <w:sz w:val="28"/>
          <w:szCs w:val="28"/>
          <w:u w:val="single"/>
          <w:rtl/>
        </w:rPr>
        <w:t>התשתית הראייתית והכרעת הדין</w:t>
      </w:r>
    </w:p>
    <w:p w14:paraId="7D5FA25B" w14:textId="0C308EAB"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בבית הדין קמא נשמעו עשרויות עדויות, והוגשו מאות מוצגים. בהכרעת דין מקיפה ומפורטת, נימק בית הדין הנכבד את מסקנתו מן הראיות שנאספו, שלפיה </w:t>
      </w:r>
      <w:r>
        <w:rPr>
          <w:rFonts w:cs="David" w:hint="cs"/>
          <w:sz w:val="28"/>
          <w:szCs w:val="28"/>
          <w:rtl/>
        </w:rPr>
        <w:lastRenderedPageBreak/>
        <w:t xml:space="preserve">המערער הוא מבצע העבירה, חרף גרסת ההכחשה שמסר, הן בחקירתו במצ"ח והן בעדותו בבית הדין. </w:t>
      </w:r>
    </w:p>
    <w:p w14:paraId="58E4759E" w14:textId="03096CD0"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נוכח  חזרתה של ההגנה מערעורה על הקביעות העובדתיות בפסק הדין, ומאחר שהמערער אינו חולק עוד על זיהויו כמבצע העבירה, יפורטו הדברים בתמצית להלן:  </w:t>
      </w:r>
    </w:p>
    <w:p w14:paraId="4F811247" w14:textId="77777777" w:rsidR="00FB2D20" w:rsidRDefault="00FB2D20" w:rsidP="001A563F">
      <w:pPr>
        <w:tabs>
          <w:tab w:val="left" w:pos="282"/>
        </w:tabs>
        <w:spacing w:line="360" w:lineRule="auto"/>
        <w:ind w:left="-1"/>
        <w:jc w:val="both"/>
        <w:rPr>
          <w:rFonts w:cs="David"/>
          <w:sz w:val="28"/>
          <w:szCs w:val="28"/>
          <w:rtl/>
        </w:rPr>
      </w:pPr>
      <w:r>
        <w:rPr>
          <w:rFonts w:cs="David" w:hint="cs"/>
          <w:sz w:val="28"/>
          <w:szCs w:val="28"/>
          <w:rtl/>
        </w:rPr>
        <w:t>נפגעת העבירה פנתה לחוקרי מצ"ח יואב בתלונה עוד באותו ערב שבו קיבלה את מכתב הסחיטה לידיה. בעקבות פניה של מצ"ח לחברת</w:t>
      </w:r>
      <w:r>
        <w:rPr>
          <w:rFonts w:cs="David"/>
          <w:sz w:val="28"/>
          <w:szCs w:val="28"/>
        </w:rPr>
        <w:t xml:space="preserve">google </w:t>
      </w:r>
      <w:r>
        <w:rPr>
          <w:rFonts w:cs="David" w:hint="cs"/>
          <w:sz w:val="28"/>
          <w:szCs w:val="28"/>
          <w:rtl/>
        </w:rPr>
        <w:t xml:space="preserve"> התקבל מידע בדבר כתובת ה-</w:t>
      </w:r>
      <w:r>
        <w:rPr>
          <w:rFonts w:cs="David" w:hint="cs"/>
          <w:sz w:val="28"/>
          <w:szCs w:val="28"/>
        </w:rPr>
        <w:t>IP</w:t>
      </w:r>
      <w:r>
        <w:rPr>
          <w:rFonts w:cs="David" w:hint="cs"/>
          <w:sz w:val="28"/>
          <w:szCs w:val="28"/>
          <w:rtl/>
        </w:rPr>
        <w:t xml:space="preserve"> ששימשה את תיבת דוא"ל הסחיטה. מידע זה הוביל למיקוד החשד במערער ולהוצאת צווי חיפוש לגבי חצריו ומחשבו. </w:t>
      </w:r>
    </w:p>
    <w:p w14:paraId="25A70C81" w14:textId="77777777" w:rsidR="00FB2D20" w:rsidRDefault="00FB2D20" w:rsidP="001A563F">
      <w:pPr>
        <w:tabs>
          <w:tab w:val="left" w:pos="282"/>
        </w:tabs>
        <w:spacing w:line="360" w:lineRule="auto"/>
        <w:ind w:left="-1"/>
        <w:jc w:val="both"/>
        <w:rPr>
          <w:rFonts w:cs="David"/>
          <w:sz w:val="28"/>
          <w:szCs w:val="28"/>
          <w:rtl/>
        </w:rPr>
      </w:pPr>
      <w:r>
        <w:rPr>
          <w:rFonts w:cs="David" w:hint="cs"/>
          <w:sz w:val="28"/>
          <w:szCs w:val="28"/>
          <w:rtl/>
        </w:rPr>
        <w:t xml:space="preserve">ביום 28 באפריל 2020, בשעות הערב, התייצבו חוקרי ובלשי מצ"ח יואב, ובראשם מפקדת הבסיס דאז, רס"ן ניצן, בביתו של המערער, הודיעו לו כי הוא עצור וערכו חיפוש בביתו. במהלך החיפוש נמצא בכיס מדיו של המערער, בנסיבות מחשידות (שתוארו על ידי רס"ן ניצן ומשתתפים נוספים בחיפוש כניסיון הסתרה מצד המערער), פתק ובו כתובת דוא"ל הסחיטה וצירוף מספרים, שהתברר כסיסמה לתיבת דוא"ל זו. </w:t>
      </w:r>
    </w:p>
    <w:p w14:paraId="14977B1F" w14:textId="77777777" w:rsidR="00FB2D20" w:rsidRDefault="00FB2D20" w:rsidP="001A563F">
      <w:pPr>
        <w:tabs>
          <w:tab w:val="left" w:pos="282"/>
        </w:tabs>
        <w:spacing w:line="360" w:lineRule="auto"/>
        <w:ind w:left="-1"/>
        <w:jc w:val="both"/>
        <w:rPr>
          <w:rFonts w:cs="David"/>
          <w:sz w:val="28"/>
          <w:szCs w:val="28"/>
          <w:rtl/>
        </w:rPr>
      </w:pPr>
      <w:r>
        <w:rPr>
          <w:rFonts w:cs="David" w:hint="cs"/>
          <w:sz w:val="28"/>
          <w:szCs w:val="28"/>
          <w:rtl/>
        </w:rPr>
        <w:t>במחשבו הנייד של המערער אותרו שלושה סרטונים התואמים את שנצפה בסרטון הסחיטה, ובהם מתועדות חיילות מתקלחות במקלחות הבסיס, ובהן גם נפגעת העבירה; על גבי "שולחן העבודה" במחשבו הנייד נמצא קובץ בשם</w:t>
      </w:r>
      <w:r>
        <w:rPr>
          <w:rFonts w:cs="David"/>
          <w:sz w:val="28"/>
          <w:szCs w:val="28"/>
        </w:rPr>
        <w:t xml:space="preserve">xxxx4you </w:t>
      </w:r>
      <w:r>
        <w:rPr>
          <w:rFonts w:cs="David" w:hint="cs"/>
          <w:sz w:val="28"/>
          <w:szCs w:val="28"/>
          <w:rtl/>
        </w:rPr>
        <w:t>, אשר קושר "באופן מובהק למכתב הסחיטה"; בתיקיית הקבצים הזמניים של האינטרנט במחשב הנייד נמצאו חמש תמונות, ובהן נראית נפגעת העבירה מתקלחת במקלחות הבסיס; במצלמת ה-"</w:t>
      </w:r>
      <w:r>
        <w:rPr>
          <w:rFonts w:cs="David"/>
          <w:sz w:val="28"/>
          <w:szCs w:val="28"/>
        </w:rPr>
        <w:t>gopro</w:t>
      </w:r>
      <w:r>
        <w:rPr>
          <w:rFonts w:cs="David" w:hint="cs"/>
          <w:sz w:val="28"/>
          <w:szCs w:val="28"/>
          <w:rtl/>
        </w:rPr>
        <w:t>" האישית של המערער נמצאו תמונות ממקלחות הבסיס, הדומות לתוכן הסרטונים; על גבי דיסק הסחיטה אותר חלק מטביעת אצבע של המערער; מסרטוני האבטחה בבסיס עלה כי המערער שהה במשרדו, לאחר שנכנס אליו עם תיק המחשב הנישא, ביום 20 באפריל 2020. פעולות חקירה שונות העלו, כי במועד זה, בוצעו הפעולות במחשב ונצרב סרטון הסחיטה. עוד לימדו סרטוני האבטחה, כי ביום 26 באפריל 2020 נכנס המערער, לבניין פלגת כח האדם, שבו נמצא משרדה</w:t>
      </w:r>
      <w:r w:rsidR="0014174C">
        <w:rPr>
          <w:rFonts w:cs="David" w:hint="cs"/>
          <w:sz w:val="28"/>
          <w:szCs w:val="28"/>
          <w:rtl/>
        </w:rPr>
        <w:t>ּ</w:t>
      </w:r>
      <w:r>
        <w:rPr>
          <w:rFonts w:cs="David" w:hint="cs"/>
          <w:sz w:val="28"/>
          <w:szCs w:val="28"/>
          <w:rtl/>
        </w:rPr>
        <w:t xml:space="preserve"> של נפגעת העבירה, כשידיו עטויות בכפפות והוא אוחז חפצים שונים, וכל זאת בחלון הזמנים הרלוונטי להנחת מכתב הסחיטה. </w:t>
      </w:r>
    </w:p>
    <w:p w14:paraId="125B07F7" w14:textId="0E40A3CF"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ההסברים שמסר המערער לראיות הנ"ל, בחקירתו ובעדותו בבית הדין, וטענותיו כי אדם אחר, שביצע את העבירה, ניסה להפלילו - </w:t>
      </w:r>
      <w:r w:rsidRPr="004D1D35">
        <w:rPr>
          <w:rFonts w:cs="David" w:hint="cs"/>
          <w:sz w:val="28"/>
          <w:szCs w:val="28"/>
          <w:rtl/>
        </w:rPr>
        <w:t>נדח</w:t>
      </w:r>
      <w:r>
        <w:rPr>
          <w:rFonts w:cs="David" w:hint="cs"/>
          <w:sz w:val="28"/>
          <w:szCs w:val="28"/>
          <w:rtl/>
        </w:rPr>
        <w:t>ו</w:t>
      </w:r>
      <w:r w:rsidRPr="004D1D35">
        <w:rPr>
          <w:rFonts w:cs="David" w:hint="cs"/>
          <w:sz w:val="28"/>
          <w:szCs w:val="28"/>
          <w:rtl/>
        </w:rPr>
        <w:t xml:space="preserve"> על ידי בית הדין </w:t>
      </w:r>
      <w:r>
        <w:rPr>
          <w:rFonts w:cs="David" w:hint="cs"/>
          <w:sz w:val="28"/>
          <w:szCs w:val="28"/>
          <w:rtl/>
        </w:rPr>
        <w:t>קמא.</w:t>
      </w:r>
      <w:r w:rsidRPr="004D1D35">
        <w:rPr>
          <w:rFonts w:cs="David" w:hint="cs"/>
          <w:sz w:val="28"/>
          <w:szCs w:val="28"/>
          <w:rtl/>
        </w:rPr>
        <w:t xml:space="preserve"> </w:t>
      </w:r>
      <w:r>
        <w:rPr>
          <w:rFonts w:cs="David" w:hint="cs"/>
          <w:sz w:val="28"/>
          <w:szCs w:val="28"/>
          <w:rtl/>
        </w:rPr>
        <w:t>נ</w:t>
      </w:r>
      <w:r w:rsidRPr="004D1D35">
        <w:rPr>
          <w:rFonts w:cs="David" w:hint="cs"/>
          <w:sz w:val="28"/>
          <w:szCs w:val="28"/>
          <w:rtl/>
        </w:rPr>
        <w:t>קבע</w:t>
      </w:r>
      <w:r>
        <w:rPr>
          <w:rFonts w:cs="David" w:hint="cs"/>
          <w:sz w:val="28"/>
          <w:szCs w:val="28"/>
          <w:rtl/>
        </w:rPr>
        <w:t>,</w:t>
      </w:r>
      <w:r w:rsidRPr="004D1D35">
        <w:rPr>
          <w:rFonts w:cs="David" w:hint="cs"/>
          <w:sz w:val="28"/>
          <w:szCs w:val="28"/>
          <w:rtl/>
        </w:rPr>
        <w:t xml:space="preserve"> כי </w:t>
      </w:r>
      <w:r>
        <w:rPr>
          <w:rFonts w:cs="David" w:hint="cs"/>
          <w:sz w:val="28"/>
          <w:szCs w:val="28"/>
          <w:rtl/>
        </w:rPr>
        <w:t>עדותו</w:t>
      </w:r>
      <w:r w:rsidRPr="004D1D35">
        <w:rPr>
          <w:rFonts w:cs="David" w:hint="cs"/>
          <w:sz w:val="28"/>
          <w:szCs w:val="28"/>
          <w:rtl/>
        </w:rPr>
        <w:t xml:space="preserve"> הותירה רושם שלילי ביותר</w:t>
      </w:r>
      <w:r>
        <w:rPr>
          <w:rFonts w:cs="David" w:hint="cs"/>
          <w:sz w:val="28"/>
          <w:szCs w:val="28"/>
          <w:rtl/>
        </w:rPr>
        <w:t>,</w:t>
      </w:r>
      <w:r w:rsidRPr="004D1D35">
        <w:rPr>
          <w:rFonts w:cs="David" w:hint="cs"/>
          <w:sz w:val="28"/>
          <w:szCs w:val="28"/>
          <w:rtl/>
        </w:rPr>
        <w:t xml:space="preserve"> </w:t>
      </w:r>
      <w:r>
        <w:rPr>
          <w:rFonts w:cs="David" w:hint="cs"/>
          <w:sz w:val="28"/>
          <w:szCs w:val="28"/>
          <w:rtl/>
        </w:rPr>
        <w:t>ו</w:t>
      </w:r>
      <w:r w:rsidRPr="004D1D35">
        <w:rPr>
          <w:rFonts w:cs="David" w:hint="cs"/>
          <w:sz w:val="28"/>
          <w:szCs w:val="28"/>
          <w:rtl/>
        </w:rPr>
        <w:t>כי המערער לא סיפק הסבר חלופי לתצרף הראיות הנסיבתיות שהוצג</w:t>
      </w:r>
      <w:r>
        <w:rPr>
          <w:rFonts w:cs="David" w:hint="cs"/>
          <w:sz w:val="28"/>
          <w:szCs w:val="28"/>
          <w:rtl/>
        </w:rPr>
        <w:t xml:space="preserve">; ומכאן זיהויו של המערער כמבצע העבירה והרשעתו ברוב העבירות שיוחסו לו בכתב האישום. </w:t>
      </w:r>
    </w:p>
    <w:p w14:paraId="494D4EF2" w14:textId="409EBADD" w:rsidR="00FB2D20" w:rsidRPr="00FB1331" w:rsidRDefault="00FB2D20" w:rsidP="001A563F">
      <w:pPr>
        <w:numPr>
          <w:ilvl w:val="0"/>
          <w:numId w:val="5"/>
        </w:numPr>
        <w:tabs>
          <w:tab w:val="left" w:pos="282"/>
        </w:tabs>
        <w:spacing w:line="360" w:lineRule="auto"/>
        <w:ind w:left="-1" w:firstLine="0"/>
        <w:jc w:val="both"/>
        <w:rPr>
          <w:rFonts w:cs="David"/>
          <w:sz w:val="28"/>
          <w:szCs w:val="28"/>
          <w:rtl/>
        </w:rPr>
      </w:pPr>
      <w:r w:rsidRPr="00E25D51">
        <w:rPr>
          <w:rFonts w:cs="David" w:hint="cs"/>
          <w:sz w:val="28"/>
          <w:szCs w:val="28"/>
          <w:rtl/>
        </w:rPr>
        <w:lastRenderedPageBreak/>
        <w:t>ב</w:t>
      </w:r>
      <w:r w:rsidR="003879D9">
        <w:rPr>
          <w:rFonts w:cs="David" w:hint="cs"/>
          <w:sz w:val="28"/>
          <w:szCs w:val="28"/>
          <w:rtl/>
        </w:rPr>
        <w:t>י</w:t>
      </w:r>
      <w:r w:rsidRPr="00E25D51">
        <w:rPr>
          <w:rFonts w:cs="David" w:hint="cs"/>
          <w:sz w:val="28"/>
          <w:szCs w:val="28"/>
          <w:rtl/>
        </w:rPr>
        <w:t xml:space="preserve">ת הדין דחה שתי טענות משפטיות שהועלו על ידי ההגנה, העוסקות </w:t>
      </w:r>
      <w:r w:rsidRPr="000C775A">
        <w:rPr>
          <w:rFonts w:cs="David" w:hint="cs"/>
          <w:sz w:val="28"/>
          <w:szCs w:val="28"/>
          <w:rtl/>
        </w:rPr>
        <w:t>באפשרות להרשיע את המערער בע</w:t>
      </w:r>
      <w:r w:rsidRPr="00E47AF6">
        <w:rPr>
          <w:rFonts w:cs="David" w:hint="cs"/>
          <w:sz w:val="28"/>
          <w:szCs w:val="28"/>
          <w:rtl/>
        </w:rPr>
        <w:t>בירות נוספות שיוחסו לו בכתב האישום, מעבר להרשעתו בעבירה של סחיטה באיומים</w:t>
      </w:r>
      <w:r>
        <w:rPr>
          <w:rFonts w:cs="David" w:hint="cs"/>
          <w:sz w:val="28"/>
          <w:szCs w:val="28"/>
          <w:rtl/>
        </w:rPr>
        <w:t>, כמפורט להלן</w:t>
      </w:r>
      <w:r w:rsidRPr="00E25D51">
        <w:rPr>
          <w:rFonts w:cs="David" w:hint="cs"/>
          <w:sz w:val="28"/>
          <w:szCs w:val="28"/>
          <w:rtl/>
        </w:rPr>
        <w:t>.</w:t>
      </w:r>
      <w:r w:rsidRPr="00FB1331">
        <w:rPr>
          <w:rFonts w:cs="David" w:hint="cs"/>
          <w:sz w:val="28"/>
          <w:szCs w:val="28"/>
          <w:rtl/>
        </w:rPr>
        <w:t xml:space="preserve"> </w:t>
      </w:r>
    </w:p>
    <w:p w14:paraId="35DA66F1" w14:textId="324537A5" w:rsidR="00FB2D20" w:rsidRDefault="00FB2D20" w:rsidP="00FB2D20">
      <w:pPr>
        <w:spacing w:line="360" w:lineRule="auto"/>
        <w:ind w:left="368"/>
        <w:jc w:val="both"/>
        <w:outlineLvl w:val="0"/>
        <w:rPr>
          <w:rFonts w:cs="David"/>
          <w:b/>
          <w:bCs/>
          <w:sz w:val="28"/>
          <w:szCs w:val="28"/>
          <w:rtl/>
        </w:rPr>
      </w:pPr>
    </w:p>
    <w:p w14:paraId="24748EC8" w14:textId="77777777" w:rsidR="00BA6258" w:rsidRDefault="00BA6258" w:rsidP="00FB2D20">
      <w:pPr>
        <w:spacing w:line="360" w:lineRule="auto"/>
        <w:ind w:left="368"/>
        <w:jc w:val="both"/>
        <w:outlineLvl w:val="0"/>
        <w:rPr>
          <w:rFonts w:cs="David"/>
          <w:b/>
          <w:bCs/>
          <w:sz w:val="28"/>
          <w:szCs w:val="28"/>
          <w:rtl/>
        </w:rPr>
      </w:pPr>
    </w:p>
    <w:p w14:paraId="5EC5311B" w14:textId="1C1A0728" w:rsidR="00FB2D20" w:rsidRDefault="00FB2D20" w:rsidP="009E7CF6">
      <w:pPr>
        <w:tabs>
          <w:tab w:val="left" w:pos="282"/>
        </w:tabs>
        <w:spacing w:line="360" w:lineRule="auto"/>
        <w:ind w:left="-1"/>
        <w:jc w:val="both"/>
        <w:rPr>
          <w:rFonts w:cs="David"/>
          <w:b/>
          <w:bCs/>
          <w:sz w:val="28"/>
          <w:szCs w:val="28"/>
          <w:rtl/>
        </w:rPr>
      </w:pPr>
      <w:r>
        <w:rPr>
          <w:rFonts w:cs="David" w:hint="cs"/>
          <w:b/>
          <w:bCs/>
          <w:sz w:val="28"/>
          <w:szCs w:val="28"/>
          <w:rtl/>
        </w:rPr>
        <w:t xml:space="preserve">הכנה וניסיון </w:t>
      </w:r>
    </w:p>
    <w:p w14:paraId="4DF9B3B2" w14:textId="2D915775" w:rsidR="00FB2D20" w:rsidRPr="00130201" w:rsidRDefault="00FB2D20" w:rsidP="001A563F">
      <w:pPr>
        <w:numPr>
          <w:ilvl w:val="0"/>
          <w:numId w:val="5"/>
        </w:numPr>
        <w:tabs>
          <w:tab w:val="left" w:pos="282"/>
        </w:tabs>
        <w:spacing w:line="360" w:lineRule="auto"/>
        <w:ind w:left="-1" w:firstLine="0"/>
        <w:jc w:val="both"/>
        <w:rPr>
          <w:rFonts w:cs="David"/>
          <w:sz w:val="28"/>
          <w:szCs w:val="28"/>
        </w:rPr>
      </w:pPr>
      <w:r w:rsidRPr="00130201">
        <w:rPr>
          <w:rFonts w:cs="David" w:hint="cs"/>
          <w:sz w:val="28"/>
          <w:szCs w:val="28"/>
          <w:rtl/>
        </w:rPr>
        <w:t>בית הדין דחה את טענת ההגנה</w:t>
      </w:r>
      <w:r>
        <w:rPr>
          <w:rFonts w:cs="David" w:hint="cs"/>
          <w:sz w:val="28"/>
          <w:szCs w:val="28"/>
          <w:rtl/>
        </w:rPr>
        <w:t>,</w:t>
      </w:r>
      <w:r w:rsidRPr="00130201">
        <w:rPr>
          <w:rFonts w:cs="David" w:hint="cs"/>
          <w:sz w:val="28"/>
          <w:szCs w:val="28"/>
          <w:rtl/>
        </w:rPr>
        <w:t xml:space="preserve"> </w:t>
      </w:r>
      <w:r>
        <w:rPr>
          <w:rFonts w:cs="David" w:hint="cs"/>
          <w:sz w:val="28"/>
          <w:szCs w:val="28"/>
          <w:rtl/>
        </w:rPr>
        <w:t>ש</w:t>
      </w:r>
      <w:r w:rsidRPr="00130201">
        <w:rPr>
          <w:rFonts w:cs="David" w:hint="cs"/>
          <w:sz w:val="28"/>
          <w:szCs w:val="28"/>
          <w:rtl/>
        </w:rPr>
        <w:t xml:space="preserve">לפיה לא ניתן להרשיע את המערער בעבירה של ניסיון לגרם מעשה אינוס, משום שמעשיו הם בגדר "הכנה" בלבד, ולא עברו את קו הגבול לצורך הגדרתם "כניסיון" בהתאם לסעיף 25 לחוק העונשין. </w:t>
      </w:r>
      <w:r>
        <w:rPr>
          <w:rFonts w:cs="David" w:hint="cs"/>
          <w:sz w:val="28"/>
          <w:szCs w:val="28"/>
          <w:rtl/>
        </w:rPr>
        <w:t xml:space="preserve">נקבע, כי </w:t>
      </w:r>
      <w:r w:rsidRPr="00130201">
        <w:rPr>
          <w:rFonts w:cs="David" w:hint="cs"/>
          <w:sz w:val="28"/>
          <w:szCs w:val="28"/>
          <w:rtl/>
        </w:rPr>
        <w:t xml:space="preserve">מעשיו של המערער </w:t>
      </w:r>
      <w:r>
        <w:rPr>
          <w:rFonts w:cs="David" w:hint="cs"/>
          <w:sz w:val="28"/>
          <w:szCs w:val="28"/>
          <w:rtl/>
        </w:rPr>
        <w:t xml:space="preserve">עברו את </w:t>
      </w:r>
      <w:r w:rsidRPr="00130201">
        <w:rPr>
          <w:rFonts w:cs="David" w:hint="cs"/>
          <w:sz w:val="28"/>
          <w:szCs w:val="28"/>
          <w:rtl/>
        </w:rPr>
        <w:t>שלב ההכנה</w:t>
      </w:r>
      <w:r>
        <w:rPr>
          <w:rFonts w:cs="David" w:hint="cs"/>
          <w:sz w:val="28"/>
          <w:szCs w:val="28"/>
          <w:rtl/>
        </w:rPr>
        <w:t>, ועונים על הגדרת הניסיון</w:t>
      </w:r>
      <w:r w:rsidRPr="00130201">
        <w:rPr>
          <w:rFonts w:cs="David" w:hint="cs"/>
          <w:sz w:val="28"/>
          <w:szCs w:val="28"/>
          <w:rtl/>
        </w:rPr>
        <w:t xml:space="preserve">, שכן הוא ביצע את כלל הפעולות הנדרשות לשם </w:t>
      </w:r>
      <w:r>
        <w:rPr>
          <w:rFonts w:cs="David" w:hint="cs"/>
          <w:sz w:val="28"/>
          <w:szCs w:val="28"/>
          <w:rtl/>
        </w:rPr>
        <w:t xml:space="preserve">השלמת </w:t>
      </w:r>
      <w:r w:rsidRPr="00130201">
        <w:rPr>
          <w:rFonts w:cs="David" w:hint="cs"/>
          <w:sz w:val="28"/>
          <w:szCs w:val="28"/>
          <w:rtl/>
        </w:rPr>
        <w:t xml:space="preserve"> העבירה, </w:t>
      </w:r>
      <w:r>
        <w:rPr>
          <w:rFonts w:cs="David" w:hint="cs"/>
          <w:sz w:val="28"/>
          <w:szCs w:val="28"/>
          <w:rtl/>
        </w:rPr>
        <w:t xml:space="preserve">והתקדם עד לשלב האחרון המצוי בשליטתו. כל שנותר היה שהמתלוננת תיכנע לדרישותיו. </w:t>
      </w:r>
      <w:r w:rsidRPr="00130201">
        <w:rPr>
          <w:rFonts w:cs="David" w:hint="cs"/>
          <w:sz w:val="28"/>
          <w:szCs w:val="28"/>
          <w:rtl/>
        </w:rPr>
        <w:t xml:space="preserve">החלטתה שלא </w:t>
      </w:r>
      <w:r>
        <w:rPr>
          <w:rFonts w:cs="David" w:hint="cs"/>
          <w:sz w:val="28"/>
          <w:szCs w:val="28"/>
          <w:rtl/>
        </w:rPr>
        <w:t xml:space="preserve">לעשות כן </w:t>
      </w:r>
      <w:r w:rsidRPr="00130201">
        <w:rPr>
          <w:rFonts w:cs="David" w:hint="cs"/>
          <w:sz w:val="28"/>
          <w:szCs w:val="28"/>
          <w:rtl/>
        </w:rPr>
        <w:t>היא הפעולה היחי</w:t>
      </w:r>
      <w:r>
        <w:rPr>
          <w:rFonts w:cs="David" w:hint="cs"/>
          <w:sz w:val="28"/>
          <w:szCs w:val="28"/>
          <w:rtl/>
        </w:rPr>
        <w:t xml:space="preserve">דה, שמנעה את ביצוע העבירה המושלמת. נקבע, כי הפעולות הרבות שביצע המערער משקפות </w:t>
      </w:r>
      <w:r w:rsidRPr="00130201">
        <w:rPr>
          <w:rFonts w:cs="David" w:hint="cs"/>
          <w:sz w:val="28"/>
          <w:szCs w:val="28"/>
          <w:rtl/>
        </w:rPr>
        <w:t>ניסיון מובהק, ממשי ומתוכנן</w:t>
      </w:r>
      <w:r>
        <w:rPr>
          <w:rFonts w:cs="David" w:hint="cs"/>
          <w:sz w:val="28"/>
          <w:szCs w:val="28"/>
          <w:rtl/>
        </w:rPr>
        <w:t>,</w:t>
      </w:r>
      <w:r w:rsidRPr="00130201">
        <w:rPr>
          <w:rFonts w:cs="David" w:hint="cs"/>
          <w:sz w:val="28"/>
          <w:szCs w:val="28"/>
          <w:rtl/>
        </w:rPr>
        <w:t xml:space="preserve"> לגרום לנפגעת העבירה לבצע בעצמה מעשים מיניים</w:t>
      </w:r>
      <w:r>
        <w:rPr>
          <w:rFonts w:cs="David" w:hint="cs"/>
          <w:sz w:val="28"/>
          <w:szCs w:val="28"/>
          <w:rtl/>
        </w:rPr>
        <w:t xml:space="preserve">, וכי </w:t>
      </w:r>
      <w:r w:rsidRPr="00130201">
        <w:rPr>
          <w:rFonts w:cs="David" w:hint="cs"/>
          <w:sz w:val="28"/>
          <w:szCs w:val="28"/>
          <w:rtl/>
        </w:rPr>
        <w:t>גם בהעדר שיח בין המערער לנפגעת העבירה, הרי שכוונתו של המערער</w:t>
      </w:r>
      <w:r>
        <w:rPr>
          <w:rFonts w:cs="David" w:hint="cs"/>
          <w:sz w:val="28"/>
          <w:szCs w:val="28"/>
          <w:rtl/>
        </w:rPr>
        <w:t xml:space="preserve">, הנלמדת </w:t>
      </w:r>
      <w:r w:rsidRPr="00130201">
        <w:rPr>
          <w:rFonts w:cs="David" w:hint="cs"/>
          <w:sz w:val="28"/>
          <w:szCs w:val="28"/>
          <w:rtl/>
        </w:rPr>
        <w:t>ממעשיו</w:t>
      </w:r>
      <w:r>
        <w:rPr>
          <w:rFonts w:cs="David" w:hint="cs"/>
          <w:sz w:val="28"/>
          <w:szCs w:val="28"/>
          <w:rtl/>
        </w:rPr>
        <w:t>,</w:t>
      </w:r>
      <w:r w:rsidRPr="00130201">
        <w:rPr>
          <w:rFonts w:cs="David" w:hint="cs"/>
          <w:sz w:val="28"/>
          <w:szCs w:val="28"/>
          <w:rtl/>
        </w:rPr>
        <w:t xml:space="preserve"> היא בהירה ו"ברורה כשמש". </w:t>
      </w:r>
    </w:p>
    <w:p w14:paraId="5928B88F" w14:textId="77777777" w:rsidR="009E7CF6" w:rsidRPr="00140BC0" w:rsidRDefault="009E7CF6" w:rsidP="009E7CF6">
      <w:pPr>
        <w:spacing w:line="360" w:lineRule="auto"/>
        <w:jc w:val="both"/>
        <w:outlineLvl w:val="0"/>
        <w:rPr>
          <w:rFonts w:cs="David"/>
          <w:sz w:val="28"/>
          <w:szCs w:val="28"/>
          <w:rtl/>
        </w:rPr>
      </w:pPr>
    </w:p>
    <w:p w14:paraId="6F1A0A23" w14:textId="5503D9DF" w:rsidR="009E7CF6" w:rsidRDefault="00FB2D20" w:rsidP="009E7CF6">
      <w:pPr>
        <w:tabs>
          <w:tab w:val="left" w:pos="282"/>
        </w:tabs>
        <w:spacing w:line="360" w:lineRule="auto"/>
        <w:ind w:left="-1"/>
        <w:jc w:val="both"/>
        <w:rPr>
          <w:rFonts w:cs="David"/>
          <w:b/>
          <w:bCs/>
          <w:sz w:val="28"/>
          <w:szCs w:val="28"/>
          <w:rtl/>
        </w:rPr>
      </w:pPr>
      <w:r>
        <w:rPr>
          <w:rFonts w:cs="David" w:hint="cs"/>
          <w:b/>
          <w:bCs/>
          <w:sz w:val="28"/>
          <w:szCs w:val="28"/>
          <w:rtl/>
        </w:rPr>
        <w:t>ריבוי עבירות</w:t>
      </w:r>
    </w:p>
    <w:p w14:paraId="636D3322" w14:textId="77777777" w:rsidR="00FB2D20" w:rsidRPr="00130201" w:rsidRDefault="003879D9"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 </w:t>
      </w:r>
      <w:r w:rsidR="00FB2D20" w:rsidRPr="00130201">
        <w:rPr>
          <w:rFonts w:cs="David" w:hint="cs"/>
          <w:sz w:val="28"/>
          <w:szCs w:val="28"/>
          <w:rtl/>
        </w:rPr>
        <w:t xml:space="preserve">בית הדין דן </w:t>
      </w:r>
      <w:r w:rsidR="00FB2D20">
        <w:rPr>
          <w:rFonts w:cs="David" w:hint="cs"/>
          <w:sz w:val="28"/>
          <w:szCs w:val="28"/>
          <w:rtl/>
        </w:rPr>
        <w:t xml:space="preserve">גם </w:t>
      </w:r>
      <w:r w:rsidR="00FB2D20" w:rsidRPr="00130201">
        <w:rPr>
          <w:rFonts w:cs="David" w:hint="cs"/>
          <w:sz w:val="28"/>
          <w:szCs w:val="28"/>
          <w:rtl/>
        </w:rPr>
        <w:t>בטענת ההגנה</w:t>
      </w:r>
      <w:r w:rsidR="00FB2D20">
        <w:rPr>
          <w:rFonts w:cs="David" w:hint="cs"/>
          <w:sz w:val="28"/>
          <w:szCs w:val="28"/>
          <w:rtl/>
        </w:rPr>
        <w:t>,</w:t>
      </w:r>
      <w:r w:rsidR="00FB2D20" w:rsidRPr="00130201">
        <w:rPr>
          <w:rFonts w:cs="David" w:hint="cs"/>
          <w:sz w:val="28"/>
          <w:szCs w:val="28"/>
          <w:rtl/>
        </w:rPr>
        <w:t xml:space="preserve"> </w:t>
      </w:r>
      <w:r w:rsidR="00FB2D20">
        <w:rPr>
          <w:rFonts w:cs="David" w:hint="cs"/>
          <w:sz w:val="28"/>
          <w:szCs w:val="28"/>
          <w:rtl/>
        </w:rPr>
        <w:t>ש</w:t>
      </w:r>
      <w:r w:rsidR="00FB2D20" w:rsidRPr="00130201">
        <w:rPr>
          <w:rFonts w:cs="David" w:hint="cs"/>
          <w:sz w:val="28"/>
          <w:szCs w:val="28"/>
          <w:rtl/>
        </w:rPr>
        <w:t xml:space="preserve">לפיה למערער יוחסו חמישה סעיפי אישום </w:t>
      </w:r>
      <w:r w:rsidR="00FB2D20">
        <w:rPr>
          <w:rFonts w:cs="David" w:hint="cs"/>
          <w:sz w:val="28"/>
          <w:szCs w:val="28"/>
          <w:rtl/>
        </w:rPr>
        <w:t xml:space="preserve">שונים </w:t>
      </w:r>
      <w:r w:rsidR="00FB2D20" w:rsidRPr="00130201">
        <w:rPr>
          <w:rFonts w:cs="David" w:hint="cs"/>
          <w:sz w:val="28"/>
          <w:szCs w:val="28"/>
          <w:rtl/>
        </w:rPr>
        <w:t xml:space="preserve">בשל מעשה </w:t>
      </w:r>
      <w:r w:rsidR="00FB2D20">
        <w:rPr>
          <w:rFonts w:cs="David" w:hint="cs"/>
          <w:sz w:val="28"/>
          <w:szCs w:val="28"/>
          <w:rtl/>
        </w:rPr>
        <w:t xml:space="preserve">שהוא </w:t>
      </w:r>
      <w:r w:rsidR="00FB2D20" w:rsidRPr="00130201">
        <w:rPr>
          <w:rFonts w:cs="David" w:hint="cs"/>
          <w:sz w:val="28"/>
          <w:szCs w:val="28"/>
          <w:rtl/>
        </w:rPr>
        <w:t xml:space="preserve">אחד </w:t>
      </w:r>
      <w:r w:rsidR="00FB2D20">
        <w:rPr>
          <w:rFonts w:cs="David" w:hint="cs"/>
          <w:sz w:val="28"/>
          <w:szCs w:val="28"/>
          <w:rtl/>
        </w:rPr>
        <w:t xml:space="preserve">- </w:t>
      </w:r>
      <w:r w:rsidR="00FB2D20" w:rsidRPr="00130201">
        <w:rPr>
          <w:rFonts w:cs="David" w:hint="cs"/>
          <w:sz w:val="28"/>
          <w:szCs w:val="28"/>
          <w:rtl/>
        </w:rPr>
        <w:t>הכנת מכתב הסחיטה</w:t>
      </w:r>
      <w:r w:rsidR="00FB2D20" w:rsidRPr="006A2CEA">
        <w:rPr>
          <w:rFonts w:cs="David" w:hint="cs"/>
          <w:sz w:val="28"/>
          <w:szCs w:val="28"/>
          <w:rtl/>
        </w:rPr>
        <w:t xml:space="preserve"> </w:t>
      </w:r>
      <w:r w:rsidR="00FB2D20" w:rsidRPr="00130201">
        <w:rPr>
          <w:rFonts w:cs="David" w:hint="cs"/>
          <w:sz w:val="28"/>
          <w:szCs w:val="28"/>
          <w:rtl/>
        </w:rPr>
        <w:t>והנחת</w:t>
      </w:r>
      <w:r w:rsidR="00FB2D20">
        <w:rPr>
          <w:rFonts w:cs="David" w:hint="cs"/>
          <w:sz w:val="28"/>
          <w:szCs w:val="28"/>
          <w:rtl/>
        </w:rPr>
        <w:t>ו. טענת ההגנה הייתה ל</w:t>
      </w:r>
      <w:r w:rsidR="00FB2D20" w:rsidRPr="00130201">
        <w:rPr>
          <w:rFonts w:cs="David" w:hint="cs"/>
          <w:sz w:val="28"/>
          <w:szCs w:val="28"/>
          <w:rtl/>
        </w:rPr>
        <w:t>חפיפה בין יסודות העבירות המיוחסות למערער</w:t>
      </w:r>
      <w:r w:rsidR="00FB2D20">
        <w:rPr>
          <w:rFonts w:cs="David" w:hint="cs"/>
          <w:sz w:val="28"/>
          <w:szCs w:val="28"/>
          <w:rtl/>
        </w:rPr>
        <w:t xml:space="preserve">, באופן שאינו מצדיק הרשעה בכל עבירה בנפרד. </w:t>
      </w:r>
    </w:p>
    <w:p w14:paraId="6F4F96B6" w14:textId="5B6AA288" w:rsidR="00FB2D20" w:rsidRPr="00544E6B" w:rsidRDefault="00FB2D20" w:rsidP="001A563F">
      <w:pPr>
        <w:numPr>
          <w:ilvl w:val="0"/>
          <w:numId w:val="5"/>
        </w:numPr>
        <w:tabs>
          <w:tab w:val="left" w:pos="282"/>
        </w:tabs>
        <w:spacing w:line="360" w:lineRule="auto"/>
        <w:ind w:left="-1" w:firstLine="0"/>
        <w:jc w:val="both"/>
        <w:rPr>
          <w:rFonts w:cs="David"/>
          <w:sz w:val="28"/>
          <w:szCs w:val="28"/>
        </w:rPr>
      </w:pPr>
      <w:r w:rsidRPr="00544E6B">
        <w:rPr>
          <w:rFonts w:cs="David" w:hint="cs"/>
          <w:sz w:val="28"/>
          <w:szCs w:val="28"/>
          <w:rtl/>
        </w:rPr>
        <w:t xml:space="preserve">בית הדין </w:t>
      </w:r>
      <w:r>
        <w:rPr>
          <w:rFonts w:cs="David" w:hint="cs"/>
          <w:sz w:val="28"/>
          <w:szCs w:val="28"/>
          <w:rtl/>
        </w:rPr>
        <w:t xml:space="preserve">עמד </w:t>
      </w:r>
      <w:r w:rsidRPr="00544E6B">
        <w:rPr>
          <w:rFonts w:cs="David" w:hint="cs"/>
          <w:sz w:val="28"/>
          <w:szCs w:val="28"/>
          <w:rtl/>
        </w:rPr>
        <w:t>על כך שה</w:t>
      </w:r>
      <w:r>
        <w:rPr>
          <w:rFonts w:cs="David" w:hint="cs"/>
          <w:sz w:val="28"/>
          <w:szCs w:val="28"/>
          <w:rtl/>
        </w:rPr>
        <w:t>עבירות השונות שיוחסו למערער</w:t>
      </w:r>
      <w:r w:rsidRPr="00544E6B">
        <w:rPr>
          <w:rFonts w:cs="David" w:hint="cs"/>
          <w:sz w:val="28"/>
          <w:szCs w:val="28"/>
          <w:rtl/>
        </w:rPr>
        <w:t xml:space="preserve"> </w:t>
      </w:r>
      <w:r>
        <w:rPr>
          <w:rFonts w:cs="David" w:hint="cs"/>
          <w:sz w:val="28"/>
          <w:szCs w:val="28"/>
          <w:rtl/>
        </w:rPr>
        <w:t xml:space="preserve">הן אכן תוצר של </w:t>
      </w:r>
      <w:r w:rsidRPr="00544E6B">
        <w:rPr>
          <w:rFonts w:cs="David" w:hint="cs"/>
          <w:sz w:val="28"/>
          <w:szCs w:val="28"/>
          <w:rtl/>
        </w:rPr>
        <w:t>מס</w:t>
      </w:r>
      <w:r>
        <w:rPr>
          <w:rFonts w:cs="David" w:hint="cs"/>
          <w:sz w:val="28"/>
          <w:szCs w:val="28"/>
          <w:rtl/>
        </w:rPr>
        <w:t>כ</w:t>
      </w:r>
      <w:r w:rsidRPr="00544E6B">
        <w:rPr>
          <w:rFonts w:cs="David" w:hint="cs"/>
          <w:sz w:val="28"/>
          <w:szCs w:val="28"/>
          <w:rtl/>
        </w:rPr>
        <w:t xml:space="preserve">ת עובדתית אחת. </w:t>
      </w:r>
      <w:r>
        <w:rPr>
          <w:rFonts w:cs="David" w:hint="cs"/>
          <w:sz w:val="28"/>
          <w:szCs w:val="28"/>
          <w:rtl/>
        </w:rPr>
        <w:t xml:space="preserve">עם זאת, </w:t>
      </w:r>
      <w:r w:rsidRPr="00544E6B">
        <w:rPr>
          <w:rFonts w:cs="David" w:hint="cs"/>
          <w:sz w:val="28"/>
          <w:szCs w:val="28"/>
          <w:rtl/>
        </w:rPr>
        <w:t xml:space="preserve">הוטעם, כי בבסיס עבירת הסחיטה באיומים עומדים ערכים מוגנים שונים מאלו המוגנים על ידי עבירות המין - מעשה מגונה וניסיון לגרם מעשה אינוס; וכי </w:t>
      </w:r>
      <w:r>
        <w:rPr>
          <w:rFonts w:cs="David" w:hint="cs"/>
          <w:sz w:val="28"/>
          <w:szCs w:val="28"/>
          <w:rtl/>
        </w:rPr>
        <w:t xml:space="preserve">בהתאם לכללים שנקבעו בהלכה הפסוקה, </w:t>
      </w:r>
      <w:r w:rsidRPr="00544E6B">
        <w:rPr>
          <w:rFonts w:cs="David" w:hint="cs"/>
          <w:sz w:val="28"/>
          <w:szCs w:val="28"/>
          <w:rtl/>
        </w:rPr>
        <w:t>ראוי לבחון את המעשים תוך הפרדה בין רכיב הדרישה מנפגעת העבירה לבצע בעצמה מעשים מיניים שלא בהסכמתה</w:t>
      </w:r>
      <w:r>
        <w:rPr>
          <w:rFonts w:cs="David" w:hint="cs"/>
          <w:sz w:val="28"/>
          <w:szCs w:val="28"/>
          <w:rtl/>
        </w:rPr>
        <w:t>,</w:t>
      </w:r>
      <w:r w:rsidRPr="00544E6B">
        <w:rPr>
          <w:rFonts w:cs="David" w:hint="cs"/>
          <w:sz w:val="28"/>
          <w:szCs w:val="28"/>
          <w:rtl/>
        </w:rPr>
        <w:t xml:space="preserve"> לבין רכיב האיום </w:t>
      </w:r>
      <w:r>
        <w:rPr>
          <w:rFonts w:cs="David" w:hint="cs"/>
          <w:sz w:val="28"/>
          <w:szCs w:val="28"/>
          <w:rtl/>
        </w:rPr>
        <w:t xml:space="preserve">הכרוך </w:t>
      </w:r>
      <w:r w:rsidRPr="00544E6B">
        <w:rPr>
          <w:rFonts w:cs="David" w:hint="cs"/>
          <w:sz w:val="28"/>
          <w:szCs w:val="28"/>
          <w:rtl/>
        </w:rPr>
        <w:t xml:space="preserve">בהפצה ברבים של הסרטון המיני וסרטונים נוספים ובכך לגרום לה פגיעה בפרטיות, השפלה וביזוי מיני. </w:t>
      </w:r>
    </w:p>
    <w:p w14:paraId="5B55AB84" w14:textId="77777777" w:rsidR="00FB2D20" w:rsidRDefault="00FB2D20" w:rsidP="001A563F">
      <w:pPr>
        <w:tabs>
          <w:tab w:val="left" w:pos="282"/>
        </w:tabs>
        <w:spacing w:line="360" w:lineRule="auto"/>
        <w:ind w:left="-1"/>
        <w:jc w:val="both"/>
        <w:rPr>
          <w:rFonts w:cs="David"/>
          <w:sz w:val="28"/>
          <w:szCs w:val="28"/>
          <w:rtl/>
        </w:rPr>
      </w:pPr>
      <w:r>
        <w:rPr>
          <w:rFonts w:cs="David" w:hint="cs"/>
          <w:sz w:val="28"/>
          <w:szCs w:val="28"/>
          <w:rtl/>
        </w:rPr>
        <w:t xml:space="preserve">לאור האמור נקבע בפסק דינו של בית הדין הנכבד, כי על אף קיומה של חפיפה מסוימת בין יסודות העבירות, הרי שבחינה מהותית של רכיבי המעשים המיוחסים למערער ושל הערכים המוגנים יוצרת הבחנה ברורה בין העבירות השונות שיוחסו לו. הודגש, כי לא ניתן ליטול ממעשיו את אופיים המיני המובהק, וכי לפיכך, ראויים מעשיו לכסות משפטית המבטאת את מלוא הערכים המוגנים שבהם פגע. </w:t>
      </w:r>
    </w:p>
    <w:p w14:paraId="00A1DA46" w14:textId="77777777" w:rsidR="00FB2D20" w:rsidRDefault="00FB2D20" w:rsidP="001A563F">
      <w:pPr>
        <w:tabs>
          <w:tab w:val="left" w:pos="282"/>
        </w:tabs>
        <w:spacing w:line="360" w:lineRule="auto"/>
        <w:ind w:left="-1"/>
        <w:jc w:val="both"/>
        <w:rPr>
          <w:rFonts w:cs="David"/>
          <w:sz w:val="28"/>
          <w:szCs w:val="28"/>
          <w:rtl/>
        </w:rPr>
      </w:pPr>
      <w:r w:rsidRPr="001A563F">
        <w:rPr>
          <w:rFonts w:ascii="David" w:eastAsiaTheme="minorHAnsi" w:hAnsi="David" w:cs="David" w:hint="cs"/>
          <w:sz w:val="28"/>
          <w:szCs w:val="28"/>
          <w:rtl/>
        </w:rPr>
        <w:lastRenderedPageBreak/>
        <w:t>בית</w:t>
      </w:r>
      <w:r>
        <w:rPr>
          <w:rFonts w:cs="David" w:hint="cs"/>
          <w:sz w:val="28"/>
          <w:szCs w:val="28"/>
          <w:rtl/>
        </w:rPr>
        <w:t xml:space="preserve"> הדין דחה גם את טענות ההגנה ביחס לחפיפה עם עבירת ההדחה בחקירה, לאור האפשרות השנייה שהוצבה במכתב הסחיטה, שם מוזהרת נפגעת העבירה לבל תפנה לכל גורם חיצוני, שאז הסרטון </w:t>
      </w:r>
      <w:r w:rsidR="00D97915">
        <w:rPr>
          <w:rFonts w:cs="David" w:hint="cs"/>
          <w:sz w:val="28"/>
          <w:szCs w:val="28"/>
          <w:rtl/>
        </w:rPr>
        <w:t>בעניינה יפורסם בתוך דקות בודדות</w:t>
      </w:r>
      <w:r>
        <w:rPr>
          <w:rFonts w:cs="David" w:hint="cs"/>
          <w:sz w:val="28"/>
          <w:szCs w:val="28"/>
          <w:rtl/>
        </w:rPr>
        <w:t xml:space="preserve">. צוין, כי עבירת ההדחה בחקירה, לעומת עבירת הסחיטה באיומים, נכללה בפרק אחר של חוק העונשין, שעניינו הגנה על סדרי השלטון והמשפט. הודגש, כי הערכים המוגנים העומדים בבסיסה שונים מאלה העומדים בבסיס עבירות המין והסחיטה באיומים, וייחודיותם היא בהגנה על סדרי השלטון והמשפט, על העדים ועל האפשרות לבצע חקירות. </w:t>
      </w:r>
    </w:p>
    <w:p w14:paraId="5C3F5172" w14:textId="2AE7CC25"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עם זאת סבר בית הדין, כי יש לקבל את טענת ההגנה בנוגע לעבירת הניסיון לגרם מעשה מגונה. בואר, כי יסודות עבירת הניסיון לגרם מעשה מגונה נכללים ונבלעים בעבירת הניסיון לגרם מעשה אינוס, ואין בכוחו של האישום הנוסף, המבוסס על אותה מסכת עובדתית, כדי לתרום לשלמותה של הכסות המשפטית. על כן סבר בית הדין כי יש לבטל את פרט האישום של עבירת הניסיון למעשה מגונה, שכן ייחוסו למערער מהווה פגם בכתב האישום.  </w:t>
      </w:r>
    </w:p>
    <w:p w14:paraId="04246E17" w14:textId="3D18E799" w:rsidR="00FB2D20" w:rsidRPr="00140BC0" w:rsidRDefault="00FB2D20" w:rsidP="001A563F">
      <w:pPr>
        <w:numPr>
          <w:ilvl w:val="0"/>
          <w:numId w:val="5"/>
        </w:numPr>
        <w:tabs>
          <w:tab w:val="left" w:pos="282"/>
        </w:tabs>
        <w:spacing w:line="360" w:lineRule="auto"/>
        <w:ind w:left="-1" w:firstLine="0"/>
        <w:jc w:val="both"/>
        <w:rPr>
          <w:rFonts w:cs="David"/>
          <w:sz w:val="28"/>
          <w:szCs w:val="28"/>
          <w:rtl/>
        </w:rPr>
      </w:pPr>
      <w:r w:rsidRPr="00140BC0">
        <w:rPr>
          <w:rFonts w:cs="David" w:hint="cs"/>
          <w:sz w:val="28"/>
          <w:szCs w:val="28"/>
          <w:rtl/>
        </w:rPr>
        <w:t>בית הדין דחה את טענות ההגנה בנוגע לכפל אישומים ביחס לעביר</w:t>
      </w:r>
      <w:r w:rsidRPr="000C775A">
        <w:rPr>
          <w:rFonts w:cs="David" w:hint="cs"/>
          <w:sz w:val="28"/>
          <w:szCs w:val="28"/>
          <w:rtl/>
        </w:rPr>
        <w:t xml:space="preserve">ה של </w:t>
      </w:r>
      <w:r w:rsidRPr="00FD7775">
        <w:rPr>
          <w:rFonts w:cs="David" w:hint="cs"/>
          <w:sz w:val="28"/>
          <w:szCs w:val="28"/>
          <w:rtl/>
        </w:rPr>
        <w:t>התנהגות שאינה הולמת; וקבע</w:t>
      </w:r>
      <w:r w:rsidRPr="00415EEE">
        <w:rPr>
          <w:rFonts w:cs="David" w:hint="cs"/>
          <w:sz w:val="28"/>
          <w:szCs w:val="28"/>
          <w:rtl/>
        </w:rPr>
        <w:t>, בהתאם למבחנים שגובשו בפסיקת בית דין זה,</w:t>
      </w:r>
      <w:r w:rsidRPr="00362492">
        <w:rPr>
          <w:rFonts w:cs="David" w:hint="cs"/>
          <w:sz w:val="28"/>
          <w:szCs w:val="28"/>
          <w:rtl/>
        </w:rPr>
        <w:t xml:space="preserve"> כי עבירה זו </w:t>
      </w:r>
      <w:r w:rsidRPr="00A372ED">
        <w:rPr>
          <w:rFonts w:cs="David" w:hint="cs"/>
          <w:sz w:val="28"/>
          <w:szCs w:val="28"/>
          <w:rtl/>
        </w:rPr>
        <w:t>מגלמת בחובה פן נוסף של חומרה, בגין החריגה מרף ההתנהגות הנדרש מ</w:t>
      </w:r>
      <w:r w:rsidRPr="00C944F5">
        <w:rPr>
          <w:rFonts w:cs="David" w:hint="cs"/>
          <w:sz w:val="28"/>
          <w:szCs w:val="28"/>
          <w:rtl/>
        </w:rPr>
        <w:t xml:space="preserve">מפקד, נגד </w:t>
      </w:r>
      <w:r w:rsidRPr="004B3C0B">
        <w:rPr>
          <w:rFonts w:cs="David" w:hint="cs"/>
          <w:sz w:val="28"/>
          <w:szCs w:val="28"/>
          <w:rtl/>
        </w:rPr>
        <w:t>ב</w:t>
      </w:r>
      <w:r w:rsidRPr="006964D7">
        <w:rPr>
          <w:rFonts w:cs="David" w:hint="cs"/>
          <w:sz w:val="28"/>
          <w:szCs w:val="28"/>
          <w:rtl/>
        </w:rPr>
        <w:t xml:space="preserve">שירות קבע, בדרגתו </w:t>
      </w:r>
      <w:r w:rsidRPr="004314E5">
        <w:rPr>
          <w:rFonts w:cs="David" w:hint="cs"/>
          <w:sz w:val="28"/>
          <w:szCs w:val="28"/>
          <w:rtl/>
        </w:rPr>
        <w:t>וב</w:t>
      </w:r>
      <w:r w:rsidRPr="006832BF">
        <w:rPr>
          <w:rFonts w:cs="David" w:hint="cs"/>
          <w:sz w:val="28"/>
          <w:szCs w:val="28"/>
          <w:rtl/>
        </w:rPr>
        <w:t>עמ</w:t>
      </w:r>
      <w:r w:rsidRPr="00985DEE">
        <w:rPr>
          <w:rFonts w:cs="David" w:hint="cs"/>
          <w:sz w:val="28"/>
          <w:szCs w:val="28"/>
          <w:rtl/>
        </w:rPr>
        <w:t xml:space="preserve">דתו של המערער. </w:t>
      </w:r>
    </w:p>
    <w:p w14:paraId="04A027F9" w14:textId="77777777" w:rsidR="00FB2D20" w:rsidRDefault="00FB2D20" w:rsidP="00FB2D20">
      <w:pPr>
        <w:spacing w:line="360" w:lineRule="auto"/>
        <w:jc w:val="both"/>
        <w:outlineLvl w:val="0"/>
        <w:rPr>
          <w:rFonts w:cs="David"/>
          <w:b/>
          <w:bCs/>
          <w:sz w:val="28"/>
          <w:szCs w:val="28"/>
          <w:u w:val="single"/>
          <w:rtl/>
        </w:rPr>
      </w:pPr>
    </w:p>
    <w:p w14:paraId="6190AA66" w14:textId="45EF57FB" w:rsidR="00FB2D20" w:rsidRDefault="00FB2D20" w:rsidP="009E7CF6">
      <w:pPr>
        <w:spacing w:line="360" w:lineRule="auto"/>
        <w:jc w:val="both"/>
        <w:outlineLvl w:val="0"/>
        <w:rPr>
          <w:rFonts w:cs="David"/>
          <w:b/>
          <w:bCs/>
          <w:sz w:val="28"/>
          <w:szCs w:val="28"/>
          <w:u w:val="single"/>
          <w:rtl/>
        </w:rPr>
      </w:pPr>
      <w:r>
        <w:rPr>
          <w:rFonts w:cs="David" w:hint="cs"/>
          <w:b/>
          <w:bCs/>
          <w:sz w:val="28"/>
          <w:szCs w:val="28"/>
          <w:u w:val="single"/>
          <w:rtl/>
        </w:rPr>
        <w:t xml:space="preserve">ערעור ההגנה על הכרעת הדין </w:t>
      </w:r>
    </w:p>
    <w:p w14:paraId="0A0F042A" w14:textId="77777777" w:rsidR="00BA6258" w:rsidRPr="00EE3D55" w:rsidRDefault="00BA6258" w:rsidP="009E7CF6">
      <w:pPr>
        <w:spacing w:line="360" w:lineRule="auto"/>
        <w:jc w:val="both"/>
        <w:outlineLvl w:val="0"/>
        <w:rPr>
          <w:rFonts w:cs="David"/>
          <w:b/>
          <w:bCs/>
          <w:sz w:val="16"/>
          <w:szCs w:val="16"/>
          <w:u w:val="single"/>
          <w:rtl/>
        </w:rPr>
      </w:pPr>
    </w:p>
    <w:p w14:paraId="71FA4FE7" w14:textId="2AD84582" w:rsidR="00BA6258" w:rsidRDefault="00FB2D20" w:rsidP="00BA6258">
      <w:pPr>
        <w:spacing w:line="360" w:lineRule="auto"/>
        <w:jc w:val="both"/>
        <w:outlineLvl w:val="0"/>
        <w:rPr>
          <w:rFonts w:cs="David"/>
          <w:b/>
          <w:bCs/>
          <w:sz w:val="28"/>
          <w:szCs w:val="28"/>
          <w:u w:val="single"/>
          <w:rtl/>
        </w:rPr>
      </w:pPr>
      <w:r>
        <w:rPr>
          <w:rFonts w:cs="David" w:hint="cs"/>
          <w:sz w:val="28"/>
          <w:szCs w:val="28"/>
          <w:u w:val="single"/>
          <w:rtl/>
        </w:rPr>
        <w:t>טיעוני ההגנה</w:t>
      </w:r>
      <w:r>
        <w:rPr>
          <w:rFonts w:cs="David" w:hint="cs"/>
          <w:b/>
          <w:bCs/>
          <w:sz w:val="28"/>
          <w:szCs w:val="28"/>
          <w:u w:val="single"/>
          <w:rtl/>
        </w:rPr>
        <w:t xml:space="preserve">     </w:t>
      </w:r>
    </w:p>
    <w:p w14:paraId="0A827C0B" w14:textId="499ED51A"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אף שזנחה כאמור את ערעורה בנוגע לקביעות העובדתיות בהכרעת הדין, עתרה ההגנה כי נכריע בטענותיה המשפטיות המובאות לעיל. </w:t>
      </w:r>
    </w:p>
    <w:p w14:paraId="4ADD6911" w14:textId="76D11379" w:rsidR="00FB2D20" w:rsidRDefault="00FB2D20" w:rsidP="001A563F">
      <w:pPr>
        <w:numPr>
          <w:ilvl w:val="0"/>
          <w:numId w:val="5"/>
        </w:numPr>
        <w:tabs>
          <w:tab w:val="left" w:pos="282"/>
        </w:tabs>
        <w:spacing w:line="360" w:lineRule="auto"/>
        <w:ind w:left="-1" w:firstLine="0"/>
        <w:jc w:val="both"/>
        <w:rPr>
          <w:rFonts w:cs="David"/>
          <w:sz w:val="28"/>
          <w:szCs w:val="28"/>
        </w:rPr>
      </w:pPr>
      <w:r w:rsidRPr="007337D8">
        <w:rPr>
          <w:rFonts w:cs="David" w:hint="cs"/>
          <w:b/>
          <w:bCs/>
          <w:sz w:val="28"/>
          <w:szCs w:val="28"/>
          <w:rtl/>
        </w:rPr>
        <w:t>הכנה אל מול ניסיון בעבירות המין</w:t>
      </w:r>
      <w:r>
        <w:rPr>
          <w:rFonts w:cs="David" w:hint="cs"/>
          <w:sz w:val="28"/>
          <w:szCs w:val="28"/>
          <w:rtl/>
        </w:rPr>
        <w:t xml:space="preserve"> - נטען, כי מעבר להנחת המכתב בפתח דלת המשרד, מבלי שהמערער ניסה לפנות באופן אישי אל נפגעת העבירה, לא צוינו בכתב האישום עובדות או נסיבות נוספות שיש בהן כדי לבסס את "הניסיון" לבצע עבירות המין; </w:t>
      </w:r>
      <w:r w:rsidR="00D97915">
        <w:rPr>
          <w:rFonts w:cs="David" w:hint="cs"/>
          <w:sz w:val="28"/>
          <w:szCs w:val="28"/>
          <w:rtl/>
        </w:rPr>
        <w:t>ו</w:t>
      </w:r>
      <w:r>
        <w:rPr>
          <w:rFonts w:cs="David" w:hint="cs"/>
          <w:sz w:val="28"/>
          <w:szCs w:val="28"/>
          <w:rtl/>
        </w:rPr>
        <w:t xml:space="preserve">כי אותה מעטפה שהניח המערער יכולה הייתה גם להימצא על ידי אדם אחר ולהיזרק על ידיו. הוטעם, כי המערער לא הואשם ולא הורשע בכך שניסה להתחבר לתיבת הדואר האלקטרוני המדוברת לאחר הנחת המכתב, בכך שניהל שיח עם נפגעת העבירה על התנהלותה או בכך שביצע כל פעולה אחרת שיש בה כדי להביא להגשמת מטרותיו. לפיכך, נטען, כי גם לא הייתה לו דרך לכפות על נפגעת העבירה מרחוק את בחירתה בחלופה כלשהי מתוך החלופות המוצעות במכתב. </w:t>
      </w:r>
    </w:p>
    <w:p w14:paraId="2B149E6C" w14:textId="77777777" w:rsidR="00FB2D20" w:rsidRDefault="00FB2D20" w:rsidP="001A563F">
      <w:pPr>
        <w:spacing w:line="360" w:lineRule="auto"/>
        <w:jc w:val="both"/>
        <w:outlineLvl w:val="0"/>
        <w:rPr>
          <w:rFonts w:cs="David"/>
          <w:sz w:val="28"/>
          <w:szCs w:val="28"/>
          <w:rtl/>
        </w:rPr>
      </w:pPr>
      <w:r>
        <w:rPr>
          <w:rFonts w:cs="David" w:hint="cs"/>
          <w:sz w:val="28"/>
          <w:szCs w:val="28"/>
          <w:rtl/>
        </w:rPr>
        <w:lastRenderedPageBreak/>
        <w:t xml:space="preserve">לשיטת ההגנה, עבירת הסחיטה באיומים היא בגדר הכנה לעבירות האחרות שבהן הורשע המערער ולמעשה, כלל העובדות שפירט בית הדין הן חלק מעבירת הסחיטה באיומים, ואינן חלק משרשרת המעשים המגבשים את עבירות המין. עצם קיומן של חלופות שונות במכתב הסחיטה מלמדות, לשיטתה של ההגנה, על כוונות שונות, ואין לדעת עד כמה קרוב היה המערער להגשמת כל אחת מהן, אם בכלל. לדעת ההגנה, גם מבחני העזר שנקבעו בפסיקה לאבחנה בין הכנה לניסיון, מלמדים על כי לא התקיימה במערער תכנית עבריינית קונקרטית יחידה, ומכאן כי לא ניתן להרשיעו, בהתבסס על כוונה בלתי ממוקדת, בעבירה שעניינה ניסיון לבצע עבירות מין. </w:t>
      </w:r>
    </w:p>
    <w:p w14:paraId="510E68A1" w14:textId="3A550A0B" w:rsidR="00FB2D20" w:rsidRDefault="003879D9" w:rsidP="001A563F">
      <w:pPr>
        <w:numPr>
          <w:ilvl w:val="0"/>
          <w:numId w:val="5"/>
        </w:numPr>
        <w:tabs>
          <w:tab w:val="left" w:pos="282"/>
        </w:tabs>
        <w:spacing w:line="360" w:lineRule="auto"/>
        <w:ind w:left="-1" w:firstLine="0"/>
        <w:jc w:val="both"/>
        <w:rPr>
          <w:rFonts w:cs="David"/>
          <w:sz w:val="28"/>
          <w:szCs w:val="28"/>
        </w:rPr>
      </w:pPr>
      <w:r w:rsidRPr="003879D9">
        <w:rPr>
          <w:rFonts w:cs="David" w:hint="cs"/>
          <w:b/>
          <w:bCs/>
          <w:sz w:val="28"/>
          <w:szCs w:val="28"/>
          <w:rtl/>
        </w:rPr>
        <w:t>רי</w:t>
      </w:r>
      <w:r w:rsidR="00FB2D20" w:rsidRPr="003879D9">
        <w:rPr>
          <w:rFonts w:cs="David" w:hint="cs"/>
          <w:b/>
          <w:bCs/>
          <w:sz w:val="28"/>
          <w:szCs w:val="28"/>
          <w:rtl/>
        </w:rPr>
        <w:t>בוי עבירות</w:t>
      </w:r>
      <w:r w:rsidR="00FB2D20" w:rsidRPr="0051726E">
        <w:rPr>
          <w:rFonts w:cs="David" w:hint="cs"/>
          <w:sz w:val="28"/>
          <w:szCs w:val="28"/>
          <w:rtl/>
        </w:rPr>
        <w:t xml:space="preserve"> - נטען, כי בית הדין קמא </w:t>
      </w:r>
      <w:r w:rsidR="00FB2D20">
        <w:rPr>
          <w:rFonts w:cs="David" w:hint="cs"/>
          <w:sz w:val="28"/>
          <w:szCs w:val="28"/>
          <w:rtl/>
        </w:rPr>
        <w:t xml:space="preserve">שגה, </w:t>
      </w:r>
      <w:r w:rsidR="00FB2D20" w:rsidRPr="0051726E">
        <w:rPr>
          <w:rFonts w:cs="David" w:hint="cs"/>
          <w:sz w:val="28"/>
          <w:szCs w:val="28"/>
          <w:rtl/>
        </w:rPr>
        <w:t xml:space="preserve">כאשר החליט </w:t>
      </w:r>
      <w:r w:rsidR="00D97915">
        <w:rPr>
          <w:rFonts w:cs="David" w:hint="cs"/>
          <w:sz w:val="28"/>
          <w:szCs w:val="28"/>
          <w:rtl/>
        </w:rPr>
        <w:t>לבטל</w:t>
      </w:r>
      <w:r w:rsidR="00FB2D20" w:rsidRPr="0051726E">
        <w:rPr>
          <w:rFonts w:cs="David" w:hint="cs"/>
          <w:sz w:val="28"/>
          <w:szCs w:val="28"/>
          <w:rtl/>
        </w:rPr>
        <w:t xml:space="preserve"> את העב</w:t>
      </w:r>
      <w:r w:rsidR="00FB2D20">
        <w:rPr>
          <w:rFonts w:cs="David" w:hint="cs"/>
          <w:sz w:val="28"/>
          <w:szCs w:val="28"/>
          <w:rtl/>
        </w:rPr>
        <w:t>י</w:t>
      </w:r>
      <w:r w:rsidR="00FB2D20" w:rsidRPr="0051726E">
        <w:rPr>
          <w:rFonts w:cs="David" w:hint="cs"/>
          <w:sz w:val="28"/>
          <w:szCs w:val="28"/>
          <w:rtl/>
        </w:rPr>
        <w:t xml:space="preserve">רה שעניינה ניסיון לגרם מעשה מגונה ולהרשיע </w:t>
      </w:r>
      <w:r w:rsidR="00FB2D20">
        <w:rPr>
          <w:rFonts w:cs="David" w:hint="cs"/>
          <w:sz w:val="28"/>
          <w:szCs w:val="28"/>
          <w:rtl/>
        </w:rPr>
        <w:t xml:space="preserve">את המערער </w:t>
      </w:r>
      <w:r w:rsidR="00FB2D20" w:rsidRPr="0051726E">
        <w:rPr>
          <w:rFonts w:cs="David" w:hint="cs"/>
          <w:sz w:val="28"/>
          <w:szCs w:val="28"/>
          <w:rtl/>
        </w:rPr>
        <w:t xml:space="preserve">בעבירה של ניסיון </w:t>
      </w:r>
      <w:r w:rsidR="00FB2D20">
        <w:rPr>
          <w:rFonts w:cs="David" w:hint="cs"/>
          <w:sz w:val="28"/>
          <w:szCs w:val="28"/>
          <w:rtl/>
        </w:rPr>
        <w:t>ל</w:t>
      </w:r>
      <w:r w:rsidR="00FB2D20" w:rsidRPr="0051726E">
        <w:rPr>
          <w:rFonts w:cs="David" w:hint="cs"/>
          <w:sz w:val="28"/>
          <w:szCs w:val="28"/>
          <w:rtl/>
        </w:rPr>
        <w:t xml:space="preserve">גרם מעשה אינוס. לטענת ההגנה, התעלם בית הדין מניסוחו של המכתב כולו, ומקיומה של חלופה במסגרת המכתב, </w:t>
      </w:r>
      <w:r w:rsidR="00FB2D20">
        <w:rPr>
          <w:rFonts w:cs="David" w:hint="cs"/>
          <w:sz w:val="28"/>
          <w:szCs w:val="28"/>
          <w:rtl/>
        </w:rPr>
        <w:t xml:space="preserve">שאינה כרוכה בביצועם של מעשים מיניים על ידי </w:t>
      </w:r>
      <w:r w:rsidR="00FB2D20" w:rsidRPr="0051726E">
        <w:rPr>
          <w:rFonts w:cs="David" w:hint="cs"/>
          <w:sz w:val="28"/>
          <w:szCs w:val="28"/>
          <w:rtl/>
        </w:rPr>
        <w:t>המתלוננת</w:t>
      </w:r>
      <w:r w:rsidR="00FB2D20">
        <w:rPr>
          <w:rFonts w:cs="David" w:hint="cs"/>
          <w:sz w:val="28"/>
          <w:szCs w:val="28"/>
          <w:rtl/>
        </w:rPr>
        <w:t xml:space="preserve">. הוטעם, כי חלופה זו יכולה הייתה להקים עבירה של </w:t>
      </w:r>
      <w:r w:rsidR="00FB2D20" w:rsidRPr="0051726E">
        <w:rPr>
          <w:rFonts w:cs="David" w:hint="cs"/>
          <w:sz w:val="28"/>
          <w:szCs w:val="28"/>
          <w:rtl/>
        </w:rPr>
        <w:t xml:space="preserve">ניסיון לפגיעה בפרטיות, אך התביעה </w:t>
      </w:r>
      <w:r w:rsidR="00FB2D20">
        <w:rPr>
          <w:rFonts w:cs="David" w:hint="cs"/>
          <w:sz w:val="28"/>
          <w:szCs w:val="28"/>
          <w:rtl/>
        </w:rPr>
        <w:t>נמנעה מ</w:t>
      </w:r>
      <w:r w:rsidR="00FB2D20" w:rsidRPr="0051726E">
        <w:rPr>
          <w:rFonts w:cs="David" w:hint="cs"/>
          <w:sz w:val="28"/>
          <w:szCs w:val="28"/>
          <w:rtl/>
        </w:rPr>
        <w:t xml:space="preserve">לייחס </w:t>
      </w:r>
      <w:r w:rsidR="00FB2D20">
        <w:rPr>
          <w:rFonts w:cs="David" w:hint="cs"/>
          <w:sz w:val="28"/>
          <w:szCs w:val="28"/>
          <w:rtl/>
        </w:rPr>
        <w:t>אותה בכתב האישום</w:t>
      </w:r>
      <w:r w:rsidR="00FB2D20" w:rsidRPr="0051726E">
        <w:rPr>
          <w:rFonts w:cs="David" w:hint="cs"/>
          <w:sz w:val="28"/>
          <w:szCs w:val="28"/>
          <w:rtl/>
        </w:rPr>
        <w:t>.</w:t>
      </w:r>
    </w:p>
    <w:p w14:paraId="30D0C8B3" w14:textId="77777777" w:rsidR="00FB2D20" w:rsidRDefault="00FB2D20" w:rsidP="001A563F">
      <w:pPr>
        <w:spacing w:line="360" w:lineRule="auto"/>
        <w:jc w:val="both"/>
        <w:outlineLvl w:val="0"/>
        <w:rPr>
          <w:rFonts w:cs="David"/>
          <w:sz w:val="28"/>
          <w:szCs w:val="28"/>
          <w:rtl/>
        </w:rPr>
      </w:pPr>
      <w:r>
        <w:rPr>
          <w:rFonts w:cs="David" w:hint="cs"/>
          <w:sz w:val="28"/>
          <w:szCs w:val="28"/>
          <w:rtl/>
        </w:rPr>
        <w:t>הוסיפה ההגנה וטענה, כי מאחר שהוצעו במכתב מספר חלופות שסבירות התממשותן דומה, ר</w:t>
      </w:r>
      <w:r w:rsidRPr="0051726E">
        <w:rPr>
          <w:rFonts w:cs="David" w:hint="cs"/>
          <w:sz w:val="28"/>
          <w:szCs w:val="28"/>
          <w:rtl/>
        </w:rPr>
        <w:t>אוי היה שבית הדין יבחר באפשרות המקלה עם המערער</w:t>
      </w:r>
      <w:r>
        <w:rPr>
          <w:rFonts w:cs="David" w:hint="cs"/>
          <w:sz w:val="28"/>
          <w:szCs w:val="28"/>
          <w:rtl/>
        </w:rPr>
        <w:t xml:space="preserve">, היינו כי </w:t>
      </w:r>
      <w:r w:rsidRPr="0051726E">
        <w:rPr>
          <w:rFonts w:cs="David" w:hint="cs"/>
          <w:sz w:val="28"/>
          <w:szCs w:val="28"/>
          <w:rtl/>
        </w:rPr>
        <w:t xml:space="preserve">לא הייתה כל כוונה </w:t>
      </w:r>
      <w:r>
        <w:rPr>
          <w:rFonts w:cs="David" w:hint="cs"/>
          <w:sz w:val="28"/>
          <w:szCs w:val="28"/>
          <w:rtl/>
        </w:rPr>
        <w:t>ש</w:t>
      </w:r>
      <w:r w:rsidRPr="0051726E">
        <w:rPr>
          <w:rFonts w:cs="David" w:hint="cs"/>
          <w:sz w:val="28"/>
          <w:szCs w:val="28"/>
          <w:rtl/>
        </w:rPr>
        <w:t>החלופה שתיבחר תהיה זו ש</w:t>
      </w:r>
      <w:r>
        <w:rPr>
          <w:rFonts w:cs="David" w:hint="cs"/>
          <w:sz w:val="28"/>
          <w:szCs w:val="28"/>
          <w:rtl/>
        </w:rPr>
        <w:t xml:space="preserve">כוללת מעשים מיניים </w:t>
      </w:r>
      <w:r w:rsidRPr="0051726E">
        <w:rPr>
          <w:rFonts w:cs="David" w:hint="cs"/>
          <w:sz w:val="28"/>
          <w:szCs w:val="28"/>
          <w:rtl/>
        </w:rPr>
        <w:t xml:space="preserve">ולמצער </w:t>
      </w:r>
      <w:r>
        <w:rPr>
          <w:rFonts w:cs="David" w:hint="cs"/>
          <w:sz w:val="28"/>
          <w:szCs w:val="28"/>
          <w:rtl/>
        </w:rPr>
        <w:t>-</w:t>
      </w:r>
      <w:r w:rsidRPr="0051726E">
        <w:rPr>
          <w:rFonts w:cs="David" w:hint="cs"/>
          <w:sz w:val="28"/>
          <w:szCs w:val="28"/>
          <w:rtl/>
        </w:rPr>
        <w:t xml:space="preserve"> </w:t>
      </w:r>
      <w:r>
        <w:rPr>
          <w:rFonts w:cs="David" w:hint="cs"/>
          <w:sz w:val="28"/>
          <w:szCs w:val="28"/>
          <w:rtl/>
        </w:rPr>
        <w:t xml:space="preserve">לבחור בחלופה החמורה פחות מן החלופות הכרוכות בביצועם של מעשים מיניים. </w:t>
      </w:r>
    </w:p>
    <w:p w14:paraId="54B03732" w14:textId="77777777" w:rsidR="00FB2D20" w:rsidRDefault="00FB2D20" w:rsidP="001A563F">
      <w:pPr>
        <w:spacing w:line="360" w:lineRule="auto"/>
        <w:jc w:val="both"/>
        <w:outlineLvl w:val="0"/>
        <w:rPr>
          <w:rFonts w:cs="David"/>
          <w:sz w:val="28"/>
          <w:szCs w:val="28"/>
          <w:rtl/>
        </w:rPr>
      </w:pPr>
      <w:r>
        <w:rPr>
          <w:rFonts w:cs="David" w:hint="cs"/>
          <w:sz w:val="28"/>
          <w:szCs w:val="28"/>
          <w:rtl/>
        </w:rPr>
        <w:t>עוד נטען, כי עבירת הסחיטה באיומים ועבירת ההדחה בחקירה מגלמות שתיהן פגיעה בערך המוגן שעניינו חירותו של אדם, ומנוסחות באופן דומה, תוך שעבירת הסחיטה באיומים מנוסחת באופן רחב יותר, על מנת לכלול מנעד רחב של מעשים, ולא רק כאלה המתייחסים לאיום שנועד להרתיע מפני מסירת עדות בחקירה על פני דין.</w:t>
      </w:r>
      <w:r w:rsidR="00D97915">
        <w:rPr>
          <w:rFonts w:cs="David" w:hint="cs"/>
          <w:sz w:val="28"/>
          <w:szCs w:val="28"/>
          <w:rtl/>
        </w:rPr>
        <w:t xml:space="preserve"> </w:t>
      </w:r>
      <w:r>
        <w:rPr>
          <w:rFonts w:cs="David" w:hint="cs"/>
          <w:sz w:val="28"/>
          <w:szCs w:val="28"/>
          <w:rtl/>
        </w:rPr>
        <w:t xml:space="preserve">נוכח זהות הערכים המוגנים העומדים בבסיס העבירות, ואף זהות העונשים הנקובים לצדן, ובוודאי כששתיהן מבוססות על אותו אירוע - </w:t>
      </w:r>
      <w:r w:rsidR="00D97915">
        <w:rPr>
          <w:rFonts w:cs="David" w:hint="cs"/>
          <w:sz w:val="28"/>
          <w:szCs w:val="28"/>
          <w:rtl/>
        </w:rPr>
        <w:t xml:space="preserve">נטען כי </w:t>
      </w:r>
      <w:r>
        <w:rPr>
          <w:rFonts w:cs="David" w:hint="cs"/>
          <w:sz w:val="28"/>
          <w:szCs w:val="28"/>
          <w:rtl/>
        </w:rPr>
        <w:t xml:space="preserve">אין מקום להותיר את הרשעתו של המערער בשתי העבירות על כנה. </w:t>
      </w:r>
    </w:p>
    <w:p w14:paraId="07424D89" w14:textId="77777777" w:rsidR="00FB2D20" w:rsidRDefault="00FB2D20" w:rsidP="00FB2D20">
      <w:pPr>
        <w:spacing w:line="360" w:lineRule="auto"/>
        <w:ind w:left="368"/>
        <w:jc w:val="both"/>
        <w:outlineLvl w:val="0"/>
        <w:rPr>
          <w:rFonts w:cs="David"/>
          <w:sz w:val="28"/>
          <w:szCs w:val="28"/>
          <w:rtl/>
        </w:rPr>
      </w:pPr>
    </w:p>
    <w:p w14:paraId="00DA43A5" w14:textId="7E06668C" w:rsidR="00FB2D20" w:rsidRDefault="001A563F" w:rsidP="009E7CF6">
      <w:pPr>
        <w:spacing w:line="360" w:lineRule="auto"/>
        <w:jc w:val="both"/>
        <w:outlineLvl w:val="0"/>
        <w:rPr>
          <w:rFonts w:cs="David"/>
          <w:b/>
          <w:bCs/>
          <w:sz w:val="28"/>
          <w:szCs w:val="28"/>
          <w:u w:val="single"/>
          <w:rtl/>
        </w:rPr>
      </w:pPr>
      <w:r>
        <w:rPr>
          <w:rFonts w:cs="David" w:hint="cs"/>
          <w:sz w:val="28"/>
          <w:szCs w:val="28"/>
          <w:u w:val="single"/>
          <w:rtl/>
        </w:rPr>
        <w:t xml:space="preserve"> </w:t>
      </w:r>
      <w:r w:rsidR="00FB2D20">
        <w:rPr>
          <w:rFonts w:cs="David" w:hint="cs"/>
          <w:sz w:val="28"/>
          <w:szCs w:val="28"/>
          <w:u w:val="single"/>
          <w:rtl/>
        </w:rPr>
        <w:t xml:space="preserve">תשובת התביעה בערעור </w:t>
      </w:r>
      <w:r w:rsidR="00FB2D20">
        <w:rPr>
          <w:rFonts w:cs="David" w:hint="cs"/>
          <w:b/>
          <w:bCs/>
          <w:sz w:val="28"/>
          <w:szCs w:val="28"/>
          <w:u w:val="single"/>
          <w:rtl/>
        </w:rPr>
        <w:t xml:space="preserve">   </w:t>
      </w:r>
    </w:p>
    <w:p w14:paraId="5061C3D1" w14:textId="6B6F11F3" w:rsidR="00FB2D20" w:rsidRPr="0051726E"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התביעה עתרה לבל נתערב בהכרעת הדין של בית הדין קמא ובאופן שבו נותחו ונדחו טענותיה המשפטיות של ההגנה.</w:t>
      </w:r>
    </w:p>
    <w:p w14:paraId="51A20F94" w14:textId="5774A870" w:rsidR="00FB2D20" w:rsidRDefault="00FB2D20" w:rsidP="001A563F">
      <w:pPr>
        <w:numPr>
          <w:ilvl w:val="0"/>
          <w:numId w:val="5"/>
        </w:numPr>
        <w:tabs>
          <w:tab w:val="left" w:pos="282"/>
        </w:tabs>
        <w:spacing w:line="360" w:lineRule="auto"/>
        <w:ind w:left="-1" w:firstLine="0"/>
        <w:jc w:val="both"/>
        <w:rPr>
          <w:rFonts w:cs="David"/>
          <w:sz w:val="28"/>
          <w:szCs w:val="28"/>
        </w:rPr>
      </w:pPr>
      <w:r w:rsidRPr="00F8110B">
        <w:rPr>
          <w:rFonts w:cs="David" w:hint="cs"/>
          <w:b/>
          <w:bCs/>
          <w:sz w:val="28"/>
          <w:szCs w:val="28"/>
          <w:rtl/>
        </w:rPr>
        <w:t>הכנה וניסיון</w:t>
      </w:r>
      <w:r w:rsidRPr="006D1DE1">
        <w:rPr>
          <w:rFonts w:cs="David" w:hint="cs"/>
          <w:sz w:val="28"/>
          <w:szCs w:val="28"/>
          <w:rtl/>
        </w:rPr>
        <w:t xml:space="preserve"> - </w:t>
      </w:r>
      <w:r>
        <w:rPr>
          <w:rFonts w:cs="David" w:hint="cs"/>
          <w:sz w:val="28"/>
          <w:szCs w:val="28"/>
          <w:rtl/>
        </w:rPr>
        <w:t xml:space="preserve">נטען כי העבירות שביצע המערער עברו את שלב ההכנה, שכן כל שהיה תלוי בו, כמבצע, הושלם והתקיים. מטרותיו נלמדות מתוך מכתב הסחיטה, אשר הופנה אל נפגעת העבירה, בשמה המלא, תוך ציון מועד שחרורה משירות צבאי. מכאן, לדעת התביעה, ניתן להסיק בבירור כי המערער התכוון כי המכתב יגיע לידיה של הנפגעת, באופן ישיר או באמצעות אחר שיראה את פרטיה רשומים עליו. התביעה </w:t>
      </w:r>
      <w:r>
        <w:rPr>
          <w:rFonts w:cs="David" w:hint="cs"/>
          <w:sz w:val="28"/>
          <w:szCs w:val="28"/>
          <w:rtl/>
        </w:rPr>
        <w:lastRenderedPageBreak/>
        <w:t xml:space="preserve">הדגישה, כי גם בצירוף הסרטון למכתב, ובפתיחת תיבת דוא"ל הסחיטה, יש ביטוי ברור למעברו של המערער משלב ההכנה אל שלב הניסיון. </w:t>
      </w:r>
    </w:p>
    <w:p w14:paraId="513C8039" w14:textId="56990EE8" w:rsidR="00FB2D20" w:rsidRDefault="00FB2D20" w:rsidP="001A563F">
      <w:pPr>
        <w:numPr>
          <w:ilvl w:val="0"/>
          <w:numId w:val="5"/>
        </w:numPr>
        <w:tabs>
          <w:tab w:val="left" w:pos="282"/>
        </w:tabs>
        <w:spacing w:line="360" w:lineRule="auto"/>
        <w:ind w:left="-1" w:firstLine="0"/>
        <w:jc w:val="both"/>
        <w:rPr>
          <w:rFonts w:cs="David"/>
          <w:sz w:val="28"/>
          <w:szCs w:val="28"/>
          <w:rtl/>
        </w:rPr>
      </w:pPr>
      <w:r w:rsidRPr="00B67AB9">
        <w:rPr>
          <w:rFonts w:cs="David" w:hint="cs"/>
          <w:b/>
          <w:bCs/>
          <w:sz w:val="28"/>
          <w:szCs w:val="28"/>
          <w:rtl/>
        </w:rPr>
        <w:t>ריבוי עבירות</w:t>
      </w:r>
      <w:r>
        <w:rPr>
          <w:rFonts w:cs="David" w:hint="cs"/>
          <w:b/>
          <w:bCs/>
          <w:sz w:val="28"/>
          <w:szCs w:val="28"/>
          <w:rtl/>
        </w:rPr>
        <w:t xml:space="preserve"> </w:t>
      </w:r>
      <w:r>
        <w:rPr>
          <w:rFonts w:cs="David" w:hint="cs"/>
          <w:sz w:val="28"/>
          <w:szCs w:val="28"/>
          <w:rtl/>
        </w:rPr>
        <w:t xml:space="preserve">- התביעה עמדה על כך שכתב האישום נועד לתת מענה לפגיעה במספר ערכים מוגנים שונים, העומדים בבסיס העבירות השונות. אף שהמכתב מנה מספר "חלופות פעולה" עבור </w:t>
      </w:r>
      <w:r w:rsidR="00D97915">
        <w:rPr>
          <w:rFonts w:cs="David" w:hint="cs"/>
          <w:sz w:val="28"/>
          <w:szCs w:val="28"/>
          <w:rtl/>
        </w:rPr>
        <w:t>נפגעת העבירה</w:t>
      </w:r>
      <w:r>
        <w:rPr>
          <w:rFonts w:cs="David" w:hint="cs"/>
          <w:sz w:val="28"/>
          <w:szCs w:val="28"/>
          <w:rtl/>
        </w:rPr>
        <w:t xml:space="preserve">, אילו הייתה מבצעת את דרישותיו של המערער בחלופה השלישית, הרי שהייתה מתקיימת עבירה מושלמת של גרם אינוס. הוטעם, כי תוכנו של המכתב מלמד, באופן מובהק, על כך שנועד להביא את הנפגעת לבחירה בחלופה השלישית, של גרם אינוס, שהיא התוצאה הרצויה ביותר עבור המערער. חלופה זו הוצגה במכתב כחלופה היחידה שאפשרה לנפגעת העבירה לצמצם את הנזק הרחב והמתמשך שנגרם לה, בעת שתועדה במצבים חושפניים ואינטימיים, במשך כשנתיים, ולהביא למחיקת תיעוד זה. </w:t>
      </w:r>
    </w:p>
    <w:p w14:paraId="190FF449" w14:textId="77777777" w:rsidR="00FB2D20" w:rsidRDefault="00FB2D20" w:rsidP="00FB2D20">
      <w:pPr>
        <w:spacing w:line="360" w:lineRule="auto"/>
        <w:ind w:left="-58"/>
        <w:jc w:val="both"/>
        <w:outlineLvl w:val="0"/>
        <w:rPr>
          <w:rFonts w:cs="David"/>
          <w:b/>
          <w:bCs/>
          <w:sz w:val="28"/>
          <w:szCs w:val="28"/>
          <w:u w:val="single"/>
          <w:rtl/>
        </w:rPr>
      </w:pPr>
    </w:p>
    <w:p w14:paraId="754137D5" w14:textId="48DDB279" w:rsidR="00FB2D20" w:rsidRPr="009E7CF6" w:rsidRDefault="00FB2D20" w:rsidP="009E7CF6">
      <w:pPr>
        <w:spacing w:line="360" w:lineRule="auto"/>
        <w:ind w:left="-58"/>
        <w:jc w:val="both"/>
        <w:outlineLvl w:val="0"/>
        <w:rPr>
          <w:rFonts w:cs="David"/>
          <w:b/>
          <w:bCs/>
          <w:sz w:val="28"/>
          <w:szCs w:val="28"/>
          <w:u w:val="single"/>
          <w:rtl/>
        </w:rPr>
      </w:pPr>
      <w:r>
        <w:rPr>
          <w:rFonts w:cs="David" w:hint="cs"/>
          <w:b/>
          <w:bCs/>
          <w:sz w:val="28"/>
          <w:szCs w:val="28"/>
          <w:u w:val="single"/>
          <w:rtl/>
        </w:rPr>
        <w:t xml:space="preserve">דיון והכרעה - הטענות המשפטיות כנגד היקף ההרשעה </w:t>
      </w:r>
    </w:p>
    <w:p w14:paraId="6207DCEA" w14:textId="3DF5C29F"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בצדק, זנחה ההגנה את ערעורה כנגד הקביעות העובדתיות בהכרעת הדין. קביעות אלה נומקו על ידי בית הדין קמא הנכבד היטב, ובאורח מקיף ויסודי. הראיות הנסיבתיות שהצטברו כנגד המערער, בראי ממצאי המהימנות שנקבעו, אכן הובילו למסקנה אחת ויחידה, שלפיה המערער הוא שביצע את המעשים המתוארים בכתב האישום. להלן ייבחנו אפוא הטענות המשפטיות שהועלו על ידי ההגנה.   </w:t>
      </w:r>
    </w:p>
    <w:p w14:paraId="62B2E4A2" w14:textId="77777777" w:rsidR="00FB2D20" w:rsidRPr="00B65EEA" w:rsidRDefault="00FB2D20" w:rsidP="00FB2D20">
      <w:pPr>
        <w:spacing w:line="360" w:lineRule="auto"/>
        <w:ind w:left="368"/>
        <w:jc w:val="both"/>
        <w:outlineLvl w:val="0"/>
        <w:rPr>
          <w:rFonts w:cs="David"/>
          <w:sz w:val="28"/>
          <w:szCs w:val="28"/>
          <w:rtl/>
        </w:rPr>
      </w:pPr>
    </w:p>
    <w:p w14:paraId="28608E23" w14:textId="587D8002" w:rsidR="00FB2D20" w:rsidRPr="009E7CF6" w:rsidRDefault="00FB2D20" w:rsidP="009E7CF6">
      <w:pPr>
        <w:tabs>
          <w:tab w:val="left" w:pos="282"/>
        </w:tabs>
        <w:spacing w:line="360" w:lineRule="auto"/>
        <w:jc w:val="both"/>
        <w:rPr>
          <w:rFonts w:cs="David"/>
          <w:b/>
          <w:bCs/>
          <w:sz w:val="28"/>
          <w:szCs w:val="28"/>
          <w:rtl/>
        </w:rPr>
      </w:pPr>
      <w:r w:rsidRPr="00F8110B">
        <w:rPr>
          <w:rFonts w:cs="David" w:hint="cs"/>
          <w:b/>
          <w:bCs/>
          <w:sz w:val="28"/>
          <w:szCs w:val="28"/>
          <w:rtl/>
        </w:rPr>
        <w:t>הכנה או ניסיון</w:t>
      </w:r>
    </w:p>
    <w:p w14:paraId="1B399B26" w14:textId="61A4B746"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בסעיף 25 לחוק העונשין, תחת הכותרת "נסיון מהו", נקבע כי: "אדם מנסה לעבור עבירה, אם במטרה לבצעה, עשה מעשה שאין בו הכנה בלבד, והעבירה לא הושלמה". הוטעם בפסיקה, כי:  </w:t>
      </w:r>
    </w:p>
    <w:p w14:paraId="0C01D0C2" w14:textId="429186C6" w:rsidR="00FB2D20" w:rsidRDefault="00FB2D20" w:rsidP="00A23CB0">
      <w:pPr>
        <w:pStyle w:val="a0"/>
        <w:spacing w:line="240" w:lineRule="auto"/>
        <w:ind w:left="1077" w:right="1276" w:firstLine="0"/>
        <w:rPr>
          <w:rFonts w:cs="David"/>
          <w:sz w:val="28"/>
          <w:szCs w:val="28"/>
        </w:rPr>
      </w:pPr>
      <w:r>
        <w:rPr>
          <w:rFonts w:ascii="David" w:hAnsi="David" w:cs="David" w:hint="cs"/>
          <w:sz w:val="24"/>
          <w:szCs w:val="28"/>
          <w:rtl/>
        </w:rPr>
        <w:t>"</w:t>
      </w:r>
      <w:r w:rsidRPr="00014F6B">
        <w:rPr>
          <w:rFonts w:cs="David"/>
          <w:sz w:val="28"/>
          <w:szCs w:val="28"/>
          <w:rtl/>
        </w:rPr>
        <w:t xml:space="preserve">המדובר באירוע עברייני שבו אחד מן ההיבטים של היסוד העובדתי (התנהגות, נסיבות או תוצאה) </w:t>
      </w:r>
      <w:r w:rsidR="00A23CB0">
        <w:rPr>
          <w:rFonts w:cs="David" w:hint="cs"/>
          <w:sz w:val="28"/>
          <w:szCs w:val="28"/>
          <w:rtl/>
        </w:rPr>
        <w:t>-</w:t>
      </w:r>
      <w:r w:rsidRPr="00014F6B">
        <w:rPr>
          <w:rFonts w:cs="David"/>
          <w:sz w:val="28"/>
          <w:szCs w:val="28"/>
          <w:rtl/>
        </w:rPr>
        <w:t xml:space="preserve"> לא הושלמו </w:t>
      </w:r>
      <w:r>
        <w:rPr>
          <w:rFonts w:cs="David" w:hint="cs"/>
          <w:sz w:val="28"/>
          <w:szCs w:val="28"/>
          <w:rtl/>
        </w:rPr>
        <w:t xml:space="preserve">... </w:t>
      </w:r>
      <w:r w:rsidRPr="00014F6B">
        <w:rPr>
          <w:rFonts w:cs="David"/>
          <w:sz w:val="28"/>
          <w:szCs w:val="28"/>
          <w:rtl/>
        </w:rPr>
        <w:t xml:space="preserve">כפי שנפסק, הרעיון שביסוד ענישת הניסיון הוא, כי </w:t>
      </w:r>
      <w:r>
        <w:rPr>
          <w:rFonts w:cs="David" w:hint="cs"/>
          <w:sz w:val="28"/>
          <w:szCs w:val="28"/>
          <w:rtl/>
        </w:rPr>
        <w:t>'</w:t>
      </w:r>
      <w:r w:rsidRPr="00014F6B">
        <w:rPr>
          <w:rFonts w:cs="David"/>
          <w:sz w:val="28"/>
          <w:szCs w:val="28"/>
          <w:rtl/>
        </w:rPr>
        <w:t>אין להמתין עד לביצוע העבירה המוגמרת, שעה שכוונותיו של המבצע כבר ברורות, וניתן לעצור אותו מלממשן עוד לפני שהרע יתרחש והנזק יהפוך לעובדה</w:t>
      </w:r>
      <w:r>
        <w:rPr>
          <w:rFonts w:cs="David" w:hint="cs"/>
          <w:sz w:val="28"/>
          <w:szCs w:val="28"/>
          <w:rtl/>
        </w:rPr>
        <w:t>'</w:t>
      </w:r>
      <w:r w:rsidRPr="00014F6B">
        <w:rPr>
          <w:rFonts w:cs="David"/>
          <w:sz w:val="28"/>
          <w:szCs w:val="28"/>
          <w:rtl/>
        </w:rPr>
        <w:t xml:space="preserve"> (ע"פ 9849/05 </w:t>
      </w:r>
      <w:r w:rsidRPr="00F8110B">
        <w:rPr>
          <w:rFonts w:cs="David"/>
          <w:b/>
          <w:bCs/>
          <w:sz w:val="28"/>
          <w:szCs w:val="28"/>
          <w:rtl/>
        </w:rPr>
        <w:t>מדינת ישראל נ' ברואיר</w:t>
      </w:r>
      <w:r w:rsidRPr="00014F6B">
        <w:rPr>
          <w:rFonts w:cs="David"/>
          <w:sz w:val="28"/>
          <w:szCs w:val="28"/>
          <w:rtl/>
        </w:rPr>
        <w:t>, פסקה 6 (</w:t>
      </w:r>
      <w:r w:rsidR="0035073D">
        <w:rPr>
          <w:rFonts w:cs="David" w:hint="cs"/>
          <w:sz w:val="28"/>
          <w:szCs w:val="28"/>
          <w:rtl/>
        </w:rPr>
        <w:t xml:space="preserve">לא פורסם, </w:t>
      </w:r>
      <w:r w:rsidRPr="00014F6B">
        <w:rPr>
          <w:rFonts w:cs="David"/>
          <w:sz w:val="28"/>
          <w:szCs w:val="28"/>
          <w:rtl/>
        </w:rPr>
        <w:t xml:space="preserve">23.11.2006)). בנוסף לכך, התפיסה היא כי מי שמתחיל בביצוע עבירה פלילית מתוך שאיפה להשלימה, מוכיח בכך שהוא מסוכן לציבור וכי קיים בו </w:t>
      </w:r>
      <w:r>
        <w:rPr>
          <w:rFonts w:cs="David" w:hint="cs"/>
          <w:sz w:val="28"/>
          <w:szCs w:val="28"/>
          <w:rtl/>
        </w:rPr>
        <w:t>'</w:t>
      </w:r>
      <w:r w:rsidRPr="00014F6B">
        <w:rPr>
          <w:rFonts w:cs="David"/>
          <w:sz w:val="28"/>
          <w:szCs w:val="28"/>
          <w:rtl/>
        </w:rPr>
        <w:t>פוטנציאל עברייני</w:t>
      </w:r>
      <w:r>
        <w:rPr>
          <w:rFonts w:cs="David" w:hint="cs"/>
          <w:sz w:val="28"/>
          <w:szCs w:val="28"/>
          <w:rtl/>
        </w:rPr>
        <w:t>'</w:t>
      </w:r>
      <w:r w:rsidRPr="00014F6B">
        <w:rPr>
          <w:rFonts w:cs="David"/>
          <w:sz w:val="28"/>
          <w:szCs w:val="28"/>
          <w:rtl/>
        </w:rPr>
        <w:t xml:space="preserve">  (ראו: ע"פ 675/85 </w:t>
      </w:r>
      <w:r w:rsidRPr="00F8110B">
        <w:rPr>
          <w:rFonts w:cs="David"/>
          <w:b/>
          <w:bCs/>
          <w:sz w:val="28"/>
          <w:szCs w:val="28"/>
          <w:rtl/>
        </w:rPr>
        <w:t>גרציאנו נ' מדינת ישראל</w:t>
      </w:r>
      <w:r w:rsidRPr="00014F6B">
        <w:rPr>
          <w:rFonts w:cs="David"/>
          <w:sz w:val="28"/>
          <w:szCs w:val="28"/>
          <w:rtl/>
        </w:rPr>
        <w:t>, פ"ד מ(3) 763, 773 (1986); מרדכי קרמניצר "עוד על היסוד ההתנהגותי  ב'אקטוס ראוס' של הניסיון: הערות בשולי מאמרו של א' קמר" משפטים ט 274, 285 (התשל"ט)). יתר על כן, הניסיון הפלילי מתבטא בהתנהגות שהיא חלק מהותי מתוך העבירה המושלמת. לפיכך, ביצוע ניסיון עשוי לפגוע בהרגשת האמון והביטחון של הציבור</w:t>
      </w:r>
      <w:r>
        <w:rPr>
          <w:rFonts w:cs="David" w:hint="cs"/>
          <w:sz w:val="28"/>
          <w:szCs w:val="28"/>
          <w:rtl/>
        </w:rPr>
        <w:t>" (</w:t>
      </w:r>
      <w:r w:rsidRPr="00014F6B">
        <w:rPr>
          <w:rFonts w:cs="David"/>
          <w:sz w:val="28"/>
          <w:szCs w:val="28"/>
          <w:rtl/>
        </w:rPr>
        <w:t>רע</w:t>
      </w:r>
      <w:r>
        <w:rPr>
          <w:rFonts w:cs="David" w:hint="cs"/>
          <w:sz w:val="28"/>
          <w:szCs w:val="28"/>
          <w:rtl/>
        </w:rPr>
        <w:t>"</w:t>
      </w:r>
      <w:r w:rsidRPr="00014F6B">
        <w:rPr>
          <w:rFonts w:cs="David"/>
          <w:sz w:val="28"/>
          <w:szCs w:val="28"/>
          <w:rtl/>
        </w:rPr>
        <w:t xml:space="preserve">פ 2220/16 </w:t>
      </w:r>
      <w:r w:rsidRPr="00014F6B">
        <w:rPr>
          <w:rFonts w:cs="David"/>
          <w:b/>
          <w:bCs/>
          <w:sz w:val="28"/>
          <w:szCs w:val="28"/>
          <w:rtl/>
        </w:rPr>
        <w:lastRenderedPageBreak/>
        <w:t>מור יוסף נ' התביעה הצבאית הראשית</w:t>
      </w:r>
      <w:r>
        <w:rPr>
          <w:rFonts w:cs="David" w:hint="cs"/>
          <w:b/>
          <w:bCs/>
          <w:sz w:val="28"/>
          <w:szCs w:val="28"/>
          <w:rtl/>
        </w:rPr>
        <w:t>,</w:t>
      </w:r>
      <w:r>
        <w:rPr>
          <w:rFonts w:cs="David" w:hint="cs"/>
          <w:sz w:val="28"/>
          <w:szCs w:val="28"/>
          <w:rtl/>
        </w:rPr>
        <w:t xml:space="preserve"> פסקה 17 (</w:t>
      </w:r>
      <w:r w:rsidR="0035073D">
        <w:rPr>
          <w:rFonts w:cs="David" w:hint="cs"/>
          <w:sz w:val="28"/>
          <w:szCs w:val="28"/>
          <w:rtl/>
        </w:rPr>
        <w:t xml:space="preserve">לא פורסם, </w:t>
      </w:r>
      <w:r>
        <w:rPr>
          <w:rFonts w:cs="David" w:hint="cs"/>
          <w:sz w:val="28"/>
          <w:szCs w:val="28"/>
          <w:rtl/>
        </w:rPr>
        <w:t>26.10.2017)).</w:t>
      </w:r>
      <w:r w:rsidRPr="00014F6B">
        <w:rPr>
          <w:rFonts w:cs="David"/>
          <w:sz w:val="28"/>
          <w:szCs w:val="28"/>
          <w:rtl/>
        </w:rPr>
        <w:t xml:space="preserve">   </w:t>
      </w:r>
    </w:p>
    <w:p w14:paraId="3CB24EAF" w14:textId="76017F61" w:rsidR="00FB2D20" w:rsidRDefault="00FB2D20" w:rsidP="001A563F">
      <w:pPr>
        <w:numPr>
          <w:ilvl w:val="0"/>
          <w:numId w:val="5"/>
        </w:numPr>
        <w:tabs>
          <w:tab w:val="left" w:pos="282"/>
        </w:tabs>
        <w:spacing w:line="360" w:lineRule="auto"/>
        <w:ind w:left="-1" w:firstLine="0"/>
        <w:jc w:val="both"/>
        <w:rPr>
          <w:rFonts w:cs="David"/>
          <w:sz w:val="28"/>
          <w:szCs w:val="28"/>
        </w:rPr>
      </w:pPr>
      <w:r w:rsidRPr="00B65EEA">
        <w:rPr>
          <w:rFonts w:cs="David" w:hint="cs"/>
          <w:sz w:val="28"/>
          <w:szCs w:val="28"/>
          <w:rtl/>
        </w:rPr>
        <w:t xml:space="preserve">סעיף 25 לחוק העונשין אינו </w:t>
      </w:r>
      <w:r>
        <w:rPr>
          <w:rFonts w:cs="David" w:hint="cs"/>
          <w:sz w:val="28"/>
          <w:szCs w:val="28"/>
          <w:rtl/>
        </w:rPr>
        <w:t xml:space="preserve">מגדיר </w:t>
      </w:r>
      <w:r w:rsidRPr="00B65EEA">
        <w:rPr>
          <w:rFonts w:cs="David" w:hint="cs"/>
          <w:sz w:val="28"/>
          <w:szCs w:val="28"/>
          <w:rtl/>
        </w:rPr>
        <w:t xml:space="preserve">את </w:t>
      </w:r>
      <w:r>
        <w:rPr>
          <w:rFonts w:cs="David" w:hint="cs"/>
          <w:sz w:val="28"/>
          <w:szCs w:val="28"/>
          <w:rtl/>
        </w:rPr>
        <w:t>קו ה</w:t>
      </w:r>
      <w:r w:rsidRPr="00B65EEA">
        <w:rPr>
          <w:rFonts w:cs="David" w:hint="cs"/>
          <w:sz w:val="28"/>
          <w:szCs w:val="28"/>
          <w:rtl/>
        </w:rPr>
        <w:t xml:space="preserve">גבול </w:t>
      </w:r>
      <w:r>
        <w:rPr>
          <w:rFonts w:cs="David" w:hint="cs"/>
          <w:sz w:val="28"/>
          <w:szCs w:val="28"/>
          <w:rtl/>
        </w:rPr>
        <w:t xml:space="preserve">בין שלב </w:t>
      </w:r>
      <w:r w:rsidRPr="00B65EEA">
        <w:rPr>
          <w:rFonts w:cs="David" w:hint="cs"/>
          <w:sz w:val="28"/>
          <w:szCs w:val="28"/>
          <w:rtl/>
        </w:rPr>
        <w:t>הניסיון ל</w:t>
      </w:r>
      <w:r>
        <w:rPr>
          <w:rFonts w:cs="David" w:hint="cs"/>
          <w:sz w:val="28"/>
          <w:szCs w:val="28"/>
          <w:rtl/>
        </w:rPr>
        <w:t xml:space="preserve">בין שלב </w:t>
      </w:r>
      <w:r w:rsidRPr="00B65EEA">
        <w:rPr>
          <w:rFonts w:cs="David" w:hint="cs"/>
          <w:sz w:val="28"/>
          <w:szCs w:val="28"/>
          <w:rtl/>
        </w:rPr>
        <w:t>ההכנה</w:t>
      </w:r>
      <w:r>
        <w:rPr>
          <w:rFonts w:cs="David" w:hint="cs"/>
          <w:sz w:val="28"/>
          <w:szCs w:val="28"/>
          <w:rtl/>
        </w:rPr>
        <w:t xml:space="preserve">. </w:t>
      </w:r>
      <w:r w:rsidRPr="00B65EEA">
        <w:rPr>
          <w:rFonts w:cs="David" w:hint="cs"/>
          <w:sz w:val="28"/>
          <w:szCs w:val="28"/>
          <w:rtl/>
        </w:rPr>
        <w:t xml:space="preserve">מדובר בהבחנה </w:t>
      </w:r>
      <w:r>
        <w:rPr>
          <w:rFonts w:cs="David" w:hint="cs"/>
          <w:sz w:val="28"/>
          <w:szCs w:val="28"/>
          <w:rtl/>
        </w:rPr>
        <w:t xml:space="preserve">בעלת </w:t>
      </w:r>
      <w:r w:rsidRPr="00B65EEA">
        <w:rPr>
          <w:rFonts w:cs="David" w:hint="cs"/>
          <w:sz w:val="28"/>
          <w:szCs w:val="28"/>
          <w:rtl/>
        </w:rPr>
        <w:t xml:space="preserve">חשיבות מכרעת, שכן </w:t>
      </w:r>
      <w:r>
        <w:rPr>
          <w:rFonts w:cs="David" w:hint="cs"/>
          <w:sz w:val="28"/>
          <w:szCs w:val="28"/>
          <w:rtl/>
        </w:rPr>
        <w:t xml:space="preserve">שלב </w:t>
      </w:r>
      <w:r w:rsidRPr="00B65EEA">
        <w:rPr>
          <w:rFonts w:cs="David" w:hint="cs"/>
          <w:sz w:val="28"/>
          <w:szCs w:val="28"/>
          <w:rtl/>
        </w:rPr>
        <w:t xml:space="preserve">ההכנה, בניגוד לניסיון, אינו </w:t>
      </w:r>
      <w:r>
        <w:rPr>
          <w:rFonts w:cs="David" w:hint="cs"/>
          <w:sz w:val="28"/>
          <w:szCs w:val="28"/>
          <w:rtl/>
        </w:rPr>
        <w:t>גורר אחריו אחריות בפלילים</w:t>
      </w:r>
      <w:r w:rsidRPr="00B65EEA">
        <w:rPr>
          <w:rFonts w:cs="David" w:hint="cs"/>
          <w:sz w:val="28"/>
          <w:szCs w:val="28"/>
          <w:rtl/>
        </w:rPr>
        <w:t xml:space="preserve">. </w:t>
      </w:r>
      <w:r>
        <w:rPr>
          <w:rFonts w:cs="David" w:hint="cs"/>
          <w:sz w:val="28"/>
          <w:szCs w:val="28"/>
          <w:rtl/>
        </w:rPr>
        <w:t xml:space="preserve">בואר </w:t>
      </w:r>
      <w:r w:rsidRPr="00B65EEA">
        <w:rPr>
          <w:rFonts w:cs="David" w:hint="cs"/>
          <w:sz w:val="28"/>
          <w:szCs w:val="28"/>
          <w:rtl/>
        </w:rPr>
        <w:t>בפסיקת בית המשפט העליון</w:t>
      </w:r>
      <w:r>
        <w:rPr>
          <w:rFonts w:cs="David" w:hint="cs"/>
          <w:sz w:val="28"/>
          <w:szCs w:val="28"/>
          <w:rtl/>
        </w:rPr>
        <w:t>,</w:t>
      </w:r>
      <w:r w:rsidRPr="00B65EEA">
        <w:rPr>
          <w:rFonts w:cs="David" w:hint="cs"/>
          <w:sz w:val="28"/>
          <w:szCs w:val="28"/>
          <w:rtl/>
        </w:rPr>
        <w:t xml:space="preserve"> כי </w:t>
      </w:r>
      <w:r>
        <w:rPr>
          <w:rFonts w:cs="David" w:hint="cs"/>
          <w:sz w:val="28"/>
          <w:szCs w:val="28"/>
          <w:rtl/>
        </w:rPr>
        <w:t>האחריות ל</w:t>
      </w:r>
      <w:r w:rsidRPr="00B65EEA">
        <w:rPr>
          <w:rFonts w:cs="David" w:hint="cs"/>
          <w:sz w:val="28"/>
          <w:szCs w:val="28"/>
          <w:rtl/>
        </w:rPr>
        <w:t xml:space="preserve">ניסיון </w:t>
      </w:r>
      <w:r>
        <w:rPr>
          <w:rFonts w:cs="David" w:hint="cs"/>
          <w:sz w:val="28"/>
          <w:szCs w:val="28"/>
          <w:rtl/>
        </w:rPr>
        <w:t xml:space="preserve">לביצוע עבירה </w:t>
      </w:r>
      <w:r w:rsidRPr="00B65EEA">
        <w:rPr>
          <w:rFonts w:cs="David" w:hint="cs"/>
          <w:sz w:val="28"/>
          <w:szCs w:val="28"/>
          <w:rtl/>
        </w:rPr>
        <w:t>מת</w:t>
      </w:r>
      <w:r>
        <w:rPr>
          <w:rFonts w:cs="David" w:hint="cs"/>
          <w:sz w:val="28"/>
          <w:szCs w:val="28"/>
          <w:rtl/>
        </w:rPr>
        <w:t xml:space="preserve">קיימת </w:t>
      </w:r>
      <w:r w:rsidRPr="00B65EEA">
        <w:rPr>
          <w:rFonts w:cs="David" w:hint="cs"/>
          <w:sz w:val="28"/>
          <w:szCs w:val="28"/>
          <w:rtl/>
        </w:rPr>
        <w:t xml:space="preserve">מקום </w:t>
      </w:r>
      <w:r>
        <w:rPr>
          <w:rFonts w:cs="David" w:hint="cs"/>
          <w:sz w:val="28"/>
          <w:szCs w:val="28"/>
          <w:rtl/>
        </w:rPr>
        <w:t>ש</w:t>
      </w:r>
      <w:r w:rsidRPr="00B65EEA">
        <w:rPr>
          <w:rFonts w:cs="David" w:hint="cs"/>
          <w:sz w:val="28"/>
          <w:szCs w:val="28"/>
          <w:rtl/>
        </w:rPr>
        <w:t>בו ה</w:t>
      </w:r>
      <w:r>
        <w:rPr>
          <w:rFonts w:cs="David" w:hint="cs"/>
          <w:sz w:val="28"/>
          <w:szCs w:val="28"/>
          <w:rtl/>
        </w:rPr>
        <w:t xml:space="preserve">יסוד העובדתי </w:t>
      </w:r>
      <w:r w:rsidRPr="00B65EEA">
        <w:rPr>
          <w:rFonts w:cs="David" w:hint="cs"/>
          <w:sz w:val="28"/>
          <w:szCs w:val="28"/>
          <w:rtl/>
        </w:rPr>
        <w:t xml:space="preserve">אמנם לא הושלם, אך הוכחה התנהגות החורגת מגדרי "הכנה" גרידא; </w:t>
      </w:r>
      <w:r>
        <w:rPr>
          <w:rFonts w:cs="David" w:hint="cs"/>
          <w:sz w:val="28"/>
          <w:szCs w:val="28"/>
          <w:rtl/>
        </w:rPr>
        <w:t>ו</w:t>
      </w:r>
      <w:r w:rsidRPr="00B65EEA">
        <w:rPr>
          <w:rFonts w:cs="David" w:hint="cs"/>
          <w:sz w:val="28"/>
          <w:szCs w:val="28"/>
          <w:rtl/>
        </w:rPr>
        <w:t xml:space="preserve">מתלווה </w:t>
      </w:r>
      <w:r>
        <w:rPr>
          <w:rFonts w:cs="David" w:hint="cs"/>
          <w:sz w:val="28"/>
          <w:szCs w:val="28"/>
          <w:rtl/>
        </w:rPr>
        <w:t xml:space="preserve">אליה </w:t>
      </w:r>
      <w:r w:rsidRPr="00B65EEA">
        <w:rPr>
          <w:rFonts w:cs="David" w:hint="cs"/>
          <w:sz w:val="28"/>
          <w:szCs w:val="28"/>
          <w:rtl/>
        </w:rPr>
        <w:t>כוונה חד משמעית להשלים את העבירה</w:t>
      </w:r>
      <w:r>
        <w:rPr>
          <w:rFonts w:cs="David" w:hint="cs"/>
          <w:sz w:val="28"/>
          <w:szCs w:val="28"/>
          <w:rtl/>
        </w:rPr>
        <w:t xml:space="preserve"> (</w:t>
      </w:r>
      <w:r w:rsidRPr="00B65EEA">
        <w:rPr>
          <w:rFonts w:cs="David" w:hint="cs"/>
          <w:sz w:val="28"/>
          <w:szCs w:val="28"/>
          <w:rtl/>
        </w:rPr>
        <w:t xml:space="preserve">ע"פ 2350/15 </w:t>
      </w:r>
      <w:r w:rsidRPr="00B65EEA">
        <w:rPr>
          <w:rFonts w:cs="David" w:hint="cs"/>
          <w:b/>
          <w:bCs/>
          <w:sz w:val="28"/>
          <w:szCs w:val="28"/>
          <w:rtl/>
        </w:rPr>
        <w:t>שהאב נ' מדינת ישראל</w:t>
      </w:r>
      <w:r>
        <w:rPr>
          <w:rFonts w:cs="David" w:hint="cs"/>
          <w:b/>
          <w:bCs/>
          <w:sz w:val="28"/>
          <w:szCs w:val="28"/>
          <w:rtl/>
        </w:rPr>
        <w:t>,</w:t>
      </w:r>
      <w:r w:rsidRPr="00B65EEA">
        <w:rPr>
          <w:rFonts w:cs="David" w:hint="cs"/>
          <w:b/>
          <w:bCs/>
          <w:sz w:val="28"/>
          <w:szCs w:val="28"/>
          <w:rtl/>
        </w:rPr>
        <w:t xml:space="preserve"> </w:t>
      </w:r>
      <w:r w:rsidRPr="00B65EEA">
        <w:rPr>
          <w:rFonts w:cs="David" w:hint="cs"/>
          <w:sz w:val="28"/>
          <w:szCs w:val="28"/>
          <w:rtl/>
        </w:rPr>
        <w:t xml:space="preserve">פסקה 15 </w:t>
      </w:r>
      <w:r>
        <w:rPr>
          <w:rFonts w:cs="David" w:hint="cs"/>
          <w:sz w:val="28"/>
          <w:szCs w:val="28"/>
          <w:rtl/>
        </w:rPr>
        <w:t>(</w:t>
      </w:r>
      <w:r w:rsidR="0035073D">
        <w:rPr>
          <w:rFonts w:cs="David" w:hint="cs"/>
          <w:sz w:val="28"/>
          <w:szCs w:val="28"/>
          <w:rtl/>
        </w:rPr>
        <w:t xml:space="preserve">לא פורסם, </w:t>
      </w:r>
      <w:r>
        <w:rPr>
          <w:rFonts w:cs="David" w:hint="cs"/>
          <w:sz w:val="28"/>
          <w:szCs w:val="28"/>
          <w:rtl/>
        </w:rPr>
        <w:t>1.12.2016)</w:t>
      </w:r>
      <w:r w:rsidR="00B6104F">
        <w:rPr>
          <w:rFonts w:cs="David" w:hint="cs"/>
          <w:sz w:val="28"/>
          <w:szCs w:val="28"/>
          <w:rtl/>
        </w:rPr>
        <w:t>.</w:t>
      </w:r>
    </w:p>
    <w:p w14:paraId="1F816FDC" w14:textId="77777777" w:rsidR="00FB2D20" w:rsidRDefault="00FB2D20" w:rsidP="001A563F">
      <w:pPr>
        <w:tabs>
          <w:tab w:val="left" w:pos="282"/>
        </w:tabs>
        <w:spacing w:line="360" w:lineRule="auto"/>
        <w:ind w:left="-1"/>
        <w:jc w:val="both"/>
        <w:rPr>
          <w:rFonts w:cs="David"/>
          <w:sz w:val="28"/>
          <w:szCs w:val="28"/>
        </w:rPr>
      </w:pPr>
      <w:r>
        <w:rPr>
          <w:rFonts w:cs="David" w:hint="cs"/>
          <w:sz w:val="28"/>
          <w:szCs w:val="28"/>
          <w:rtl/>
        </w:rPr>
        <w:t xml:space="preserve">בשונה משלב הניסיון, מעשי ההכנה נתפסים ככאלה שאינם מסכנים את הערך המוגן באמצעות העבירה הפלילית, במידה המצדיקה הטלה של אחריות עונשית. הכנה נחשבת כמעין "סידורים מוקדמים" לקראת ביצוע העבירה, כגון - סיור במקום שבו יש כוונה לבצע את העבירה כדי לבחון את היתכנות ביצועה. אותו "סידור מוקדם", הוא בדרך כלל נפרד מביצוע העבירה, ואינו יוצר איום של ממש על הערך המוגן. לעומת זאת, "תחילת הביצוע", המעבר לשלב הניסיון, מלמד על "קפיצה איכותית", שהיא גם תולדה של </w:t>
      </w:r>
      <w:r w:rsidRPr="00735280">
        <w:rPr>
          <w:rFonts w:cs="David" w:hint="cs"/>
          <w:b/>
          <w:bCs/>
          <w:sz w:val="28"/>
          <w:szCs w:val="28"/>
          <w:rtl/>
        </w:rPr>
        <w:t xml:space="preserve">החלטה מגובשת יותר </w:t>
      </w:r>
      <w:r>
        <w:rPr>
          <w:rFonts w:cs="David" w:hint="cs"/>
          <w:b/>
          <w:bCs/>
          <w:sz w:val="28"/>
          <w:szCs w:val="28"/>
          <w:rtl/>
        </w:rPr>
        <w:t xml:space="preserve">לבצע </w:t>
      </w:r>
      <w:r w:rsidRPr="00F8110B">
        <w:rPr>
          <w:rFonts w:cs="David" w:hint="cs"/>
          <w:b/>
          <w:bCs/>
          <w:sz w:val="28"/>
          <w:szCs w:val="28"/>
          <w:rtl/>
        </w:rPr>
        <w:t>עבירה</w:t>
      </w:r>
      <w:r>
        <w:rPr>
          <w:rFonts w:cs="David" w:hint="cs"/>
          <w:sz w:val="28"/>
          <w:szCs w:val="28"/>
          <w:rtl/>
        </w:rPr>
        <w:t xml:space="preserve">. החלטה כזו הופכת את התנהגותו של מבצעה להתנהגות בעלת מטען אנטי חברתי, המצדיקה גם תגובה עונשית. במצב דברים זה נוצר איום ממשי על הערך המוגן באמצעות הגדרת העבירה, וזה דורש, בהתאמה, תגובה עונשית מרתיעה </w:t>
      </w:r>
      <w:r w:rsidRPr="006472B3">
        <w:rPr>
          <w:rFonts w:cs="David" w:hint="cs"/>
          <w:sz w:val="28"/>
          <w:szCs w:val="28"/>
          <w:rtl/>
        </w:rPr>
        <w:t xml:space="preserve">(פרופ' מרים גור אריה "על ההבחנה בין הכנה לבין ניסיון" </w:t>
      </w:r>
      <w:r w:rsidRPr="006472B3">
        <w:rPr>
          <w:rFonts w:cs="David" w:hint="cs"/>
          <w:b/>
          <w:bCs/>
          <w:sz w:val="28"/>
          <w:szCs w:val="28"/>
          <w:rtl/>
        </w:rPr>
        <w:t xml:space="preserve">משפטים </w:t>
      </w:r>
      <w:r w:rsidRPr="006472B3">
        <w:rPr>
          <w:rFonts w:cs="David" w:hint="cs"/>
          <w:sz w:val="28"/>
          <w:szCs w:val="28"/>
          <w:rtl/>
        </w:rPr>
        <w:t xml:space="preserve">לב(3) תשס"ב 505, </w:t>
      </w:r>
      <w:r>
        <w:rPr>
          <w:rFonts w:cs="David" w:hint="cs"/>
          <w:sz w:val="28"/>
          <w:szCs w:val="28"/>
          <w:rtl/>
        </w:rPr>
        <w:t xml:space="preserve">עמ' 528). </w:t>
      </w:r>
    </w:p>
    <w:p w14:paraId="43AD0E0F" w14:textId="6619C7C0"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בהעדר קו גבול ברור בחקיקה, נקבעו בפסיקה מבחני עזר שתכליתם לסייע לבית המשפט להבחין בין מעשה שעבר לשלב הניסיון, לבין מעשה שלא חצה את רף ההכנה. בתוך כך, גם נדחו בפסיקה מבחנים אחרים. כך למשל, נדחה "מבחן המעשה האחרון", שלפיו, כדי לגבש עבירה של ניסיון, יש להראות שהנאשם ביצע את המעשה האחרון הדרוש מצידו לשם ביצוע העבירה המושלמת (פרופ' גור אריה, "על ההבחנה בין הכנה לבין ניסיון" הנ"ל, בעמ'</w:t>
      </w:r>
      <w:r w:rsidR="00A23CB0">
        <w:rPr>
          <w:rFonts w:cs="David" w:hint="cs"/>
          <w:sz w:val="28"/>
          <w:szCs w:val="28"/>
          <w:rtl/>
        </w:rPr>
        <w:t xml:space="preserve"> 506</w:t>
      </w:r>
      <w:r>
        <w:rPr>
          <w:rFonts w:cs="David" w:hint="cs"/>
          <w:sz w:val="28"/>
          <w:szCs w:val="28"/>
          <w:rtl/>
        </w:rPr>
        <w:t xml:space="preserve">).  </w:t>
      </w:r>
    </w:p>
    <w:p w14:paraId="610125B2" w14:textId="004D5FAC"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בפרשת </w:t>
      </w:r>
      <w:r>
        <w:rPr>
          <w:rFonts w:cs="David" w:hint="cs"/>
          <w:b/>
          <w:bCs/>
          <w:sz w:val="28"/>
          <w:szCs w:val="28"/>
          <w:rtl/>
        </w:rPr>
        <w:t xml:space="preserve">פלוני </w:t>
      </w:r>
      <w:r w:rsidRPr="00F8110B">
        <w:rPr>
          <w:rFonts w:cs="David" w:hint="cs"/>
          <w:sz w:val="28"/>
          <w:szCs w:val="28"/>
          <w:rtl/>
        </w:rPr>
        <w:t>(</w:t>
      </w:r>
      <w:r>
        <w:rPr>
          <w:rFonts w:cs="David" w:hint="cs"/>
          <w:sz w:val="28"/>
          <w:szCs w:val="28"/>
          <w:rtl/>
        </w:rPr>
        <w:t xml:space="preserve">ע"פ 8449/17 </w:t>
      </w:r>
      <w:r>
        <w:rPr>
          <w:rFonts w:cs="David" w:hint="cs"/>
          <w:b/>
          <w:bCs/>
          <w:sz w:val="28"/>
          <w:szCs w:val="28"/>
          <w:rtl/>
        </w:rPr>
        <w:t xml:space="preserve">פלוני נ' מדינת ישראל, </w:t>
      </w:r>
      <w:r>
        <w:rPr>
          <w:rFonts w:cs="David" w:hint="cs"/>
          <w:sz w:val="28"/>
          <w:szCs w:val="28"/>
          <w:rtl/>
        </w:rPr>
        <w:t>פסקה 37 (</w:t>
      </w:r>
      <w:r w:rsidR="0035073D">
        <w:rPr>
          <w:rFonts w:cs="David" w:hint="cs"/>
          <w:sz w:val="28"/>
          <w:szCs w:val="28"/>
          <w:rtl/>
        </w:rPr>
        <w:t xml:space="preserve">לא פורסם, </w:t>
      </w:r>
      <w:r>
        <w:rPr>
          <w:rFonts w:cs="David" w:hint="cs"/>
          <w:sz w:val="28"/>
          <w:szCs w:val="28"/>
          <w:rtl/>
        </w:rPr>
        <w:t xml:space="preserve">16.6.2019) הובאו שני המבחנים העיקריים שהתגבשו בסוגיה עם השנים, כדלהלן: </w:t>
      </w:r>
    </w:p>
    <w:p w14:paraId="04100C1D" w14:textId="0247AD4B" w:rsidR="00FB2D20" w:rsidRDefault="00FB2D20" w:rsidP="00FB2D20">
      <w:pPr>
        <w:numPr>
          <w:ilvl w:val="0"/>
          <w:numId w:val="6"/>
        </w:numPr>
        <w:spacing w:line="360" w:lineRule="auto"/>
        <w:jc w:val="both"/>
        <w:outlineLvl w:val="0"/>
        <w:rPr>
          <w:rFonts w:cs="David"/>
          <w:sz w:val="28"/>
          <w:szCs w:val="28"/>
        </w:rPr>
      </w:pPr>
      <w:r w:rsidRPr="00977656">
        <w:rPr>
          <w:rFonts w:cs="David" w:hint="cs"/>
          <w:b/>
          <w:bCs/>
          <w:sz w:val="28"/>
          <w:szCs w:val="28"/>
          <w:rtl/>
        </w:rPr>
        <w:t>מבחן הקרבה המספקת</w:t>
      </w:r>
      <w:r>
        <w:rPr>
          <w:rFonts w:cs="David" w:hint="cs"/>
          <w:sz w:val="28"/>
          <w:szCs w:val="28"/>
          <w:rtl/>
        </w:rPr>
        <w:t xml:space="preserve"> - מבחן זה מתמקד בעבירה המושלמת, ומשקיף ממנה לאחור. היינו, השאלה הנשאלת היא האם המעשים שבוצעו מצויים בקרבה מספקת, מוחשית ומסוכנת לביצוע העבירה המושלמת, ומה היקפם וטיבם של המעשים שנותרו לשם השלמתה של העבירה. במסגרת מבחן זה ניתן להיעזר בפרמטרים של סמיכות בזמן ובמקום לביצוע המוגמר. עם זאת </w:t>
      </w:r>
      <w:r>
        <w:rPr>
          <w:rFonts w:cs="David" w:hint="cs"/>
          <w:sz w:val="28"/>
          <w:szCs w:val="28"/>
          <w:rtl/>
        </w:rPr>
        <w:lastRenderedPageBreak/>
        <w:t xml:space="preserve">סמיכות בזמן ובמקום אינה תנאי הכרחי (ראו גם ע"פ 11068/08 </w:t>
      </w:r>
      <w:r>
        <w:rPr>
          <w:rFonts w:cs="David" w:hint="cs"/>
          <w:b/>
          <w:bCs/>
          <w:sz w:val="28"/>
          <w:szCs w:val="28"/>
          <w:rtl/>
        </w:rPr>
        <w:t>מדינת ישראל נ' סנקר</w:t>
      </w:r>
      <w:r w:rsidR="00EE3D55">
        <w:rPr>
          <w:rFonts w:cs="David" w:hint="cs"/>
          <w:b/>
          <w:bCs/>
          <w:sz w:val="28"/>
          <w:szCs w:val="28"/>
          <w:rtl/>
        </w:rPr>
        <w:t xml:space="preserve"> </w:t>
      </w:r>
      <w:r>
        <w:rPr>
          <w:rFonts w:cs="David" w:hint="cs"/>
          <w:sz w:val="28"/>
          <w:szCs w:val="28"/>
          <w:rtl/>
        </w:rPr>
        <w:t>(</w:t>
      </w:r>
      <w:r w:rsidR="0035073D">
        <w:rPr>
          <w:rFonts w:cs="David" w:hint="cs"/>
          <w:sz w:val="28"/>
          <w:szCs w:val="28"/>
          <w:rtl/>
        </w:rPr>
        <w:t xml:space="preserve">לא פורסם, </w:t>
      </w:r>
      <w:r>
        <w:rPr>
          <w:rFonts w:cs="David" w:hint="cs"/>
          <w:sz w:val="28"/>
          <w:szCs w:val="28"/>
          <w:rtl/>
        </w:rPr>
        <w:t>12.7.2010)</w:t>
      </w:r>
      <w:r w:rsidR="00B6104F">
        <w:rPr>
          <w:rFonts w:cs="David" w:hint="cs"/>
          <w:sz w:val="28"/>
          <w:szCs w:val="28"/>
          <w:rtl/>
        </w:rPr>
        <w:t>.</w:t>
      </w:r>
    </w:p>
    <w:p w14:paraId="76AD5DF8" w14:textId="77777777" w:rsidR="00FB2D20" w:rsidRDefault="00FB2D20" w:rsidP="00FB2D20">
      <w:pPr>
        <w:numPr>
          <w:ilvl w:val="0"/>
          <w:numId w:val="6"/>
        </w:numPr>
        <w:spacing w:line="360" w:lineRule="auto"/>
        <w:jc w:val="both"/>
        <w:outlineLvl w:val="0"/>
        <w:rPr>
          <w:rFonts w:cs="David"/>
          <w:sz w:val="28"/>
          <w:szCs w:val="28"/>
        </w:rPr>
      </w:pPr>
      <w:r w:rsidRPr="00977656">
        <w:rPr>
          <w:rFonts w:cs="David" w:hint="cs"/>
          <w:b/>
          <w:bCs/>
          <w:sz w:val="28"/>
          <w:szCs w:val="28"/>
          <w:rtl/>
        </w:rPr>
        <w:t>מבחן החד משמעות</w:t>
      </w:r>
      <w:r>
        <w:rPr>
          <w:rFonts w:cs="David" w:hint="cs"/>
          <w:sz w:val="28"/>
          <w:szCs w:val="28"/>
          <w:rtl/>
        </w:rPr>
        <w:t xml:space="preserve"> (מבחן "הסרט האילם") - שלפיו ניסיון יימצא במעשה גלוי, ולו ראשוני ביותר, המהווה את תחילת הגשמת העבירה, ובלבד שנגלות ממנו, באופן חד משמעי, כוונתו הפלילית ומטרתו הקונקרטית של מבצע העבירה. על פי מבחן זה, לא נדרשת תחילת ביצוע היסוד העובדתי של העבירה המושלמת, אלא די בכך שהעבריין ניגש לביצוע העבירה במובנו הרחב של מונח זה; הבחינה נעשית באמצעות דימוי התנהגותו של המבצע ל'סרט אילם' - נסיון לבצע עבירה יתהווה מן הרגע שבו תתברר לצופה מן הצד כוונתו של המבצע, תוך צפייה בהתנהגותו בלבד וללא ידיעה מוקדמת של הרקע לדברים.   </w:t>
      </w:r>
    </w:p>
    <w:p w14:paraId="73FADE17" w14:textId="624537E7" w:rsidR="00FB2D20" w:rsidRDefault="00FB2D20" w:rsidP="001A563F">
      <w:pPr>
        <w:numPr>
          <w:ilvl w:val="0"/>
          <w:numId w:val="5"/>
        </w:numPr>
        <w:tabs>
          <w:tab w:val="left" w:pos="282"/>
        </w:tabs>
        <w:spacing w:line="360" w:lineRule="auto"/>
        <w:ind w:left="-1" w:firstLine="0"/>
        <w:jc w:val="both"/>
        <w:rPr>
          <w:rFonts w:cs="David"/>
          <w:sz w:val="28"/>
          <w:szCs w:val="28"/>
        </w:rPr>
      </w:pPr>
      <w:r w:rsidRPr="00E1228E">
        <w:rPr>
          <w:rFonts w:cs="David" w:hint="cs"/>
          <w:sz w:val="28"/>
          <w:szCs w:val="28"/>
          <w:rtl/>
        </w:rPr>
        <w:t xml:space="preserve">מבחנים אלה </w:t>
      </w:r>
      <w:r>
        <w:rPr>
          <w:rFonts w:cs="David" w:hint="cs"/>
          <w:sz w:val="28"/>
          <w:szCs w:val="28"/>
          <w:rtl/>
        </w:rPr>
        <w:t xml:space="preserve">אכן </w:t>
      </w:r>
      <w:r w:rsidRPr="00E1228E">
        <w:rPr>
          <w:rFonts w:cs="David" w:hint="cs"/>
          <w:sz w:val="28"/>
          <w:szCs w:val="28"/>
          <w:rtl/>
        </w:rPr>
        <w:t xml:space="preserve">שימשו את בית הדין </w:t>
      </w:r>
      <w:r>
        <w:rPr>
          <w:rFonts w:cs="David" w:hint="cs"/>
          <w:sz w:val="28"/>
          <w:szCs w:val="28"/>
          <w:rtl/>
        </w:rPr>
        <w:t>קמא</w:t>
      </w:r>
      <w:r w:rsidRPr="00E1228E">
        <w:rPr>
          <w:rFonts w:cs="David" w:hint="cs"/>
          <w:sz w:val="28"/>
          <w:szCs w:val="28"/>
          <w:rtl/>
        </w:rPr>
        <w:t xml:space="preserve"> הנכבד </w:t>
      </w:r>
      <w:r>
        <w:rPr>
          <w:rFonts w:cs="David" w:hint="cs"/>
          <w:sz w:val="28"/>
          <w:szCs w:val="28"/>
          <w:rtl/>
        </w:rPr>
        <w:t>בהכרעתו</w:t>
      </w:r>
      <w:r w:rsidRPr="00E1228E">
        <w:rPr>
          <w:rFonts w:cs="David" w:hint="cs"/>
          <w:sz w:val="28"/>
          <w:szCs w:val="28"/>
          <w:rtl/>
        </w:rPr>
        <w:t>, כי מעשיו של המערער חצו את גבול ההכנה והם בגדר ניסיון</w:t>
      </w:r>
      <w:r>
        <w:rPr>
          <w:rFonts w:cs="David" w:hint="cs"/>
          <w:sz w:val="28"/>
          <w:szCs w:val="28"/>
          <w:rtl/>
        </w:rPr>
        <w:t xml:space="preserve">. </w:t>
      </w:r>
      <w:r w:rsidRPr="00E1228E">
        <w:rPr>
          <w:rFonts w:cs="David" w:hint="cs"/>
          <w:sz w:val="28"/>
          <w:szCs w:val="28"/>
          <w:rtl/>
        </w:rPr>
        <w:t xml:space="preserve">לאחר בחינת </w:t>
      </w:r>
      <w:r>
        <w:rPr>
          <w:rFonts w:cs="David" w:hint="cs"/>
          <w:sz w:val="28"/>
          <w:szCs w:val="28"/>
          <w:rtl/>
        </w:rPr>
        <w:t xml:space="preserve">התמונה העובדתית שהוכחה, בראי </w:t>
      </w:r>
      <w:r w:rsidRPr="00E1228E">
        <w:rPr>
          <w:rFonts w:cs="David" w:hint="cs"/>
          <w:sz w:val="28"/>
          <w:szCs w:val="28"/>
          <w:rtl/>
        </w:rPr>
        <w:t>טיעוני הצדדים</w:t>
      </w:r>
      <w:r>
        <w:rPr>
          <w:rFonts w:cs="David" w:hint="cs"/>
          <w:sz w:val="28"/>
          <w:szCs w:val="28"/>
          <w:rtl/>
        </w:rPr>
        <w:t>,</w:t>
      </w:r>
      <w:r w:rsidRPr="00E1228E">
        <w:rPr>
          <w:rFonts w:cs="David" w:hint="cs"/>
          <w:sz w:val="28"/>
          <w:szCs w:val="28"/>
          <w:rtl/>
        </w:rPr>
        <w:t xml:space="preserve"> מצאנו כי </w:t>
      </w:r>
      <w:r>
        <w:rPr>
          <w:rFonts w:cs="David" w:hint="cs"/>
          <w:sz w:val="28"/>
          <w:szCs w:val="28"/>
          <w:rtl/>
        </w:rPr>
        <w:t xml:space="preserve">הכרעה </w:t>
      </w:r>
      <w:r w:rsidRPr="00E1228E">
        <w:rPr>
          <w:rFonts w:cs="David" w:hint="cs"/>
          <w:sz w:val="28"/>
          <w:szCs w:val="28"/>
          <w:rtl/>
        </w:rPr>
        <w:t xml:space="preserve">זו בדין יסודה. </w:t>
      </w:r>
    </w:p>
    <w:p w14:paraId="7A2700E1" w14:textId="3316B3C5" w:rsidR="00FB2D20" w:rsidRPr="003A74C3" w:rsidRDefault="00FB2D20" w:rsidP="001A563F">
      <w:pPr>
        <w:numPr>
          <w:ilvl w:val="0"/>
          <w:numId w:val="5"/>
        </w:numPr>
        <w:tabs>
          <w:tab w:val="left" w:pos="282"/>
        </w:tabs>
        <w:spacing w:line="360" w:lineRule="auto"/>
        <w:ind w:left="-1" w:firstLine="0"/>
        <w:jc w:val="both"/>
        <w:rPr>
          <w:rFonts w:cs="David"/>
          <w:sz w:val="28"/>
          <w:szCs w:val="28"/>
        </w:rPr>
      </w:pPr>
      <w:r w:rsidRPr="00B65EEA">
        <w:rPr>
          <w:rFonts w:cs="David" w:hint="cs"/>
          <w:sz w:val="28"/>
          <w:szCs w:val="28"/>
          <w:rtl/>
        </w:rPr>
        <w:t xml:space="preserve">לא בכדי </w:t>
      </w:r>
      <w:r>
        <w:rPr>
          <w:rFonts w:cs="David" w:hint="cs"/>
          <w:sz w:val="28"/>
          <w:szCs w:val="28"/>
          <w:rtl/>
        </w:rPr>
        <w:t xml:space="preserve">תיארנו לעיל בהרחבה את </w:t>
      </w:r>
      <w:r w:rsidRPr="00B65EEA">
        <w:rPr>
          <w:rFonts w:cs="David" w:hint="cs"/>
          <w:sz w:val="28"/>
          <w:szCs w:val="28"/>
          <w:rtl/>
        </w:rPr>
        <w:t xml:space="preserve">מעשיו של המערער, </w:t>
      </w:r>
      <w:r>
        <w:rPr>
          <w:rFonts w:cs="David" w:hint="cs"/>
          <w:sz w:val="28"/>
          <w:szCs w:val="28"/>
          <w:rtl/>
        </w:rPr>
        <w:t>ש</w:t>
      </w:r>
      <w:r w:rsidRPr="00B65EEA">
        <w:rPr>
          <w:rFonts w:cs="David" w:hint="cs"/>
          <w:sz w:val="28"/>
          <w:szCs w:val="28"/>
          <w:rtl/>
        </w:rPr>
        <w:t xml:space="preserve">מהם ניתן ללמוד על תכנון </w:t>
      </w:r>
      <w:r>
        <w:rPr>
          <w:rFonts w:cs="David" w:hint="cs"/>
          <w:sz w:val="28"/>
          <w:szCs w:val="28"/>
          <w:rtl/>
        </w:rPr>
        <w:t>מדוקדק, מ</w:t>
      </w:r>
      <w:r w:rsidRPr="00B65EEA">
        <w:rPr>
          <w:rFonts w:cs="David" w:hint="cs"/>
          <w:sz w:val="28"/>
          <w:szCs w:val="28"/>
          <w:rtl/>
        </w:rPr>
        <w:t xml:space="preserve">חושב </w:t>
      </w:r>
      <w:r>
        <w:rPr>
          <w:rFonts w:cs="David" w:hint="cs"/>
          <w:sz w:val="28"/>
          <w:szCs w:val="28"/>
          <w:rtl/>
        </w:rPr>
        <w:t xml:space="preserve">היטב, </w:t>
      </w:r>
      <w:r w:rsidRPr="00B65EEA">
        <w:rPr>
          <w:rFonts w:cs="David" w:hint="cs"/>
          <w:sz w:val="28"/>
          <w:szCs w:val="28"/>
          <w:rtl/>
        </w:rPr>
        <w:t>ועל פעולה ועשייה קונקרטית לשם השלמת התכנית העבריינית כולה.</w:t>
      </w:r>
      <w:r>
        <w:rPr>
          <w:rFonts w:cs="David" w:hint="cs"/>
          <w:sz w:val="28"/>
          <w:szCs w:val="28"/>
          <w:rtl/>
        </w:rPr>
        <w:t xml:space="preserve"> הלכה פסוקה היא, כי ככל שמדובר בסדרת פעולות ארוכה יותר שהמבצע הספיק לבצע בטרם נתפס, או ככל שזיקתן של הפעולות שנעשו להגשמת העבירה המיועדת היא הדוקה יותר, כך גדלה הנטייה לראותו כמי שהחל בביצוע</w:t>
      </w:r>
      <w:r w:rsidR="003B623E">
        <w:rPr>
          <w:rFonts w:cs="David" w:hint="cs"/>
          <w:sz w:val="28"/>
          <w:szCs w:val="28"/>
          <w:rtl/>
        </w:rPr>
        <w:t xml:space="preserve"> </w:t>
      </w:r>
      <w:r>
        <w:rPr>
          <w:rFonts w:cs="David" w:hint="cs"/>
          <w:sz w:val="28"/>
          <w:szCs w:val="28"/>
          <w:rtl/>
        </w:rPr>
        <w:t xml:space="preserve">(ע"פ 3806/16 </w:t>
      </w:r>
      <w:r>
        <w:rPr>
          <w:rFonts w:cs="David" w:hint="cs"/>
          <w:b/>
          <w:bCs/>
          <w:sz w:val="28"/>
          <w:szCs w:val="28"/>
          <w:rtl/>
        </w:rPr>
        <w:t>בלטי נ' מדינת ישראל</w:t>
      </w:r>
      <w:r>
        <w:rPr>
          <w:rFonts w:cs="David" w:hint="cs"/>
          <w:sz w:val="28"/>
          <w:szCs w:val="28"/>
          <w:rtl/>
        </w:rPr>
        <w:t>, פסקה 108 (</w:t>
      </w:r>
      <w:r w:rsidR="0035073D">
        <w:rPr>
          <w:rFonts w:cs="David" w:hint="cs"/>
          <w:sz w:val="28"/>
          <w:szCs w:val="28"/>
          <w:rtl/>
        </w:rPr>
        <w:t xml:space="preserve">לא פורסם, </w:t>
      </w:r>
      <w:r>
        <w:rPr>
          <w:rFonts w:cs="David" w:hint="cs"/>
          <w:sz w:val="28"/>
          <w:szCs w:val="28"/>
          <w:rtl/>
        </w:rPr>
        <w:t>23.5.2019)).</w:t>
      </w:r>
    </w:p>
    <w:p w14:paraId="4559A090" w14:textId="3070CBE1" w:rsidR="00FB2D20" w:rsidRDefault="00FB2D20" w:rsidP="001A563F">
      <w:pPr>
        <w:numPr>
          <w:ilvl w:val="0"/>
          <w:numId w:val="5"/>
        </w:numPr>
        <w:tabs>
          <w:tab w:val="left" w:pos="282"/>
        </w:tabs>
        <w:spacing w:line="360" w:lineRule="auto"/>
        <w:ind w:left="-1" w:firstLine="0"/>
        <w:jc w:val="both"/>
        <w:rPr>
          <w:rFonts w:cs="David"/>
          <w:sz w:val="28"/>
          <w:szCs w:val="28"/>
        </w:rPr>
      </w:pPr>
      <w:r w:rsidRPr="00B65EEA">
        <w:rPr>
          <w:rFonts w:cs="David" w:hint="cs"/>
          <w:sz w:val="28"/>
          <w:szCs w:val="28"/>
          <w:rtl/>
        </w:rPr>
        <w:t>נזכיר שוב, כי המערער ערך סרטון ש</w:t>
      </w:r>
      <w:r>
        <w:rPr>
          <w:rFonts w:cs="David" w:hint="cs"/>
          <w:sz w:val="28"/>
          <w:szCs w:val="28"/>
          <w:rtl/>
        </w:rPr>
        <w:t>ה</w:t>
      </w:r>
      <w:r w:rsidRPr="00B65EEA">
        <w:rPr>
          <w:rFonts w:cs="David" w:hint="cs"/>
          <w:sz w:val="28"/>
          <w:szCs w:val="28"/>
          <w:rtl/>
        </w:rPr>
        <w:t xml:space="preserve">יה מצוי ברשותו, צרב את הדיסק, פתח תיבת דואר אלקטרוני ייעודית, כתב את מכתב הסחיטה והמכתב הנלווה לו, הדפיס אותם, הניח אותם במעטפה והניח את </w:t>
      </w:r>
      <w:r>
        <w:rPr>
          <w:rFonts w:cs="David" w:hint="cs"/>
          <w:sz w:val="28"/>
          <w:szCs w:val="28"/>
          <w:rtl/>
        </w:rPr>
        <w:t>ה</w:t>
      </w:r>
      <w:r w:rsidRPr="00B65EEA">
        <w:rPr>
          <w:rFonts w:cs="David" w:hint="cs"/>
          <w:sz w:val="28"/>
          <w:szCs w:val="28"/>
          <w:rtl/>
        </w:rPr>
        <w:t xml:space="preserve">מעטפה במשרדה של נפגעת העבירה. </w:t>
      </w:r>
      <w:r>
        <w:rPr>
          <w:rFonts w:cs="David" w:hint="cs"/>
          <w:sz w:val="28"/>
          <w:szCs w:val="28"/>
          <w:rtl/>
        </w:rPr>
        <w:t xml:space="preserve">כמו כן, כעולה מפסק הדין של הערכאה קמא, </w:t>
      </w:r>
      <w:r w:rsidRPr="00B65EEA">
        <w:rPr>
          <w:rFonts w:cs="David" w:hint="cs"/>
          <w:sz w:val="28"/>
          <w:szCs w:val="28"/>
          <w:rtl/>
        </w:rPr>
        <w:t>המערער</w:t>
      </w:r>
      <w:r>
        <w:rPr>
          <w:rFonts w:cs="David" w:hint="cs"/>
          <w:sz w:val="28"/>
          <w:szCs w:val="28"/>
          <w:rtl/>
        </w:rPr>
        <w:t>, נגד ותיק ביחידה, ידע</w:t>
      </w:r>
      <w:r w:rsidRPr="00B65EEA">
        <w:rPr>
          <w:rFonts w:cs="David" w:hint="cs"/>
          <w:sz w:val="28"/>
          <w:szCs w:val="28"/>
          <w:rtl/>
        </w:rPr>
        <w:t xml:space="preserve"> היכן </w:t>
      </w:r>
      <w:r>
        <w:rPr>
          <w:rFonts w:cs="David" w:hint="cs"/>
          <w:sz w:val="28"/>
          <w:szCs w:val="28"/>
          <w:rtl/>
        </w:rPr>
        <w:t xml:space="preserve">ממוקמים המשרדים השונים בבסיס, ובהם </w:t>
      </w:r>
      <w:r w:rsidRPr="00B65EEA">
        <w:rPr>
          <w:rFonts w:cs="David" w:hint="cs"/>
          <w:sz w:val="28"/>
          <w:szCs w:val="28"/>
          <w:rtl/>
        </w:rPr>
        <w:t>משרדה</w:t>
      </w:r>
      <w:r>
        <w:rPr>
          <w:rFonts w:cs="David" w:hint="cs"/>
          <w:sz w:val="28"/>
          <w:szCs w:val="28"/>
          <w:rtl/>
        </w:rPr>
        <w:t xml:space="preserve"> של נפגעת העבירה, וכן ידע </w:t>
      </w:r>
      <w:r w:rsidRPr="00B65EEA">
        <w:rPr>
          <w:rFonts w:cs="David" w:hint="cs"/>
          <w:sz w:val="28"/>
          <w:szCs w:val="28"/>
          <w:rtl/>
        </w:rPr>
        <w:t xml:space="preserve">מתי צפויה </w:t>
      </w:r>
      <w:r>
        <w:rPr>
          <w:rFonts w:cs="David" w:hint="cs"/>
          <w:sz w:val="28"/>
          <w:szCs w:val="28"/>
          <w:rtl/>
        </w:rPr>
        <w:t>ה</w:t>
      </w:r>
      <w:r w:rsidRPr="00B65EEA">
        <w:rPr>
          <w:rFonts w:cs="David" w:hint="cs"/>
          <w:sz w:val="28"/>
          <w:szCs w:val="28"/>
          <w:rtl/>
        </w:rPr>
        <w:t>נפגעת ל</w:t>
      </w:r>
      <w:r>
        <w:rPr>
          <w:rFonts w:cs="David" w:hint="cs"/>
          <w:sz w:val="28"/>
          <w:szCs w:val="28"/>
          <w:rtl/>
        </w:rPr>
        <w:t xml:space="preserve">סיים את </w:t>
      </w:r>
      <w:r w:rsidRPr="00B65EEA">
        <w:rPr>
          <w:rFonts w:cs="David" w:hint="cs"/>
          <w:sz w:val="28"/>
          <w:szCs w:val="28"/>
          <w:rtl/>
        </w:rPr>
        <w:t>שירות</w:t>
      </w:r>
      <w:r>
        <w:rPr>
          <w:rFonts w:cs="David" w:hint="cs"/>
          <w:sz w:val="28"/>
          <w:szCs w:val="28"/>
          <w:rtl/>
        </w:rPr>
        <w:t>ה</w:t>
      </w:r>
      <w:r w:rsidRPr="00B65EEA">
        <w:rPr>
          <w:rFonts w:cs="David" w:hint="cs"/>
          <w:sz w:val="28"/>
          <w:szCs w:val="28"/>
          <w:rtl/>
        </w:rPr>
        <w:t xml:space="preserve"> </w:t>
      </w:r>
      <w:r>
        <w:rPr>
          <w:rFonts w:cs="David" w:hint="cs"/>
          <w:sz w:val="28"/>
          <w:szCs w:val="28"/>
          <w:rtl/>
        </w:rPr>
        <w:t>ה</w:t>
      </w:r>
      <w:r w:rsidRPr="00B65EEA">
        <w:rPr>
          <w:rFonts w:cs="David" w:hint="cs"/>
          <w:sz w:val="28"/>
          <w:szCs w:val="28"/>
          <w:rtl/>
        </w:rPr>
        <w:t>צבאי</w:t>
      </w:r>
      <w:r>
        <w:rPr>
          <w:rFonts w:cs="David" w:hint="cs"/>
          <w:sz w:val="28"/>
          <w:szCs w:val="28"/>
          <w:rtl/>
        </w:rPr>
        <w:t xml:space="preserve">. בהמשך לכך, ניצל את ההזדמנות שנקרתה בדרכו, ולאחר שנפגעת העבירה וחברותיה יצאו לאימון, ומשרדן היה פנוי, </w:t>
      </w:r>
      <w:r w:rsidRPr="00B65EEA">
        <w:rPr>
          <w:rFonts w:cs="David" w:hint="cs"/>
          <w:sz w:val="28"/>
          <w:szCs w:val="28"/>
          <w:rtl/>
        </w:rPr>
        <w:t>החליק את המכתב מתחת לדלת המשרד</w:t>
      </w:r>
      <w:r>
        <w:rPr>
          <w:rFonts w:cs="David" w:hint="cs"/>
          <w:sz w:val="28"/>
          <w:szCs w:val="28"/>
          <w:rtl/>
        </w:rPr>
        <w:t>,</w:t>
      </w:r>
      <w:r w:rsidRPr="00B65EEA">
        <w:rPr>
          <w:rFonts w:cs="David" w:hint="cs"/>
          <w:sz w:val="28"/>
          <w:szCs w:val="28"/>
          <w:rtl/>
        </w:rPr>
        <w:t xml:space="preserve"> באין רואה.</w:t>
      </w:r>
      <w:r>
        <w:rPr>
          <w:rFonts w:cs="David" w:hint="cs"/>
          <w:sz w:val="28"/>
          <w:szCs w:val="28"/>
          <w:rtl/>
        </w:rPr>
        <w:t xml:space="preserve"> </w:t>
      </w:r>
    </w:p>
    <w:p w14:paraId="1A7192A6" w14:textId="4BB33A3A" w:rsidR="00FB2D20" w:rsidRDefault="00FB2D20" w:rsidP="001A563F">
      <w:pPr>
        <w:numPr>
          <w:ilvl w:val="0"/>
          <w:numId w:val="5"/>
        </w:numPr>
        <w:tabs>
          <w:tab w:val="left" w:pos="282"/>
        </w:tabs>
        <w:spacing w:line="360" w:lineRule="auto"/>
        <w:ind w:left="-1" w:firstLine="0"/>
        <w:jc w:val="both"/>
        <w:rPr>
          <w:rFonts w:cs="David"/>
          <w:sz w:val="28"/>
          <w:szCs w:val="28"/>
        </w:rPr>
      </w:pPr>
      <w:r w:rsidRPr="00E1228E">
        <w:rPr>
          <w:rFonts w:cs="David" w:hint="cs"/>
          <w:sz w:val="28"/>
          <w:szCs w:val="28"/>
          <w:rtl/>
        </w:rPr>
        <w:t>נוסחו של המכתב מלמד אף הוא על חשיבה ותכנון, שכן המערער חתם בשמו של "צוות" עלום</w:t>
      </w:r>
      <w:r>
        <w:rPr>
          <w:rFonts w:cs="David" w:hint="cs"/>
          <w:sz w:val="28"/>
          <w:szCs w:val="28"/>
          <w:rtl/>
        </w:rPr>
        <w:t>, היינו בלשון שותפים רבים לעבירה; ויצר, באמצעות תוכנם של הדברים, מצג ש</w:t>
      </w:r>
      <w:r w:rsidRPr="00E1228E">
        <w:rPr>
          <w:rFonts w:cs="David" w:hint="cs"/>
          <w:sz w:val="28"/>
          <w:szCs w:val="28"/>
          <w:rtl/>
        </w:rPr>
        <w:t>לפי</w:t>
      </w:r>
      <w:r>
        <w:rPr>
          <w:rFonts w:cs="David" w:hint="cs"/>
          <w:sz w:val="28"/>
          <w:szCs w:val="28"/>
          <w:rtl/>
        </w:rPr>
        <w:t>ו</w:t>
      </w:r>
      <w:r w:rsidRPr="00E1228E">
        <w:rPr>
          <w:rFonts w:cs="David" w:hint="cs"/>
          <w:sz w:val="28"/>
          <w:szCs w:val="28"/>
          <w:rtl/>
        </w:rPr>
        <w:t xml:space="preserve"> יש ברשות אותו </w:t>
      </w:r>
      <w:r>
        <w:rPr>
          <w:rFonts w:cs="David" w:hint="cs"/>
          <w:sz w:val="28"/>
          <w:szCs w:val="28"/>
          <w:rtl/>
        </w:rPr>
        <w:t>"</w:t>
      </w:r>
      <w:r w:rsidRPr="00E1228E">
        <w:rPr>
          <w:rFonts w:cs="David" w:hint="cs"/>
          <w:sz w:val="28"/>
          <w:szCs w:val="28"/>
          <w:rtl/>
        </w:rPr>
        <w:t>צוות</w:t>
      </w:r>
      <w:r>
        <w:rPr>
          <w:rFonts w:cs="David" w:hint="cs"/>
          <w:sz w:val="28"/>
          <w:szCs w:val="28"/>
          <w:rtl/>
        </w:rPr>
        <w:t>"</w:t>
      </w:r>
      <w:r w:rsidRPr="00E1228E">
        <w:rPr>
          <w:rFonts w:cs="David" w:hint="cs"/>
          <w:sz w:val="28"/>
          <w:szCs w:val="28"/>
          <w:rtl/>
        </w:rPr>
        <w:t xml:space="preserve"> תיעוד </w:t>
      </w:r>
      <w:r>
        <w:rPr>
          <w:rFonts w:cs="David" w:hint="cs"/>
          <w:sz w:val="28"/>
          <w:szCs w:val="28"/>
          <w:rtl/>
        </w:rPr>
        <w:t>חושפני נרחב ו</w:t>
      </w:r>
      <w:r w:rsidRPr="00E1228E">
        <w:rPr>
          <w:rFonts w:cs="David" w:hint="cs"/>
          <w:sz w:val="28"/>
          <w:szCs w:val="28"/>
          <w:rtl/>
        </w:rPr>
        <w:t>אינטימי</w:t>
      </w:r>
      <w:r>
        <w:rPr>
          <w:rFonts w:cs="David" w:hint="cs"/>
          <w:sz w:val="28"/>
          <w:szCs w:val="28"/>
          <w:rtl/>
        </w:rPr>
        <w:t xml:space="preserve"> של הנפגעת,</w:t>
      </w:r>
      <w:r w:rsidRPr="00E1228E">
        <w:rPr>
          <w:rFonts w:cs="David" w:hint="cs"/>
          <w:sz w:val="28"/>
          <w:szCs w:val="28"/>
          <w:rtl/>
        </w:rPr>
        <w:t xml:space="preserve"> </w:t>
      </w:r>
      <w:r>
        <w:rPr>
          <w:rFonts w:cs="David" w:hint="cs"/>
          <w:sz w:val="28"/>
          <w:szCs w:val="28"/>
          <w:rtl/>
        </w:rPr>
        <w:t xml:space="preserve">אשר </w:t>
      </w:r>
      <w:r w:rsidRPr="00E1228E">
        <w:rPr>
          <w:rFonts w:cs="David" w:hint="cs"/>
          <w:sz w:val="28"/>
          <w:szCs w:val="28"/>
          <w:rtl/>
        </w:rPr>
        <w:t xml:space="preserve">נאסף </w:t>
      </w:r>
      <w:r>
        <w:rPr>
          <w:rFonts w:cs="David" w:hint="cs"/>
          <w:sz w:val="28"/>
          <w:szCs w:val="28"/>
          <w:rtl/>
        </w:rPr>
        <w:t xml:space="preserve">לאורך </w:t>
      </w:r>
      <w:r w:rsidRPr="00E1228E">
        <w:rPr>
          <w:rFonts w:cs="David" w:hint="cs"/>
          <w:sz w:val="28"/>
          <w:szCs w:val="28"/>
          <w:rtl/>
        </w:rPr>
        <w:t>שירותה הצבאי</w:t>
      </w:r>
      <w:r>
        <w:rPr>
          <w:rFonts w:cs="David" w:hint="cs"/>
          <w:sz w:val="28"/>
          <w:szCs w:val="28"/>
          <w:rtl/>
        </w:rPr>
        <w:t xml:space="preserve">, לרבות צילום בביתה שלה. זאת ועוד, המערער לא הסתפק במלל, אלא אף צירף לנפגעת העבירה "ראיה חפצית" לאמינות הנטען במכתב, בדמות סרטון הסחיטה. על רקע האמור, הציג לה "אפשרויות </w:t>
      </w:r>
      <w:r w:rsidRPr="00E1228E">
        <w:rPr>
          <w:rFonts w:cs="David" w:hint="cs"/>
          <w:sz w:val="28"/>
          <w:szCs w:val="28"/>
          <w:rtl/>
        </w:rPr>
        <w:t>בחירה</w:t>
      </w:r>
      <w:r>
        <w:rPr>
          <w:rFonts w:cs="David" w:hint="cs"/>
          <w:sz w:val="28"/>
          <w:szCs w:val="28"/>
          <w:rtl/>
        </w:rPr>
        <w:t xml:space="preserve">", כאשר </w:t>
      </w:r>
      <w:r w:rsidRPr="00735280">
        <w:rPr>
          <w:rFonts w:cs="David" w:hint="cs"/>
          <w:b/>
          <w:bCs/>
          <w:sz w:val="28"/>
          <w:szCs w:val="28"/>
          <w:rtl/>
        </w:rPr>
        <w:t>הדרך היחידה</w:t>
      </w:r>
      <w:r w:rsidRPr="00E1228E">
        <w:rPr>
          <w:rFonts w:cs="David" w:hint="cs"/>
          <w:sz w:val="28"/>
          <w:szCs w:val="28"/>
          <w:rtl/>
        </w:rPr>
        <w:t xml:space="preserve"> </w:t>
      </w:r>
      <w:r>
        <w:rPr>
          <w:rFonts w:cs="David" w:hint="cs"/>
          <w:sz w:val="28"/>
          <w:szCs w:val="28"/>
          <w:rtl/>
        </w:rPr>
        <w:t xml:space="preserve">שנותרה עבורה, </w:t>
      </w:r>
      <w:r w:rsidRPr="00E1228E">
        <w:rPr>
          <w:rFonts w:cs="David" w:hint="cs"/>
          <w:sz w:val="28"/>
          <w:szCs w:val="28"/>
          <w:rtl/>
        </w:rPr>
        <w:t xml:space="preserve">להבטיח כי חומרים </w:t>
      </w:r>
      <w:r>
        <w:rPr>
          <w:rFonts w:cs="David" w:hint="cs"/>
          <w:sz w:val="28"/>
          <w:szCs w:val="28"/>
          <w:rtl/>
        </w:rPr>
        <w:t xml:space="preserve">פוגעניים </w:t>
      </w:r>
      <w:r w:rsidRPr="00E1228E">
        <w:rPr>
          <w:rFonts w:cs="David" w:hint="cs"/>
          <w:sz w:val="28"/>
          <w:szCs w:val="28"/>
          <w:rtl/>
        </w:rPr>
        <w:t xml:space="preserve">אלה לא </w:t>
      </w:r>
      <w:r w:rsidRPr="00E1228E">
        <w:rPr>
          <w:rFonts w:cs="David" w:hint="cs"/>
          <w:sz w:val="28"/>
          <w:szCs w:val="28"/>
          <w:rtl/>
        </w:rPr>
        <w:lastRenderedPageBreak/>
        <w:t xml:space="preserve">יופצו </w:t>
      </w:r>
      <w:r>
        <w:rPr>
          <w:rFonts w:cs="David" w:hint="cs"/>
          <w:sz w:val="28"/>
          <w:szCs w:val="28"/>
          <w:rtl/>
        </w:rPr>
        <w:t xml:space="preserve">ברבים </w:t>
      </w:r>
      <w:r w:rsidRPr="00E1228E">
        <w:rPr>
          <w:rFonts w:cs="David" w:hint="cs"/>
          <w:sz w:val="28"/>
          <w:szCs w:val="28"/>
          <w:rtl/>
        </w:rPr>
        <w:t>ו</w:t>
      </w:r>
      <w:r>
        <w:rPr>
          <w:rFonts w:cs="David" w:hint="cs"/>
          <w:sz w:val="28"/>
          <w:szCs w:val="28"/>
          <w:rtl/>
        </w:rPr>
        <w:t xml:space="preserve">אף </w:t>
      </w:r>
      <w:r w:rsidRPr="00E1228E">
        <w:rPr>
          <w:rFonts w:cs="David" w:hint="cs"/>
          <w:sz w:val="28"/>
          <w:szCs w:val="28"/>
          <w:rtl/>
        </w:rPr>
        <w:t>לא יוותרו ברשות הצוות</w:t>
      </w:r>
      <w:r>
        <w:rPr>
          <w:rFonts w:cs="David" w:hint="cs"/>
          <w:sz w:val="28"/>
          <w:szCs w:val="28"/>
          <w:rtl/>
        </w:rPr>
        <w:t xml:space="preserve"> - ה</w:t>
      </w:r>
      <w:r w:rsidRPr="00E1228E">
        <w:rPr>
          <w:rFonts w:cs="David" w:hint="cs"/>
          <w:sz w:val="28"/>
          <w:szCs w:val="28"/>
          <w:rtl/>
        </w:rPr>
        <w:t xml:space="preserve">יא </w:t>
      </w:r>
      <w:r>
        <w:rPr>
          <w:rFonts w:cs="David" w:hint="cs"/>
          <w:sz w:val="28"/>
          <w:szCs w:val="28"/>
          <w:rtl/>
        </w:rPr>
        <w:t xml:space="preserve">זו שחייבה אותה להצטלם בעת ביצוע מעשה אינוס בעצמה (ועל כך נרחיב עוד במסגרת הדיון בטענה לריבוי עבירות). </w:t>
      </w:r>
    </w:p>
    <w:p w14:paraId="1213B815" w14:textId="3AF6657C" w:rsidR="00FB2D20" w:rsidRDefault="00FB2D20" w:rsidP="001A563F">
      <w:pPr>
        <w:numPr>
          <w:ilvl w:val="0"/>
          <w:numId w:val="5"/>
        </w:numPr>
        <w:tabs>
          <w:tab w:val="left" w:pos="282"/>
        </w:tabs>
        <w:spacing w:line="360" w:lineRule="auto"/>
        <w:ind w:left="-1" w:firstLine="0"/>
        <w:jc w:val="both"/>
        <w:rPr>
          <w:rFonts w:cs="David"/>
          <w:sz w:val="28"/>
          <w:szCs w:val="28"/>
        </w:rPr>
      </w:pPr>
      <w:r w:rsidRPr="00F806C8">
        <w:rPr>
          <w:rFonts w:cs="David" w:hint="cs"/>
          <w:sz w:val="28"/>
          <w:szCs w:val="28"/>
          <w:rtl/>
        </w:rPr>
        <w:t>מעשים אלה בכללותם, מלמדים על כך שתכניתו העבריינית של המערער, להביא את נפגעת העבירה ל</w:t>
      </w:r>
      <w:r>
        <w:rPr>
          <w:rFonts w:cs="David" w:hint="cs"/>
          <w:sz w:val="28"/>
          <w:szCs w:val="28"/>
          <w:rtl/>
        </w:rPr>
        <w:t>בצע בעצמה מעשה אינוס,</w:t>
      </w:r>
      <w:r w:rsidRPr="00F806C8">
        <w:rPr>
          <w:rFonts w:cs="David" w:hint="cs"/>
          <w:sz w:val="28"/>
          <w:szCs w:val="28"/>
          <w:rtl/>
        </w:rPr>
        <w:t xml:space="preserve"> </w:t>
      </w:r>
      <w:r>
        <w:rPr>
          <w:rFonts w:cs="David" w:hint="cs"/>
          <w:sz w:val="28"/>
          <w:szCs w:val="28"/>
          <w:rtl/>
        </w:rPr>
        <w:t xml:space="preserve">בעקבות האיומים </w:t>
      </w:r>
      <w:r w:rsidRPr="00F806C8">
        <w:rPr>
          <w:rFonts w:cs="David" w:hint="cs"/>
          <w:sz w:val="28"/>
          <w:szCs w:val="28"/>
          <w:rtl/>
        </w:rPr>
        <w:t xml:space="preserve">במכתבו, חרגה באופן משמעותי משלב ה"סידורים המקדימים". תכנית זו מגלמת בתוכה את אותה קפיצת מדרגה איכותית, אשר מלמדת על כוונה פלילית קונקרטית להתממשות העבירה שעניינה גרם מעשה אינוס. </w:t>
      </w:r>
    </w:p>
    <w:p w14:paraId="1989C5F0" w14:textId="7DD10F51" w:rsidR="00FB2D20" w:rsidRDefault="00FB2D20" w:rsidP="001A563F">
      <w:pPr>
        <w:numPr>
          <w:ilvl w:val="0"/>
          <w:numId w:val="5"/>
        </w:numPr>
        <w:tabs>
          <w:tab w:val="left" w:pos="282"/>
        </w:tabs>
        <w:spacing w:line="360" w:lineRule="auto"/>
        <w:ind w:left="-1" w:firstLine="0"/>
        <w:jc w:val="both"/>
        <w:rPr>
          <w:rFonts w:cs="David"/>
          <w:sz w:val="28"/>
          <w:szCs w:val="28"/>
        </w:rPr>
      </w:pPr>
      <w:r w:rsidRPr="00F806C8">
        <w:rPr>
          <w:rFonts w:cs="David" w:hint="cs"/>
          <w:sz w:val="28"/>
          <w:szCs w:val="28"/>
          <w:rtl/>
        </w:rPr>
        <w:t xml:space="preserve">טענת ההגנה </w:t>
      </w:r>
      <w:r>
        <w:rPr>
          <w:rFonts w:cs="David" w:hint="cs"/>
          <w:sz w:val="28"/>
          <w:szCs w:val="28"/>
          <w:rtl/>
        </w:rPr>
        <w:t>ש</w:t>
      </w:r>
      <w:r w:rsidRPr="00F806C8">
        <w:rPr>
          <w:rFonts w:cs="David" w:hint="cs"/>
          <w:sz w:val="28"/>
          <w:szCs w:val="28"/>
          <w:rtl/>
        </w:rPr>
        <w:t xml:space="preserve">לפיה בעצם הנחת המכתב אין די כדי לוודא שנפגעת העבירה אכן תקבלו, שכן המכתב יצא משליטת המערער, אינה </w:t>
      </w:r>
      <w:r>
        <w:rPr>
          <w:rFonts w:cs="David" w:hint="cs"/>
          <w:sz w:val="28"/>
          <w:szCs w:val="28"/>
          <w:rtl/>
        </w:rPr>
        <w:t>מכרסמת במסקנה זו, והיא אף אינה מתיישבת עם עובדות האירוע. נזכיר, כי ה</w:t>
      </w:r>
      <w:r w:rsidRPr="00F806C8">
        <w:rPr>
          <w:rFonts w:cs="David" w:hint="cs"/>
          <w:sz w:val="28"/>
          <w:szCs w:val="28"/>
          <w:rtl/>
        </w:rPr>
        <w:t>מכתב</w:t>
      </w:r>
      <w:r>
        <w:rPr>
          <w:rFonts w:cs="David" w:hint="cs"/>
          <w:sz w:val="28"/>
          <w:szCs w:val="28"/>
          <w:rtl/>
        </w:rPr>
        <w:t xml:space="preserve"> </w:t>
      </w:r>
      <w:r w:rsidRPr="00F806C8">
        <w:rPr>
          <w:rFonts w:cs="David" w:hint="cs"/>
          <w:sz w:val="28"/>
          <w:szCs w:val="28"/>
          <w:rtl/>
        </w:rPr>
        <w:t xml:space="preserve">נשא באופן בולט את שמה של נפגעת העבירה, חיילת בבסיס, בצירוף המילה "אישי", והונח מתחת לדלת המשרד </w:t>
      </w:r>
      <w:r>
        <w:rPr>
          <w:rFonts w:cs="David" w:hint="cs"/>
          <w:sz w:val="28"/>
          <w:szCs w:val="28"/>
          <w:rtl/>
        </w:rPr>
        <w:t xml:space="preserve">שבו ביצעה את תפקידה. המערער לא נטל את המכתב ושלח אותו אל ארבע כנפות תבל, משל היה מכתב בבקבוק המושלך אל תוך ים סוער. ודאי שאין המדובר בתקווה כללית ובלתי מבוססת כי המכתב יגיע לידיעתה של הנפגעת - אלא בצעדים </w:t>
      </w:r>
      <w:r>
        <w:rPr>
          <w:rFonts w:cs="David" w:hint="cs"/>
          <w:b/>
          <w:bCs/>
          <w:sz w:val="28"/>
          <w:szCs w:val="28"/>
          <w:rtl/>
        </w:rPr>
        <w:t xml:space="preserve">קונקרטיים וממשיים </w:t>
      </w:r>
      <w:r>
        <w:rPr>
          <w:rFonts w:cs="David" w:hint="cs"/>
          <w:sz w:val="28"/>
          <w:szCs w:val="28"/>
          <w:rtl/>
        </w:rPr>
        <w:t xml:space="preserve">שאותם נקט המערער, כדי </w:t>
      </w:r>
      <w:r w:rsidRPr="00F8110B">
        <w:rPr>
          <w:rFonts w:cs="David" w:hint="cs"/>
          <w:b/>
          <w:bCs/>
          <w:sz w:val="28"/>
          <w:szCs w:val="28"/>
          <w:rtl/>
        </w:rPr>
        <w:t>להבטיח ולוודא</w:t>
      </w:r>
      <w:r>
        <w:rPr>
          <w:rFonts w:cs="David" w:hint="cs"/>
          <w:sz w:val="28"/>
          <w:szCs w:val="28"/>
          <w:rtl/>
        </w:rPr>
        <w:t xml:space="preserve"> כי המכתב יועבר אל הנפגעת על ידי מי משוכנות המשרד, חברותיה לשירות, גם במקרה שבו לא תיתקל בו בעצמה. </w:t>
      </w:r>
    </w:p>
    <w:p w14:paraId="557B4687" w14:textId="4F212DE9"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מעשיו של המערער</w:t>
      </w:r>
      <w:r w:rsidRPr="00F806C8">
        <w:rPr>
          <w:rFonts w:cs="David" w:hint="cs"/>
          <w:sz w:val="28"/>
          <w:szCs w:val="28"/>
          <w:rtl/>
        </w:rPr>
        <w:t xml:space="preserve">, </w:t>
      </w:r>
      <w:r>
        <w:rPr>
          <w:rFonts w:cs="David" w:hint="cs"/>
          <w:sz w:val="28"/>
          <w:szCs w:val="28"/>
          <w:rtl/>
        </w:rPr>
        <w:t xml:space="preserve">אשר בוצעו לאחר </w:t>
      </w:r>
      <w:r w:rsidRPr="00F806C8">
        <w:rPr>
          <w:rFonts w:cs="David" w:hint="cs"/>
          <w:sz w:val="28"/>
          <w:szCs w:val="28"/>
          <w:rtl/>
        </w:rPr>
        <w:t>תכנון מוקפד</w:t>
      </w:r>
      <w:r>
        <w:rPr>
          <w:rFonts w:cs="David" w:hint="cs"/>
          <w:sz w:val="28"/>
          <w:szCs w:val="28"/>
          <w:rtl/>
        </w:rPr>
        <w:t xml:space="preserve"> והיערכות מדוקדקת</w:t>
      </w:r>
      <w:r w:rsidRPr="00F806C8">
        <w:rPr>
          <w:rFonts w:cs="David" w:hint="cs"/>
          <w:sz w:val="28"/>
          <w:szCs w:val="28"/>
          <w:rtl/>
        </w:rPr>
        <w:t xml:space="preserve">, </w:t>
      </w:r>
      <w:r>
        <w:rPr>
          <w:rFonts w:cs="David" w:hint="cs"/>
          <w:sz w:val="28"/>
          <w:szCs w:val="28"/>
          <w:rtl/>
        </w:rPr>
        <w:t xml:space="preserve">מלמדים </w:t>
      </w:r>
      <w:r w:rsidRPr="00F806C8">
        <w:rPr>
          <w:rFonts w:cs="David" w:hint="cs"/>
          <w:sz w:val="28"/>
          <w:szCs w:val="28"/>
          <w:rtl/>
        </w:rPr>
        <w:t xml:space="preserve">כי </w:t>
      </w:r>
      <w:r>
        <w:rPr>
          <w:rFonts w:cs="David" w:hint="cs"/>
          <w:sz w:val="28"/>
          <w:szCs w:val="28"/>
          <w:rtl/>
        </w:rPr>
        <w:t xml:space="preserve">הוכח כנדרש בפלילים, כי </w:t>
      </w:r>
      <w:r w:rsidRPr="00F806C8">
        <w:rPr>
          <w:rFonts w:cs="David" w:hint="cs"/>
          <w:sz w:val="28"/>
          <w:szCs w:val="28"/>
          <w:rtl/>
        </w:rPr>
        <w:t xml:space="preserve">עשה </w:t>
      </w:r>
      <w:r>
        <w:rPr>
          <w:rFonts w:cs="David" w:hint="cs"/>
          <w:sz w:val="28"/>
          <w:szCs w:val="28"/>
          <w:rtl/>
        </w:rPr>
        <w:t xml:space="preserve">את </w:t>
      </w:r>
      <w:r w:rsidRPr="00F806C8">
        <w:rPr>
          <w:rFonts w:cs="David" w:hint="cs"/>
          <w:sz w:val="28"/>
          <w:szCs w:val="28"/>
          <w:rtl/>
        </w:rPr>
        <w:t xml:space="preserve">כל </w:t>
      </w:r>
      <w:r>
        <w:rPr>
          <w:rFonts w:cs="David" w:hint="cs"/>
          <w:sz w:val="28"/>
          <w:szCs w:val="28"/>
          <w:rtl/>
        </w:rPr>
        <w:t>ש</w:t>
      </w:r>
      <w:r w:rsidRPr="00F806C8">
        <w:rPr>
          <w:rFonts w:cs="David" w:hint="cs"/>
          <w:sz w:val="28"/>
          <w:szCs w:val="28"/>
          <w:rtl/>
        </w:rPr>
        <w:t xml:space="preserve">ביכולתו </w:t>
      </w:r>
      <w:r>
        <w:rPr>
          <w:rFonts w:cs="David" w:hint="cs"/>
          <w:sz w:val="28"/>
          <w:szCs w:val="28"/>
          <w:rtl/>
        </w:rPr>
        <w:t xml:space="preserve">כדי </w:t>
      </w:r>
      <w:r w:rsidRPr="00F806C8">
        <w:rPr>
          <w:rFonts w:cs="David" w:hint="cs"/>
          <w:sz w:val="28"/>
          <w:szCs w:val="28"/>
          <w:rtl/>
        </w:rPr>
        <w:t xml:space="preserve">לוודא </w:t>
      </w:r>
      <w:r>
        <w:rPr>
          <w:rFonts w:cs="David" w:hint="cs"/>
          <w:sz w:val="28"/>
          <w:szCs w:val="28"/>
          <w:rtl/>
        </w:rPr>
        <w:t>ש</w:t>
      </w:r>
      <w:r w:rsidRPr="00F806C8">
        <w:rPr>
          <w:rFonts w:cs="David" w:hint="cs"/>
          <w:sz w:val="28"/>
          <w:szCs w:val="28"/>
          <w:rtl/>
        </w:rPr>
        <w:t>נפגעת העבירה אכן תקבל את המכתב לרשותה</w:t>
      </w:r>
      <w:r>
        <w:rPr>
          <w:rFonts w:cs="David" w:hint="cs"/>
          <w:sz w:val="28"/>
          <w:szCs w:val="28"/>
          <w:rtl/>
        </w:rPr>
        <w:t xml:space="preserve">, וכי תעמוד בפני אותן אפשרויות קונקרטיות הנקובות בו. יש </w:t>
      </w:r>
      <w:r w:rsidRPr="00F806C8">
        <w:rPr>
          <w:rFonts w:cs="David" w:hint="cs"/>
          <w:sz w:val="28"/>
          <w:szCs w:val="28"/>
          <w:rtl/>
        </w:rPr>
        <w:t>לקבוע</w:t>
      </w:r>
      <w:r>
        <w:rPr>
          <w:rFonts w:cs="David" w:hint="cs"/>
          <w:sz w:val="28"/>
          <w:szCs w:val="28"/>
          <w:rtl/>
        </w:rPr>
        <w:t>, לכן,</w:t>
      </w:r>
      <w:r w:rsidRPr="00F806C8">
        <w:rPr>
          <w:rFonts w:cs="David" w:hint="cs"/>
          <w:sz w:val="28"/>
          <w:szCs w:val="28"/>
          <w:rtl/>
        </w:rPr>
        <w:t xml:space="preserve"> כי </w:t>
      </w:r>
      <w:r>
        <w:rPr>
          <w:rFonts w:cs="David" w:hint="cs"/>
          <w:sz w:val="28"/>
          <w:szCs w:val="28"/>
          <w:rtl/>
        </w:rPr>
        <w:t xml:space="preserve">המערער הגשים </w:t>
      </w:r>
      <w:r w:rsidRPr="00F806C8">
        <w:rPr>
          <w:rFonts w:cs="David" w:hint="cs"/>
          <w:sz w:val="28"/>
          <w:szCs w:val="28"/>
          <w:rtl/>
        </w:rPr>
        <w:t xml:space="preserve">באופן מלא </w:t>
      </w:r>
      <w:r>
        <w:rPr>
          <w:rFonts w:cs="David" w:hint="cs"/>
          <w:sz w:val="28"/>
          <w:szCs w:val="28"/>
          <w:rtl/>
        </w:rPr>
        <w:t xml:space="preserve">את שלב הניסיון, כפי שנקבע </w:t>
      </w:r>
      <w:r w:rsidRPr="00F806C8">
        <w:rPr>
          <w:rFonts w:cs="David" w:hint="cs"/>
          <w:sz w:val="28"/>
          <w:szCs w:val="28"/>
          <w:rtl/>
        </w:rPr>
        <w:t xml:space="preserve">במבחני העזר </w:t>
      </w:r>
      <w:r>
        <w:rPr>
          <w:rFonts w:cs="David" w:hint="cs"/>
          <w:sz w:val="28"/>
          <w:szCs w:val="28"/>
          <w:rtl/>
        </w:rPr>
        <w:t xml:space="preserve">בהלכה הפסוקה. </w:t>
      </w:r>
      <w:r w:rsidRPr="00F806C8">
        <w:rPr>
          <w:rFonts w:cs="David" w:hint="cs"/>
          <w:sz w:val="28"/>
          <w:szCs w:val="28"/>
          <w:rtl/>
        </w:rPr>
        <w:t>התנהגותו</w:t>
      </w:r>
      <w:r>
        <w:rPr>
          <w:rFonts w:cs="David" w:hint="cs"/>
          <w:sz w:val="28"/>
          <w:szCs w:val="28"/>
          <w:rtl/>
        </w:rPr>
        <w:t>,</w:t>
      </w:r>
      <w:r w:rsidRPr="00F806C8">
        <w:rPr>
          <w:rFonts w:cs="David" w:hint="cs"/>
          <w:sz w:val="28"/>
          <w:szCs w:val="28"/>
          <w:rtl/>
        </w:rPr>
        <w:t xml:space="preserve"> הן מבחינת הקרבה לביצוע העבירה, והן </w:t>
      </w:r>
      <w:r>
        <w:rPr>
          <w:rFonts w:cs="David" w:hint="cs"/>
          <w:sz w:val="28"/>
          <w:szCs w:val="28"/>
          <w:rtl/>
        </w:rPr>
        <w:t>מ"</w:t>
      </w:r>
      <w:r w:rsidRPr="00F806C8">
        <w:rPr>
          <w:rFonts w:cs="David" w:hint="cs"/>
          <w:sz w:val="28"/>
          <w:szCs w:val="28"/>
          <w:rtl/>
        </w:rPr>
        <w:t>צפייה אילמת</w:t>
      </w:r>
      <w:r>
        <w:rPr>
          <w:rFonts w:cs="David" w:hint="cs"/>
          <w:sz w:val="28"/>
          <w:szCs w:val="28"/>
          <w:rtl/>
        </w:rPr>
        <w:t>"</w:t>
      </w:r>
      <w:r w:rsidRPr="00F806C8">
        <w:rPr>
          <w:rFonts w:cs="David" w:hint="cs"/>
          <w:sz w:val="28"/>
          <w:szCs w:val="28"/>
          <w:rtl/>
        </w:rPr>
        <w:t xml:space="preserve"> ב</w:t>
      </w:r>
      <w:r>
        <w:rPr>
          <w:rFonts w:cs="David" w:hint="cs"/>
          <w:sz w:val="28"/>
          <w:szCs w:val="28"/>
          <w:rtl/>
        </w:rPr>
        <w:t>מעשיו, אינה יכולה להתפרש אלא כניסיון לגרום לנפגעת העבירה לבצע בעצמה אינוס, באמצעות איומים</w:t>
      </w:r>
      <w:r w:rsidRPr="00F806C8">
        <w:rPr>
          <w:rFonts w:cs="David" w:hint="cs"/>
          <w:sz w:val="28"/>
          <w:szCs w:val="28"/>
          <w:rtl/>
        </w:rPr>
        <w:t>. כל שנותר</w:t>
      </w:r>
      <w:r>
        <w:rPr>
          <w:rFonts w:cs="David" w:hint="cs"/>
          <w:sz w:val="28"/>
          <w:szCs w:val="28"/>
          <w:rtl/>
        </w:rPr>
        <w:t xml:space="preserve"> מבחינתו של המערער,</w:t>
      </w:r>
      <w:r w:rsidRPr="00F806C8">
        <w:rPr>
          <w:rFonts w:cs="David" w:hint="cs"/>
          <w:sz w:val="28"/>
          <w:szCs w:val="28"/>
          <w:rtl/>
        </w:rPr>
        <w:t xml:space="preserve"> לאחר </w:t>
      </w:r>
      <w:r>
        <w:rPr>
          <w:rFonts w:cs="David" w:hint="cs"/>
          <w:sz w:val="28"/>
          <w:szCs w:val="28"/>
          <w:rtl/>
        </w:rPr>
        <w:t xml:space="preserve">ביצוע מעשיו, </w:t>
      </w:r>
      <w:r w:rsidRPr="00F806C8">
        <w:rPr>
          <w:rFonts w:cs="David" w:hint="cs"/>
          <w:sz w:val="28"/>
          <w:szCs w:val="28"/>
          <w:rtl/>
        </w:rPr>
        <w:t xml:space="preserve">להשלמת התכנית העבריינית </w:t>
      </w:r>
      <w:r>
        <w:rPr>
          <w:rFonts w:cs="David" w:hint="cs"/>
          <w:sz w:val="28"/>
          <w:szCs w:val="28"/>
          <w:rtl/>
        </w:rPr>
        <w:t xml:space="preserve">שלו - הוא כי מכתבו והסרטון שצורף אליו, יהלכו אימים על נפגעת העבירה ויפעלו את פעולתם. </w:t>
      </w:r>
    </w:p>
    <w:p w14:paraId="754D87AD" w14:textId="5E4899B0" w:rsidR="00FB2D20" w:rsidRPr="00F806C8" w:rsidRDefault="00FB2D20" w:rsidP="001A563F">
      <w:pPr>
        <w:numPr>
          <w:ilvl w:val="0"/>
          <w:numId w:val="5"/>
        </w:numPr>
        <w:tabs>
          <w:tab w:val="left" w:pos="282"/>
        </w:tabs>
        <w:spacing w:line="360" w:lineRule="auto"/>
        <w:ind w:left="-1" w:firstLine="0"/>
        <w:jc w:val="both"/>
        <w:rPr>
          <w:rFonts w:cs="David"/>
          <w:sz w:val="28"/>
          <w:szCs w:val="28"/>
          <w:rtl/>
        </w:rPr>
      </w:pPr>
      <w:r w:rsidRPr="00F806C8">
        <w:rPr>
          <w:rFonts w:cs="David" w:hint="cs"/>
          <w:sz w:val="28"/>
          <w:szCs w:val="28"/>
          <w:rtl/>
        </w:rPr>
        <w:t>בכך נבדל גם עניינו של המערער מ</w:t>
      </w:r>
      <w:r>
        <w:rPr>
          <w:rFonts w:cs="David" w:hint="cs"/>
          <w:sz w:val="28"/>
          <w:szCs w:val="28"/>
          <w:rtl/>
        </w:rPr>
        <w:t>המקרה המתואר ב</w:t>
      </w:r>
      <w:r w:rsidRPr="00F806C8">
        <w:rPr>
          <w:rFonts w:cs="David" w:hint="cs"/>
          <w:sz w:val="28"/>
          <w:szCs w:val="28"/>
          <w:rtl/>
        </w:rPr>
        <w:t xml:space="preserve">ע"פ 9511/01 </w:t>
      </w:r>
      <w:r w:rsidRPr="00F806C8">
        <w:rPr>
          <w:rFonts w:cs="David" w:hint="cs"/>
          <w:b/>
          <w:bCs/>
          <w:sz w:val="28"/>
          <w:szCs w:val="28"/>
          <w:rtl/>
        </w:rPr>
        <w:t xml:space="preserve">קובקוב נ' מדינת ישראל, </w:t>
      </w:r>
      <w:r w:rsidRPr="00F806C8">
        <w:rPr>
          <w:rFonts w:cs="David" w:hint="cs"/>
          <w:sz w:val="28"/>
          <w:szCs w:val="28"/>
          <w:rtl/>
        </w:rPr>
        <w:t xml:space="preserve">פ"ד נ"ו (2) 687 (2002), </w:t>
      </w:r>
      <w:r>
        <w:rPr>
          <w:rFonts w:cs="David" w:hint="cs"/>
          <w:sz w:val="28"/>
          <w:szCs w:val="28"/>
          <w:rtl/>
        </w:rPr>
        <w:t>ש</w:t>
      </w:r>
      <w:r w:rsidRPr="00F806C8">
        <w:rPr>
          <w:rFonts w:cs="David" w:hint="cs"/>
          <w:sz w:val="28"/>
          <w:szCs w:val="28"/>
          <w:rtl/>
        </w:rPr>
        <w:t>אליו הפנתה ההגנה בטיעוניה. באותו עניין דובר על מי שבעקבות הפיגוע הקשה ב</w:t>
      </w:r>
      <w:r>
        <w:rPr>
          <w:rFonts w:cs="David" w:hint="cs"/>
          <w:sz w:val="28"/>
          <w:szCs w:val="28"/>
          <w:rtl/>
        </w:rPr>
        <w:t>מועדון ה"</w:t>
      </w:r>
      <w:r w:rsidRPr="00F806C8">
        <w:rPr>
          <w:rFonts w:cs="David" w:hint="cs"/>
          <w:sz w:val="28"/>
          <w:szCs w:val="28"/>
          <w:rtl/>
        </w:rPr>
        <w:t>דולפינריום</w:t>
      </w:r>
      <w:r>
        <w:rPr>
          <w:rFonts w:cs="David" w:hint="cs"/>
          <w:sz w:val="28"/>
          <w:szCs w:val="28"/>
          <w:rtl/>
        </w:rPr>
        <w:t>"</w:t>
      </w:r>
      <w:r w:rsidRPr="00F806C8">
        <w:rPr>
          <w:rFonts w:cs="David" w:hint="cs"/>
          <w:sz w:val="28"/>
          <w:szCs w:val="28"/>
          <w:rtl/>
        </w:rPr>
        <w:t xml:space="preserve"> הכין עשרה בקבוקי תבערה, ופנה לכיוון מסגד חסן בק, כשבכיסיו שניים מהבקבוקים, </w:t>
      </w:r>
      <w:r>
        <w:rPr>
          <w:rFonts w:cs="David" w:hint="cs"/>
          <w:sz w:val="28"/>
          <w:szCs w:val="28"/>
          <w:rtl/>
        </w:rPr>
        <w:t>במטרה להשליך לעברו את הבקבוקים ו</w:t>
      </w:r>
      <w:r w:rsidRPr="00F806C8">
        <w:rPr>
          <w:rFonts w:cs="David" w:hint="cs"/>
          <w:sz w:val="28"/>
          <w:szCs w:val="28"/>
          <w:rtl/>
        </w:rPr>
        <w:t xml:space="preserve">לפגוע </w:t>
      </w:r>
      <w:r>
        <w:rPr>
          <w:rFonts w:cs="David" w:hint="cs"/>
          <w:sz w:val="28"/>
          <w:szCs w:val="28"/>
          <w:rtl/>
        </w:rPr>
        <w:t>בשוכניו</w:t>
      </w:r>
      <w:r w:rsidRPr="00F806C8">
        <w:rPr>
          <w:rFonts w:cs="David" w:hint="cs"/>
          <w:sz w:val="28"/>
          <w:szCs w:val="28"/>
          <w:rtl/>
        </w:rPr>
        <w:t>. כ</w:t>
      </w:r>
      <w:r>
        <w:rPr>
          <w:rFonts w:cs="David" w:hint="cs"/>
          <w:sz w:val="28"/>
          <w:szCs w:val="28"/>
          <w:rtl/>
        </w:rPr>
        <w:t xml:space="preserve">אשר </w:t>
      </w:r>
      <w:r w:rsidRPr="00F806C8">
        <w:rPr>
          <w:rFonts w:cs="David" w:hint="cs"/>
          <w:sz w:val="28"/>
          <w:szCs w:val="28"/>
          <w:rtl/>
        </w:rPr>
        <w:t xml:space="preserve">הגיע </w:t>
      </w:r>
      <w:r>
        <w:rPr>
          <w:rFonts w:cs="David" w:hint="cs"/>
          <w:sz w:val="28"/>
          <w:szCs w:val="28"/>
          <w:rtl/>
        </w:rPr>
        <w:t xml:space="preserve">אותו מערער </w:t>
      </w:r>
      <w:r w:rsidRPr="00F806C8">
        <w:rPr>
          <w:rFonts w:cs="David" w:hint="cs"/>
          <w:sz w:val="28"/>
          <w:szCs w:val="28"/>
          <w:rtl/>
        </w:rPr>
        <w:t>למסגד</w:t>
      </w:r>
      <w:r>
        <w:rPr>
          <w:rFonts w:cs="David" w:hint="cs"/>
          <w:sz w:val="28"/>
          <w:szCs w:val="28"/>
          <w:rtl/>
        </w:rPr>
        <w:t>,</w:t>
      </w:r>
      <w:r w:rsidRPr="00F806C8">
        <w:rPr>
          <w:rFonts w:cs="David" w:hint="cs"/>
          <w:sz w:val="28"/>
          <w:szCs w:val="28"/>
          <w:rtl/>
        </w:rPr>
        <w:t xml:space="preserve"> הבין כי </w:t>
      </w:r>
      <w:r>
        <w:rPr>
          <w:rFonts w:cs="David" w:hint="cs"/>
          <w:sz w:val="28"/>
          <w:szCs w:val="28"/>
          <w:rtl/>
        </w:rPr>
        <w:t xml:space="preserve">הוא ריק מאדם, וכי שוטרים נמצאים במקום, ואז פנה ללכת משם, ונעצר. </w:t>
      </w:r>
    </w:p>
    <w:p w14:paraId="3A5AE17F" w14:textId="77777777" w:rsidR="00FB2D20" w:rsidRDefault="00FB2D20" w:rsidP="001A563F">
      <w:pPr>
        <w:tabs>
          <w:tab w:val="left" w:pos="2210"/>
        </w:tabs>
        <w:spacing w:line="360" w:lineRule="auto"/>
        <w:jc w:val="both"/>
        <w:outlineLvl w:val="0"/>
        <w:rPr>
          <w:rFonts w:cs="David"/>
          <w:sz w:val="28"/>
          <w:szCs w:val="28"/>
          <w:rtl/>
        </w:rPr>
      </w:pPr>
      <w:r>
        <w:rPr>
          <w:rFonts w:cs="David" w:hint="cs"/>
          <w:sz w:val="28"/>
          <w:szCs w:val="28"/>
          <w:rtl/>
        </w:rPr>
        <w:t>בית המשפט העליון אישר את הרשעתו של קובקוב בעבירה של הכנת כלי נשק</w:t>
      </w:r>
      <w:r w:rsidRPr="001309E0">
        <w:rPr>
          <w:rFonts w:cs="David" w:hint="cs"/>
          <w:sz w:val="28"/>
          <w:szCs w:val="28"/>
          <w:rtl/>
        </w:rPr>
        <w:t xml:space="preserve"> </w:t>
      </w:r>
      <w:r>
        <w:rPr>
          <w:rFonts w:cs="David" w:hint="cs"/>
          <w:sz w:val="28"/>
          <w:szCs w:val="28"/>
          <w:rtl/>
        </w:rPr>
        <w:t xml:space="preserve">ונשיאתם, אך ביטל את ההרשעה בעבירות של ניסיון לגרום לחבלה מחמירה וניסיון </w:t>
      </w:r>
      <w:r>
        <w:rPr>
          <w:rFonts w:cs="David" w:hint="cs"/>
          <w:sz w:val="28"/>
          <w:szCs w:val="28"/>
          <w:rtl/>
        </w:rPr>
        <w:lastRenderedPageBreak/>
        <w:t xml:space="preserve">להצתה, תוך שקבע כי מעשיו לעניין זה נותרו בשלב ההכנה בלבד, בשים לב לשלב המוקדם שבו נעצר, ולהצהרותיו במשטרה, שלפיהן טרם גיבש כוונה סופית באשר לעצם השימוש הקונקרטי בבקבוקים. נפסק, כי: </w:t>
      </w:r>
    </w:p>
    <w:p w14:paraId="4B89A379" w14:textId="77777777" w:rsidR="00FB2D20" w:rsidRPr="00735280" w:rsidRDefault="00FB2D20" w:rsidP="00FB2D20">
      <w:pPr>
        <w:pStyle w:val="a0"/>
        <w:spacing w:line="240" w:lineRule="auto"/>
        <w:ind w:left="1077" w:right="1276" w:firstLine="0"/>
        <w:rPr>
          <w:rFonts w:ascii="David" w:hAnsi="David" w:cs="David"/>
          <w:sz w:val="24"/>
          <w:szCs w:val="28"/>
          <w:rtl/>
        </w:rPr>
      </w:pPr>
      <w:r w:rsidRPr="00735280">
        <w:rPr>
          <w:rFonts w:ascii="David" w:hAnsi="David" w:cs="David"/>
          <w:sz w:val="24"/>
          <w:szCs w:val="28"/>
          <w:rtl/>
        </w:rPr>
        <w:t>"אכן, במקרים רבים ניתן ללמוד על היעד הסופי של המבצע ועל קיומו של היסוד הנפשי הנדרש מתוך ההתנהגות כשהיא לעצמה. כך, למשל, הנפת סכין או כיוון כלי נשק לעברו של אדם יכולים ללמד על כוונה לבצע עבירת רצח או חבלה חמורה. כך גם תקיפה בעלת אופי מסוים מלמדת על כוונה לבצע אינוס. אולם גם שלב פחות ברור וחד</w:t>
      </w:r>
      <w:r w:rsidRPr="00735280">
        <w:rPr>
          <w:rFonts w:ascii="David" w:hAnsi="David" w:cs="David"/>
          <w:position w:val="4"/>
          <w:sz w:val="26"/>
          <w:szCs w:val="28"/>
          <w:rtl/>
        </w:rPr>
        <w:t>-</w:t>
      </w:r>
      <w:r w:rsidRPr="00735280">
        <w:rPr>
          <w:rFonts w:ascii="David" w:hAnsi="David" w:cs="David"/>
          <w:sz w:val="24"/>
          <w:szCs w:val="28"/>
          <w:rtl/>
        </w:rPr>
        <w:t>משמעי בהתנהגות החיצונית יכול לעלות כדי עבירת הניסיון אם הכוונה הנלווית למעשה היא ברורה וחד</w:t>
      </w:r>
      <w:r w:rsidRPr="00735280">
        <w:rPr>
          <w:rFonts w:ascii="David" w:hAnsi="David" w:cs="David"/>
          <w:position w:val="4"/>
          <w:sz w:val="26"/>
          <w:szCs w:val="28"/>
          <w:rtl/>
        </w:rPr>
        <w:t>-</w:t>
      </w:r>
      <w:r w:rsidRPr="00735280">
        <w:rPr>
          <w:rFonts w:ascii="David" w:hAnsi="David" w:cs="David"/>
          <w:sz w:val="24"/>
          <w:szCs w:val="28"/>
          <w:rtl/>
        </w:rPr>
        <w:t>משמעית. הכוונה יכולה להילמד מהמעשה עצמו או מנסיבות חיצוניות ואף מהתבטאותו של המבצע בעת ההתנהגות המהווה תחילת ביצוע. הנה</w:t>
      </w:r>
      <w:r w:rsidRPr="00735280">
        <w:rPr>
          <w:rFonts w:ascii="David" w:hAnsi="David" w:cs="David"/>
          <w:position w:val="4"/>
          <w:sz w:val="26"/>
          <w:szCs w:val="28"/>
          <w:rtl/>
        </w:rPr>
        <w:t>-</w:t>
      </w:r>
      <w:r w:rsidRPr="00735280">
        <w:rPr>
          <w:rFonts w:ascii="David" w:hAnsi="David" w:cs="David"/>
          <w:sz w:val="24"/>
          <w:szCs w:val="28"/>
          <w:rtl/>
        </w:rPr>
        <w:t>כי</w:t>
      </w:r>
      <w:r w:rsidRPr="00735280">
        <w:rPr>
          <w:rFonts w:ascii="David" w:hAnsi="David" w:cs="David"/>
          <w:position w:val="4"/>
          <w:sz w:val="26"/>
          <w:szCs w:val="28"/>
          <w:rtl/>
        </w:rPr>
        <w:t>-</w:t>
      </w:r>
      <w:r w:rsidRPr="00735280">
        <w:rPr>
          <w:rFonts w:ascii="David" w:hAnsi="David" w:cs="David"/>
          <w:sz w:val="24"/>
          <w:szCs w:val="28"/>
          <w:rtl/>
        </w:rPr>
        <w:t>כן, בעבירת הניסיון בולט הקשר המתחייב בין ההתנהגות הגלויה לבין היסוד הנפשי. לשון אחר, ככל ששלב הביצוע הוא ראשוני יותר, ובייחוד כאשר הוא מוביל לכמה התנהגויות אפשריות, כך נדרשת הוכחה ברורה יותר המלמדת על התקיימותו של היסוד הנפשי המייחד את ההתנהגות לקראת מטרה עבריינית קונקרטית" (עמ' 694 לפסק הדין).</w:t>
      </w:r>
    </w:p>
    <w:p w14:paraId="7A5126BB" w14:textId="4332FACB"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עניינו של המערער שונה מכך, במובהק. השילוב בין ניסוח מכתב מאיים, מפורט ביותר, שכוונתו ברורה, אשר נועד להלך אימים על נפגעת העבירה, לגרום לה לסבור כי אותו "צוות מסתורי" אכן מחזיק ברשותו מידע אינטימי רב ביחס אליה; האמירה שלפיה המעקב אחריה נערך גם בבסיס וגם בביתה; צירוף הדיסק, המצביע כי ברשותם של כותבי המכתב אכן מצוי תיעוד אינטימי של הנפגעת; והנחת המכתב במשרדה (דבר המלמד גם על יכולתו של "הצוות" להתקרב אליה פיזית) - מלמדים באופן גלוי וברור על מחשבה רבה שהושקעה מצד המערער, ועל כוונתו להגשים את שתכנן, ולהביא לכדי ביצוע העבירות הגלומות בהיעתרות לדרישותיו. התנהגותו הגלויה היא הוכחה קונקרטית וברורה להתקיימותו של היסוד הנפשי בעבירה </w:t>
      </w:r>
      <w:r w:rsidR="00B6104F">
        <w:rPr>
          <w:rFonts w:cs="David" w:hint="cs"/>
          <w:sz w:val="28"/>
          <w:szCs w:val="28"/>
          <w:rtl/>
        </w:rPr>
        <w:t>-</w:t>
      </w:r>
      <w:r>
        <w:rPr>
          <w:rFonts w:cs="David" w:hint="cs"/>
          <w:sz w:val="28"/>
          <w:szCs w:val="28"/>
          <w:rtl/>
        </w:rPr>
        <w:t xml:space="preserve"> כוונה לגרום מעשה אינוס, ולמידת הפגיעה של התנהגותו בערך המוגן הגלום בעבירה. </w:t>
      </w:r>
    </w:p>
    <w:p w14:paraId="1647C29B" w14:textId="33FCB153"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לא מצאנו לקבל גם את טענת ההגנה שלפיה יקשה להבין את כוונתו של המערער לאור העדר שיח בינו לבין המתלוננת, לאחר העברת המכתב. האפשרות התיאורטית ל"שיח" אינה עולה, בשום דרך, מנוסחו הברור והמפורט של המכתב, שלא הותיר בידי נפגעת העבירה  אפשרות כלשהי להידברות או לקיום משא ומתן. למעשה, ההיפך הוא הנכון - המערער הציב בפני נפגעת העבירה "פצצה מתקתקת", כאשר הבהיר כי אי מילוי הוראותיו, בתוך שלושה ימים, יתפרש כמתן אישור מצי</w:t>
      </w:r>
      <w:r w:rsidR="003B623E">
        <w:rPr>
          <w:rFonts w:cs="David" w:hint="cs"/>
          <w:sz w:val="28"/>
          <w:szCs w:val="28"/>
          <w:rtl/>
        </w:rPr>
        <w:t>דה להפצת החומר הרב המצוי ברשותו.</w:t>
      </w:r>
      <w:r>
        <w:rPr>
          <w:rFonts w:cs="David" w:hint="cs"/>
          <w:sz w:val="28"/>
          <w:szCs w:val="28"/>
          <w:rtl/>
        </w:rPr>
        <w:t xml:space="preserve"> </w:t>
      </w:r>
    </w:p>
    <w:p w14:paraId="5A0172B9" w14:textId="12E5FEBF"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אף בטענה בדבר אי-בדיקתה על ידי המערער של תיבת דוא"ל הסחיטה, לאחר שהניח את המכתב, אין כדי לעלות או להוריד לגבי הקביעה כי מעשיו עברו לשלב </w:t>
      </w:r>
      <w:r>
        <w:rPr>
          <w:rFonts w:cs="David" w:hint="cs"/>
          <w:sz w:val="28"/>
          <w:szCs w:val="28"/>
          <w:rtl/>
        </w:rPr>
        <w:lastRenderedPageBreak/>
        <w:t xml:space="preserve">הניסיון. די אם יוזכר, כי המערער קצב לנפגעת העבירה שלושה ימים למתן תגובה, ונעצר בחלוף יומיים בלבד ממועד הנחת המכתב.  </w:t>
      </w:r>
    </w:p>
    <w:p w14:paraId="049B08D0" w14:textId="4967B55B"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בהתאם, מצאנו לדחות את ערעור ההגנה על הקביעה שלפיה המערער לא חצה את שלב הניסיון לגרם מעשה אינוס, ונותר בשלב ההכנה.  </w:t>
      </w:r>
    </w:p>
    <w:p w14:paraId="7066CC54" w14:textId="77777777" w:rsidR="00BA6258" w:rsidRPr="003B623E" w:rsidRDefault="00BA6258" w:rsidP="00FB2D20">
      <w:pPr>
        <w:spacing w:line="360" w:lineRule="auto"/>
        <w:ind w:left="368"/>
        <w:jc w:val="both"/>
        <w:outlineLvl w:val="0"/>
        <w:rPr>
          <w:rFonts w:cs="David"/>
          <w:sz w:val="28"/>
          <w:szCs w:val="28"/>
          <w:rtl/>
        </w:rPr>
      </w:pPr>
    </w:p>
    <w:p w14:paraId="2996BCAC" w14:textId="3565D9DD" w:rsidR="00FB2D20" w:rsidRPr="009E7CF6" w:rsidRDefault="00FB2D20" w:rsidP="009E7CF6">
      <w:pPr>
        <w:spacing w:line="360" w:lineRule="auto"/>
        <w:jc w:val="both"/>
        <w:outlineLvl w:val="0"/>
        <w:rPr>
          <w:rFonts w:cs="David"/>
          <w:b/>
          <w:bCs/>
          <w:sz w:val="28"/>
          <w:szCs w:val="28"/>
        </w:rPr>
      </w:pPr>
      <w:r>
        <w:rPr>
          <w:rFonts w:cs="David" w:hint="cs"/>
          <w:b/>
          <w:bCs/>
          <w:sz w:val="28"/>
          <w:szCs w:val="28"/>
          <w:rtl/>
        </w:rPr>
        <w:t>הטענה לריבוי עבירות</w:t>
      </w:r>
    </w:p>
    <w:p w14:paraId="16D0CE6E" w14:textId="33136D84"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בסעיף 186 לחוק סדר הדין הפלילי [נוסח משולב], התשמ"ב - 1982 נקבע כי: </w:t>
      </w:r>
    </w:p>
    <w:p w14:paraId="638C116C" w14:textId="77777777" w:rsidR="00FB2D20" w:rsidRDefault="00FB2D20" w:rsidP="003B623E">
      <w:pPr>
        <w:pStyle w:val="a0"/>
        <w:spacing w:line="240" w:lineRule="auto"/>
        <w:ind w:left="1077" w:right="1276" w:firstLine="0"/>
        <w:rPr>
          <w:rFonts w:cs="David"/>
          <w:sz w:val="28"/>
          <w:szCs w:val="28"/>
          <w:rtl/>
        </w:rPr>
      </w:pPr>
      <w:r>
        <w:rPr>
          <w:rFonts w:cs="David" w:hint="cs"/>
          <w:sz w:val="28"/>
          <w:szCs w:val="28"/>
          <w:rtl/>
        </w:rPr>
        <w:t xml:space="preserve">"בית המשפט רשאי להרשיע נאשם בשל כל אחת מן העבירות שאשמתו בהן נתגלתה מן העובדות שהוכחו לפניו, אך לא יענישנו יותר מפעם אחת בשל אותו מעשה". </w:t>
      </w:r>
    </w:p>
    <w:p w14:paraId="0F8556AC" w14:textId="1F63CEDA"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אף כי זה סעיף אינו חל במישרין על </w:t>
      </w:r>
      <w:r w:rsidR="003B623E">
        <w:rPr>
          <w:rFonts w:cs="David" w:hint="cs"/>
          <w:sz w:val="28"/>
          <w:szCs w:val="28"/>
          <w:rtl/>
        </w:rPr>
        <w:t>ה</w:t>
      </w:r>
      <w:r>
        <w:rPr>
          <w:rFonts w:cs="David" w:hint="cs"/>
          <w:sz w:val="28"/>
          <w:szCs w:val="28"/>
          <w:rtl/>
        </w:rPr>
        <w:t xml:space="preserve">הליכים לפי חוק השיפוט הצבאי, </w:t>
      </w:r>
      <w:r w:rsidRPr="001C330C">
        <w:rPr>
          <w:rFonts w:cs="David"/>
          <w:sz w:val="28"/>
          <w:szCs w:val="28"/>
          <w:rtl/>
        </w:rPr>
        <w:t xml:space="preserve">נקבע זה מכבר, תוך יישום </w:t>
      </w:r>
      <w:r>
        <w:rPr>
          <w:rFonts w:cs="David" w:hint="cs"/>
          <w:sz w:val="28"/>
          <w:szCs w:val="28"/>
          <w:rtl/>
        </w:rPr>
        <w:t xml:space="preserve">העיקרון של </w:t>
      </w:r>
      <w:r w:rsidRPr="001C330C">
        <w:rPr>
          <w:rFonts w:cs="David"/>
          <w:sz w:val="28"/>
          <w:szCs w:val="28"/>
          <w:rtl/>
        </w:rPr>
        <w:t>ה</w:t>
      </w:r>
      <w:r>
        <w:rPr>
          <w:rFonts w:cs="David" w:hint="cs"/>
          <w:sz w:val="28"/>
          <w:szCs w:val="28"/>
          <w:rtl/>
        </w:rPr>
        <w:t>ה</w:t>
      </w:r>
      <w:r w:rsidRPr="001C330C">
        <w:rPr>
          <w:rFonts w:cs="David"/>
          <w:sz w:val="28"/>
          <w:szCs w:val="28"/>
          <w:rtl/>
        </w:rPr>
        <w:t>רמוניה ה</w:t>
      </w:r>
      <w:r>
        <w:rPr>
          <w:rFonts w:cs="David" w:hint="cs"/>
          <w:sz w:val="28"/>
          <w:szCs w:val="28"/>
          <w:rtl/>
        </w:rPr>
        <w:t>נורמטיבית</w:t>
      </w:r>
      <w:r w:rsidRPr="001C330C">
        <w:rPr>
          <w:rFonts w:cs="David"/>
          <w:sz w:val="28"/>
          <w:szCs w:val="28"/>
          <w:rtl/>
        </w:rPr>
        <w:t xml:space="preserve">, </w:t>
      </w:r>
      <w:r>
        <w:rPr>
          <w:rFonts w:cs="David" w:hint="cs"/>
          <w:sz w:val="28"/>
          <w:szCs w:val="28"/>
          <w:rtl/>
        </w:rPr>
        <w:t xml:space="preserve">כי </w:t>
      </w:r>
      <w:r w:rsidRPr="001C330C">
        <w:rPr>
          <w:rFonts w:cs="David"/>
          <w:sz w:val="28"/>
          <w:szCs w:val="28"/>
          <w:rtl/>
        </w:rPr>
        <w:t>ניתן יהיה להחיל</w:t>
      </w:r>
      <w:r>
        <w:rPr>
          <w:rFonts w:cs="David" w:hint="cs"/>
          <w:sz w:val="28"/>
          <w:szCs w:val="28"/>
          <w:rtl/>
        </w:rPr>
        <w:t>ו גם בערכאות הצבאיות (</w:t>
      </w:r>
      <w:r w:rsidRPr="001C330C">
        <w:rPr>
          <w:rFonts w:cs="David"/>
          <w:sz w:val="28"/>
          <w:szCs w:val="28"/>
          <w:rtl/>
        </w:rPr>
        <w:t xml:space="preserve">ע/43/01 </w:t>
      </w:r>
      <w:r w:rsidRPr="001C330C">
        <w:rPr>
          <w:rFonts w:cs="David"/>
          <w:b/>
          <w:bCs/>
          <w:sz w:val="28"/>
          <w:szCs w:val="28"/>
          <w:rtl/>
        </w:rPr>
        <w:t>סמל אטדגי נ' הת</w:t>
      </w:r>
      <w:r>
        <w:rPr>
          <w:rFonts w:cs="David" w:hint="cs"/>
          <w:b/>
          <w:bCs/>
          <w:sz w:val="28"/>
          <w:szCs w:val="28"/>
          <w:rtl/>
        </w:rPr>
        <w:t xml:space="preserve">ובע הצבאי הראשי </w:t>
      </w:r>
      <w:r w:rsidRPr="001C330C">
        <w:rPr>
          <w:rFonts w:cs="David" w:hint="cs"/>
          <w:sz w:val="28"/>
          <w:szCs w:val="28"/>
          <w:rtl/>
        </w:rPr>
        <w:t xml:space="preserve">(2001)). </w:t>
      </w:r>
    </w:p>
    <w:p w14:paraId="095AB052" w14:textId="37AA29B1"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כידוע, בהלכת </w:t>
      </w:r>
      <w:r>
        <w:rPr>
          <w:rFonts w:cs="David" w:hint="cs"/>
          <w:b/>
          <w:bCs/>
          <w:sz w:val="28"/>
          <w:szCs w:val="28"/>
          <w:rtl/>
        </w:rPr>
        <w:t>נכט</w:t>
      </w:r>
      <w:r w:rsidRPr="00735280">
        <w:rPr>
          <w:rFonts w:cs="David" w:hint="cs"/>
          <w:sz w:val="28"/>
          <w:szCs w:val="28"/>
          <w:rtl/>
        </w:rPr>
        <w:t xml:space="preserve"> הוותיקה </w:t>
      </w:r>
      <w:r>
        <w:rPr>
          <w:rFonts w:cs="David" w:hint="cs"/>
          <w:sz w:val="28"/>
          <w:szCs w:val="28"/>
          <w:rtl/>
        </w:rPr>
        <w:t xml:space="preserve">קבע בית המשפט העליון, כי ניתן להרשיע נאשם בעבירות שונות, גם כשבבסיסן מסכת עובדתית אחת, אם יש בכל אחת משתי העבירות יסוד או יסודות עובדתיים שאינם קיימים בחברתה (ע"פ 1132/57 </w:t>
      </w:r>
      <w:r>
        <w:rPr>
          <w:rFonts w:cs="David" w:hint="cs"/>
          <w:b/>
          <w:bCs/>
          <w:sz w:val="28"/>
          <w:szCs w:val="28"/>
          <w:rtl/>
        </w:rPr>
        <w:t>נכט נ' היועץ המשפטי לממשלה</w:t>
      </w:r>
      <w:r>
        <w:rPr>
          <w:rFonts w:cs="David" w:hint="cs"/>
          <w:sz w:val="28"/>
          <w:szCs w:val="28"/>
          <w:rtl/>
        </w:rPr>
        <w:t xml:space="preserve">, פ"ד יא(3) 1544, 1554-1553 (1957)). אף לאחר תיקון חוק סדר הדין הפלילי, נותרה הלכה זו על כנה (ע"פ 8457/15 </w:t>
      </w:r>
      <w:r>
        <w:rPr>
          <w:rFonts w:cs="David" w:hint="cs"/>
          <w:b/>
          <w:bCs/>
          <w:sz w:val="28"/>
          <w:szCs w:val="28"/>
          <w:rtl/>
        </w:rPr>
        <w:t>מדינת ישראל נ' בן גאזי</w:t>
      </w:r>
      <w:r>
        <w:rPr>
          <w:rFonts w:cs="David" w:hint="cs"/>
          <w:sz w:val="28"/>
          <w:szCs w:val="28"/>
          <w:rtl/>
        </w:rPr>
        <w:t>, בפסקה 85 (</w:t>
      </w:r>
      <w:r w:rsidR="0035073D">
        <w:rPr>
          <w:rFonts w:cs="David" w:hint="cs"/>
          <w:sz w:val="28"/>
          <w:szCs w:val="28"/>
          <w:rtl/>
        </w:rPr>
        <w:t xml:space="preserve">לא פורסם, </w:t>
      </w:r>
      <w:r>
        <w:rPr>
          <w:rFonts w:cs="David" w:hint="cs"/>
          <w:sz w:val="28"/>
          <w:szCs w:val="28"/>
          <w:rtl/>
        </w:rPr>
        <w:t>1.11.2018)).</w:t>
      </w:r>
    </w:p>
    <w:p w14:paraId="772AF73A" w14:textId="6724E9BB" w:rsidR="00FB2D20" w:rsidRPr="00370777" w:rsidRDefault="00FB2D20"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 xml:space="preserve">עם זאת, הוטעם </w:t>
      </w:r>
      <w:r w:rsidRPr="00370777">
        <w:rPr>
          <w:rFonts w:cs="David" w:hint="cs"/>
          <w:sz w:val="28"/>
          <w:szCs w:val="28"/>
          <w:rtl/>
        </w:rPr>
        <w:t xml:space="preserve">בפסיקה, כי הדעת אינה נוחה מריבוי מיותר של עבירות בכתב האישום (ע"פ 60/81 </w:t>
      </w:r>
      <w:r w:rsidRPr="00370777">
        <w:rPr>
          <w:rFonts w:cs="David" w:hint="cs"/>
          <w:b/>
          <w:bCs/>
          <w:sz w:val="28"/>
          <w:szCs w:val="28"/>
          <w:rtl/>
        </w:rPr>
        <w:t>גור נ' מדינת ישראל</w:t>
      </w:r>
      <w:r w:rsidRPr="00370777">
        <w:rPr>
          <w:rFonts w:cs="David" w:hint="cs"/>
          <w:sz w:val="28"/>
          <w:szCs w:val="28"/>
          <w:rtl/>
        </w:rPr>
        <w:t>, פ"ד לו(4) 505, 524-523 (1982)</w:t>
      </w:r>
      <w:r>
        <w:rPr>
          <w:rFonts w:cs="David" w:hint="cs"/>
          <w:sz w:val="28"/>
          <w:szCs w:val="28"/>
          <w:rtl/>
        </w:rPr>
        <w:t>)</w:t>
      </w:r>
      <w:r w:rsidR="003B623E">
        <w:rPr>
          <w:rFonts w:cs="David" w:hint="cs"/>
          <w:sz w:val="28"/>
          <w:szCs w:val="28"/>
          <w:rtl/>
        </w:rPr>
        <w:t>;</w:t>
      </w:r>
      <w:r w:rsidRPr="00370777">
        <w:rPr>
          <w:rFonts w:cs="David" w:hint="cs"/>
          <w:sz w:val="28"/>
          <w:szCs w:val="28"/>
          <w:rtl/>
        </w:rPr>
        <w:t xml:space="preserve"> </w:t>
      </w:r>
      <w:r>
        <w:rPr>
          <w:rFonts w:cs="David" w:hint="cs"/>
          <w:sz w:val="28"/>
          <w:szCs w:val="28"/>
          <w:rtl/>
        </w:rPr>
        <w:t xml:space="preserve">ואכן, נקבע, כי </w:t>
      </w:r>
      <w:r w:rsidRPr="00370777">
        <w:rPr>
          <w:rFonts w:cs="David" w:hint="cs"/>
          <w:sz w:val="28"/>
          <w:szCs w:val="28"/>
          <w:rtl/>
        </w:rPr>
        <w:t>אין זה ראוי לייחס לנאשם</w:t>
      </w:r>
      <w:r>
        <w:rPr>
          <w:rFonts w:cs="David" w:hint="cs"/>
          <w:sz w:val="28"/>
          <w:szCs w:val="28"/>
          <w:rtl/>
        </w:rPr>
        <w:t>,</w:t>
      </w:r>
      <w:r w:rsidRPr="00370777">
        <w:rPr>
          <w:rFonts w:cs="David" w:hint="cs"/>
          <w:sz w:val="28"/>
          <w:szCs w:val="28"/>
          <w:rtl/>
        </w:rPr>
        <w:t xml:space="preserve"> בשל </w:t>
      </w:r>
      <w:r>
        <w:rPr>
          <w:rFonts w:cs="David" w:hint="cs"/>
          <w:sz w:val="28"/>
          <w:szCs w:val="28"/>
          <w:rtl/>
        </w:rPr>
        <w:t xml:space="preserve">מסכת עובדתית אחת, </w:t>
      </w:r>
      <w:r w:rsidRPr="00370777">
        <w:rPr>
          <w:rFonts w:cs="David" w:hint="cs"/>
          <w:sz w:val="28"/>
          <w:szCs w:val="28"/>
          <w:rtl/>
        </w:rPr>
        <w:t xml:space="preserve">מספר עבירות, אלא אם קיימת לכך </w:t>
      </w:r>
      <w:r w:rsidRPr="000B5E3F">
        <w:rPr>
          <w:rFonts w:cs="David" w:hint="cs"/>
          <w:b/>
          <w:bCs/>
          <w:sz w:val="28"/>
          <w:szCs w:val="28"/>
          <w:rtl/>
        </w:rPr>
        <w:t>הצדקה עניינית</w:t>
      </w:r>
      <w:r w:rsidRPr="00370777">
        <w:rPr>
          <w:rFonts w:cs="David" w:hint="cs"/>
          <w:sz w:val="28"/>
          <w:szCs w:val="28"/>
          <w:rtl/>
        </w:rPr>
        <w:t xml:space="preserve">. </w:t>
      </w:r>
      <w:r>
        <w:rPr>
          <w:rFonts w:cs="David" w:hint="cs"/>
          <w:sz w:val="28"/>
          <w:szCs w:val="28"/>
          <w:rtl/>
        </w:rPr>
        <w:t>בואר,</w:t>
      </w:r>
      <w:r w:rsidRPr="00370777">
        <w:rPr>
          <w:rFonts w:cs="David" w:hint="cs"/>
          <w:sz w:val="28"/>
          <w:szCs w:val="28"/>
          <w:rtl/>
        </w:rPr>
        <w:t xml:space="preserve"> כי הצדקה זו קיימת מקום </w:t>
      </w:r>
      <w:r>
        <w:rPr>
          <w:rFonts w:cs="David" w:hint="cs"/>
          <w:sz w:val="28"/>
          <w:szCs w:val="28"/>
          <w:rtl/>
        </w:rPr>
        <w:t>ש</w:t>
      </w:r>
      <w:r w:rsidRPr="00370777">
        <w:rPr>
          <w:rFonts w:cs="David" w:hint="cs"/>
          <w:sz w:val="28"/>
          <w:szCs w:val="28"/>
          <w:rtl/>
        </w:rPr>
        <w:t xml:space="preserve">בו הדבר נחוץ </w:t>
      </w:r>
      <w:r>
        <w:rPr>
          <w:rFonts w:cs="David" w:hint="cs"/>
          <w:sz w:val="28"/>
          <w:szCs w:val="28"/>
          <w:rtl/>
        </w:rPr>
        <w:t xml:space="preserve">כדי </w:t>
      </w:r>
      <w:r w:rsidRPr="00370777">
        <w:rPr>
          <w:rFonts w:cs="David" w:hint="cs"/>
          <w:sz w:val="28"/>
          <w:szCs w:val="28"/>
          <w:rtl/>
        </w:rPr>
        <w:t>לה</w:t>
      </w:r>
      <w:r>
        <w:rPr>
          <w:rFonts w:cs="David" w:hint="cs"/>
          <w:sz w:val="28"/>
          <w:szCs w:val="28"/>
          <w:rtl/>
        </w:rPr>
        <w:t>צ</w:t>
      </w:r>
      <w:r w:rsidRPr="00370777">
        <w:rPr>
          <w:rFonts w:cs="David" w:hint="cs"/>
          <w:sz w:val="28"/>
          <w:szCs w:val="28"/>
          <w:rtl/>
        </w:rPr>
        <w:t xml:space="preserve">יג את </w:t>
      </w:r>
      <w:r w:rsidRPr="00735280">
        <w:rPr>
          <w:rFonts w:cs="David" w:hint="cs"/>
          <w:b/>
          <w:bCs/>
          <w:sz w:val="28"/>
          <w:szCs w:val="28"/>
          <w:rtl/>
        </w:rPr>
        <w:t>מלוא התמונה הנורמטיבית והערכית של התשתית העובדתית</w:t>
      </w:r>
      <w:r w:rsidRPr="00370777">
        <w:rPr>
          <w:rFonts w:cs="David" w:hint="cs"/>
          <w:sz w:val="28"/>
          <w:szCs w:val="28"/>
          <w:rtl/>
        </w:rPr>
        <w:t xml:space="preserve"> (ר</w:t>
      </w:r>
      <w:r>
        <w:rPr>
          <w:rFonts w:cs="David" w:hint="cs"/>
          <w:sz w:val="28"/>
          <w:szCs w:val="28"/>
          <w:rtl/>
        </w:rPr>
        <w:t>או</w:t>
      </w:r>
      <w:r w:rsidRPr="00370777">
        <w:rPr>
          <w:rFonts w:cs="David" w:hint="cs"/>
          <w:sz w:val="28"/>
          <w:szCs w:val="28"/>
          <w:rtl/>
        </w:rPr>
        <w:t xml:space="preserve"> ע/180,181/01 </w:t>
      </w:r>
      <w:r w:rsidRPr="00370777">
        <w:rPr>
          <w:rFonts w:cs="David" w:hint="cs"/>
          <w:b/>
          <w:bCs/>
          <w:sz w:val="28"/>
          <w:szCs w:val="28"/>
          <w:rtl/>
        </w:rPr>
        <w:t>התובע הצבאי נ' סמל כספי</w:t>
      </w:r>
      <w:r w:rsidRPr="00370777">
        <w:rPr>
          <w:rFonts w:cs="David" w:hint="cs"/>
          <w:sz w:val="28"/>
          <w:szCs w:val="28"/>
          <w:rtl/>
        </w:rPr>
        <w:t xml:space="preserve">, פסקה 15 (2002); ע/40/17 </w:t>
      </w:r>
      <w:r w:rsidRPr="00370777">
        <w:rPr>
          <w:rFonts w:cs="David" w:hint="cs"/>
          <w:b/>
          <w:bCs/>
          <w:sz w:val="28"/>
          <w:szCs w:val="28"/>
          <w:rtl/>
        </w:rPr>
        <w:t>סגן שרון נ' התובע הצבאי הראשי</w:t>
      </w:r>
      <w:r>
        <w:rPr>
          <w:rFonts w:cs="David" w:hint="cs"/>
          <w:sz w:val="28"/>
          <w:szCs w:val="28"/>
          <w:rtl/>
        </w:rPr>
        <w:t>,</w:t>
      </w:r>
      <w:r w:rsidRPr="00370777">
        <w:rPr>
          <w:rFonts w:cs="David" w:hint="cs"/>
          <w:sz w:val="28"/>
          <w:szCs w:val="28"/>
          <w:rtl/>
        </w:rPr>
        <w:t xml:space="preserve"> פסקה 27 (2017))</w:t>
      </w:r>
      <w:r>
        <w:rPr>
          <w:rFonts w:cs="David" w:hint="cs"/>
          <w:sz w:val="28"/>
          <w:szCs w:val="28"/>
          <w:rtl/>
        </w:rPr>
        <w:t xml:space="preserve">. </w:t>
      </w:r>
      <w:r w:rsidRPr="00370777">
        <w:rPr>
          <w:rFonts w:cs="David" w:hint="cs"/>
          <w:sz w:val="28"/>
          <w:szCs w:val="28"/>
          <w:rtl/>
        </w:rPr>
        <w:t>הרשעה בשתי עבירות</w:t>
      </w:r>
      <w:r>
        <w:rPr>
          <w:rFonts w:cs="David" w:hint="cs"/>
          <w:sz w:val="28"/>
          <w:szCs w:val="28"/>
          <w:rtl/>
        </w:rPr>
        <w:t>,</w:t>
      </w:r>
      <w:r w:rsidRPr="00370777">
        <w:rPr>
          <w:rFonts w:cs="David" w:hint="cs"/>
          <w:sz w:val="28"/>
          <w:szCs w:val="28"/>
          <w:rtl/>
        </w:rPr>
        <w:t xml:space="preserve"> בגין מסכת עובדתית </w:t>
      </w:r>
      <w:r>
        <w:rPr>
          <w:rFonts w:cs="David" w:hint="cs"/>
          <w:sz w:val="28"/>
          <w:szCs w:val="28"/>
          <w:rtl/>
        </w:rPr>
        <w:t xml:space="preserve">אחת, </w:t>
      </w:r>
      <w:r w:rsidRPr="00370777">
        <w:rPr>
          <w:rFonts w:cs="David" w:hint="cs"/>
          <w:color w:val="000000"/>
          <w:spacing w:val="10"/>
          <w:sz w:val="28"/>
          <w:szCs w:val="28"/>
          <w:rtl/>
        </w:rPr>
        <w:t>תיתכן</w:t>
      </w:r>
      <w:r>
        <w:rPr>
          <w:rFonts w:cs="David" w:hint="cs"/>
          <w:color w:val="000000"/>
          <w:spacing w:val="10"/>
          <w:sz w:val="28"/>
          <w:szCs w:val="28"/>
          <w:rtl/>
        </w:rPr>
        <w:t>, אפוא,</w:t>
      </w:r>
      <w:r w:rsidRPr="00370777">
        <w:rPr>
          <w:rFonts w:cs="David" w:hint="cs"/>
          <w:color w:val="000000"/>
          <w:spacing w:val="10"/>
          <w:sz w:val="28"/>
          <w:szCs w:val="28"/>
          <w:rtl/>
        </w:rPr>
        <w:t xml:space="preserve"> </w:t>
      </w:r>
      <w:r>
        <w:rPr>
          <w:rFonts w:cs="David" w:hint="cs"/>
          <w:color w:val="000000"/>
          <w:spacing w:val="10"/>
          <w:sz w:val="28"/>
          <w:szCs w:val="28"/>
          <w:rtl/>
        </w:rPr>
        <w:t xml:space="preserve">כאשר כל אחת מהן נועדה להגן </w:t>
      </w:r>
      <w:r w:rsidRPr="00370777">
        <w:rPr>
          <w:rFonts w:cs="David" w:hint="cs"/>
          <w:color w:val="000000"/>
          <w:spacing w:val="10"/>
          <w:sz w:val="28"/>
          <w:szCs w:val="28"/>
          <w:rtl/>
        </w:rPr>
        <w:t xml:space="preserve">על ערכים שונים, </w:t>
      </w:r>
      <w:r>
        <w:rPr>
          <w:rFonts w:cs="David" w:hint="cs"/>
          <w:color w:val="000000"/>
          <w:spacing w:val="10"/>
          <w:sz w:val="28"/>
          <w:szCs w:val="28"/>
          <w:rtl/>
        </w:rPr>
        <w:t xml:space="preserve">וכאשר </w:t>
      </w:r>
      <w:r w:rsidRPr="00370777">
        <w:rPr>
          <w:rFonts w:cs="David" w:hint="cs"/>
          <w:color w:val="000000"/>
          <w:spacing w:val="10"/>
          <w:sz w:val="28"/>
          <w:szCs w:val="28"/>
          <w:rtl/>
        </w:rPr>
        <w:t xml:space="preserve">ראוי </w:t>
      </w:r>
      <w:r>
        <w:rPr>
          <w:rFonts w:cs="David" w:hint="cs"/>
          <w:color w:val="000000"/>
          <w:spacing w:val="10"/>
          <w:sz w:val="28"/>
          <w:szCs w:val="28"/>
          <w:rtl/>
        </w:rPr>
        <w:t xml:space="preserve">וחשוב </w:t>
      </w:r>
      <w:r w:rsidRPr="00370777">
        <w:rPr>
          <w:rFonts w:cs="David" w:hint="cs"/>
          <w:color w:val="000000"/>
          <w:spacing w:val="10"/>
          <w:sz w:val="28"/>
          <w:szCs w:val="28"/>
          <w:rtl/>
        </w:rPr>
        <w:t>ל</w:t>
      </w:r>
      <w:r>
        <w:rPr>
          <w:rFonts w:cs="David" w:hint="cs"/>
          <w:color w:val="000000"/>
          <w:spacing w:val="10"/>
          <w:sz w:val="28"/>
          <w:szCs w:val="28"/>
          <w:rtl/>
        </w:rPr>
        <w:t xml:space="preserve">יתן </w:t>
      </w:r>
      <w:r w:rsidRPr="00370777">
        <w:rPr>
          <w:rFonts w:cs="David" w:hint="cs"/>
          <w:color w:val="000000"/>
          <w:spacing w:val="10"/>
          <w:sz w:val="28"/>
          <w:szCs w:val="28"/>
          <w:rtl/>
        </w:rPr>
        <w:t xml:space="preserve">ביטוי לכולם </w:t>
      </w:r>
      <w:r w:rsidRPr="00370777">
        <w:rPr>
          <w:rFonts w:cs="David" w:hint="cs"/>
          <w:sz w:val="28"/>
          <w:szCs w:val="28"/>
          <w:rtl/>
        </w:rPr>
        <w:t xml:space="preserve">(ע"פ 2103/07 </w:t>
      </w:r>
      <w:r w:rsidRPr="00370777">
        <w:rPr>
          <w:rFonts w:cs="David" w:hint="cs"/>
          <w:b/>
          <w:bCs/>
          <w:sz w:val="28"/>
          <w:szCs w:val="28"/>
          <w:rtl/>
        </w:rPr>
        <w:t>הורביץ נ' מדינת ישראל</w:t>
      </w:r>
      <w:r w:rsidRPr="00370777">
        <w:rPr>
          <w:rFonts w:cs="David" w:hint="cs"/>
          <w:sz w:val="28"/>
          <w:szCs w:val="28"/>
          <w:rtl/>
        </w:rPr>
        <w:t xml:space="preserve">, פסקה 147 </w:t>
      </w:r>
      <w:r>
        <w:rPr>
          <w:rFonts w:cs="David" w:hint="cs"/>
          <w:sz w:val="28"/>
          <w:szCs w:val="28"/>
          <w:rtl/>
        </w:rPr>
        <w:t>(</w:t>
      </w:r>
      <w:r w:rsidR="0035073D">
        <w:rPr>
          <w:rFonts w:cs="David" w:hint="cs"/>
          <w:sz w:val="28"/>
          <w:szCs w:val="28"/>
          <w:rtl/>
        </w:rPr>
        <w:t xml:space="preserve">לא פורסם, </w:t>
      </w:r>
      <w:r>
        <w:rPr>
          <w:rFonts w:cs="David" w:hint="cs"/>
          <w:sz w:val="28"/>
          <w:szCs w:val="28"/>
          <w:rtl/>
        </w:rPr>
        <w:t xml:space="preserve">31.12.2008)). </w:t>
      </w:r>
    </w:p>
    <w:p w14:paraId="465B6A2D" w14:textId="415A6AF9"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אמנם, כלל העבירות שיוחסו למערער בכתב האישום (אחת מהן, כזכור, </w:t>
      </w:r>
      <w:r w:rsidR="00723F78">
        <w:rPr>
          <w:rFonts w:cs="David" w:hint="cs"/>
          <w:sz w:val="28"/>
          <w:szCs w:val="28"/>
          <w:rtl/>
        </w:rPr>
        <w:t>בוטלה ונמחקה מכתב האישום</w:t>
      </w:r>
      <w:r>
        <w:rPr>
          <w:rFonts w:cs="David" w:hint="cs"/>
          <w:sz w:val="28"/>
          <w:szCs w:val="28"/>
          <w:rtl/>
        </w:rPr>
        <w:t xml:space="preserve">, ואין על כך ערעור של התביעה בפנינו), מקורן במסכת עובדתית אחת. עם זאת, סברנו כי בנסיבות העניין, הדבר אינו מקים פגם בכתב האישום, שכן מדובר בעבירות שונות, אשר  בבסיס כל אחת מהן עומדים ערכים מוגנים שונים, וצירופן מבסס את התמונה הנורמטיבית המלאה, כפי שיבואר להלן. </w:t>
      </w:r>
    </w:p>
    <w:p w14:paraId="3C050ECC" w14:textId="77777777" w:rsidR="00FB2D20" w:rsidRPr="0013403F" w:rsidRDefault="00FB2D20" w:rsidP="00FB2D20">
      <w:pPr>
        <w:spacing w:line="360" w:lineRule="auto"/>
        <w:ind w:left="368"/>
        <w:jc w:val="both"/>
        <w:outlineLvl w:val="0"/>
        <w:rPr>
          <w:rFonts w:cs="David"/>
          <w:sz w:val="28"/>
          <w:szCs w:val="28"/>
          <w:rtl/>
        </w:rPr>
      </w:pPr>
    </w:p>
    <w:p w14:paraId="3A2CAD2E" w14:textId="44C6BC1B" w:rsidR="00FB2D20" w:rsidRPr="00544E6B" w:rsidRDefault="00FB2D20" w:rsidP="009E7CF6">
      <w:pPr>
        <w:spacing w:line="360" w:lineRule="auto"/>
        <w:jc w:val="both"/>
        <w:outlineLvl w:val="0"/>
        <w:rPr>
          <w:rFonts w:cs="David"/>
          <w:b/>
          <w:bCs/>
          <w:sz w:val="28"/>
          <w:szCs w:val="28"/>
        </w:rPr>
      </w:pPr>
      <w:r w:rsidRPr="00A964D0">
        <w:rPr>
          <w:rFonts w:cs="David" w:hint="cs"/>
          <w:b/>
          <w:bCs/>
          <w:sz w:val="28"/>
          <w:szCs w:val="28"/>
          <w:rtl/>
        </w:rPr>
        <w:t xml:space="preserve">עבירת ההדחה בחקירה </w:t>
      </w:r>
    </w:p>
    <w:p w14:paraId="5EFC9FB7" w14:textId="6FC33779"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עבירה זו יוחסה למערער לאור החלופה השניה במכתב הסחיטה, הכוללת </w:t>
      </w:r>
      <w:r w:rsidRPr="00735280">
        <w:rPr>
          <w:rFonts w:cs="David" w:hint="cs"/>
          <w:b/>
          <w:bCs/>
          <w:sz w:val="28"/>
          <w:szCs w:val="28"/>
          <w:rtl/>
        </w:rPr>
        <w:t>איום ואזהרה</w:t>
      </w:r>
      <w:r>
        <w:rPr>
          <w:rFonts w:cs="David" w:hint="cs"/>
          <w:b/>
          <w:bCs/>
          <w:sz w:val="28"/>
          <w:szCs w:val="28"/>
          <w:rtl/>
        </w:rPr>
        <w:t xml:space="preserve"> </w:t>
      </w:r>
      <w:r w:rsidRPr="00F8110B">
        <w:rPr>
          <w:rFonts w:cs="David" w:hint="cs"/>
          <w:sz w:val="28"/>
          <w:szCs w:val="28"/>
          <w:rtl/>
        </w:rPr>
        <w:t>לנפגעת העבירה</w:t>
      </w:r>
      <w:r>
        <w:rPr>
          <w:rFonts w:cs="David" w:hint="cs"/>
          <w:sz w:val="28"/>
          <w:szCs w:val="28"/>
          <w:rtl/>
        </w:rPr>
        <w:t xml:space="preserve">, כי כל פנייה או דיווח שלה לגורם חיצוני, יביאו לפרסום במרשתת של הצילומים החושפניים והאינטימיים שלה, המצויים בידי "הצוות"וזאת בתוך דקות בודדות; כמו כן, נכתב שם, כזכור,  כי כל פניה לגורם חיצוני עלולה לסכן את חברי הצוות, ועל כן הם ימשיכו לעקוב אחריה. </w:t>
      </w:r>
    </w:p>
    <w:p w14:paraId="1C881FCD" w14:textId="2F3413DF"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בחינה של עבירת ההדחה בחקירה ועבירת הסחיטה באיומים, מצביעה על כך שאף כי קיים ביניהן דמיון, הרי שאין ביניהן זהות, והעיקר </w:t>
      </w:r>
      <w:r w:rsidR="00723F78">
        <w:rPr>
          <w:rFonts w:cs="David" w:hint="cs"/>
          <w:sz w:val="28"/>
          <w:szCs w:val="28"/>
          <w:rtl/>
        </w:rPr>
        <w:t>-</w:t>
      </w:r>
      <w:r>
        <w:rPr>
          <w:rFonts w:cs="David" w:hint="cs"/>
          <w:sz w:val="28"/>
          <w:szCs w:val="28"/>
          <w:rtl/>
        </w:rPr>
        <w:t xml:space="preserve"> כי קיים ביניהן </w:t>
      </w:r>
      <w:r w:rsidRPr="007D7EAE">
        <w:rPr>
          <w:rFonts w:cs="David" w:hint="cs"/>
          <w:b/>
          <w:bCs/>
          <w:sz w:val="28"/>
          <w:szCs w:val="28"/>
          <w:rtl/>
        </w:rPr>
        <w:t>שוני בולט בהיבט של הערכים המוגנים בבסיסן</w:t>
      </w:r>
      <w:r>
        <w:rPr>
          <w:rFonts w:cs="David" w:hint="cs"/>
          <w:sz w:val="28"/>
          <w:szCs w:val="28"/>
          <w:rtl/>
        </w:rPr>
        <w:t xml:space="preserve">. </w:t>
      </w:r>
    </w:p>
    <w:p w14:paraId="2D38B9AA" w14:textId="628852B6" w:rsidR="00FB2D20" w:rsidRDefault="00FB2D20" w:rsidP="001A563F">
      <w:pPr>
        <w:numPr>
          <w:ilvl w:val="0"/>
          <w:numId w:val="5"/>
        </w:numPr>
        <w:tabs>
          <w:tab w:val="left" w:pos="282"/>
        </w:tabs>
        <w:spacing w:line="360" w:lineRule="auto"/>
        <w:ind w:left="-1" w:firstLine="0"/>
        <w:jc w:val="both"/>
        <w:rPr>
          <w:rFonts w:cs="David"/>
          <w:sz w:val="28"/>
          <w:szCs w:val="28"/>
        </w:rPr>
      </w:pPr>
      <w:r w:rsidRPr="00A964D0">
        <w:rPr>
          <w:rFonts w:cs="David" w:hint="cs"/>
          <w:sz w:val="28"/>
          <w:szCs w:val="28"/>
          <w:rtl/>
        </w:rPr>
        <w:t>עבירת הסחיטה באיומים</w:t>
      </w:r>
      <w:r>
        <w:rPr>
          <w:rFonts w:cs="David" w:hint="cs"/>
          <w:sz w:val="28"/>
          <w:szCs w:val="28"/>
          <w:rtl/>
        </w:rPr>
        <w:t xml:space="preserve"> נמצאת בסימן שכותרתו:</w:t>
      </w:r>
      <w:r>
        <w:rPr>
          <w:rFonts w:cs="David" w:hint="cs"/>
          <w:sz w:val="28"/>
          <w:szCs w:val="28"/>
        </w:rPr>
        <w:t xml:space="preserve"> </w:t>
      </w:r>
      <w:r>
        <w:rPr>
          <w:rFonts w:cs="David" w:hint="cs"/>
          <w:sz w:val="28"/>
          <w:szCs w:val="28"/>
          <w:rtl/>
        </w:rPr>
        <w:t>"עבירות מרמה, סחיטה ועושק" (בפרק שכותרו "פגיעות ברכוש"). היא מנוסחת באופן מרחיב, ו</w:t>
      </w:r>
      <w:r w:rsidRPr="00A964D0">
        <w:rPr>
          <w:rFonts w:cs="David" w:hint="cs"/>
          <w:sz w:val="28"/>
          <w:szCs w:val="28"/>
          <w:rtl/>
        </w:rPr>
        <w:t xml:space="preserve">עוסקת באיומים על אדם כדי להניעו לעשות מעשה או </w:t>
      </w:r>
      <w:r>
        <w:rPr>
          <w:rFonts w:cs="David" w:hint="cs"/>
          <w:sz w:val="28"/>
          <w:szCs w:val="28"/>
          <w:rtl/>
        </w:rPr>
        <w:t xml:space="preserve">להניאו מלעשות </w:t>
      </w:r>
      <w:r w:rsidRPr="00A964D0">
        <w:rPr>
          <w:rFonts w:cs="David" w:hint="cs"/>
          <w:sz w:val="28"/>
          <w:szCs w:val="28"/>
          <w:rtl/>
        </w:rPr>
        <w:t>מעשה</w:t>
      </w:r>
      <w:r>
        <w:rPr>
          <w:rFonts w:cs="David" w:hint="cs"/>
          <w:sz w:val="28"/>
          <w:szCs w:val="28"/>
          <w:rtl/>
        </w:rPr>
        <w:t>,</w:t>
      </w:r>
      <w:r w:rsidRPr="00A964D0">
        <w:rPr>
          <w:rFonts w:cs="David" w:hint="cs"/>
          <w:sz w:val="28"/>
          <w:szCs w:val="28"/>
          <w:rtl/>
        </w:rPr>
        <w:t xml:space="preserve"> שהוא רשאי לעשותו. </w:t>
      </w:r>
      <w:r>
        <w:rPr>
          <w:rFonts w:cs="David" w:hint="cs"/>
          <w:sz w:val="28"/>
          <w:szCs w:val="28"/>
          <w:rtl/>
        </w:rPr>
        <w:t>ה</w:t>
      </w:r>
      <w:r w:rsidRPr="00A964D0">
        <w:rPr>
          <w:rFonts w:cs="David" w:hint="cs"/>
          <w:sz w:val="28"/>
          <w:szCs w:val="28"/>
          <w:rtl/>
        </w:rPr>
        <w:t>עביר</w:t>
      </w:r>
      <w:r>
        <w:rPr>
          <w:rFonts w:cs="David" w:hint="cs"/>
          <w:sz w:val="28"/>
          <w:szCs w:val="28"/>
          <w:rtl/>
        </w:rPr>
        <w:t>ה משתרעת על תרחישים עובדתיים רבים</w:t>
      </w:r>
      <w:r w:rsidRPr="00A964D0">
        <w:rPr>
          <w:rFonts w:cs="David" w:hint="cs"/>
          <w:sz w:val="28"/>
          <w:szCs w:val="28"/>
          <w:rtl/>
        </w:rPr>
        <w:t xml:space="preserve"> ודרישותיו של הסוחט עשויות לה</w:t>
      </w:r>
      <w:r>
        <w:rPr>
          <w:rFonts w:cs="David" w:hint="cs"/>
          <w:sz w:val="28"/>
          <w:szCs w:val="28"/>
          <w:rtl/>
        </w:rPr>
        <w:t>יות שונות ומגוונות</w:t>
      </w:r>
      <w:r w:rsidRPr="00A964D0">
        <w:rPr>
          <w:rFonts w:cs="David" w:hint="cs"/>
          <w:sz w:val="28"/>
          <w:szCs w:val="28"/>
          <w:rtl/>
        </w:rPr>
        <w:t xml:space="preserve">, כמו גם סוג האיום שאותו הוא </w:t>
      </w:r>
      <w:r>
        <w:rPr>
          <w:rFonts w:cs="David" w:hint="cs"/>
          <w:sz w:val="28"/>
          <w:szCs w:val="28"/>
          <w:rtl/>
        </w:rPr>
        <w:t xml:space="preserve">נוקט כלפי </w:t>
      </w:r>
      <w:r w:rsidRPr="00A964D0">
        <w:rPr>
          <w:rFonts w:cs="David" w:hint="cs"/>
          <w:sz w:val="28"/>
          <w:szCs w:val="28"/>
          <w:rtl/>
        </w:rPr>
        <w:t xml:space="preserve">הנסחט. </w:t>
      </w:r>
      <w:r>
        <w:rPr>
          <w:rFonts w:cs="David" w:hint="cs"/>
          <w:sz w:val="28"/>
          <w:szCs w:val="28"/>
          <w:rtl/>
        </w:rPr>
        <w:t xml:space="preserve">מעשי הסחיטה באיומים מופנים כלפי הפרט, ונוגעים לכפיית רצונו של העבריין עליו. </w:t>
      </w:r>
      <w:r w:rsidRPr="00A964D0">
        <w:rPr>
          <w:rFonts w:cs="David" w:hint="cs"/>
          <w:sz w:val="28"/>
          <w:szCs w:val="28"/>
          <w:rtl/>
        </w:rPr>
        <w:t xml:space="preserve">הערך המוגן בעבירה זו עניינו </w:t>
      </w:r>
      <w:r w:rsidRPr="003F2E92">
        <w:rPr>
          <w:rFonts w:cs="David" w:hint="cs"/>
          <w:b/>
          <w:bCs/>
          <w:sz w:val="28"/>
          <w:szCs w:val="28"/>
          <w:rtl/>
        </w:rPr>
        <w:t>שמירה על חופש הפעולה והאוטונומיה של הפרט,</w:t>
      </w:r>
      <w:r w:rsidRPr="00A964D0">
        <w:rPr>
          <w:rFonts w:cs="David" w:hint="cs"/>
          <w:sz w:val="28"/>
          <w:szCs w:val="28"/>
          <w:rtl/>
        </w:rPr>
        <w:t xml:space="preserve"> כמו גם שמירה על חייו, </w:t>
      </w:r>
      <w:r>
        <w:rPr>
          <w:rFonts w:cs="David" w:hint="cs"/>
          <w:sz w:val="28"/>
          <w:szCs w:val="28"/>
          <w:rtl/>
        </w:rPr>
        <w:t xml:space="preserve">על </w:t>
      </w:r>
      <w:r w:rsidRPr="00A964D0">
        <w:rPr>
          <w:rFonts w:cs="David" w:hint="cs"/>
          <w:sz w:val="28"/>
          <w:szCs w:val="28"/>
          <w:rtl/>
        </w:rPr>
        <w:t xml:space="preserve">רכושו, </w:t>
      </w:r>
      <w:r>
        <w:rPr>
          <w:rFonts w:cs="David" w:hint="cs"/>
          <w:sz w:val="28"/>
          <w:szCs w:val="28"/>
          <w:rtl/>
        </w:rPr>
        <w:t xml:space="preserve">על </w:t>
      </w:r>
      <w:r w:rsidRPr="00A964D0">
        <w:rPr>
          <w:rFonts w:cs="David" w:hint="cs"/>
          <w:sz w:val="28"/>
          <w:szCs w:val="28"/>
          <w:rtl/>
        </w:rPr>
        <w:t xml:space="preserve">שמו הטוב </w:t>
      </w:r>
      <w:r>
        <w:rPr>
          <w:rFonts w:cs="David" w:hint="cs"/>
          <w:sz w:val="28"/>
          <w:szCs w:val="28"/>
          <w:rtl/>
        </w:rPr>
        <w:t xml:space="preserve">של הנסחט, </w:t>
      </w:r>
      <w:r w:rsidRPr="00A964D0">
        <w:rPr>
          <w:rFonts w:cs="David" w:hint="cs"/>
          <w:sz w:val="28"/>
          <w:szCs w:val="28"/>
          <w:rtl/>
        </w:rPr>
        <w:t>וכיו</w:t>
      </w:r>
      <w:r>
        <w:rPr>
          <w:rFonts w:cs="David" w:hint="cs"/>
          <w:sz w:val="28"/>
          <w:szCs w:val="28"/>
          <w:rtl/>
        </w:rPr>
        <w:t>צא בזה, בהתאם לתוכן האיום שהופנה כלפיו</w:t>
      </w:r>
      <w:r w:rsidRPr="00A964D0">
        <w:rPr>
          <w:rFonts w:cs="David" w:hint="cs"/>
          <w:sz w:val="28"/>
          <w:szCs w:val="28"/>
          <w:rtl/>
        </w:rPr>
        <w:t xml:space="preserve">. </w:t>
      </w:r>
      <w:r>
        <w:rPr>
          <w:rFonts w:cs="David" w:hint="cs"/>
          <w:sz w:val="28"/>
          <w:szCs w:val="28"/>
          <w:rtl/>
        </w:rPr>
        <w:t>העונש המירבי הנקוב בצד העבירה עומד על שבע שנים.</w:t>
      </w:r>
    </w:p>
    <w:p w14:paraId="74377F74" w14:textId="5D97FDFE" w:rsidR="00FB2D20" w:rsidRDefault="00FB2D20"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עבירת ההדחה בחקירה, לעומת זאת, נמצאת בפרק שכותרתו "פגיעות בסדרי השלטון והמשפט". החלופה שיוחסה למערער (לפי סעיף 245(ב) לחוק העונשין) עוסקת בהנעת אדם או ניסיון להניעו, בדרך של איומים או הפחדה, כדי "</w:t>
      </w:r>
      <w:r w:rsidRPr="002E60E7">
        <w:rPr>
          <w:rFonts w:cs="David" w:hint="cs"/>
          <w:sz w:val="28"/>
          <w:szCs w:val="28"/>
          <w:rtl/>
        </w:rPr>
        <w:t>שבחק</w:t>
      </w:r>
      <w:r w:rsidRPr="002E60E7">
        <w:rPr>
          <w:rFonts w:cs="David"/>
          <w:sz w:val="28"/>
          <w:szCs w:val="28"/>
          <w:rtl/>
        </w:rPr>
        <w:t xml:space="preserve">ירה </w:t>
      </w:r>
      <w:r w:rsidRPr="002E60E7">
        <w:rPr>
          <w:rFonts w:cs="David" w:hint="cs"/>
          <w:sz w:val="28"/>
          <w:szCs w:val="28"/>
          <w:rtl/>
        </w:rPr>
        <w:t>על פי דין לא ימסור הודעה או ימסור הודעת שקר, או יחזור בו מהודעה שמסר</w:t>
      </w:r>
      <w:r>
        <w:rPr>
          <w:rFonts w:cs="David" w:hint="cs"/>
          <w:sz w:val="28"/>
          <w:szCs w:val="28"/>
          <w:rtl/>
        </w:rPr>
        <w:t>". אף בסעיף זה, העונש המירבי עומד על שבע שנים.</w:t>
      </w:r>
    </w:p>
    <w:p w14:paraId="10217709" w14:textId="77777777" w:rsidR="00FB2D20" w:rsidRDefault="00FB2D20" w:rsidP="001A563F">
      <w:pPr>
        <w:spacing w:line="360" w:lineRule="auto"/>
        <w:jc w:val="both"/>
        <w:outlineLvl w:val="0"/>
        <w:rPr>
          <w:rFonts w:cs="David"/>
          <w:sz w:val="28"/>
          <w:szCs w:val="28"/>
        </w:rPr>
      </w:pPr>
      <w:r>
        <w:rPr>
          <w:rFonts w:cs="David" w:hint="cs"/>
          <w:sz w:val="28"/>
          <w:szCs w:val="28"/>
          <w:rtl/>
        </w:rPr>
        <w:t xml:space="preserve">עבירת ההדחה בחקירה, אף שנועדה גם היא להגן על האוטונומיה של הפרט, מתמקדת באינטרס החברתי לאכוף את החוק ולבוא חשבון עם עבריינים. מטרתה למנוע מצב שבו עדים או מתלוננים פוטנציאליים יאוימו לבל ישתפו פעולה עם רשויות החקירה, באופן שימנע גילוי עבירות ולא יאפשר קיום חקירה אפקטיבית. על כן היא מגלמת בחובה, בראש ובראשונה, ערך מוגן, </w:t>
      </w:r>
      <w:r w:rsidRPr="003A6467">
        <w:rPr>
          <w:rFonts w:cs="David" w:hint="cs"/>
          <w:b/>
          <w:bCs/>
          <w:sz w:val="28"/>
          <w:szCs w:val="28"/>
          <w:rtl/>
        </w:rPr>
        <w:t>שונה</w:t>
      </w:r>
      <w:r>
        <w:rPr>
          <w:rFonts w:cs="David" w:hint="cs"/>
          <w:sz w:val="28"/>
          <w:szCs w:val="28"/>
          <w:rtl/>
        </w:rPr>
        <w:t xml:space="preserve">, שעניינו שמירה על טוהר הליכי החקירה והמשפט. </w:t>
      </w:r>
    </w:p>
    <w:p w14:paraId="6EE04B57" w14:textId="02143E12" w:rsidR="00FB2D20" w:rsidRDefault="00FB2D20" w:rsidP="001A563F">
      <w:pPr>
        <w:numPr>
          <w:ilvl w:val="0"/>
          <w:numId w:val="5"/>
        </w:numPr>
        <w:tabs>
          <w:tab w:val="left" w:pos="282"/>
        </w:tabs>
        <w:spacing w:line="360" w:lineRule="auto"/>
        <w:ind w:left="-1" w:firstLine="0"/>
        <w:jc w:val="both"/>
        <w:rPr>
          <w:rFonts w:cs="David"/>
          <w:sz w:val="28"/>
          <w:szCs w:val="28"/>
        </w:rPr>
      </w:pPr>
      <w:r w:rsidRPr="00E44082">
        <w:rPr>
          <w:rFonts w:cs="David" w:hint="cs"/>
          <w:sz w:val="28"/>
          <w:szCs w:val="28"/>
          <w:rtl/>
        </w:rPr>
        <w:t xml:space="preserve">עיון מדוקדק במכתב הסחיטה מעלה, כי המערער ביקש למעשה להשיג במסגרתו </w:t>
      </w:r>
      <w:r w:rsidRPr="003A6467">
        <w:rPr>
          <w:rFonts w:cs="David" w:hint="cs"/>
          <w:b/>
          <w:bCs/>
          <w:sz w:val="28"/>
          <w:szCs w:val="28"/>
          <w:rtl/>
        </w:rPr>
        <w:t>שתי מטרות שונות</w:t>
      </w:r>
      <w:r w:rsidRPr="00E44082">
        <w:rPr>
          <w:rFonts w:cs="David" w:hint="cs"/>
          <w:sz w:val="28"/>
          <w:szCs w:val="28"/>
          <w:rtl/>
        </w:rPr>
        <w:t xml:space="preserve"> - הטלת אימה על נפגעת העבירה </w:t>
      </w:r>
      <w:r>
        <w:rPr>
          <w:rFonts w:cs="David" w:hint="cs"/>
          <w:sz w:val="28"/>
          <w:szCs w:val="28"/>
          <w:rtl/>
        </w:rPr>
        <w:t xml:space="preserve">כדי </w:t>
      </w:r>
      <w:r w:rsidRPr="00E44082">
        <w:rPr>
          <w:rFonts w:cs="David" w:hint="cs"/>
          <w:sz w:val="28"/>
          <w:szCs w:val="28"/>
          <w:rtl/>
        </w:rPr>
        <w:t>שתיענה לדרישותיו בתחום המיני</w:t>
      </w:r>
      <w:r>
        <w:rPr>
          <w:rFonts w:cs="David" w:hint="cs"/>
          <w:sz w:val="28"/>
          <w:szCs w:val="28"/>
          <w:rtl/>
        </w:rPr>
        <w:t>;</w:t>
      </w:r>
      <w:r w:rsidRPr="00E44082">
        <w:rPr>
          <w:rFonts w:cs="David" w:hint="cs"/>
          <w:sz w:val="28"/>
          <w:szCs w:val="28"/>
          <w:rtl/>
        </w:rPr>
        <w:t xml:space="preserve"> </w:t>
      </w:r>
      <w:r>
        <w:rPr>
          <w:rFonts w:cs="David" w:hint="cs"/>
          <w:sz w:val="28"/>
          <w:szCs w:val="28"/>
          <w:rtl/>
        </w:rPr>
        <w:t xml:space="preserve">וגם הטלת אימה כדי למנוע ממנה לפנות אל </w:t>
      </w:r>
      <w:r w:rsidRPr="00E44082">
        <w:rPr>
          <w:rFonts w:cs="David" w:hint="cs"/>
          <w:sz w:val="28"/>
          <w:szCs w:val="28"/>
          <w:rtl/>
        </w:rPr>
        <w:t xml:space="preserve">גורמים חיצוניים </w:t>
      </w:r>
      <w:r>
        <w:rPr>
          <w:rFonts w:cs="David" w:hint="cs"/>
          <w:sz w:val="28"/>
          <w:szCs w:val="28"/>
          <w:rtl/>
        </w:rPr>
        <w:t xml:space="preserve">ולהגיש </w:t>
      </w:r>
      <w:r w:rsidRPr="00E44082">
        <w:rPr>
          <w:rFonts w:cs="David" w:hint="cs"/>
          <w:sz w:val="28"/>
          <w:szCs w:val="28"/>
          <w:rtl/>
        </w:rPr>
        <w:t>תלונה</w:t>
      </w:r>
      <w:r>
        <w:rPr>
          <w:rFonts w:cs="David" w:hint="cs"/>
          <w:sz w:val="28"/>
          <w:szCs w:val="28"/>
          <w:rtl/>
        </w:rPr>
        <w:t xml:space="preserve"> לגורמי אכיפת החוק</w:t>
      </w:r>
      <w:r w:rsidRPr="00E44082">
        <w:rPr>
          <w:rFonts w:cs="David" w:hint="cs"/>
          <w:sz w:val="28"/>
          <w:szCs w:val="28"/>
          <w:rtl/>
        </w:rPr>
        <w:t xml:space="preserve">. </w:t>
      </w:r>
      <w:r>
        <w:rPr>
          <w:rFonts w:cs="David" w:hint="cs"/>
          <w:sz w:val="28"/>
          <w:szCs w:val="28"/>
          <w:rtl/>
        </w:rPr>
        <w:t xml:space="preserve">מבחינה זו, הרשעתו של המערער בשתי העבירות השונות </w:t>
      </w:r>
      <w:r w:rsidRPr="00735280">
        <w:rPr>
          <w:rFonts w:cs="David" w:hint="cs"/>
          <w:b/>
          <w:bCs/>
          <w:sz w:val="28"/>
          <w:szCs w:val="28"/>
          <w:rtl/>
        </w:rPr>
        <w:lastRenderedPageBreak/>
        <w:t xml:space="preserve">מביאה לידי ביטוי כולל ושלם </w:t>
      </w:r>
      <w:r>
        <w:rPr>
          <w:rFonts w:cs="David" w:hint="cs"/>
          <w:b/>
          <w:bCs/>
          <w:sz w:val="28"/>
          <w:szCs w:val="28"/>
          <w:rtl/>
        </w:rPr>
        <w:t xml:space="preserve">של </w:t>
      </w:r>
      <w:r w:rsidRPr="00735280">
        <w:rPr>
          <w:rFonts w:cs="David" w:hint="cs"/>
          <w:b/>
          <w:bCs/>
          <w:sz w:val="28"/>
          <w:szCs w:val="28"/>
          <w:rtl/>
        </w:rPr>
        <w:t xml:space="preserve">התמונה הנורמטיבית והערכית </w:t>
      </w:r>
      <w:r>
        <w:rPr>
          <w:rFonts w:cs="David" w:hint="cs"/>
          <w:b/>
          <w:bCs/>
          <w:sz w:val="28"/>
          <w:szCs w:val="28"/>
          <w:rtl/>
        </w:rPr>
        <w:t>המלאה</w:t>
      </w:r>
      <w:r w:rsidRPr="003A6467">
        <w:rPr>
          <w:rFonts w:cs="David" w:hint="cs"/>
          <w:sz w:val="28"/>
          <w:szCs w:val="28"/>
          <w:rtl/>
        </w:rPr>
        <w:t xml:space="preserve">. </w:t>
      </w:r>
      <w:r>
        <w:rPr>
          <w:rFonts w:cs="David" w:hint="cs"/>
          <w:sz w:val="28"/>
          <w:szCs w:val="28"/>
          <w:rtl/>
        </w:rPr>
        <w:t xml:space="preserve">סעיפי העבירות השונים, שבהם הורשע המערער, לרבות סעיף העבירה של ניסיון לגרם אינוס, שבה נדון להלן </w:t>
      </w:r>
      <w:r w:rsidR="00723F78">
        <w:rPr>
          <w:rFonts w:cs="David" w:hint="cs"/>
          <w:sz w:val="28"/>
          <w:szCs w:val="28"/>
          <w:rtl/>
        </w:rPr>
        <w:t>-</w:t>
      </w:r>
      <w:r>
        <w:rPr>
          <w:rFonts w:cs="David" w:hint="cs"/>
          <w:sz w:val="28"/>
          <w:szCs w:val="28"/>
          <w:rtl/>
        </w:rPr>
        <w:t xml:space="preserve"> מייצגים את הפגיעה שפגע במעשיו בכלל הערכים המוגנים, העומדים בבסיס כל אחת מהעבירות. מכאן, שלא מצאנו להתערב בהרשעתו של המערער בשתי העבירות, כל עוד ממילא, לא הוטל עליו כפל עונש בגין כך. </w:t>
      </w:r>
    </w:p>
    <w:p w14:paraId="2DB735DA" w14:textId="32B9B2DE" w:rsidR="00FB2D20" w:rsidRDefault="00FB2D20" w:rsidP="00FB2D20">
      <w:pPr>
        <w:spacing w:line="360" w:lineRule="auto"/>
        <w:ind w:left="368"/>
        <w:jc w:val="both"/>
        <w:outlineLvl w:val="0"/>
        <w:rPr>
          <w:rFonts w:cs="David"/>
          <w:sz w:val="28"/>
          <w:szCs w:val="28"/>
          <w:rtl/>
        </w:rPr>
      </w:pPr>
    </w:p>
    <w:p w14:paraId="190FCE56" w14:textId="77777777" w:rsidR="00BA6258" w:rsidRPr="00544E6B" w:rsidRDefault="00BA6258" w:rsidP="00FB2D20">
      <w:pPr>
        <w:spacing w:line="360" w:lineRule="auto"/>
        <w:ind w:left="368"/>
        <w:jc w:val="both"/>
        <w:outlineLvl w:val="0"/>
        <w:rPr>
          <w:rFonts w:cs="David"/>
          <w:sz w:val="28"/>
          <w:szCs w:val="28"/>
          <w:rtl/>
        </w:rPr>
      </w:pPr>
    </w:p>
    <w:p w14:paraId="6D5DA3CD" w14:textId="677E98A7" w:rsidR="00FB2D20" w:rsidRPr="009E7CF6" w:rsidRDefault="00FB2D20" w:rsidP="009E7CF6">
      <w:pPr>
        <w:spacing w:line="360" w:lineRule="auto"/>
        <w:jc w:val="both"/>
        <w:outlineLvl w:val="0"/>
        <w:rPr>
          <w:rFonts w:cs="David"/>
          <w:b/>
          <w:bCs/>
          <w:sz w:val="28"/>
          <w:szCs w:val="28"/>
        </w:rPr>
      </w:pPr>
      <w:r>
        <w:rPr>
          <w:rFonts w:cs="David" w:hint="cs"/>
          <w:b/>
          <w:bCs/>
          <w:sz w:val="28"/>
          <w:szCs w:val="28"/>
          <w:rtl/>
        </w:rPr>
        <w:t xml:space="preserve">ניסיון לגרם מעשה אינוס </w:t>
      </w:r>
      <w:r>
        <w:rPr>
          <w:rFonts w:cs="David" w:hint="cs"/>
          <w:sz w:val="28"/>
          <w:szCs w:val="28"/>
          <w:rtl/>
        </w:rPr>
        <w:t xml:space="preserve"> </w:t>
      </w:r>
    </w:p>
    <w:p w14:paraId="3C61F020" w14:textId="392D147A" w:rsidR="00FB2D20" w:rsidRDefault="00B6104F"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ב</w:t>
      </w:r>
      <w:r w:rsidR="00FB2D20">
        <w:rPr>
          <w:rFonts w:cs="David" w:hint="cs"/>
          <w:sz w:val="28"/>
          <w:szCs w:val="28"/>
          <w:rtl/>
        </w:rPr>
        <w:t xml:space="preserve">ין יסודותיהן של שתי העבירות - סחיטה באיומים וניסיון לגרם מעשה אינוס, קיים שוני משמעותי. ההבדל הבולט ניכר גם בערכים המוגנים העיקריים, העומדים בבסיסן של שתי העבירות. ביסוד העבירה של ניסיון לגרם מעשה אינוס עומדים ערכים מוגנים שונים, שאינם באים לידי ביטוי בעבירה של סחיטה באיומים, ועניינם -  </w:t>
      </w:r>
      <w:r w:rsidR="00FB2D20" w:rsidRPr="00863E3B">
        <w:rPr>
          <w:rFonts w:cs="David" w:hint="cs"/>
          <w:b/>
          <w:bCs/>
          <w:sz w:val="28"/>
          <w:szCs w:val="28"/>
          <w:rtl/>
        </w:rPr>
        <w:t xml:space="preserve">שמירה על כבודם שלמות גופם </w:t>
      </w:r>
      <w:r w:rsidR="00FB2D20">
        <w:rPr>
          <w:rFonts w:cs="David" w:hint="cs"/>
          <w:b/>
          <w:bCs/>
          <w:sz w:val="28"/>
          <w:szCs w:val="28"/>
          <w:rtl/>
        </w:rPr>
        <w:t xml:space="preserve">והאוטונומיה </w:t>
      </w:r>
      <w:r w:rsidR="00FB2D20" w:rsidRPr="00863E3B">
        <w:rPr>
          <w:rFonts w:cs="David" w:hint="cs"/>
          <w:b/>
          <w:bCs/>
          <w:sz w:val="28"/>
          <w:szCs w:val="28"/>
          <w:rtl/>
        </w:rPr>
        <w:t>של נפגעי העבירה על גופם</w:t>
      </w:r>
      <w:r w:rsidR="00FB2D20">
        <w:rPr>
          <w:rFonts w:cs="David" w:hint="cs"/>
          <w:sz w:val="28"/>
          <w:szCs w:val="28"/>
          <w:rtl/>
        </w:rPr>
        <w:t xml:space="preserve">. לפיכך, בדין קבע בית הדין קמא, ביחס למעשיו של המערער, כי: </w:t>
      </w:r>
    </w:p>
    <w:p w14:paraId="1445D0D2" w14:textId="77777777" w:rsidR="00FB2D20" w:rsidRDefault="00FB2D20" w:rsidP="00FB2D20">
      <w:pPr>
        <w:pStyle w:val="a0"/>
        <w:spacing w:line="240" w:lineRule="auto"/>
        <w:ind w:left="1077" w:right="1276" w:firstLine="0"/>
        <w:rPr>
          <w:rFonts w:cs="David"/>
          <w:sz w:val="28"/>
          <w:szCs w:val="28"/>
          <w:rtl/>
        </w:rPr>
      </w:pPr>
      <w:r>
        <w:rPr>
          <w:rFonts w:cs="David" w:hint="cs"/>
          <w:sz w:val="28"/>
          <w:szCs w:val="28"/>
          <w:rtl/>
        </w:rPr>
        <w:t>"לא ניתן ליטול מהמעשים המיוחסים את אופיים המיני המובהק, והסתפקות בעבירת הסחיטה באיומים תחטא למהות הערכים המוגנים ולמהות הפגיעה המינית שחוותה הנפגעת".</w:t>
      </w:r>
    </w:p>
    <w:p w14:paraId="5568CFEB" w14:textId="11774D23"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שוני זה בא לידי ביטוי גם בכך שלהרשעה בעבירה של ניסיון לגרם מעשה אינוס נודעות השלכות שונות ומשמעותיות לעומת הרשעה בעבירה של סחיטה </w:t>
      </w:r>
      <w:r w:rsidR="00B6104F">
        <w:rPr>
          <w:rFonts w:cs="David" w:hint="cs"/>
          <w:sz w:val="28"/>
          <w:szCs w:val="28"/>
          <w:rtl/>
        </w:rPr>
        <w:t xml:space="preserve"> </w:t>
      </w:r>
      <w:r>
        <w:rPr>
          <w:rFonts w:cs="David" w:hint="cs"/>
          <w:sz w:val="28"/>
          <w:szCs w:val="28"/>
          <w:rtl/>
        </w:rPr>
        <w:t xml:space="preserve">באיומים בלבד, ואלה נועדו להלום את הסיכון שנשקף לחברה מעברייני מין. כך, מבחינת עונש המאסר שנקבע לצד כל אחת מהעבירות (המירבי ואף המזערי), וכך גם מבחינת דרישת החוק להערכת מסוכנות ופיקוח אחר מי שהורשע בעבירות מין (חוק הגנה על הציבור מפני ביצוע עבירות מין, התשס"ו - 2006, סעיפים 6 ו-10). ההגנה על הציבור מפני ביצוען של עבירות מין מצד המערער נדרשת גם בענייננו, שכן כאמור, כל מהותו של מכתב הסחיטה עניינו בדרישותיו של המערער מנפגעת העבירה </w:t>
      </w:r>
      <w:r w:rsidRPr="00C84BA8">
        <w:rPr>
          <w:rFonts w:cs="David" w:hint="cs"/>
          <w:b/>
          <w:bCs/>
          <w:sz w:val="28"/>
          <w:szCs w:val="28"/>
          <w:rtl/>
        </w:rPr>
        <w:t>בתחום המיני</w:t>
      </w:r>
      <w:r>
        <w:rPr>
          <w:rFonts w:cs="David" w:hint="cs"/>
          <w:b/>
          <w:bCs/>
          <w:sz w:val="28"/>
          <w:szCs w:val="28"/>
          <w:rtl/>
        </w:rPr>
        <w:t xml:space="preserve"> דווקא </w:t>
      </w:r>
      <w:r w:rsidRPr="00863E3B">
        <w:rPr>
          <w:rFonts w:cs="David" w:hint="cs"/>
          <w:sz w:val="28"/>
          <w:szCs w:val="28"/>
          <w:rtl/>
        </w:rPr>
        <w:t xml:space="preserve">- </w:t>
      </w:r>
      <w:r w:rsidRPr="00735280">
        <w:rPr>
          <w:rFonts w:cs="David" w:hint="cs"/>
          <w:sz w:val="28"/>
          <w:szCs w:val="28"/>
          <w:rtl/>
        </w:rPr>
        <w:t>בכוונת</w:t>
      </w:r>
      <w:r>
        <w:rPr>
          <w:rFonts w:cs="David" w:hint="cs"/>
          <w:sz w:val="28"/>
          <w:szCs w:val="28"/>
          <w:rtl/>
        </w:rPr>
        <w:t xml:space="preserve">ו </w:t>
      </w:r>
      <w:r w:rsidRPr="00735280">
        <w:rPr>
          <w:rFonts w:cs="David" w:hint="cs"/>
          <w:sz w:val="28"/>
          <w:szCs w:val="28"/>
          <w:rtl/>
        </w:rPr>
        <w:t>לגרום לה לבצע אינוס בעצמה</w:t>
      </w:r>
      <w:r>
        <w:rPr>
          <w:rFonts w:cs="David" w:hint="cs"/>
          <w:sz w:val="28"/>
          <w:szCs w:val="28"/>
          <w:rtl/>
        </w:rPr>
        <w:t xml:space="preserve">. מכאן שאין כל ספק, כי </w:t>
      </w:r>
      <w:r w:rsidRPr="00863E3B">
        <w:rPr>
          <w:rFonts w:cs="David" w:hint="cs"/>
          <w:b/>
          <w:bCs/>
          <w:sz w:val="28"/>
          <w:szCs w:val="28"/>
          <w:rtl/>
        </w:rPr>
        <w:t>הרשעתו של המערער בשתי העבירות השונות, נחוצה ומבטאת באופן השלם והמקיף ביותר את הפגיעה בערכים המוגנים הגלומה במעשיו של המערער, וכי קיימת הצדקה עניינית לכך</w:t>
      </w:r>
      <w:r>
        <w:rPr>
          <w:rFonts w:cs="David" w:hint="cs"/>
          <w:sz w:val="28"/>
          <w:szCs w:val="28"/>
          <w:rtl/>
        </w:rPr>
        <w:t xml:space="preserve">. </w:t>
      </w:r>
    </w:p>
    <w:p w14:paraId="30FD5D16" w14:textId="0DB79EAA" w:rsidR="00FB2D20" w:rsidRDefault="00FB2D20" w:rsidP="001A563F">
      <w:pPr>
        <w:numPr>
          <w:ilvl w:val="0"/>
          <w:numId w:val="5"/>
        </w:numPr>
        <w:tabs>
          <w:tab w:val="left" w:pos="282"/>
        </w:tabs>
        <w:spacing w:line="360" w:lineRule="auto"/>
        <w:ind w:left="-1" w:firstLine="0"/>
        <w:jc w:val="both"/>
        <w:rPr>
          <w:rFonts w:cs="David"/>
          <w:sz w:val="28"/>
          <w:szCs w:val="28"/>
        </w:rPr>
      </w:pPr>
      <w:r w:rsidRPr="00E17BFA">
        <w:rPr>
          <w:rFonts w:cs="David" w:hint="cs"/>
          <w:sz w:val="28"/>
          <w:szCs w:val="28"/>
          <w:rtl/>
        </w:rPr>
        <w:t>בטרם נחתום את דברינו</w:t>
      </w:r>
      <w:r>
        <w:rPr>
          <w:rFonts w:cs="David" w:hint="cs"/>
          <w:sz w:val="28"/>
          <w:szCs w:val="28"/>
          <w:rtl/>
        </w:rPr>
        <w:t xml:space="preserve"> בעניין זה</w:t>
      </w:r>
      <w:r w:rsidRPr="00E17BFA">
        <w:rPr>
          <w:rFonts w:cs="David" w:hint="cs"/>
          <w:sz w:val="28"/>
          <w:szCs w:val="28"/>
          <w:rtl/>
        </w:rPr>
        <w:t>, נ</w:t>
      </w:r>
      <w:r>
        <w:rPr>
          <w:rFonts w:cs="David" w:hint="cs"/>
          <w:sz w:val="28"/>
          <w:szCs w:val="28"/>
          <w:rtl/>
        </w:rPr>
        <w:t>תייחס לטענה נוספת של ההגנה, שתרגומה הוא כי לא הוכח כדבעי היסוד הנפשי הנדרש בעבירה של ניסיון ל</w:t>
      </w:r>
      <w:r w:rsidRPr="00E17BFA">
        <w:rPr>
          <w:rFonts w:cs="David" w:hint="cs"/>
          <w:sz w:val="28"/>
          <w:szCs w:val="28"/>
          <w:rtl/>
        </w:rPr>
        <w:t xml:space="preserve">גרם מעשה אינוס, </w:t>
      </w:r>
      <w:r>
        <w:rPr>
          <w:rFonts w:cs="David" w:hint="cs"/>
          <w:sz w:val="28"/>
          <w:szCs w:val="28"/>
          <w:rtl/>
        </w:rPr>
        <w:t xml:space="preserve">משעה שהמערער הציג לנפגעת העבירה במכתבו אפשרויות שונות, שאינן מלמדות בהכרח </w:t>
      </w:r>
      <w:r w:rsidRPr="00E17BFA">
        <w:rPr>
          <w:rFonts w:cs="David" w:hint="cs"/>
          <w:sz w:val="28"/>
          <w:szCs w:val="28"/>
          <w:rtl/>
        </w:rPr>
        <w:t xml:space="preserve">על כוונה עבריינית קונקרטית לביצוע העבירה של גרם מעשה אינוס, </w:t>
      </w:r>
      <w:r>
        <w:rPr>
          <w:rFonts w:cs="David" w:hint="cs"/>
          <w:sz w:val="28"/>
          <w:szCs w:val="28"/>
          <w:rtl/>
        </w:rPr>
        <w:t xml:space="preserve">בפרט, או עבירת מין בכלל. </w:t>
      </w:r>
    </w:p>
    <w:p w14:paraId="02E8F25B" w14:textId="159C170B"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lastRenderedPageBreak/>
        <w:t xml:space="preserve">אף טענה זו דינה להידחות. כידוע </w:t>
      </w:r>
      <w:r w:rsidRPr="00E17BFA">
        <w:rPr>
          <w:rFonts w:cs="David" w:hint="cs"/>
          <w:sz w:val="28"/>
          <w:szCs w:val="28"/>
          <w:rtl/>
        </w:rPr>
        <w:t>עבירת האינוס או גרם אינוס, היא עבירה של מחשבה פלילית רגילה, שבה נדרשת מודעות ליסוד העובדתי</w:t>
      </w:r>
      <w:r>
        <w:rPr>
          <w:rFonts w:cs="David" w:hint="cs"/>
          <w:sz w:val="28"/>
          <w:szCs w:val="28"/>
          <w:rtl/>
        </w:rPr>
        <w:t xml:space="preserve"> </w:t>
      </w:r>
      <w:r w:rsidR="00B6104F">
        <w:rPr>
          <w:rFonts w:cs="David" w:hint="cs"/>
          <w:sz w:val="28"/>
          <w:szCs w:val="28"/>
          <w:rtl/>
        </w:rPr>
        <w:t>-</w:t>
      </w:r>
      <w:r>
        <w:rPr>
          <w:rFonts w:cs="David" w:hint="cs"/>
          <w:sz w:val="28"/>
          <w:szCs w:val="28"/>
          <w:rtl/>
        </w:rPr>
        <w:t xml:space="preserve"> לרכיב ההתנהגות ולרכיב ה</w:t>
      </w:r>
      <w:r w:rsidRPr="00E17BFA">
        <w:rPr>
          <w:rFonts w:cs="David" w:hint="cs"/>
          <w:sz w:val="28"/>
          <w:szCs w:val="28"/>
          <w:rtl/>
        </w:rPr>
        <w:t xml:space="preserve">נסיבות. לצורך הרשעה בנסיון לגרם מעשה אינוס יש להוכיח כי התקיים במבצע היסוד הנפשי הנדרש </w:t>
      </w:r>
      <w:r>
        <w:rPr>
          <w:rFonts w:cs="David" w:hint="cs"/>
          <w:sz w:val="28"/>
          <w:szCs w:val="28"/>
          <w:rtl/>
        </w:rPr>
        <w:t>ממבצע ה</w:t>
      </w:r>
      <w:r w:rsidRPr="00E17BFA">
        <w:rPr>
          <w:rFonts w:cs="David" w:hint="cs"/>
          <w:sz w:val="28"/>
          <w:szCs w:val="28"/>
          <w:rtl/>
        </w:rPr>
        <w:t xml:space="preserve">עבירה המוגמרת, </w:t>
      </w:r>
      <w:r>
        <w:rPr>
          <w:rFonts w:cs="David" w:hint="cs"/>
          <w:sz w:val="28"/>
          <w:szCs w:val="28"/>
          <w:rtl/>
        </w:rPr>
        <w:t xml:space="preserve">וכן </w:t>
      </w:r>
      <w:r w:rsidRPr="00E17BFA">
        <w:rPr>
          <w:rFonts w:cs="David" w:hint="cs"/>
          <w:sz w:val="28"/>
          <w:szCs w:val="28"/>
          <w:rtl/>
        </w:rPr>
        <w:t>היסוד הנפשי הייחודי לעבירת הניסיון</w:t>
      </w:r>
      <w:r>
        <w:rPr>
          <w:rFonts w:cs="David" w:hint="cs"/>
          <w:sz w:val="28"/>
          <w:szCs w:val="28"/>
          <w:rtl/>
        </w:rPr>
        <w:t xml:space="preserve"> - </w:t>
      </w:r>
      <w:r w:rsidRPr="00E17BFA">
        <w:rPr>
          <w:rFonts w:cs="David" w:hint="cs"/>
          <w:sz w:val="28"/>
          <w:szCs w:val="28"/>
          <w:rtl/>
        </w:rPr>
        <w:t>מטרה ל</w:t>
      </w:r>
      <w:r>
        <w:rPr>
          <w:rFonts w:cs="David" w:hint="cs"/>
          <w:sz w:val="28"/>
          <w:szCs w:val="28"/>
          <w:rtl/>
        </w:rPr>
        <w:t xml:space="preserve">השלים את </w:t>
      </w:r>
      <w:r w:rsidRPr="00E17BFA">
        <w:rPr>
          <w:rFonts w:cs="David" w:hint="cs"/>
          <w:sz w:val="28"/>
          <w:szCs w:val="28"/>
          <w:rtl/>
        </w:rPr>
        <w:t>ב</w:t>
      </w:r>
      <w:r>
        <w:rPr>
          <w:rFonts w:cs="David" w:hint="cs"/>
          <w:sz w:val="28"/>
          <w:szCs w:val="28"/>
          <w:rtl/>
        </w:rPr>
        <w:t>י</w:t>
      </w:r>
      <w:r w:rsidRPr="00E17BFA">
        <w:rPr>
          <w:rFonts w:cs="David" w:hint="cs"/>
          <w:sz w:val="28"/>
          <w:szCs w:val="28"/>
          <w:rtl/>
        </w:rPr>
        <w:t>צ</w:t>
      </w:r>
      <w:r>
        <w:rPr>
          <w:rFonts w:cs="David" w:hint="cs"/>
          <w:sz w:val="28"/>
          <w:szCs w:val="28"/>
          <w:rtl/>
        </w:rPr>
        <w:t>ו</w:t>
      </w:r>
      <w:r w:rsidRPr="00E17BFA">
        <w:rPr>
          <w:rFonts w:cs="David" w:hint="cs"/>
          <w:sz w:val="28"/>
          <w:szCs w:val="28"/>
          <w:rtl/>
        </w:rPr>
        <w:t xml:space="preserve">ע העבירה (ע"פ 8312/17 </w:t>
      </w:r>
      <w:r w:rsidRPr="00E17BFA">
        <w:rPr>
          <w:rFonts w:cs="David" w:hint="cs"/>
          <w:b/>
          <w:bCs/>
          <w:sz w:val="28"/>
          <w:szCs w:val="28"/>
          <w:rtl/>
        </w:rPr>
        <w:t xml:space="preserve">בנימין נ' מדינת ישראל, </w:t>
      </w:r>
      <w:r w:rsidRPr="00E17BFA">
        <w:rPr>
          <w:rFonts w:cs="David" w:hint="cs"/>
          <w:sz w:val="28"/>
          <w:szCs w:val="28"/>
          <w:rtl/>
        </w:rPr>
        <w:t>פסקה 26</w:t>
      </w:r>
      <w:r w:rsidRPr="00E17BFA">
        <w:rPr>
          <w:rFonts w:cs="David" w:hint="cs"/>
          <w:b/>
          <w:bCs/>
          <w:sz w:val="28"/>
          <w:szCs w:val="28"/>
          <w:rtl/>
        </w:rPr>
        <w:t xml:space="preserve"> </w:t>
      </w:r>
      <w:r>
        <w:rPr>
          <w:rFonts w:cs="David" w:hint="cs"/>
          <w:sz w:val="28"/>
          <w:szCs w:val="28"/>
          <w:rtl/>
        </w:rPr>
        <w:t>(</w:t>
      </w:r>
      <w:r w:rsidR="0035073D">
        <w:rPr>
          <w:rFonts w:cs="David" w:hint="cs"/>
          <w:sz w:val="28"/>
          <w:szCs w:val="28"/>
          <w:rtl/>
        </w:rPr>
        <w:t xml:space="preserve">לא פורסם, </w:t>
      </w:r>
      <w:r>
        <w:rPr>
          <w:rFonts w:cs="David" w:hint="cs"/>
          <w:sz w:val="28"/>
          <w:szCs w:val="28"/>
          <w:rtl/>
        </w:rPr>
        <w:t>17.4.2018)</w:t>
      </w:r>
      <w:r w:rsidRPr="00E17BFA">
        <w:rPr>
          <w:rFonts w:cs="David" w:hint="cs"/>
          <w:sz w:val="28"/>
          <w:szCs w:val="28"/>
          <w:rtl/>
        </w:rPr>
        <w:t xml:space="preserve">; רע"פ 2220/16 </w:t>
      </w:r>
      <w:r w:rsidRPr="00E17BFA">
        <w:rPr>
          <w:rFonts w:cs="David" w:hint="cs"/>
          <w:b/>
          <w:bCs/>
          <w:sz w:val="28"/>
          <w:szCs w:val="28"/>
          <w:rtl/>
        </w:rPr>
        <w:t>מור יוסף</w:t>
      </w:r>
      <w:r w:rsidRPr="00863E3B">
        <w:rPr>
          <w:rFonts w:cs="David" w:hint="cs"/>
          <w:sz w:val="28"/>
          <w:szCs w:val="28"/>
          <w:rtl/>
        </w:rPr>
        <w:t xml:space="preserve">, </w:t>
      </w:r>
      <w:r>
        <w:rPr>
          <w:rFonts w:cs="David" w:hint="cs"/>
          <w:sz w:val="28"/>
          <w:szCs w:val="28"/>
          <w:rtl/>
        </w:rPr>
        <w:t xml:space="preserve">הנ"ל, </w:t>
      </w:r>
      <w:r w:rsidRPr="00E17BFA">
        <w:rPr>
          <w:rFonts w:cs="David" w:hint="cs"/>
          <w:sz w:val="28"/>
          <w:szCs w:val="28"/>
          <w:rtl/>
        </w:rPr>
        <w:t>פסקה 18</w:t>
      </w:r>
      <w:r w:rsidRPr="00E17BFA">
        <w:rPr>
          <w:rFonts w:cs="David" w:hint="cs"/>
          <w:b/>
          <w:bCs/>
          <w:sz w:val="28"/>
          <w:szCs w:val="28"/>
          <w:rtl/>
        </w:rPr>
        <w:t xml:space="preserve"> </w:t>
      </w:r>
      <w:r>
        <w:rPr>
          <w:rFonts w:cs="David" w:hint="cs"/>
          <w:sz w:val="28"/>
          <w:szCs w:val="28"/>
          <w:rtl/>
        </w:rPr>
        <w:t>(</w:t>
      </w:r>
      <w:r w:rsidR="0035073D">
        <w:rPr>
          <w:rFonts w:cs="David" w:hint="cs"/>
          <w:sz w:val="28"/>
          <w:szCs w:val="28"/>
          <w:rtl/>
        </w:rPr>
        <w:t xml:space="preserve">לא פורסם, </w:t>
      </w:r>
      <w:r>
        <w:rPr>
          <w:rFonts w:cs="David" w:hint="cs"/>
          <w:sz w:val="28"/>
          <w:szCs w:val="28"/>
          <w:rtl/>
        </w:rPr>
        <w:t xml:space="preserve">26.10.2017)). </w:t>
      </w:r>
      <w:r w:rsidRPr="00E17BFA">
        <w:rPr>
          <w:rFonts w:cs="David" w:hint="cs"/>
          <w:sz w:val="28"/>
          <w:szCs w:val="28"/>
          <w:rtl/>
        </w:rPr>
        <w:t xml:space="preserve"> </w:t>
      </w:r>
    </w:p>
    <w:p w14:paraId="3DA64CF9" w14:textId="1A2CE4A9" w:rsidR="00FB2D20" w:rsidRDefault="00FB2D20" w:rsidP="001A563F">
      <w:pPr>
        <w:numPr>
          <w:ilvl w:val="0"/>
          <w:numId w:val="5"/>
        </w:numPr>
        <w:tabs>
          <w:tab w:val="left" w:pos="282"/>
        </w:tabs>
        <w:spacing w:line="360" w:lineRule="auto"/>
        <w:ind w:left="-1" w:firstLine="0"/>
        <w:jc w:val="both"/>
        <w:rPr>
          <w:rFonts w:cs="David"/>
          <w:sz w:val="28"/>
          <w:szCs w:val="28"/>
        </w:rPr>
      </w:pPr>
      <w:r w:rsidRPr="00E17BFA">
        <w:rPr>
          <w:rFonts w:cs="David" w:hint="cs"/>
          <w:sz w:val="28"/>
          <w:szCs w:val="28"/>
          <w:rtl/>
        </w:rPr>
        <w:t>מטבעו של היסוד הנפשי ש</w:t>
      </w:r>
      <w:r>
        <w:rPr>
          <w:rFonts w:cs="David" w:hint="cs"/>
          <w:sz w:val="28"/>
          <w:szCs w:val="28"/>
          <w:rtl/>
        </w:rPr>
        <w:t xml:space="preserve">על פי רוב, הוא אינו </w:t>
      </w:r>
      <w:r w:rsidRPr="00E17BFA">
        <w:rPr>
          <w:rFonts w:cs="David" w:hint="cs"/>
          <w:sz w:val="28"/>
          <w:szCs w:val="28"/>
          <w:rtl/>
        </w:rPr>
        <w:t>גלוי לעין, ודאי מקום</w:t>
      </w:r>
      <w:r>
        <w:rPr>
          <w:rFonts w:cs="David" w:hint="cs"/>
          <w:sz w:val="28"/>
          <w:szCs w:val="28"/>
          <w:rtl/>
        </w:rPr>
        <w:t xml:space="preserve"> ש</w:t>
      </w:r>
      <w:r w:rsidRPr="00E17BFA">
        <w:rPr>
          <w:rFonts w:cs="David" w:hint="cs"/>
          <w:sz w:val="28"/>
          <w:szCs w:val="28"/>
          <w:rtl/>
        </w:rPr>
        <w:t>בו, כבענייננו, הכחיש המערער ב</w:t>
      </w:r>
      <w:r>
        <w:rPr>
          <w:rFonts w:cs="David" w:hint="cs"/>
          <w:sz w:val="28"/>
          <w:szCs w:val="28"/>
          <w:rtl/>
        </w:rPr>
        <w:t>חקירה וב</w:t>
      </w:r>
      <w:r w:rsidRPr="00E17BFA">
        <w:rPr>
          <w:rFonts w:cs="David" w:hint="cs"/>
          <w:sz w:val="28"/>
          <w:szCs w:val="28"/>
          <w:rtl/>
        </w:rPr>
        <w:t xml:space="preserve">בית הדין קמא את עצם ביצוע העבירה; ולפיכך </w:t>
      </w:r>
      <w:r>
        <w:rPr>
          <w:rFonts w:cs="David" w:hint="cs"/>
          <w:sz w:val="28"/>
          <w:szCs w:val="28"/>
          <w:rtl/>
        </w:rPr>
        <w:t xml:space="preserve">יש ללמוד על </w:t>
      </w:r>
      <w:r w:rsidRPr="00E17BFA">
        <w:rPr>
          <w:rFonts w:cs="David" w:hint="cs"/>
          <w:sz w:val="28"/>
          <w:szCs w:val="28"/>
          <w:rtl/>
        </w:rPr>
        <w:t xml:space="preserve">היסוד הנפשי ממכלול הנסיבות החיצוניות, מהגיונם של דברים, מראיות נסיבתיות ומניסיון החיים המצטבר (ראו ע"פ 5150/93 </w:t>
      </w:r>
      <w:r w:rsidRPr="00E17BFA">
        <w:rPr>
          <w:rFonts w:cs="David" w:hint="cs"/>
          <w:b/>
          <w:bCs/>
          <w:sz w:val="28"/>
          <w:szCs w:val="28"/>
          <w:rtl/>
        </w:rPr>
        <w:t>סריס נ' מדינת ישראל</w:t>
      </w:r>
      <w:r w:rsidRPr="00E17BFA">
        <w:rPr>
          <w:rFonts w:cs="David" w:hint="cs"/>
          <w:sz w:val="28"/>
          <w:szCs w:val="28"/>
          <w:rtl/>
        </w:rPr>
        <w:t>, פ"ד מח(2) 183, בעמ' 186).</w:t>
      </w:r>
    </w:p>
    <w:p w14:paraId="2FE3C3FA" w14:textId="2AFD1DFC" w:rsidR="00FB2D20" w:rsidRDefault="00FB2D20" w:rsidP="001A563F">
      <w:pPr>
        <w:numPr>
          <w:ilvl w:val="0"/>
          <w:numId w:val="5"/>
        </w:numPr>
        <w:tabs>
          <w:tab w:val="left" w:pos="282"/>
        </w:tabs>
        <w:spacing w:line="360" w:lineRule="auto"/>
        <w:ind w:left="-1" w:firstLine="0"/>
        <w:jc w:val="both"/>
        <w:rPr>
          <w:rFonts w:cs="David"/>
          <w:sz w:val="28"/>
          <w:szCs w:val="28"/>
        </w:rPr>
      </w:pPr>
      <w:r w:rsidRPr="00E17BFA">
        <w:rPr>
          <w:rFonts w:cs="David" w:hint="cs"/>
          <w:sz w:val="28"/>
          <w:szCs w:val="28"/>
          <w:rtl/>
        </w:rPr>
        <w:t xml:space="preserve">האם </w:t>
      </w:r>
      <w:r>
        <w:rPr>
          <w:rFonts w:cs="David" w:hint="cs"/>
          <w:sz w:val="28"/>
          <w:szCs w:val="28"/>
          <w:rtl/>
        </w:rPr>
        <w:t xml:space="preserve">אכן </w:t>
      </w:r>
      <w:r w:rsidRPr="00E17BFA">
        <w:rPr>
          <w:rFonts w:cs="David" w:hint="cs"/>
          <w:sz w:val="28"/>
          <w:szCs w:val="28"/>
          <w:rtl/>
        </w:rPr>
        <w:t xml:space="preserve">יש </w:t>
      </w:r>
      <w:r>
        <w:rPr>
          <w:rFonts w:cs="David" w:hint="cs"/>
          <w:sz w:val="28"/>
          <w:szCs w:val="28"/>
          <w:rtl/>
        </w:rPr>
        <w:t xml:space="preserve">בהצבתן במכתב, של </w:t>
      </w:r>
      <w:r w:rsidRPr="00E17BFA">
        <w:rPr>
          <w:rFonts w:cs="David" w:hint="cs"/>
          <w:sz w:val="28"/>
          <w:szCs w:val="28"/>
          <w:rtl/>
        </w:rPr>
        <w:t xml:space="preserve">מספר </w:t>
      </w:r>
      <w:r>
        <w:rPr>
          <w:rFonts w:cs="David" w:hint="cs"/>
          <w:sz w:val="28"/>
          <w:szCs w:val="28"/>
          <w:rtl/>
        </w:rPr>
        <w:t>"</w:t>
      </w:r>
      <w:r w:rsidRPr="00E17BFA">
        <w:rPr>
          <w:rFonts w:cs="David" w:hint="cs"/>
          <w:sz w:val="28"/>
          <w:szCs w:val="28"/>
          <w:rtl/>
        </w:rPr>
        <w:t>חלופות</w:t>
      </w:r>
      <w:r>
        <w:rPr>
          <w:rFonts w:cs="David" w:hint="cs"/>
          <w:sz w:val="28"/>
          <w:szCs w:val="28"/>
          <w:rtl/>
        </w:rPr>
        <w:t xml:space="preserve">", </w:t>
      </w:r>
      <w:r w:rsidRPr="00E17BFA">
        <w:rPr>
          <w:rFonts w:cs="David" w:hint="cs"/>
          <w:sz w:val="28"/>
          <w:szCs w:val="28"/>
          <w:rtl/>
        </w:rPr>
        <w:t>כדי ללמד על כך שבמערער לא התקיימה הכוונה ל</w:t>
      </w:r>
      <w:r>
        <w:rPr>
          <w:rFonts w:cs="David" w:hint="cs"/>
          <w:sz w:val="28"/>
          <w:szCs w:val="28"/>
          <w:rtl/>
        </w:rPr>
        <w:t xml:space="preserve">השלים את </w:t>
      </w:r>
      <w:r w:rsidRPr="00E17BFA">
        <w:rPr>
          <w:rFonts w:cs="David" w:hint="cs"/>
          <w:sz w:val="28"/>
          <w:szCs w:val="28"/>
          <w:rtl/>
        </w:rPr>
        <w:t xml:space="preserve">העבירה של גרם מעשה אינוס? לטעמנו התשובה לכך היא שלילית. </w:t>
      </w:r>
    </w:p>
    <w:p w14:paraId="4FE21E4B" w14:textId="18DE3B41"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נפנה בהקשר זה להוכחת </w:t>
      </w:r>
      <w:r w:rsidRPr="00E17BFA">
        <w:rPr>
          <w:rFonts w:cs="David" w:hint="cs"/>
          <w:sz w:val="28"/>
          <w:szCs w:val="28"/>
          <w:rtl/>
        </w:rPr>
        <w:t xml:space="preserve">רכיב הכוונה, </w:t>
      </w:r>
      <w:r>
        <w:rPr>
          <w:rFonts w:cs="David" w:hint="cs"/>
          <w:sz w:val="28"/>
          <w:szCs w:val="28"/>
          <w:rtl/>
        </w:rPr>
        <w:t xml:space="preserve">במסגרת בחינת יסודותיהן של </w:t>
      </w:r>
      <w:r w:rsidRPr="00E17BFA">
        <w:rPr>
          <w:rFonts w:cs="David" w:hint="cs"/>
          <w:sz w:val="28"/>
          <w:szCs w:val="28"/>
          <w:rtl/>
        </w:rPr>
        <w:t>עבירות תוצאתיות</w:t>
      </w:r>
      <w:r>
        <w:rPr>
          <w:rFonts w:cs="David" w:hint="cs"/>
          <w:sz w:val="28"/>
          <w:szCs w:val="28"/>
          <w:rtl/>
        </w:rPr>
        <w:t>;</w:t>
      </w:r>
      <w:r w:rsidRPr="00E17BFA">
        <w:rPr>
          <w:rFonts w:cs="David" w:hint="cs"/>
          <w:sz w:val="28"/>
          <w:szCs w:val="28"/>
          <w:rtl/>
        </w:rPr>
        <w:t xml:space="preserve"> </w:t>
      </w:r>
      <w:r>
        <w:rPr>
          <w:rFonts w:cs="David" w:hint="cs"/>
          <w:sz w:val="28"/>
          <w:szCs w:val="28"/>
          <w:rtl/>
        </w:rPr>
        <w:t xml:space="preserve">כידוע, בית המשפט נדרש </w:t>
      </w:r>
      <w:r w:rsidRPr="00E17BFA">
        <w:rPr>
          <w:rFonts w:cs="David" w:hint="cs"/>
          <w:sz w:val="28"/>
          <w:szCs w:val="28"/>
          <w:rtl/>
        </w:rPr>
        <w:t xml:space="preserve">לא </w:t>
      </w:r>
      <w:r>
        <w:rPr>
          <w:rFonts w:cs="David" w:hint="cs"/>
          <w:sz w:val="28"/>
          <w:szCs w:val="28"/>
          <w:rtl/>
        </w:rPr>
        <w:t xml:space="preserve">פעם בהקשר זה להיעזר </w:t>
      </w:r>
      <w:r w:rsidRPr="00E17BFA">
        <w:rPr>
          <w:rFonts w:cs="David" w:hint="cs"/>
          <w:sz w:val="28"/>
          <w:szCs w:val="28"/>
          <w:rtl/>
        </w:rPr>
        <w:t xml:space="preserve">ב"הנחת הכוונה" - דהיינו, </w:t>
      </w:r>
      <w:r>
        <w:rPr>
          <w:rFonts w:cs="David" w:hint="cs"/>
          <w:sz w:val="28"/>
          <w:szCs w:val="28"/>
          <w:rtl/>
        </w:rPr>
        <w:t>ב</w:t>
      </w:r>
      <w:r w:rsidRPr="00E17BFA">
        <w:rPr>
          <w:rFonts w:cs="David" w:hint="cs"/>
          <w:sz w:val="28"/>
          <w:szCs w:val="28"/>
          <w:rtl/>
        </w:rPr>
        <w:t xml:space="preserve">חזקה ראייתית עובדתית </w:t>
      </w:r>
      <w:r>
        <w:rPr>
          <w:rFonts w:cs="David" w:hint="cs"/>
          <w:sz w:val="28"/>
          <w:szCs w:val="28"/>
          <w:rtl/>
        </w:rPr>
        <w:t>ש</w:t>
      </w:r>
      <w:r w:rsidRPr="00E17BFA">
        <w:rPr>
          <w:rFonts w:cs="David" w:hint="cs"/>
          <w:sz w:val="28"/>
          <w:szCs w:val="28"/>
          <w:rtl/>
        </w:rPr>
        <w:t xml:space="preserve">לפיה אדם </w:t>
      </w:r>
      <w:r>
        <w:rPr>
          <w:rFonts w:cs="David" w:hint="cs"/>
          <w:sz w:val="28"/>
          <w:szCs w:val="28"/>
          <w:rtl/>
        </w:rPr>
        <w:t>מ</w:t>
      </w:r>
      <w:r w:rsidRPr="00E17BFA">
        <w:rPr>
          <w:rFonts w:cs="David" w:hint="cs"/>
          <w:sz w:val="28"/>
          <w:szCs w:val="28"/>
          <w:rtl/>
        </w:rPr>
        <w:t>תכוון לתוצאות הצומחות באופן טבעי ובהסתברות גבוהה ממעשיו</w:t>
      </w:r>
      <w:r>
        <w:rPr>
          <w:rFonts w:cs="David" w:hint="cs"/>
          <w:sz w:val="28"/>
          <w:szCs w:val="28"/>
          <w:rtl/>
        </w:rPr>
        <w:t xml:space="preserve"> (ראו סעיף 20(ב) לחוק העונשין).</w:t>
      </w:r>
      <w:r w:rsidRPr="00E17BFA">
        <w:rPr>
          <w:rFonts w:cs="David" w:hint="cs"/>
          <w:sz w:val="28"/>
          <w:szCs w:val="28"/>
          <w:rtl/>
        </w:rPr>
        <w:t xml:space="preserve"> </w:t>
      </w:r>
      <w:r>
        <w:rPr>
          <w:rFonts w:cs="David" w:hint="cs"/>
          <w:sz w:val="28"/>
          <w:szCs w:val="28"/>
          <w:rtl/>
        </w:rPr>
        <w:t xml:space="preserve">בדומה, </w:t>
      </w:r>
      <w:r w:rsidRPr="00E17BFA">
        <w:rPr>
          <w:rFonts w:cs="David" w:hint="cs"/>
          <w:sz w:val="28"/>
          <w:szCs w:val="28"/>
          <w:rtl/>
        </w:rPr>
        <w:t xml:space="preserve">נקבע בפסיקה, כי </w:t>
      </w:r>
      <w:r>
        <w:rPr>
          <w:rFonts w:cs="David" w:hint="cs"/>
          <w:sz w:val="28"/>
          <w:szCs w:val="28"/>
          <w:rtl/>
        </w:rPr>
        <w:t xml:space="preserve">ניתן להיעזר </w:t>
      </w:r>
      <w:r w:rsidRPr="00E17BFA">
        <w:rPr>
          <w:rFonts w:cs="David" w:hint="cs"/>
          <w:sz w:val="28"/>
          <w:szCs w:val="28"/>
          <w:rtl/>
        </w:rPr>
        <w:t>בחזקה עובדתית ראייתית זו, גם בעבירות ניסיון</w:t>
      </w:r>
      <w:r>
        <w:rPr>
          <w:rFonts w:cs="David" w:hint="cs"/>
          <w:sz w:val="28"/>
          <w:szCs w:val="28"/>
          <w:rtl/>
        </w:rPr>
        <w:t xml:space="preserve">, כדי להוכיח את </w:t>
      </w:r>
      <w:r w:rsidRPr="00E17BFA">
        <w:rPr>
          <w:rFonts w:cs="David" w:hint="cs"/>
          <w:sz w:val="28"/>
          <w:szCs w:val="28"/>
          <w:rtl/>
        </w:rPr>
        <w:t xml:space="preserve">רכיב </w:t>
      </w:r>
      <w:r>
        <w:rPr>
          <w:rFonts w:cs="David" w:hint="cs"/>
          <w:sz w:val="28"/>
          <w:szCs w:val="28"/>
          <w:rtl/>
        </w:rPr>
        <w:t>ה</w:t>
      </w:r>
      <w:r w:rsidRPr="00E17BFA">
        <w:rPr>
          <w:rFonts w:cs="David" w:hint="cs"/>
          <w:sz w:val="28"/>
          <w:szCs w:val="28"/>
          <w:rtl/>
        </w:rPr>
        <w:t>"מטרה להשלים את העבירה", וזאת בדרך של יישום מעין "הנחת מטרה"</w:t>
      </w:r>
      <w:r>
        <w:rPr>
          <w:rFonts w:cs="David" w:hint="cs"/>
          <w:sz w:val="28"/>
          <w:szCs w:val="28"/>
          <w:rtl/>
        </w:rPr>
        <w:t>,</w:t>
      </w:r>
      <w:r w:rsidRPr="00E17BFA">
        <w:rPr>
          <w:rFonts w:cs="David" w:hint="cs"/>
          <w:sz w:val="28"/>
          <w:szCs w:val="28"/>
          <w:rtl/>
        </w:rPr>
        <w:t xml:space="preserve"> שהיא וריאציה של </w:t>
      </w:r>
      <w:r>
        <w:rPr>
          <w:rFonts w:cs="David" w:hint="cs"/>
          <w:sz w:val="28"/>
          <w:szCs w:val="28"/>
          <w:rtl/>
        </w:rPr>
        <w:t>"</w:t>
      </w:r>
      <w:r w:rsidRPr="00E17BFA">
        <w:rPr>
          <w:rFonts w:cs="David" w:hint="cs"/>
          <w:sz w:val="28"/>
          <w:szCs w:val="28"/>
          <w:rtl/>
        </w:rPr>
        <w:t>הנחת הכוונה</w:t>
      </w:r>
      <w:r>
        <w:rPr>
          <w:rFonts w:cs="David" w:hint="cs"/>
          <w:sz w:val="28"/>
          <w:szCs w:val="28"/>
          <w:rtl/>
        </w:rPr>
        <w:t>" ונוסחה כדלקמן</w:t>
      </w:r>
      <w:r w:rsidRPr="00E17BFA">
        <w:rPr>
          <w:rFonts w:cs="David" w:hint="cs"/>
          <w:sz w:val="28"/>
          <w:szCs w:val="28"/>
          <w:rtl/>
        </w:rPr>
        <w:t>: "חזקה על אדם כי הוא פועל מתוך מטרה להשלים עבירה - אם פעולותיו צפויות להוביל באופן טבעי ובהסתברות גבוהה להשלמתה</w:t>
      </w:r>
      <w:r>
        <w:rPr>
          <w:rFonts w:cs="David" w:hint="cs"/>
          <w:sz w:val="28"/>
          <w:szCs w:val="28"/>
          <w:rtl/>
        </w:rPr>
        <w:t>"</w:t>
      </w:r>
      <w:r w:rsidRPr="00E17BFA">
        <w:rPr>
          <w:rFonts w:cs="David" w:hint="cs"/>
          <w:sz w:val="28"/>
          <w:szCs w:val="28"/>
          <w:rtl/>
        </w:rPr>
        <w:t xml:space="preserve"> (ע"פ 297/11 </w:t>
      </w:r>
      <w:r w:rsidRPr="00E17BFA">
        <w:rPr>
          <w:rFonts w:cs="David" w:hint="cs"/>
          <w:b/>
          <w:bCs/>
          <w:sz w:val="28"/>
          <w:szCs w:val="28"/>
          <w:rtl/>
        </w:rPr>
        <w:t xml:space="preserve">סעיד נ' </w:t>
      </w:r>
      <w:r w:rsidRPr="00E17BFA">
        <w:rPr>
          <w:rFonts w:cs="David" w:hint="cs"/>
          <w:sz w:val="28"/>
          <w:szCs w:val="28"/>
          <w:rtl/>
        </w:rPr>
        <w:t xml:space="preserve">מדינת ישראל, בפסקה 41 </w:t>
      </w:r>
      <w:r>
        <w:rPr>
          <w:rFonts w:cs="David" w:hint="cs"/>
          <w:sz w:val="28"/>
          <w:szCs w:val="28"/>
          <w:rtl/>
        </w:rPr>
        <w:t>(</w:t>
      </w:r>
      <w:r w:rsidR="0035073D">
        <w:rPr>
          <w:rFonts w:cs="David" w:hint="cs"/>
          <w:sz w:val="28"/>
          <w:szCs w:val="28"/>
          <w:rtl/>
        </w:rPr>
        <w:t xml:space="preserve">לא פורסם, </w:t>
      </w:r>
      <w:r>
        <w:rPr>
          <w:rFonts w:cs="David" w:hint="cs"/>
          <w:sz w:val="28"/>
          <w:szCs w:val="28"/>
          <w:rtl/>
        </w:rPr>
        <w:t xml:space="preserve">22.7.2013)). </w:t>
      </w:r>
    </w:p>
    <w:p w14:paraId="30B1003C" w14:textId="6A4F0C85"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תוכנו של </w:t>
      </w:r>
      <w:r w:rsidRPr="00E17BFA">
        <w:rPr>
          <w:rFonts w:cs="David" w:hint="cs"/>
          <w:sz w:val="28"/>
          <w:szCs w:val="28"/>
          <w:rtl/>
        </w:rPr>
        <w:t xml:space="preserve">מכתב הסחיטה, </w:t>
      </w:r>
      <w:r>
        <w:rPr>
          <w:rFonts w:cs="David" w:hint="cs"/>
          <w:sz w:val="28"/>
          <w:szCs w:val="28"/>
          <w:rtl/>
        </w:rPr>
        <w:t xml:space="preserve">שאליו, כאמור, צורף סרטון של נפגעת העבירה בעירום, מלמד, מתוכו, </w:t>
      </w:r>
      <w:r w:rsidRPr="00E17BFA">
        <w:rPr>
          <w:rFonts w:cs="David" w:hint="cs"/>
          <w:sz w:val="28"/>
          <w:szCs w:val="28"/>
          <w:rtl/>
        </w:rPr>
        <w:t xml:space="preserve">כי </w:t>
      </w:r>
      <w:r>
        <w:rPr>
          <w:rFonts w:cs="David" w:hint="cs"/>
          <w:sz w:val="28"/>
          <w:szCs w:val="28"/>
          <w:rtl/>
        </w:rPr>
        <w:t xml:space="preserve">מטרתו של </w:t>
      </w:r>
      <w:r w:rsidRPr="00E17BFA">
        <w:rPr>
          <w:rFonts w:cs="David" w:hint="cs"/>
          <w:sz w:val="28"/>
          <w:szCs w:val="28"/>
          <w:rtl/>
        </w:rPr>
        <w:t>המערער</w:t>
      </w:r>
      <w:r>
        <w:rPr>
          <w:rFonts w:cs="David" w:hint="cs"/>
          <w:sz w:val="28"/>
          <w:szCs w:val="28"/>
          <w:rtl/>
        </w:rPr>
        <w:t>,</w:t>
      </w:r>
      <w:r w:rsidRPr="00E17BFA">
        <w:rPr>
          <w:rFonts w:cs="David" w:hint="cs"/>
          <w:sz w:val="28"/>
          <w:szCs w:val="28"/>
          <w:rtl/>
        </w:rPr>
        <w:t xml:space="preserve"> </w:t>
      </w:r>
      <w:r>
        <w:rPr>
          <w:rFonts w:cs="David" w:hint="cs"/>
          <w:sz w:val="28"/>
          <w:szCs w:val="28"/>
          <w:rtl/>
        </w:rPr>
        <w:t xml:space="preserve">הייתה לגרום לנפגעת העבירה לבצע בעצמה מעשה אינוס. </w:t>
      </w:r>
      <w:r w:rsidRPr="00E17BFA">
        <w:rPr>
          <w:rFonts w:cs="David" w:hint="cs"/>
          <w:sz w:val="28"/>
          <w:szCs w:val="28"/>
          <w:rtl/>
        </w:rPr>
        <w:t>למעשה</w:t>
      </w:r>
      <w:r>
        <w:rPr>
          <w:rFonts w:cs="David" w:hint="cs"/>
          <w:sz w:val="28"/>
          <w:szCs w:val="28"/>
          <w:rtl/>
        </w:rPr>
        <w:t>,</w:t>
      </w:r>
      <w:r w:rsidRPr="00E17BFA">
        <w:rPr>
          <w:rFonts w:cs="David" w:hint="cs"/>
          <w:sz w:val="28"/>
          <w:szCs w:val="28"/>
          <w:rtl/>
        </w:rPr>
        <w:t xml:space="preserve"> </w:t>
      </w:r>
      <w:r>
        <w:rPr>
          <w:rFonts w:cs="David" w:hint="cs"/>
          <w:sz w:val="28"/>
          <w:szCs w:val="28"/>
          <w:rtl/>
        </w:rPr>
        <w:t>כל "</w:t>
      </w:r>
      <w:r w:rsidRPr="00E17BFA">
        <w:rPr>
          <w:rFonts w:cs="David" w:hint="cs"/>
          <w:sz w:val="28"/>
          <w:szCs w:val="28"/>
          <w:rtl/>
        </w:rPr>
        <w:t>החלופות</w:t>
      </w:r>
      <w:r>
        <w:rPr>
          <w:rFonts w:cs="David" w:hint="cs"/>
          <w:sz w:val="28"/>
          <w:szCs w:val="28"/>
          <w:rtl/>
        </w:rPr>
        <w:t xml:space="preserve">" האחרות שהוצגו במכתב, </w:t>
      </w:r>
      <w:r w:rsidRPr="00E17BFA">
        <w:rPr>
          <w:rFonts w:cs="David" w:hint="cs"/>
          <w:sz w:val="28"/>
          <w:szCs w:val="28"/>
          <w:rtl/>
        </w:rPr>
        <w:t xml:space="preserve">מובילות </w:t>
      </w:r>
      <w:r>
        <w:rPr>
          <w:rFonts w:cs="David" w:hint="cs"/>
          <w:sz w:val="28"/>
          <w:szCs w:val="28"/>
          <w:rtl/>
        </w:rPr>
        <w:t xml:space="preserve">לכך. </w:t>
      </w:r>
    </w:p>
    <w:p w14:paraId="1162C13C" w14:textId="77777777" w:rsidR="00FB2D20" w:rsidRDefault="00FB2D20" w:rsidP="001A563F">
      <w:pPr>
        <w:spacing w:line="360" w:lineRule="auto"/>
        <w:jc w:val="both"/>
        <w:outlineLvl w:val="0"/>
        <w:rPr>
          <w:rFonts w:cs="David"/>
          <w:sz w:val="28"/>
          <w:szCs w:val="28"/>
          <w:rtl/>
        </w:rPr>
      </w:pPr>
      <w:r>
        <w:rPr>
          <w:rFonts w:cs="David" w:hint="cs"/>
          <w:sz w:val="28"/>
          <w:szCs w:val="28"/>
          <w:rtl/>
        </w:rPr>
        <w:t xml:space="preserve">כך, לפי "החלופה" </w:t>
      </w:r>
      <w:r w:rsidRPr="00E6738A">
        <w:rPr>
          <w:rFonts w:cs="David" w:hint="cs"/>
          <w:sz w:val="28"/>
          <w:szCs w:val="28"/>
          <w:rtl/>
        </w:rPr>
        <w:t xml:space="preserve">הראשונה - </w:t>
      </w:r>
      <w:r>
        <w:rPr>
          <w:rFonts w:cs="David" w:hint="cs"/>
          <w:sz w:val="28"/>
          <w:szCs w:val="28"/>
          <w:rtl/>
        </w:rPr>
        <w:t xml:space="preserve">נדרשה הנפגעת לשלוח לתיבת דוא"ל הסחיטה </w:t>
      </w:r>
      <w:r w:rsidRPr="00E6738A">
        <w:rPr>
          <w:rFonts w:cs="David" w:hint="cs"/>
          <w:sz w:val="28"/>
          <w:szCs w:val="28"/>
          <w:rtl/>
        </w:rPr>
        <w:t>סרטון</w:t>
      </w:r>
      <w:r>
        <w:rPr>
          <w:rFonts w:cs="David" w:hint="cs"/>
          <w:sz w:val="28"/>
          <w:szCs w:val="28"/>
          <w:rtl/>
        </w:rPr>
        <w:t>,</w:t>
      </w:r>
      <w:r w:rsidRPr="00E6738A">
        <w:rPr>
          <w:rFonts w:cs="David" w:hint="cs"/>
          <w:sz w:val="28"/>
          <w:szCs w:val="28"/>
          <w:rtl/>
        </w:rPr>
        <w:t xml:space="preserve"> </w:t>
      </w:r>
      <w:r>
        <w:rPr>
          <w:rFonts w:cs="David" w:hint="cs"/>
          <w:sz w:val="28"/>
          <w:szCs w:val="28"/>
          <w:rtl/>
        </w:rPr>
        <w:t>ש</w:t>
      </w:r>
      <w:r w:rsidRPr="00E6738A">
        <w:rPr>
          <w:rFonts w:cs="David" w:hint="cs"/>
          <w:sz w:val="28"/>
          <w:szCs w:val="28"/>
          <w:rtl/>
        </w:rPr>
        <w:t>בו מצולם פלג גופה העליון</w:t>
      </w:r>
      <w:r>
        <w:rPr>
          <w:rFonts w:cs="David" w:hint="cs"/>
          <w:sz w:val="28"/>
          <w:szCs w:val="28"/>
          <w:rtl/>
        </w:rPr>
        <w:t xml:space="preserve">, </w:t>
      </w:r>
      <w:r w:rsidRPr="00E6738A">
        <w:rPr>
          <w:rFonts w:cs="David" w:hint="cs"/>
          <w:sz w:val="28"/>
          <w:szCs w:val="28"/>
          <w:rtl/>
        </w:rPr>
        <w:t xml:space="preserve">כשהוא חשוף לחלוטין, והיא מאשרת </w:t>
      </w:r>
      <w:r>
        <w:rPr>
          <w:rFonts w:cs="David" w:hint="cs"/>
          <w:sz w:val="28"/>
          <w:szCs w:val="28"/>
          <w:rtl/>
        </w:rPr>
        <w:t xml:space="preserve">ל"צוות", </w:t>
      </w:r>
      <w:r w:rsidRPr="00E6738A">
        <w:rPr>
          <w:rFonts w:cs="David" w:hint="cs"/>
          <w:sz w:val="28"/>
          <w:szCs w:val="28"/>
          <w:rtl/>
        </w:rPr>
        <w:t>בקולה</w:t>
      </w:r>
      <w:r>
        <w:rPr>
          <w:rFonts w:cs="David" w:hint="cs"/>
          <w:sz w:val="28"/>
          <w:szCs w:val="28"/>
          <w:rtl/>
        </w:rPr>
        <w:t xml:space="preserve">, </w:t>
      </w:r>
      <w:r w:rsidRPr="00E6738A">
        <w:rPr>
          <w:rFonts w:cs="David" w:hint="cs"/>
          <w:sz w:val="28"/>
          <w:szCs w:val="28"/>
          <w:rtl/>
        </w:rPr>
        <w:t>לעשות שימוש בסרטון הסחיטה ובחומרים הנוספים שברשותם</w:t>
      </w:r>
      <w:r>
        <w:rPr>
          <w:rFonts w:cs="David" w:hint="cs"/>
          <w:sz w:val="28"/>
          <w:szCs w:val="28"/>
          <w:rtl/>
        </w:rPr>
        <w:t xml:space="preserve">. לפי הנכתב, עליה "לסמוך" על אותו צוות עלום, כי "יתחייב" </w:t>
      </w:r>
      <w:r w:rsidRPr="00E6738A">
        <w:rPr>
          <w:rFonts w:cs="David" w:hint="cs"/>
          <w:sz w:val="28"/>
          <w:szCs w:val="28"/>
          <w:rtl/>
        </w:rPr>
        <w:t xml:space="preserve">לשמור את כלל החומרים </w:t>
      </w:r>
      <w:r>
        <w:rPr>
          <w:rFonts w:cs="David" w:hint="cs"/>
          <w:sz w:val="28"/>
          <w:szCs w:val="28"/>
          <w:rtl/>
        </w:rPr>
        <w:t xml:space="preserve">(הכוללים כעת עוד את הסרטון המבוקש) </w:t>
      </w:r>
      <w:r w:rsidRPr="00E6738A">
        <w:rPr>
          <w:rFonts w:cs="David" w:hint="cs"/>
          <w:sz w:val="28"/>
          <w:szCs w:val="28"/>
          <w:rtl/>
        </w:rPr>
        <w:t>ל</w:t>
      </w:r>
      <w:r>
        <w:rPr>
          <w:rFonts w:cs="David" w:hint="cs"/>
          <w:sz w:val="28"/>
          <w:szCs w:val="28"/>
          <w:rtl/>
        </w:rPr>
        <w:t>"</w:t>
      </w:r>
      <w:r w:rsidRPr="00E6738A">
        <w:rPr>
          <w:rFonts w:cs="David" w:hint="cs"/>
          <w:sz w:val="28"/>
          <w:szCs w:val="28"/>
          <w:rtl/>
        </w:rPr>
        <w:t>שימוש אישי</w:t>
      </w:r>
      <w:r>
        <w:rPr>
          <w:rFonts w:cs="David" w:hint="cs"/>
          <w:sz w:val="28"/>
          <w:szCs w:val="28"/>
          <w:rtl/>
        </w:rPr>
        <w:t>"</w:t>
      </w:r>
      <w:r w:rsidRPr="00E6738A">
        <w:rPr>
          <w:rFonts w:cs="David" w:hint="cs"/>
          <w:sz w:val="28"/>
          <w:szCs w:val="28"/>
          <w:rtl/>
        </w:rPr>
        <w:t xml:space="preserve"> בלבד</w:t>
      </w:r>
      <w:r>
        <w:rPr>
          <w:rFonts w:cs="David" w:hint="cs"/>
          <w:sz w:val="28"/>
          <w:szCs w:val="28"/>
          <w:rtl/>
        </w:rPr>
        <w:t xml:space="preserve">, ולא להפיצם במרשתת. </w:t>
      </w:r>
    </w:p>
    <w:p w14:paraId="149BE08F" w14:textId="77777777" w:rsidR="00FB2D20" w:rsidRDefault="00FB2D20" w:rsidP="001A563F">
      <w:pPr>
        <w:spacing w:line="360" w:lineRule="auto"/>
        <w:jc w:val="both"/>
        <w:outlineLvl w:val="0"/>
        <w:rPr>
          <w:rFonts w:cs="David"/>
          <w:sz w:val="28"/>
          <w:szCs w:val="28"/>
          <w:rtl/>
        </w:rPr>
      </w:pPr>
      <w:r>
        <w:rPr>
          <w:rFonts w:cs="David" w:hint="cs"/>
          <w:sz w:val="28"/>
          <w:szCs w:val="28"/>
          <w:rtl/>
        </w:rPr>
        <w:lastRenderedPageBreak/>
        <w:t>במסגרת ה"חלופה" השנייה, אסר "</w:t>
      </w:r>
      <w:r w:rsidRPr="00E6738A">
        <w:rPr>
          <w:rFonts w:cs="David" w:hint="cs"/>
          <w:sz w:val="28"/>
          <w:szCs w:val="28"/>
          <w:rtl/>
        </w:rPr>
        <w:t>הצוות</w:t>
      </w:r>
      <w:r>
        <w:rPr>
          <w:rFonts w:cs="David" w:hint="cs"/>
          <w:sz w:val="28"/>
          <w:szCs w:val="28"/>
          <w:rtl/>
        </w:rPr>
        <w:t>"</w:t>
      </w:r>
      <w:r w:rsidRPr="00E6738A">
        <w:rPr>
          <w:rFonts w:cs="David" w:hint="cs"/>
          <w:sz w:val="28"/>
          <w:szCs w:val="28"/>
          <w:rtl/>
        </w:rPr>
        <w:t xml:space="preserve"> על נפגעת העבירה לפנות לכל גורם חיצוני ולדווח על אודות המכתב והסרטון</w:t>
      </w:r>
      <w:r>
        <w:rPr>
          <w:rFonts w:cs="David" w:hint="cs"/>
          <w:sz w:val="28"/>
          <w:szCs w:val="28"/>
          <w:rtl/>
        </w:rPr>
        <w:t xml:space="preserve"> - שאם תפר איסור זה, </w:t>
      </w:r>
      <w:r w:rsidRPr="00D212B9">
        <w:rPr>
          <w:rFonts w:cs="David" w:hint="cs"/>
          <w:sz w:val="28"/>
          <w:szCs w:val="28"/>
          <w:rtl/>
        </w:rPr>
        <w:t>יופצו</w:t>
      </w:r>
      <w:r w:rsidRPr="00E6738A">
        <w:rPr>
          <w:rFonts w:cs="David" w:hint="cs"/>
          <w:sz w:val="28"/>
          <w:szCs w:val="28"/>
          <w:rtl/>
        </w:rPr>
        <w:t xml:space="preserve"> סרטון הסחיטה והחומרים הנוספים</w:t>
      </w:r>
      <w:r>
        <w:rPr>
          <w:rFonts w:cs="David" w:hint="cs"/>
          <w:sz w:val="28"/>
          <w:szCs w:val="28"/>
          <w:rtl/>
        </w:rPr>
        <w:t xml:space="preserve"> שברשותו</w:t>
      </w:r>
      <w:r w:rsidRPr="00E6738A">
        <w:rPr>
          <w:rFonts w:cs="David" w:hint="cs"/>
          <w:sz w:val="28"/>
          <w:szCs w:val="28"/>
          <w:rtl/>
        </w:rPr>
        <w:t xml:space="preserve">. </w:t>
      </w:r>
      <w:r>
        <w:rPr>
          <w:rFonts w:cs="David" w:hint="cs"/>
          <w:sz w:val="28"/>
          <w:szCs w:val="28"/>
          <w:rtl/>
        </w:rPr>
        <w:t xml:space="preserve">"חלופה" זו אינה עומדת בפני עצמה, שכן ממה נפשך: אם החומר האינטימי מצוי ממילא בידי ה"צוות", מדוע נדרשת הנפגעת "לאשר" לו את המשך החזקתו של תיעוד זה? למעשה, אילולא נשלחו אל הנפגעת המכתב והסרטון, לא היה חשש כי תדע על כך ותפנה לגורמי אכיפת החוק. </w:t>
      </w:r>
    </w:p>
    <w:p w14:paraId="3B02858C" w14:textId="77777777" w:rsidR="00FB2D20" w:rsidRDefault="00FB2D20" w:rsidP="001A563F">
      <w:pPr>
        <w:spacing w:line="360" w:lineRule="auto"/>
        <w:jc w:val="both"/>
        <w:outlineLvl w:val="0"/>
        <w:rPr>
          <w:rFonts w:cs="David"/>
          <w:sz w:val="28"/>
          <w:szCs w:val="28"/>
          <w:rtl/>
        </w:rPr>
      </w:pPr>
      <w:r>
        <w:rPr>
          <w:rFonts w:cs="David" w:hint="cs"/>
          <w:sz w:val="28"/>
          <w:szCs w:val="28"/>
          <w:rtl/>
        </w:rPr>
        <w:t xml:space="preserve">ה"חלופה" </w:t>
      </w:r>
      <w:r w:rsidRPr="00D212B9">
        <w:rPr>
          <w:rFonts w:cs="David" w:hint="cs"/>
          <w:sz w:val="28"/>
          <w:szCs w:val="28"/>
          <w:rtl/>
        </w:rPr>
        <w:t>השלישית שהוצעה במכתב היא</w:t>
      </w:r>
      <w:r>
        <w:rPr>
          <w:rFonts w:cs="David" w:hint="cs"/>
          <w:sz w:val="28"/>
          <w:szCs w:val="28"/>
          <w:rtl/>
        </w:rPr>
        <w:t xml:space="preserve"> המעשית ביותר מבחינת הנפגעת - וגם הפוגענית ביותר.  כאמור,</w:t>
      </w:r>
      <w:r w:rsidRPr="00D212B9">
        <w:rPr>
          <w:rFonts w:cs="David" w:hint="cs"/>
          <w:sz w:val="28"/>
          <w:szCs w:val="28"/>
          <w:rtl/>
        </w:rPr>
        <w:t xml:space="preserve"> </w:t>
      </w:r>
      <w:r>
        <w:rPr>
          <w:rFonts w:cs="David" w:hint="cs"/>
          <w:sz w:val="28"/>
          <w:szCs w:val="28"/>
          <w:rtl/>
        </w:rPr>
        <w:t>נכתב שם כי עליה ל</w:t>
      </w:r>
      <w:r w:rsidRPr="00D212B9">
        <w:rPr>
          <w:rFonts w:cs="David" w:hint="cs"/>
          <w:sz w:val="28"/>
          <w:szCs w:val="28"/>
          <w:rtl/>
        </w:rPr>
        <w:t xml:space="preserve">צלם את עצמה בעירום מלא, בסרטון שאורכו 2-3 דקות, </w:t>
      </w:r>
      <w:r>
        <w:rPr>
          <w:rFonts w:cs="David" w:hint="cs"/>
          <w:sz w:val="28"/>
          <w:szCs w:val="28"/>
          <w:rtl/>
        </w:rPr>
        <w:t>כאשר היא מבצעת בעצמה מעשה אינוס. "</w:t>
      </w:r>
      <w:r w:rsidRPr="00D212B9">
        <w:rPr>
          <w:rFonts w:cs="David" w:hint="cs"/>
          <w:sz w:val="28"/>
          <w:szCs w:val="28"/>
          <w:rtl/>
        </w:rPr>
        <w:t>בתמורה</w:t>
      </w:r>
      <w:r>
        <w:rPr>
          <w:rFonts w:cs="David" w:hint="cs"/>
          <w:sz w:val="28"/>
          <w:szCs w:val="28"/>
          <w:rtl/>
        </w:rPr>
        <w:t>"</w:t>
      </w:r>
      <w:r w:rsidRPr="00D212B9">
        <w:rPr>
          <w:rFonts w:cs="David" w:hint="cs"/>
          <w:sz w:val="28"/>
          <w:szCs w:val="28"/>
          <w:rtl/>
        </w:rPr>
        <w:t xml:space="preserve"> לכך, כך נכתב, ימחק </w:t>
      </w:r>
      <w:r>
        <w:rPr>
          <w:rFonts w:cs="David" w:hint="cs"/>
          <w:sz w:val="28"/>
          <w:szCs w:val="28"/>
          <w:rtl/>
        </w:rPr>
        <w:t>"</w:t>
      </w:r>
      <w:r w:rsidRPr="00D212B9">
        <w:rPr>
          <w:rFonts w:cs="David" w:hint="cs"/>
          <w:sz w:val="28"/>
          <w:szCs w:val="28"/>
          <w:rtl/>
        </w:rPr>
        <w:t>הצוות</w:t>
      </w:r>
      <w:r>
        <w:rPr>
          <w:rFonts w:cs="David" w:hint="cs"/>
          <w:sz w:val="28"/>
          <w:szCs w:val="28"/>
          <w:rtl/>
        </w:rPr>
        <w:t>"</w:t>
      </w:r>
      <w:r w:rsidRPr="00D212B9">
        <w:rPr>
          <w:rFonts w:cs="David" w:hint="cs"/>
          <w:sz w:val="28"/>
          <w:szCs w:val="28"/>
          <w:rtl/>
        </w:rPr>
        <w:t xml:space="preserve"> את סרטון הסחיטה ואת כלל החומרים הנוספים שברשותו</w:t>
      </w:r>
      <w:r>
        <w:rPr>
          <w:rFonts w:cs="David" w:hint="cs"/>
          <w:sz w:val="28"/>
          <w:szCs w:val="28"/>
          <w:rtl/>
        </w:rPr>
        <w:t xml:space="preserve"> - ולא רק יותיר אותם אצלו "לשימוש עצמי", כמופיע בחלופה הראשונה. מכאן, כי  </w:t>
      </w:r>
      <w:r w:rsidRPr="00735280">
        <w:rPr>
          <w:rFonts w:cs="David" w:hint="cs"/>
          <w:b/>
          <w:bCs/>
          <w:sz w:val="28"/>
          <w:szCs w:val="28"/>
          <w:rtl/>
        </w:rPr>
        <w:t>המוצא היחיד</w:t>
      </w:r>
      <w:r>
        <w:rPr>
          <w:rFonts w:cs="David" w:hint="cs"/>
          <w:sz w:val="28"/>
          <w:szCs w:val="28"/>
          <w:rtl/>
        </w:rPr>
        <w:t xml:space="preserve">, </w:t>
      </w:r>
      <w:r w:rsidRPr="00E17BFA">
        <w:rPr>
          <w:rFonts w:cs="David" w:hint="cs"/>
          <w:sz w:val="28"/>
          <w:szCs w:val="28"/>
          <w:rtl/>
        </w:rPr>
        <w:t xml:space="preserve">שנותר </w:t>
      </w:r>
      <w:r>
        <w:rPr>
          <w:rFonts w:cs="David" w:hint="cs"/>
          <w:sz w:val="28"/>
          <w:szCs w:val="28"/>
          <w:rtl/>
        </w:rPr>
        <w:t>בפני הנפגעת</w:t>
      </w:r>
      <w:r w:rsidRPr="00E17BFA">
        <w:rPr>
          <w:rFonts w:cs="David" w:hint="cs"/>
          <w:sz w:val="28"/>
          <w:szCs w:val="28"/>
          <w:rtl/>
        </w:rPr>
        <w:t xml:space="preserve">, </w:t>
      </w:r>
      <w:r>
        <w:rPr>
          <w:rFonts w:cs="David" w:hint="cs"/>
          <w:sz w:val="28"/>
          <w:szCs w:val="28"/>
          <w:rtl/>
        </w:rPr>
        <w:t xml:space="preserve">כדי </w:t>
      </w:r>
      <w:r w:rsidRPr="00E17BFA">
        <w:rPr>
          <w:rFonts w:cs="David" w:hint="cs"/>
          <w:sz w:val="28"/>
          <w:szCs w:val="28"/>
          <w:rtl/>
        </w:rPr>
        <w:t>למנוע מ</w:t>
      </w:r>
      <w:r>
        <w:rPr>
          <w:rFonts w:cs="David" w:hint="cs"/>
          <w:sz w:val="28"/>
          <w:szCs w:val="28"/>
          <w:rtl/>
        </w:rPr>
        <w:t>אותו גורם אנונימי, "</w:t>
      </w:r>
      <w:r w:rsidRPr="00E17BFA">
        <w:rPr>
          <w:rFonts w:cs="David" w:hint="cs"/>
          <w:sz w:val="28"/>
          <w:szCs w:val="28"/>
          <w:rtl/>
        </w:rPr>
        <w:t>הצוות</w:t>
      </w:r>
      <w:r>
        <w:rPr>
          <w:rFonts w:cs="David" w:hint="cs"/>
          <w:sz w:val="28"/>
          <w:szCs w:val="28"/>
          <w:rtl/>
        </w:rPr>
        <w:t>",</w:t>
      </w:r>
      <w:r w:rsidRPr="00E17BFA">
        <w:rPr>
          <w:rFonts w:cs="David" w:hint="cs"/>
          <w:sz w:val="28"/>
          <w:szCs w:val="28"/>
          <w:rtl/>
        </w:rPr>
        <w:t xml:space="preserve"> להמשיך להשתמש בחומרים </w:t>
      </w:r>
      <w:r>
        <w:rPr>
          <w:rFonts w:cs="David" w:hint="cs"/>
          <w:sz w:val="28"/>
          <w:szCs w:val="28"/>
          <w:rtl/>
        </w:rPr>
        <w:t>ה</w:t>
      </w:r>
      <w:r w:rsidRPr="00E17BFA">
        <w:rPr>
          <w:rFonts w:cs="David" w:hint="cs"/>
          <w:sz w:val="28"/>
          <w:szCs w:val="28"/>
          <w:rtl/>
        </w:rPr>
        <w:t xml:space="preserve">אינטימיים </w:t>
      </w:r>
      <w:r>
        <w:rPr>
          <w:rFonts w:cs="David" w:hint="cs"/>
          <w:sz w:val="28"/>
          <w:szCs w:val="28"/>
          <w:rtl/>
        </w:rPr>
        <w:t xml:space="preserve">שברשותו </w:t>
      </w:r>
      <w:r w:rsidRPr="00E17BFA">
        <w:rPr>
          <w:rFonts w:cs="David" w:hint="cs"/>
          <w:sz w:val="28"/>
          <w:szCs w:val="28"/>
          <w:rtl/>
        </w:rPr>
        <w:t xml:space="preserve">או להפיצם </w:t>
      </w:r>
      <w:r>
        <w:rPr>
          <w:rFonts w:cs="David" w:hint="cs"/>
          <w:sz w:val="28"/>
          <w:szCs w:val="28"/>
          <w:rtl/>
        </w:rPr>
        <w:t xml:space="preserve">לכולי עלמא - </w:t>
      </w:r>
      <w:r w:rsidRPr="00D212B9">
        <w:rPr>
          <w:rFonts w:cs="David" w:hint="cs"/>
          <w:b/>
          <w:bCs/>
          <w:sz w:val="28"/>
          <w:szCs w:val="28"/>
          <w:rtl/>
        </w:rPr>
        <w:t xml:space="preserve">הוא </w:t>
      </w:r>
      <w:r>
        <w:rPr>
          <w:rFonts w:cs="David" w:hint="cs"/>
          <w:b/>
          <w:bCs/>
          <w:sz w:val="28"/>
          <w:szCs w:val="28"/>
          <w:rtl/>
        </w:rPr>
        <w:t xml:space="preserve">לבצע </w:t>
      </w:r>
      <w:r w:rsidRPr="00D212B9">
        <w:rPr>
          <w:rFonts w:cs="David" w:hint="cs"/>
          <w:b/>
          <w:bCs/>
          <w:sz w:val="28"/>
          <w:szCs w:val="28"/>
          <w:rtl/>
        </w:rPr>
        <w:t>בעצמה מעשה אינוס</w:t>
      </w:r>
      <w:r w:rsidRPr="00E17BFA">
        <w:rPr>
          <w:rFonts w:cs="David" w:hint="cs"/>
          <w:sz w:val="28"/>
          <w:szCs w:val="28"/>
          <w:rtl/>
        </w:rPr>
        <w:t xml:space="preserve">. </w:t>
      </w:r>
    </w:p>
    <w:p w14:paraId="6ACA1D27" w14:textId="77777777" w:rsidR="00FB2D20" w:rsidRDefault="00FB2D20" w:rsidP="001A563F">
      <w:pPr>
        <w:spacing w:line="360" w:lineRule="auto"/>
        <w:jc w:val="both"/>
        <w:outlineLvl w:val="0"/>
        <w:rPr>
          <w:rFonts w:cs="David"/>
          <w:sz w:val="28"/>
          <w:szCs w:val="28"/>
          <w:rtl/>
        </w:rPr>
      </w:pPr>
      <w:r w:rsidRPr="00E17BFA">
        <w:rPr>
          <w:rFonts w:cs="David" w:hint="cs"/>
          <w:sz w:val="28"/>
          <w:szCs w:val="28"/>
          <w:rtl/>
        </w:rPr>
        <w:t>לא בכדי</w:t>
      </w:r>
      <w:r>
        <w:rPr>
          <w:rFonts w:cs="David" w:hint="cs"/>
          <w:sz w:val="28"/>
          <w:szCs w:val="28"/>
          <w:rtl/>
        </w:rPr>
        <w:t xml:space="preserve">, </w:t>
      </w:r>
      <w:r w:rsidRPr="00E17BFA">
        <w:rPr>
          <w:rFonts w:cs="David" w:hint="cs"/>
          <w:sz w:val="28"/>
          <w:szCs w:val="28"/>
          <w:rtl/>
        </w:rPr>
        <w:t xml:space="preserve">נוסחה </w:t>
      </w:r>
      <w:r>
        <w:rPr>
          <w:rFonts w:cs="David" w:hint="cs"/>
          <w:sz w:val="28"/>
          <w:szCs w:val="28"/>
          <w:rtl/>
        </w:rPr>
        <w:t xml:space="preserve">חלופה זו </w:t>
      </w:r>
      <w:r w:rsidRPr="00E17BFA">
        <w:rPr>
          <w:rFonts w:cs="David" w:hint="cs"/>
          <w:sz w:val="28"/>
          <w:szCs w:val="28"/>
          <w:rtl/>
        </w:rPr>
        <w:t>באופן הארוך והמפורט ביותר מכל ה</w:t>
      </w:r>
      <w:r>
        <w:rPr>
          <w:rFonts w:cs="David" w:hint="cs"/>
          <w:sz w:val="28"/>
          <w:szCs w:val="28"/>
          <w:rtl/>
        </w:rPr>
        <w:t xml:space="preserve">אפשרויות </w:t>
      </w:r>
      <w:r w:rsidRPr="00E17BFA">
        <w:rPr>
          <w:rFonts w:cs="David" w:hint="cs"/>
          <w:sz w:val="28"/>
          <w:szCs w:val="28"/>
          <w:rtl/>
        </w:rPr>
        <w:t xml:space="preserve">האחרות, תוך שהיא נפתחת במילים: "באפשרות זאת בעצם נמצאת בידייך היכולת למחוק לצמיתות את כל החומרים הנמצאים אצל חברי הצוות ולא לשמוע על הנושא הזה לעולם". </w:t>
      </w:r>
    </w:p>
    <w:p w14:paraId="66CD6471" w14:textId="0E186F73" w:rsidR="00FB2D20" w:rsidRDefault="00FB2D20"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לעצם הדרישה מן הנפגעת לבצע בעצמה מעשה אינוס נלווה הפירוט הנוסף במכתב, שנועד כאמור להעצים את תחושת הפחד והאיום שלה, ואף הוא מלמד </w:t>
      </w:r>
      <w:r w:rsidRPr="00E17BFA">
        <w:rPr>
          <w:rFonts w:cs="David" w:hint="cs"/>
          <w:sz w:val="28"/>
          <w:szCs w:val="28"/>
          <w:rtl/>
        </w:rPr>
        <w:t>על כוונותיו של המערער: ההזדהות כ</w:t>
      </w:r>
      <w:r>
        <w:rPr>
          <w:rFonts w:cs="David" w:hint="cs"/>
          <w:sz w:val="28"/>
          <w:szCs w:val="28"/>
          <w:rtl/>
        </w:rPr>
        <w:t>"</w:t>
      </w:r>
      <w:r w:rsidRPr="00E17BFA">
        <w:rPr>
          <w:rFonts w:cs="David" w:hint="cs"/>
          <w:sz w:val="28"/>
          <w:szCs w:val="28"/>
          <w:rtl/>
        </w:rPr>
        <w:t>צוות</w:t>
      </w:r>
      <w:r>
        <w:rPr>
          <w:rFonts w:cs="David" w:hint="cs"/>
          <w:sz w:val="28"/>
          <w:szCs w:val="28"/>
          <w:rtl/>
        </w:rPr>
        <w:t>",</w:t>
      </w:r>
      <w:r w:rsidRPr="00E17BFA">
        <w:rPr>
          <w:rFonts w:cs="David" w:hint="cs"/>
          <w:sz w:val="28"/>
          <w:szCs w:val="28"/>
          <w:rtl/>
        </w:rPr>
        <w:t xml:space="preserve"> </w:t>
      </w:r>
      <w:r>
        <w:rPr>
          <w:rFonts w:cs="David" w:hint="cs"/>
          <w:sz w:val="28"/>
          <w:szCs w:val="28"/>
          <w:rtl/>
        </w:rPr>
        <w:t>שנועדה לשקף כאילו קיימים מספר שותפים לעבירות</w:t>
      </w:r>
      <w:r w:rsidRPr="00E17BFA">
        <w:rPr>
          <w:rFonts w:cs="David" w:hint="cs"/>
          <w:sz w:val="28"/>
          <w:szCs w:val="28"/>
          <w:rtl/>
        </w:rPr>
        <w:t xml:space="preserve">; הפירוט על כך שיש בידי הצוות חומרים אינטימיים רבים, </w:t>
      </w:r>
      <w:r>
        <w:rPr>
          <w:rFonts w:cs="David" w:hint="cs"/>
          <w:sz w:val="28"/>
          <w:szCs w:val="28"/>
          <w:rtl/>
        </w:rPr>
        <w:t>אשר לא</w:t>
      </w:r>
      <w:r w:rsidRPr="00E17BFA">
        <w:rPr>
          <w:rFonts w:cs="David" w:hint="cs"/>
          <w:sz w:val="28"/>
          <w:szCs w:val="28"/>
          <w:rtl/>
        </w:rPr>
        <w:t xml:space="preserve"> </w:t>
      </w:r>
      <w:r>
        <w:rPr>
          <w:rFonts w:cs="David" w:hint="cs"/>
          <w:sz w:val="28"/>
          <w:szCs w:val="28"/>
          <w:rtl/>
        </w:rPr>
        <w:t>י</w:t>
      </w:r>
      <w:r w:rsidRPr="00E17BFA">
        <w:rPr>
          <w:rFonts w:cs="David" w:hint="cs"/>
          <w:sz w:val="28"/>
          <w:szCs w:val="28"/>
          <w:rtl/>
        </w:rPr>
        <w:t>הסס להשתמש בהם; האמירות על כך שהצוות ליווה את נפגעת העבירה במשך שנתיים תמימות</w:t>
      </w:r>
      <w:r>
        <w:rPr>
          <w:rFonts w:cs="David" w:hint="cs"/>
          <w:sz w:val="28"/>
          <w:szCs w:val="28"/>
          <w:rtl/>
        </w:rPr>
        <w:t>, לרבות בביתה</w:t>
      </w:r>
      <w:r w:rsidRPr="00E17BFA">
        <w:rPr>
          <w:rFonts w:cs="David" w:hint="cs"/>
          <w:sz w:val="28"/>
          <w:szCs w:val="28"/>
          <w:rtl/>
        </w:rPr>
        <w:t xml:space="preserve"> </w:t>
      </w:r>
      <w:r>
        <w:rPr>
          <w:rFonts w:cs="David" w:hint="cs"/>
          <w:sz w:val="28"/>
          <w:szCs w:val="28"/>
          <w:rtl/>
        </w:rPr>
        <w:t xml:space="preserve">וכמובן - הסרטון שצורף, לביסוס הדברים. </w:t>
      </w:r>
      <w:r w:rsidRPr="00E17BFA">
        <w:rPr>
          <w:rFonts w:cs="David" w:hint="cs"/>
          <w:sz w:val="28"/>
          <w:szCs w:val="28"/>
          <w:rtl/>
        </w:rPr>
        <w:t>כל אלה נועדו להמחיש לה את גודל הסכנה</w:t>
      </w:r>
      <w:r>
        <w:rPr>
          <w:rFonts w:cs="David" w:hint="cs"/>
          <w:sz w:val="28"/>
          <w:szCs w:val="28"/>
          <w:rtl/>
        </w:rPr>
        <w:t>,</w:t>
      </w:r>
      <w:r w:rsidRPr="00E17BFA">
        <w:rPr>
          <w:rFonts w:cs="David" w:hint="cs"/>
          <w:sz w:val="28"/>
          <w:szCs w:val="28"/>
          <w:rtl/>
        </w:rPr>
        <w:t xml:space="preserve"> באם התיעוד האמור יוותר בידיו של הצוות. </w:t>
      </w:r>
      <w:r>
        <w:rPr>
          <w:rFonts w:cs="David" w:hint="cs"/>
          <w:sz w:val="28"/>
          <w:szCs w:val="28"/>
          <w:rtl/>
        </w:rPr>
        <w:t xml:space="preserve">צירוף הדברים מוכיח, כנדרש בפלילים, את </w:t>
      </w:r>
      <w:r w:rsidRPr="00735280">
        <w:rPr>
          <w:rFonts w:cs="David" w:hint="cs"/>
          <w:b/>
          <w:bCs/>
          <w:sz w:val="28"/>
          <w:szCs w:val="28"/>
          <w:rtl/>
        </w:rPr>
        <w:t xml:space="preserve">מטרתו של המערער - </w:t>
      </w:r>
      <w:r>
        <w:rPr>
          <w:rFonts w:cs="David" w:hint="cs"/>
          <w:b/>
          <w:bCs/>
          <w:sz w:val="28"/>
          <w:szCs w:val="28"/>
          <w:rtl/>
        </w:rPr>
        <w:t xml:space="preserve">להטיל אימה על </w:t>
      </w:r>
      <w:r w:rsidRPr="00735280">
        <w:rPr>
          <w:rFonts w:cs="David" w:hint="cs"/>
          <w:b/>
          <w:bCs/>
          <w:sz w:val="28"/>
          <w:szCs w:val="28"/>
          <w:rtl/>
        </w:rPr>
        <w:t>נפגעת העבירה</w:t>
      </w:r>
      <w:r>
        <w:rPr>
          <w:rFonts w:cs="David" w:hint="cs"/>
          <w:b/>
          <w:bCs/>
          <w:sz w:val="28"/>
          <w:szCs w:val="28"/>
          <w:rtl/>
        </w:rPr>
        <w:t>,</w:t>
      </w:r>
      <w:r w:rsidRPr="00735280">
        <w:rPr>
          <w:rFonts w:cs="David" w:hint="cs"/>
          <w:b/>
          <w:bCs/>
          <w:sz w:val="28"/>
          <w:szCs w:val="28"/>
          <w:rtl/>
        </w:rPr>
        <w:t xml:space="preserve"> עד כדי כך שתצלם את עצמה כשהיא מבצעת מעשה אינוס בעצמה ותשלח את התיעוד למערער, </w:t>
      </w:r>
      <w:r>
        <w:rPr>
          <w:rFonts w:cs="David" w:hint="cs"/>
          <w:b/>
          <w:bCs/>
          <w:sz w:val="28"/>
          <w:szCs w:val="28"/>
          <w:rtl/>
        </w:rPr>
        <w:t>ותוכל להביא למחיקת התיעוד האינטימי ולמניעת הפצתו</w:t>
      </w:r>
      <w:r>
        <w:rPr>
          <w:rFonts w:cs="David" w:hint="cs"/>
          <w:sz w:val="28"/>
          <w:szCs w:val="28"/>
          <w:rtl/>
        </w:rPr>
        <w:t xml:space="preserve">. </w:t>
      </w:r>
    </w:p>
    <w:p w14:paraId="709325E1" w14:textId="27CF9B42" w:rsidR="00FB2D20" w:rsidRPr="00E17BFA" w:rsidRDefault="00FB2D20"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עולה מן המקובץ, כי</w:t>
      </w:r>
      <w:r w:rsidR="00EE3D55">
        <w:rPr>
          <w:rFonts w:cs="David" w:hint="cs"/>
          <w:sz w:val="28"/>
          <w:szCs w:val="28"/>
          <w:rtl/>
        </w:rPr>
        <w:t xml:space="preserve"> </w:t>
      </w:r>
      <w:r w:rsidRPr="00E17BFA">
        <w:rPr>
          <w:rFonts w:cs="David" w:hint="cs"/>
          <w:sz w:val="28"/>
          <w:szCs w:val="28"/>
          <w:rtl/>
        </w:rPr>
        <w:t xml:space="preserve">דין </w:t>
      </w:r>
      <w:r>
        <w:rPr>
          <w:rFonts w:cs="David" w:hint="cs"/>
          <w:sz w:val="28"/>
          <w:szCs w:val="28"/>
          <w:rtl/>
        </w:rPr>
        <w:t xml:space="preserve">כל </w:t>
      </w:r>
      <w:r w:rsidRPr="00E17BFA">
        <w:rPr>
          <w:rFonts w:cs="David" w:hint="cs"/>
          <w:sz w:val="28"/>
          <w:szCs w:val="28"/>
          <w:rtl/>
        </w:rPr>
        <w:t xml:space="preserve">טענותיה </w:t>
      </w:r>
      <w:r>
        <w:rPr>
          <w:rFonts w:cs="David" w:hint="cs"/>
          <w:sz w:val="28"/>
          <w:szCs w:val="28"/>
          <w:rtl/>
        </w:rPr>
        <w:t xml:space="preserve">המשפטיות </w:t>
      </w:r>
      <w:r w:rsidRPr="00E17BFA">
        <w:rPr>
          <w:rFonts w:cs="David" w:hint="cs"/>
          <w:sz w:val="28"/>
          <w:szCs w:val="28"/>
          <w:rtl/>
        </w:rPr>
        <w:t xml:space="preserve">של ההגנה להידחות, </w:t>
      </w:r>
      <w:r>
        <w:rPr>
          <w:rFonts w:cs="David" w:hint="cs"/>
          <w:sz w:val="28"/>
          <w:szCs w:val="28"/>
          <w:rtl/>
        </w:rPr>
        <w:t xml:space="preserve">וכי </w:t>
      </w:r>
      <w:r w:rsidRPr="00E17BFA">
        <w:rPr>
          <w:rFonts w:cs="David" w:hint="cs"/>
          <w:sz w:val="28"/>
          <w:szCs w:val="28"/>
          <w:rtl/>
        </w:rPr>
        <w:t>יש להותיר את ה</w:t>
      </w:r>
      <w:r>
        <w:rPr>
          <w:rFonts w:cs="David" w:hint="cs"/>
          <w:sz w:val="28"/>
          <w:szCs w:val="28"/>
          <w:rtl/>
        </w:rPr>
        <w:t xml:space="preserve">רשעתו של המערער </w:t>
      </w:r>
      <w:r w:rsidRPr="00E17BFA">
        <w:rPr>
          <w:rFonts w:cs="David" w:hint="cs"/>
          <w:sz w:val="28"/>
          <w:szCs w:val="28"/>
          <w:rtl/>
        </w:rPr>
        <w:t xml:space="preserve">בכלל העבירות </w:t>
      </w:r>
      <w:r>
        <w:rPr>
          <w:rFonts w:cs="David" w:hint="cs"/>
          <w:sz w:val="28"/>
          <w:szCs w:val="28"/>
          <w:rtl/>
        </w:rPr>
        <w:t>ש</w:t>
      </w:r>
      <w:r w:rsidRPr="00E17BFA">
        <w:rPr>
          <w:rFonts w:cs="David" w:hint="cs"/>
          <w:sz w:val="28"/>
          <w:szCs w:val="28"/>
          <w:rtl/>
        </w:rPr>
        <w:t xml:space="preserve">בהן הורשע </w:t>
      </w:r>
      <w:r>
        <w:rPr>
          <w:rFonts w:cs="David"/>
          <w:sz w:val="28"/>
          <w:szCs w:val="28"/>
          <w:rtl/>
        </w:rPr>
        <w:t>–</w:t>
      </w:r>
      <w:r>
        <w:rPr>
          <w:rFonts w:cs="David" w:hint="cs"/>
          <w:sz w:val="28"/>
          <w:szCs w:val="28"/>
          <w:rtl/>
        </w:rPr>
        <w:t xml:space="preserve"> על כנה. </w:t>
      </w:r>
    </w:p>
    <w:p w14:paraId="582118FB" w14:textId="77777777" w:rsidR="00B44DB6" w:rsidRDefault="00B44DB6" w:rsidP="00B44DB6">
      <w:pPr>
        <w:spacing w:line="360" w:lineRule="auto"/>
        <w:jc w:val="both"/>
        <w:outlineLvl w:val="0"/>
        <w:rPr>
          <w:rFonts w:cs="David"/>
          <w:sz w:val="28"/>
          <w:szCs w:val="28"/>
          <w:rtl/>
        </w:rPr>
      </w:pPr>
    </w:p>
    <w:p w14:paraId="08C832EC" w14:textId="77777777" w:rsidR="00B44DB6" w:rsidRPr="009A20ED" w:rsidRDefault="009A20ED" w:rsidP="00B44DB6">
      <w:pPr>
        <w:spacing w:line="360" w:lineRule="auto"/>
        <w:outlineLvl w:val="0"/>
        <w:rPr>
          <w:rFonts w:cs="David"/>
          <w:b/>
          <w:bCs/>
          <w:sz w:val="28"/>
          <w:szCs w:val="28"/>
          <w:u w:val="single"/>
          <w:rtl/>
        </w:rPr>
      </w:pPr>
      <w:r w:rsidRPr="009A20ED">
        <w:rPr>
          <w:rFonts w:cs="David" w:hint="cs"/>
          <w:b/>
          <w:bCs/>
          <w:sz w:val="28"/>
          <w:szCs w:val="28"/>
          <w:u w:val="single"/>
          <w:rtl/>
        </w:rPr>
        <w:t>הערעורים על העונש</w:t>
      </w:r>
    </w:p>
    <w:p w14:paraId="03564421" w14:textId="77777777" w:rsidR="00B44DB6" w:rsidRPr="00B44DB6" w:rsidRDefault="00B44DB6" w:rsidP="00B44DB6">
      <w:pPr>
        <w:spacing w:line="360" w:lineRule="auto"/>
        <w:outlineLvl w:val="0"/>
        <w:rPr>
          <w:rFonts w:cs="David"/>
          <w:sz w:val="28"/>
          <w:szCs w:val="28"/>
          <w:rtl/>
        </w:rPr>
      </w:pPr>
    </w:p>
    <w:p w14:paraId="1C452144" w14:textId="4A4F373D" w:rsidR="00B44DB6" w:rsidRPr="009E7CF6" w:rsidRDefault="00B44DB6" w:rsidP="009E7CF6">
      <w:pPr>
        <w:spacing w:line="360" w:lineRule="auto"/>
        <w:outlineLvl w:val="0"/>
        <w:rPr>
          <w:rFonts w:cs="David"/>
          <w:b/>
          <w:bCs/>
          <w:sz w:val="28"/>
          <w:szCs w:val="28"/>
          <w:rtl/>
        </w:rPr>
      </w:pPr>
      <w:r w:rsidRPr="0067506D">
        <w:rPr>
          <w:rFonts w:cs="David"/>
          <w:b/>
          <w:bCs/>
          <w:sz w:val="28"/>
          <w:szCs w:val="28"/>
          <w:rtl/>
        </w:rPr>
        <w:t xml:space="preserve">גזר הדין של בית הדין המחוזי </w:t>
      </w:r>
    </w:p>
    <w:p w14:paraId="2319DBC9" w14:textId="5C070D01" w:rsidR="00B44DB6" w:rsidRPr="00B44DB6" w:rsidRDefault="00B44DB6" w:rsidP="001A563F">
      <w:pPr>
        <w:numPr>
          <w:ilvl w:val="0"/>
          <w:numId w:val="5"/>
        </w:numPr>
        <w:tabs>
          <w:tab w:val="left" w:pos="282"/>
        </w:tabs>
        <w:spacing w:line="360" w:lineRule="auto"/>
        <w:ind w:left="-1" w:firstLine="0"/>
        <w:jc w:val="both"/>
        <w:rPr>
          <w:rFonts w:cs="David"/>
          <w:sz w:val="28"/>
          <w:szCs w:val="28"/>
          <w:rtl/>
        </w:rPr>
      </w:pPr>
      <w:r w:rsidRPr="00B44DB6">
        <w:rPr>
          <w:rFonts w:cs="David"/>
          <w:sz w:val="28"/>
          <w:szCs w:val="28"/>
          <w:rtl/>
        </w:rPr>
        <w:lastRenderedPageBreak/>
        <w:t xml:space="preserve">בגזר דינו עמד בית הדין </w:t>
      </w:r>
      <w:r w:rsidR="00A45699">
        <w:rPr>
          <w:rFonts w:cs="David" w:hint="cs"/>
          <w:sz w:val="28"/>
          <w:szCs w:val="28"/>
          <w:rtl/>
        </w:rPr>
        <w:t>קמא</w:t>
      </w:r>
      <w:r w:rsidRPr="00B44DB6">
        <w:rPr>
          <w:rFonts w:cs="David"/>
          <w:sz w:val="28"/>
          <w:szCs w:val="28"/>
          <w:rtl/>
        </w:rPr>
        <w:t xml:space="preserve"> על הפערים המשמעותיים בין עתירות הצדדים לעונש. התביעה עתרה </w:t>
      </w:r>
      <w:r w:rsidR="00AC68DE">
        <w:rPr>
          <w:rFonts w:cs="David" w:hint="cs"/>
          <w:sz w:val="28"/>
          <w:szCs w:val="28"/>
          <w:rtl/>
        </w:rPr>
        <w:t xml:space="preserve">לפני בית הדין </w:t>
      </w:r>
      <w:r w:rsidRPr="00B44DB6">
        <w:rPr>
          <w:rFonts w:cs="David"/>
          <w:sz w:val="28"/>
          <w:szCs w:val="28"/>
          <w:rtl/>
        </w:rPr>
        <w:t>לקב</w:t>
      </w:r>
      <w:r w:rsidR="00A45699">
        <w:rPr>
          <w:rFonts w:cs="David" w:hint="cs"/>
          <w:sz w:val="28"/>
          <w:szCs w:val="28"/>
          <w:rtl/>
        </w:rPr>
        <w:t>ו</w:t>
      </w:r>
      <w:r w:rsidRPr="00B44DB6">
        <w:rPr>
          <w:rFonts w:cs="David"/>
          <w:sz w:val="28"/>
          <w:szCs w:val="28"/>
          <w:rtl/>
        </w:rPr>
        <w:t xml:space="preserve">ע מתחם </w:t>
      </w:r>
      <w:r w:rsidR="00A45699">
        <w:rPr>
          <w:rFonts w:cs="David" w:hint="cs"/>
          <w:sz w:val="28"/>
          <w:szCs w:val="28"/>
          <w:rtl/>
        </w:rPr>
        <w:t xml:space="preserve">עונש הולם </w:t>
      </w:r>
      <w:r w:rsidRPr="00B44DB6">
        <w:rPr>
          <w:rFonts w:cs="David"/>
          <w:sz w:val="28"/>
          <w:szCs w:val="28"/>
          <w:rtl/>
        </w:rPr>
        <w:t xml:space="preserve">הנע בין שלוש לשש שנות מאסר </w:t>
      </w:r>
      <w:r w:rsidR="00A45699">
        <w:rPr>
          <w:rFonts w:cs="David" w:hint="cs"/>
          <w:sz w:val="28"/>
          <w:szCs w:val="28"/>
          <w:rtl/>
        </w:rPr>
        <w:t xml:space="preserve">בפועל </w:t>
      </w:r>
      <w:r w:rsidRPr="00B44DB6">
        <w:rPr>
          <w:rFonts w:cs="David"/>
          <w:sz w:val="28"/>
          <w:szCs w:val="28"/>
          <w:rtl/>
        </w:rPr>
        <w:t>ול</w:t>
      </w:r>
      <w:r w:rsidR="00A45699">
        <w:rPr>
          <w:rFonts w:cs="David" w:hint="cs"/>
          <w:sz w:val="28"/>
          <w:szCs w:val="28"/>
          <w:rtl/>
        </w:rPr>
        <w:t xml:space="preserve">מקם את </w:t>
      </w:r>
      <w:r w:rsidRPr="00B44DB6">
        <w:rPr>
          <w:rFonts w:cs="David"/>
          <w:sz w:val="28"/>
          <w:szCs w:val="28"/>
          <w:rtl/>
        </w:rPr>
        <w:t>עונשו של המערער</w:t>
      </w:r>
      <w:r w:rsidR="00812BF3">
        <w:rPr>
          <w:rFonts w:cs="David" w:hint="cs"/>
          <w:sz w:val="28"/>
          <w:szCs w:val="28"/>
          <w:rtl/>
        </w:rPr>
        <w:t>, "לכל הפחות"</w:t>
      </w:r>
      <w:r w:rsidRPr="00B44DB6">
        <w:rPr>
          <w:rFonts w:cs="David"/>
          <w:sz w:val="28"/>
          <w:szCs w:val="28"/>
          <w:rtl/>
        </w:rPr>
        <w:t xml:space="preserve"> באמצע המתחם</w:t>
      </w:r>
      <w:r w:rsidR="0084245F">
        <w:rPr>
          <w:rFonts w:cs="David" w:hint="cs"/>
          <w:sz w:val="28"/>
          <w:szCs w:val="28"/>
          <w:rtl/>
        </w:rPr>
        <w:t xml:space="preserve">, ואילו </w:t>
      </w:r>
      <w:r w:rsidRPr="00B44DB6">
        <w:rPr>
          <w:rFonts w:cs="David"/>
          <w:sz w:val="28"/>
          <w:szCs w:val="28"/>
          <w:rtl/>
        </w:rPr>
        <w:t xml:space="preserve">ההגנה </w:t>
      </w:r>
      <w:r w:rsidR="0084245F">
        <w:rPr>
          <w:rFonts w:cs="David" w:hint="cs"/>
          <w:sz w:val="28"/>
          <w:szCs w:val="28"/>
          <w:rtl/>
        </w:rPr>
        <w:t xml:space="preserve">עתרה </w:t>
      </w:r>
      <w:r w:rsidR="00A45699">
        <w:rPr>
          <w:rFonts w:cs="David" w:hint="cs"/>
          <w:sz w:val="28"/>
          <w:szCs w:val="28"/>
          <w:rtl/>
        </w:rPr>
        <w:t xml:space="preserve">להעמיד את </w:t>
      </w:r>
      <w:r w:rsidRPr="00B44DB6">
        <w:rPr>
          <w:rFonts w:cs="David"/>
          <w:sz w:val="28"/>
          <w:szCs w:val="28"/>
          <w:rtl/>
        </w:rPr>
        <w:t>ספו העליון של מתחם הע</w:t>
      </w:r>
      <w:r w:rsidR="00A45699">
        <w:rPr>
          <w:rFonts w:cs="David" w:hint="cs"/>
          <w:sz w:val="28"/>
          <w:szCs w:val="28"/>
          <w:rtl/>
        </w:rPr>
        <w:t xml:space="preserve">ונש ההולם </w:t>
      </w:r>
      <w:r w:rsidRPr="00B44DB6">
        <w:rPr>
          <w:rFonts w:cs="David"/>
          <w:sz w:val="28"/>
          <w:szCs w:val="28"/>
          <w:rtl/>
        </w:rPr>
        <w:t>על 18 חודשי</w:t>
      </w:r>
      <w:r w:rsidR="00A45699">
        <w:rPr>
          <w:rFonts w:cs="David" w:hint="cs"/>
          <w:sz w:val="28"/>
          <w:szCs w:val="28"/>
          <w:rtl/>
        </w:rPr>
        <w:t xml:space="preserve"> מאסר בפועל</w:t>
      </w:r>
      <w:r w:rsidRPr="00B44DB6">
        <w:rPr>
          <w:rFonts w:cs="David"/>
          <w:sz w:val="28"/>
          <w:szCs w:val="28"/>
          <w:rtl/>
        </w:rPr>
        <w:t xml:space="preserve">. </w:t>
      </w:r>
    </w:p>
    <w:p w14:paraId="32117CB2" w14:textId="07937EAF" w:rsidR="00B44DB6" w:rsidRPr="00B44DB6" w:rsidRDefault="00B44DB6" w:rsidP="001A563F">
      <w:pPr>
        <w:numPr>
          <w:ilvl w:val="0"/>
          <w:numId w:val="5"/>
        </w:numPr>
        <w:tabs>
          <w:tab w:val="left" w:pos="282"/>
        </w:tabs>
        <w:spacing w:line="360" w:lineRule="auto"/>
        <w:ind w:left="-1" w:firstLine="0"/>
        <w:jc w:val="both"/>
        <w:rPr>
          <w:rFonts w:cs="David"/>
          <w:sz w:val="28"/>
          <w:szCs w:val="28"/>
          <w:rtl/>
        </w:rPr>
      </w:pPr>
      <w:r w:rsidRPr="00B44DB6">
        <w:rPr>
          <w:rFonts w:cs="David"/>
          <w:sz w:val="28"/>
          <w:szCs w:val="28"/>
          <w:rtl/>
        </w:rPr>
        <w:t xml:space="preserve">בית הדין שקל את הראיות שהובאו </w:t>
      </w:r>
      <w:r w:rsidR="00A45699">
        <w:rPr>
          <w:rFonts w:cs="David" w:hint="cs"/>
          <w:sz w:val="28"/>
          <w:szCs w:val="28"/>
          <w:rtl/>
        </w:rPr>
        <w:t>ל</w:t>
      </w:r>
      <w:r w:rsidRPr="00B44DB6">
        <w:rPr>
          <w:rFonts w:cs="David"/>
          <w:sz w:val="28"/>
          <w:szCs w:val="28"/>
          <w:rtl/>
        </w:rPr>
        <w:t xml:space="preserve">פניו </w:t>
      </w:r>
      <w:r w:rsidR="00A45699">
        <w:rPr>
          <w:rFonts w:cs="David" w:hint="cs"/>
          <w:sz w:val="28"/>
          <w:szCs w:val="28"/>
          <w:rtl/>
        </w:rPr>
        <w:t xml:space="preserve">בשלב העונש </w:t>
      </w:r>
      <w:r w:rsidRPr="00B44DB6">
        <w:rPr>
          <w:rFonts w:cs="David"/>
          <w:sz w:val="28"/>
          <w:szCs w:val="28"/>
          <w:rtl/>
        </w:rPr>
        <w:t xml:space="preserve">מטעם הצדדים: מטעם התביעה נשמעה עדותו של אל"ם גוטמן, מפקד בסיס חיל הים </w:t>
      </w:r>
      <w:r w:rsidR="00A45699">
        <w:rPr>
          <w:rFonts w:cs="David" w:hint="cs"/>
          <w:sz w:val="28"/>
          <w:szCs w:val="28"/>
          <w:rtl/>
        </w:rPr>
        <w:t>ב</w:t>
      </w:r>
      <w:r w:rsidRPr="00B44DB6">
        <w:rPr>
          <w:rFonts w:cs="David"/>
          <w:sz w:val="28"/>
          <w:szCs w:val="28"/>
          <w:rtl/>
        </w:rPr>
        <w:t xml:space="preserve">אשדוד, אשר תיאר </w:t>
      </w:r>
      <w:r w:rsidR="00086437">
        <w:rPr>
          <w:rFonts w:cs="David" w:hint="cs"/>
          <w:sz w:val="28"/>
          <w:szCs w:val="28"/>
          <w:rtl/>
        </w:rPr>
        <w:t>את ה</w:t>
      </w:r>
      <w:r w:rsidRPr="00B44DB6">
        <w:rPr>
          <w:rFonts w:cs="David"/>
          <w:sz w:val="28"/>
          <w:szCs w:val="28"/>
          <w:rtl/>
        </w:rPr>
        <w:t xml:space="preserve">משבר </w:t>
      </w:r>
      <w:r w:rsidR="00086437">
        <w:rPr>
          <w:rFonts w:cs="David" w:hint="cs"/>
          <w:sz w:val="28"/>
          <w:szCs w:val="28"/>
          <w:rtl/>
        </w:rPr>
        <w:t>ה</w:t>
      </w:r>
      <w:r w:rsidRPr="00B44DB6">
        <w:rPr>
          <w:rFonts w:cs="David"/>
          <w:sz w:val="28"/>
          <w:szCs w:val="28"/>
          <w:rtl/>
        </w:rPr>
        <w:t xml:space="preserve">משמעותי </w:t>
      </w:r>
      <w:r w:rsidR="00086437">
        <w:rPr>
          <w:rFonts w:cs="David" w:hint="cs"/>
          <w:sz w:val="28"/>
          <w:szCs w:val="28"/>
          <w:rtl/>
        </w:rPr>
        <w:t xml:space="preserve">שיצר האירוע </w:t>
      </w:r>
      <w:r w:rsidRPr="00B44DB6">
        <w:rPr>
          <w:rFonts w:cs="David"/>
          <w:sz w:val="28"/>
          <w:szCs w:val="28"/>
          <w:rtl/>
        </w:rPr>
        <w:t xml:space="preserve">בקרב חיילי הבסיס, </w:t>
      </w:r>
      <w:r w:rsidR="00086437">
        <w:rPr>
          <w:rFonts w:cs="David" w:hint="cs"/>
          <w:sz w:val="28"/>
          <w:szCs w:val="28"/>
          <w:rtl/>
        </w:rPr>
        <w:t xml:space="preserve">ואת </w:t>
      </w:r>
      <w:r w:rsidRPr="00B44DB6">
        <w:rPr>
          <w:rFonts w:cs="David"/>
          <w:sz w:val="28"/>
          <w:szCs w:val="28"/>
          <w:rtl/>
        </w:rPr>
        <w:t xml:space="preserve">הקצאת </w:t>
      </w:r>
      <w:r w:rsidR="00086437">
        <w:rPr>
          <w:rFonts w:cs="David" w:hint="cs"/>
          <w:sz w:val="28"/>
          <w:szCs w:val="28"/>
          <w:rtl/>
        </w:rPr>
        <w:t>ה</w:t>
      </w:r>
      <w:r w:rsidRPr="00B44DB6">
        <w:rPr>
          <w:rFonts w:cs="David"/>
          <w:sz w:val="28"/>
          <w:szCs w:val="28"/>
          <w:rtl/>
        </w:rPr>
        <w:t xml:space="preserve">משאבים </w:t>
      </w:r>
      <w:r w:rsidR="00086437">
        <w:rPr>
          <w:rFonts w:cs="David" w:hint="cs"/>
          <w:sz w:val="28"/>
          <w:szCs w:val="28"/>
          <w:rtl/>
        </w:rPr>
        <w:t xml:space="preserve">הניכרת </w:t>
      </w:r>
      <w:r w:rsidR="00A45699">
        <w:rPr>
          <w:rFonts w:cs="David" w:hint="cs"/>
          <w:sz w:val="28"/>
          <w:szCs w:val="28"/>
          <w:rtl/>
        </w:rPr>
        <w:t xml:space="preserve">לטיפול בו. משאבים אלה </w:t>
      </w:r>
      <w:r w:rsidRPr="00B44DB6">
        <w:rPr>
          <w:rFonts w:cs="David"/>
          <w:sz w:val="28"/>
          <w:szCs w:val="28"/>
          <w:rtl/>
        </w:rPr>
        <w:t xml:space="preserve">הוסטו </w:t>
      </w:r>
      <w:r w:rsidR="00086437">
        <w:rPr>
          <w:rFonts w:cs="David" w:hint="cs"/>
          <w:sz w:val="28"/>
          <w:szCs w:val="28"/>
          <w:rtl/>
        </w:rPr>
        <w:t xml:space="preserve">לטובת העניין </w:t>
      </w:r>
      <w:r w:rsidR="00A45699">
        <w:rPr>
          <w:rFonts w:cs="David" w:hint="cs"/>
          <w:sz w:val="28"/>
          <w:szCs w:val="28"/>
          <w:rtl/>
        </w:rPr>
        <w:t>"</w:t>
      </w:r>
      <w:r w:rsidRPr="00B44DB6">
        <w:rPr>
          <w:rFonts w:cs="David"/>
          <w:sz w:val="28"/>
          <w:szCs w:val="28"/>
          <w:rtl/>
        </w:rPr>
        <w:t>מהציר המבצעי</w:t>
      </w:r>
      <w:r w:rsidR="00A45699">
        <w:rPr>
          <w:rFonts w:cs="David" w:hint="cs"/>
          <w:sz w:val="28"/>
          <w:szCs w:val="28"/>
          <w:rtl/>
        </w:rPr>
        <w:t>"</w:t>
      </w:r>
      <w:r w:rsidRPr="00B44DB6">
        <w:rPr>
          <w:rFonts w:cs="David"/>
          <w:sz w:val="28"/>
          <w:szCs w:val="28"/>
          <w:rtl/>
        </w:rPr>
        <w:t xml:space="preserve">. המפקדים נדרשו להתמודד עם תחושות </w:t>
      </w:r>
      <w:r w:rsidR="00A45699">
        <w:rPr>
          <w:rFonts w:cs="David" w:hint="cs"/>
          <w:sz w:val="28"/>
          <w:szCs w:val="28"/>
          <w:rtl/>
        </w:rPr>
        <w:t xml:space="preserve">של </w:t>
      </w:r>
      <w:r w:rsidRPr="00B44DB6">
        <w:rPr>
          <w:rFonts w:cs="David"/>
          <w:sz w:val="28"/>
          <w:szCs w:val="28"/>
          <w:rtl/>
        </w:rPr>
        <w:t xml:space="preserve">אי אמון וחוסר ביטחון </w:t>
      </w:r>
      <w:r w:rsidR="00A45699">
        <w:rPr>
          <w:rFonts w:cs="David" w:hint="cs"/>
          <w:sz w:val="28"/>
          <w:szCs w:val="28"/>
          <w:rtl/>
        </w:rPr>
        <w:t xml:space="preserve">מצד החיילות </w:t>
      </w:r>
      <w:r w:rsidRPr="00B44DB6">
        <w:rPr>
          <w:rFonts w:cs="David"/>
          <w:sz w:val="28"/>
          <w:szCs w:val="28"/>
          <w:rtl/>
        </w:rPr>
        <w:t>ביחידה ועם החשש שמא יש</w:t>
      </w:r>
      <w:r w:rsidR="00A45699">
        <w:rPr>
          <w:rFonts w:cs="David" w:hint="cs"/>
          <w:sz w:val="28"/>
          <w:szCs w:val="28"/>
          <w:rtl/>
        </w:rPr>
        <w:t>נם</w:t>
      </w:r>
      <w:r w:rsidRPr="00B44DB6">
        <w:rPr>
          <w:rFonts w:cs="David"/>
          <w:sz w:val="28"/>
          <w:szCs w:val="28"/>
          <w:rtl/>
        </w:rPr>
        <w:t xml:space="preserve"> מעורבים נוספים, </w:t>
      </w:r>
      <w:r w:rsidR="00A45699">
        <w:rPr>
          <w:rFonts w:cs="David" w:hint="cs"/>
          <w:sz w:val="28"/>
          <w:szCs w:val="28"/>
          <w:rtl/>
        </w:rPr>
        <w:t xml:space="preserve">שטרם אותרו, </w:t>
      </w:r>
      <w:r w:rsidRPr="00B44DB6">
        <w:rPr>
          <w:rFonts w:cs="David"/>
          <w:sz w:val="28"/>
          <w:szCs w:val="28"/>
          <w:rtl/>
        </w:rPr>
        <w:t xml:space="preserve">וסרטונים </w:t>
      </w:r>
      <w:r w:rsidR="00086437">
        <w:rPr>
          <w:rFonts w:cs="David" w:hint="cs"/>
          <w:sz w:val="28"/>
          <w:szCs w:val="28"/>
          <w:rtl/>
        </w:rPr>
        <w:t>אחרים</w:t>
      </w:r>
      <w:r w:rsidR="00A45699">
        <w:rPr>
          <w:rFonts w:cs="David" w:hint="cs"/>
          <w:sz w:val="28"/>
          <w:szCs w:val="28"/>
          <w:rtl/>
        </w:rPr>
        <w:t xml:space="preserve">, </w:t>
      </w:r>
      <w:r w:rsidRPr="00B44DB6">
        <w:rPr>
          <w:rFonts w:cs="David"/>
          <w:sz w:val="28"/>
          <w:szCs w:val="28"/>
          <w:rtl/>
        </w:rPr>
        <w:t>המתעדים חיילות מהיחידה בנסיבות אינטימיות</w:t>
      </w:r>
      <w:r w:rsidR="00A45699">
        <w:rPr>
          <w:rFonts w:cs="David" w:hint="cs"/>
          <w:sz w:val="28"/>
          <w:szCs w:val="28"/>
          <w:rtl/>
        </w:rPr>
        <w:t>, שטרם נתפסו</w:t>
      </w:r>
      <w:r w:rsidRPr="00B44DB6">
        <w:rPr>
          <w:rFonts w:cs="David"/>
          <w:sz w:val="28"/>
          <w:szCs w:val="28"/>
          <w:rtl/>
        </w:rPr>
        <w:t xml:space="preserve">. </w:t>
      </w:r>
    </w:p>
    <w:p w14:paraId="63E987DD" w14:textId="77777777" w:rsidR="00B44DB6" w:rsidRPr="00B44DB6" w:rsidRDefault="00B44DB6" w:rsidP="001A563F">
      <w:pPr>
        <w:spacing w:line="360" w:lineRule="auto"/>
        <w:jc w:val="both"/>
        <w:outlineLvl w:val="0"/>
        <w:rPr>
          <w:rFonts w:cs="David"/>
          <w:sz w:val="28"/>
          <w:szCs w:val="28"/>
          <w:rtl/>
        </w:rPr>
      </w:pPr>
      <w:r w:rsidRPr="00B44DB6">
        <w:rPr>
          <w:rFonts w:cs="David"/>
          <w:sz w:val="28"/>
          <w:szCs w:val="28"/>
          <w:rtl/>
        </w:rPr>
        <w:t>עוד הובא בפני בית הדין תצהיר</w:t>
      </w:r>
      <w:r w:rsidR="00A45699">
        <w:rPr>
          <w:rFonts w:cs="David" w:hint="cs"/>
          <w:sz w:val="28"/>
          <w:szCs w:val="28"/>
          <w:rtl/>
        </w:rPr>
        <w:t>ה</w:t>
      </w:r>
      <w:r w:rsidRPr="00B44DB6">
        <w:rPr>
          <w:rFonts w:cs="David"/>
          <w:sz w:val="28"/>
          <w:szCs w:val="28"/>
          <w:rtl/>
        </w:rPr>
        <w:t xml:space="preserve"> </w:t>
      </w:r>
      <w:r w:rsidR="00A45699">
        <w:rPr>
          <w:rFonts w:cs="David" w:hint="cs"/>
          <w:sz w:val="28"/>
          <w:szCs w:val="28"/>
          <w:rtl/>
        </w:rPr>
        <w:t xml:space="preserve">של </w:t>
      </w:r>
      <w:r w:rsidRPr="00B44DB6">
        <w:rPr>
          <w:rFonts w:cs="David"/>
          <w:sz w:val="28"/>
          <w:szCs w:val="28"/>
          <w:rtl/>
        </w:rPr>
        <w:t xml:space="preserve">נפגעת העבירה, </w:t>
      </w:r>
      <w:r w:rsidR="00A45699">
        <w:rPr>
          <w:rFonts w:cs="David" w:hint="cs"/>
          <w:sz w:val="28"/>
          <w:szCs w:val="28"/>
          <w:rtl/>
        </w:rPr>
        <w:t>ש</w:t>
      </w:r>
      <w:r w:rsidRPr="00B44DB6">
        <w:rPr>
          <w:rFonts w:cs="David"/>
          <w:sz w:val="28"/>
          <w:szCs w:val="28"/>
          <w:rtl/>
        </w:rPr>
        <w:t>בו תאר</w:t>
      </w:r>
      <w:r w:rsidR="00A45699">
        <w:rPr>
          <w:rFonts w:cs="David" w:hint="cs"/>
          <w:sz w:val="28"/>
          <w:szCs w:val="28"/>
          <w:rtl/>
        </w:rPr>
        <w:t>ה</w:t>
      </w:r>
      <w:r w:rsidRPr="00B44DB6">
        <w:rPr>
          <w:rFonts w:cs="David"/>
          <w:sz w:val="28"/>
          <w:szCs w:val="28"/>
          <w:rtl/>
        </w:rPr>
        <w:t xml:space="preserve"> </w:t>
      </w:r>
      <w:r w:rsidR="00A45699">
        <w:rPr>
          <w:rFonts w:cs="David" w:hint="cs"/>
          <w:sz w:val="28"/>
          <w:szCs w:val="28"/>
          <w:rtl/>
        </w:rPr>
        <w:t>את המשבר ו</w:t>
      </w:r>
      <w:r w:rsidRPr="00B44DB6">
        <w:rPr>
          <w:rFonts w:cs="David"/>
          <w:sz w:val="28"/>
          <w:szCs w:val="28"/>
          <w:rtl/>
        </w:rPr>
        <w:t xml:space="preserve">השינויים </w:t>
      </w:r>
      <w:r w:rsidR="00A45699">
        <w:rPr>
          <w:rFonts w:cs="David" w:hint="cs"/>
          <w:sz w:val="28"/>
          <w:szCs w:val="28"/>
          <w:rtl/>
        </w:rPr>
        <w:t xml:space="preserve">בחייה בעקבות מעשיו של המערער. </w:t>
      </w:r>
      <w:r w:rsidR="00086437">
        <w:rPr>
          <w:rFonts w:cs="David" w:hint="cs"/>
          <w:sz w:val="28"/>
          <w:szCs w:val="28"/>
          <w:rtl/>
        </w:rPr>
        <w:t>ה</w:t>
      </w:r>
      <w:r w:rsidR="00A45699">
        <w:rPr>
          <w:rFonts w:cs="David" w:hint="cs"/>
          <w:sz w:val="28"/>
          <w:szCs w:val="28"/>
          <w:rtl/>
        </w:rPr>
        <w:t>נפגע</w:t>
      </w:r>
      <w:r w:rsidR="002657B1">
        <w:rPr>
          <w:rFonts w:cs="David" w:hint="cs"/>
          <w:sz w:val="28"/>
          <w:szCs w:val="28"/>
          <w:rtl/>
        </w:rPr>
        <w:t>ת</w:t>
      </w:r>
      <w:r w:rsidR="00A45699">
        <w:rPr>
          <w:rFonts w:cs="David" w:hint="cs"/>
          <w:sz w:val="28"/>
          <w:szCs w:val="28"/>
          <w:rtl/>
        </w:rPr>
        <w:t xml:space="preserve"> ציינה כי </w:t>
      </w:r>
      <w:r w:rsidR="002657B1">
        <w:rPr>
          <w:rFonts w:cs="David" w:hint="cs"/>
          <w:sz w:val="28"/>
          <w:szCs w:val="28"/>
          <w:rtl/>
        </w:rPr>
        <w:t xml:space="preserve">הפכה </w:t>
      </w:r>
      <w:r w:rsidRPr="00B44DB6">
        <w:rPr>
          <w:rFonts w:cs="David"/>
          <w:sz w:val="28"/>
          <w:szCs w:val="28"/>
          <w:rtl/>
        </w:rPr>
        <w:t>מאדם יציב</w:t>
      </w:r>
      <w:r w:rsidR="00A45699">
        <w:rPr>
          <w:rFonts w:cs="David" w:hint="cs"/>
          <w:sz w:val="28"/>
          <w:szCs w:val="28"/>
          <w:rtl/>
        </w:rPr>
        <w:t>,</w:t>
      </w:r>
      <w:r w:rsidRPr="00B44DB6">
        <w:rPr>
          <w:rFonts w:cs="David"/>
          <w:sz w:val="28"/>
          <w:szCs w:val="28"/>
          <w:rtl/>
        </w:rPr>
        <w:t xml:space="preserve"> בעל ביטחון עצמי</w:t>
      </w:r>
      <w:r w:rsidR="00A45699">
        <w:rPr>
          <w:rFonts w:cs="David" w:hint="cs"/>
          <w:sz w:val="28"/>
          <w:szCs w:val="28"/>
          <w:rtl/>
        </w:rPr>
        <w:t>,</w:t>
      </w:r>
      <w:r w:rsidRPr="00B44DB6">
        <w:rPr>
          <w:rFonts w:cs="David"/>
          <w:sz w:val="28"/>
          <w:szCs w:val="28"/>
          <w:rtl/>
        </w:rPr>
        <w:t xml:space="preserve"> לחשדנית ו</w:t>
      </w:r>
      <w:r w:rsidR="00A45699">
        <w:rPr>
          <w:rFonts w:cs="David" w:hint="cs"/>
          <w:sz w:val="28"/>
          <w:szCs w:val="28"/>
          <w:rtl/>
        </w:rPr>
        <w:t xml:space="preserve">מלאת </w:t>
      </w:r>
      <w:r w:rsidRPr="00B44DB6">
        <w:rPr>
          <w:rFonts w:cs="David"/>
          <w:sz w:val="28"/>
          <w:szCs w:val="28"/>
          <w:rtl/>
        </w:rPr>
        <w:t>פחדים</w:t>
      </w:r>
      <w:r w:rsidR="00A45699">
        <w:rPr>
          <w:rFonts w:cs="David" w:hint="cs"/>
          <w:sz w:val="28"/>
          <w:szCs w:val="28"/>
          <w:rtl/>
        </w:rPr>
        <w:t xml:space="preserve">. </w:t>
      </w:r>
      <w:r w:rsidRPr="00B44DB6">
        <w:rPr>
          <w:rFonts w:cs="David"/>
          <w:sz w:val="28"/>
          <w:szCs w:val="28"/>
          <w:rtl/>
        </w:rPr>
        <w:t xml:space="preserve">היא </w:t>
      </w:r>
      <w:r w:rsidR="00A45699">
        <w:rPr>
          <w:rFonts w:cs="David" w:hint="cs"/>
          <w:sz w:val="28"/>
          <w:szCs w:val="28"/>
          <w:rtl/>
        </w:rPr>
        <w:t>פ</w:t>
      </w:r>
      <w:r w:rsidR="00086437">
        <w:rPr>
          <w:rFonts w:cs="David" w:hint="cs"/>
          <w:sz w:val="28"/>
          <w:szCs w:val="28"/>
          <w:rtl/>
        </w:rPr>
        <w:t>י</w:t>
      </w:r>
      <w:r w:rsidR="00A45699">
        <w:rPr>
          <w:rFonts w:cs="David" w:hint="cs"/>
          <w:sz w:val="28"/>
          <w:szCs w:val="28"/>
          <w:rtl/>
        </w:rPr>
        <w:t xml:space="preserve">רטה על </w:t>
      </w:r>
      <w:r w:rsidRPr="00B44DB6">
        <w:rPr>
          <w:rFonts w:cs="David"/>
          <w:sz w:val="28"/>
          <w:szCs w:val="28"/>
          <w:rtl/>
        </w:rPr>
        <w:t xml:space="preserve">סיוטים </w:t>
      </w:r>
      <w:r w:rsidR="00A45699">
        <w:rPr>
          <w:rFonts w:cs="David" w:hint="cs"/>
          <w:sz w:val="28"/>
          <w:szCs w:val="28"/>
          <w:rtl/>
        </w:rPr>
        <w:t xml:space="preserve">שהיא חווה </w:t>
      </w:r>
      <w:r w:rsidRPr="00B44DB6">
        <w:rPr>
          <w:rFonts w:cs="David"/>
          <w:sz w:val="28"/>
          <w:szCs w:val="28"/>
          <w:rtl/>
        </w:rPr>
        <w:t>בלילות ו</w:t>
      </w:r>
      <w:r w:rsidR="00A45699">
        <w:rPr>
          <w:rFonts w:cs="David" w:hint="cs"/>
          <w:sz w:val="28"/>
          <w:szCs w:val="28"/>
          <w:rtl/>
        </w:rPr>
        <w:t xml:space="preserve">על הסיוע שהוריה נדרשו להושיט לה לאורך כל התקופה. </w:t>
      </w:r>
      <w:r w:rsidRPr="00B44DB6">
        <w:rPr>
          <w:rFonts w:cs="David"/>
          <w:sz w:val="28"/>
          <w:szCs w:val="28"/>
          <w:rtl/>
        </w:rPr>
        <w:t xml:space="preserve">הקשר עם חבריה לשירות הצבאי הושפע אף הוא </w:t>
      </w:r>
      <w:r w:rsidR="00A45699">
        <w:rPr>
          <w:rFonts w:cs="David" w:hint="cs"/>
          <w:sz w:val="28"/>
          <w:szCs w:val="28"/>
          <w:rtl/>
        </w:rPr>
        <w:t xml:space="preserve">מן המקרה, </w:t>
      </w:r>
      <w:r w:rsidRPr="00B44DB6">
        <w:rPr>
          <w:rFonts w:cs="David"/>
          <w:sz w:val="28"/>
          <w:szCs w:val="28"/>
          <w:rtl/>
        </w:rPr>
        <w:t>ו</w:t>
      </w:r>
      <w:r w:rsidR="00A45699">
        <w:rPr>
          <w:rFonts w:cs="David" w:hint="cs"/>
          <w:sz w:val="28"/>
          <w:szCs w:val="28"/>
          <w:rtl/>
        </w:rPr>
        <w:t xml:space="preserve">היא אינה יכולה להפסיק לחשוש, </w:t>
      </w:r>
      <w:r w:rsidRPr="00B44DB6">
        <w:rPr>
          <w:rFonts w:cs="David"/>
          <w:sz w:val="28"/>
          <w:szCs w:val="28"/>
          <w:rtl/>
        </w:rPr>
        <w:t xml:space="preserve">שמא המערער </w:t>
      </w:r>
      <w:r w:rsidR="00086437">
        <w:rPr>
          <w:rFonts w:cs="David" w:hint="cs"/>
          <w:sz w:val="28"/>
          <w:szCs w:val="28"/>
          <w:rtl/>
        </w:rPr>
        <w:t xml:space="preserve">היה </w:t>
      </w:r>
      <w:r w:rsidRPr="00B44DB6">
        <w:rPr>
          <w:rFonts w:cs="David"/>
          <w:sz w:val="28"/>
          <w:szCs w:val="28"/>
          <w:rtl/>
        </w:rPr>
        <w:t xml:space="preserve">בכל זאת חלק מ"צוות", </w:t>
      </w:r>
      <w:r w:rsidR="00A45699">
        <w:rPr>
          <w:rFonts w:cs="David" w:hint="cs"/>
          <w:sz w:val="28"/>
          <w:szCs w:val="28"/>
          <w:rtl/>
        </w:rPr>
        <w:t xml:space="preserve">ושמא נותרו ברשותו </w:t>
      </w:r>
      <w:r w:rsidRPr="00B44DB6">
        <w:rPr>
          <w:rFonts w:cs="David"/>
          <w:sz w:val="28"/>
          <w:szCs w:val="28"/>
          <w:rtl/>
        </w:rPr>
        <w:t>סרטונים נוספים שבהם</w:t>
      </w:r>
      <w:r w:rsidR="00A45699">
        <w:rPr>
          <w:rFonts w:cs="David" w:hint="cs"/>
          <w:sz w:val="28"/>
          <w:szCs w:val="28"/>
          <w:rtl/>
        </w:rPr>
        <w:t xml:space="preserve"> היא מתועדת, </w:t>
      </w:r>
      <w:r w:rsidR="00086437">
        <w:rPr>
          <w:rFonts w:cs="David" w:hint="cs"/>
          <w:sz w:val="28"/>
          <w:szCs w:val="28"/>
          <w:rtl/>
        </w:rPr>
        <w:t xml:space="preserve">ובהם </w:t>
      </w:r>
      <w:r w:rsidR="00A45699">
        <w:rPr>
          <w:rFonts w:cs="David" w:hint="cs"/>
          <w:sz w:val="28"/>
          <w:szCs w:val="28"/>
          <w:rtl/>
        </w:rPr>
        <w:t xml:space="preserve">יוכל לעשות בהם </w:t>
      </w:r>
      <w:r w:rsidRPr="00B44DB6">
        <w:rPr>
          <w:rFonts w:cs="David"/>
          <w:sz w:val="28"/>
          <w:szCs w:val="28"/>
          <w:rtl/>
        </w:rPr>
        <w:t xml:space="preserve">שימוש לאחר שחרורו מהכלא, </w:t>
      </w:r>
      <w:r w:rsidR="002657B1">
        <w:rPr>
          <w:rFonts w:cs="David" w:hint="cs"/>
          <w:sz w:val="28"/>
          <w:szCs w:val="28"/>
          <w:rtl/>
        </w:rPr>
        <w:t>ולשוב ולאיים עליה</w:t>
      </w:r>
      <w:r w:rsidRPr="00B44DB6">
        <w:rPr>
          <w:rFonts w:cs="David"/>
          <w:sz w:val="28"/>
          <w:szCs w:val="28"/>
          <w:rtl/>
        </w:rPr>
        <w:t xml:space="preserve">. </w:t>
      </w:r>
    </w:p>
    <w:p w14:paraId="110E02E7" w14:textId="77777777" w:rsidR="00B44DB6" w:rsidRPr="00B44DB6" w:rsidRDefault="00B44DB6" w:rsidP="001A563F">
      <w:pPr>
        <w:spacing w:line="360" w:lineRule="auto"/>
        <w:jc w:val="both"/>
        <w:outlineLvl w:val="0"/>
        <w:rPr>
          <w:rFonts w:cs="David"/>
          <w:sz w:val="28"/>
          <w:szCs w:val="28"/>
          <w:rtl/>
        </w:rPr>
      </w:pPr>
      <w:r w:rsidRPr="00B44DB6">
        <w:rPr>
          <w:rFonts w:cs="David"/>
          <w:sz w:val="28"/>
          <w:szCs w:val="28"/>
          <w:rtl/>
        </w:rPr>
        <w:t xml:space="preserve">אף אביה של נפגעת העבירה העיד בפני בית הדין ותיאר את </w:t>
      </w:r>
      <w:r w:rsidR="005C6D0C">
        <w:rPr>
          <w:rFonts w:cs="David" w:hint="cs"/>
          <w:sz w:val="28"/>
          <w:szCs w:val="28"/>
          <w:rtl/>
        </w:rPr>
        <w:t>השבר ב</w:t>
      </w:r>
      <w:r w:rsidRPr="00B44DB6">
        <w:rPr>
          <w:rFonts w:cs="David"/>
          <w:sz w:val="28"/>
          <w:szCs w:val="28"/>
          <w:rtl/>
        </w:rPr>
        <w:t xml:space="preserve">חיי המשפחה </w:t>
      </w:r>
      <w:r w:rsidR="00086437">
        <w:rPr>
          <w:rFonts w:cs="David" w:hint="cs"/>
          <w:sz w:val="28"/>
          <w:szCs w:val="28"/>
          <w:rtl/>
        </w:rPr>
        <w:t xml:space="preserve">בעקבות </w:t>
      </w:r>
      <w:r w:rsidRPr="00B44DB6">
        <w:rPr>
          <w:rFonts w:cs="David"/>
          <w:sz w:val="28"/>
          <w:szCs w:val="28"/>
          <w:rtl/>
        </w:rPr>
        <w:t>האירוע</w:t>
      </w:r>
      <w:r w:rsidR="00086437">
        <w:rPr>
          <w:rFonts w:cs="David" w:hint="cs"/>
          <w:sz w:val="28"/>
          <w:szCs w:val="28"/>
          <w:rtl/>
        </w:rPr>
        <w:t>,</w:t>
      </w:r>
      <w:r w:rsidRPr="00B44DB6">
        <w:rPr>
          <w:rFonts w:cs="David"/>
          <w:sz w:val="28"/>
          <w:szCs w:val="28"/>
          <w:rtl/>
        </w:rPr>
        <w:t xml:space="preserve"> ו</w:t>
      </w:r>
      <w:r w:rsidR="00086437">
        <w:rPr>
          <w:rFonts w:cs="David" w:hint="cs"/>
          <w:sz w:val="28"/>
          <w:szCs w:val="28"/>
          <w:rtl/>
        </w:rPr>
        <w:t xml:space="preserve">את </w:t>
      </w:r>
      <w:r w:rsidRPr="00B44DB6">
        <w:rPr>
          <w:rFonts w:cs="David"/>
          <w:sz w:val="28"/>
          <w:szCs w:val="28"/>
          <w:rtl/>
        </w:rPr>
        <w:t>הקשי</w:t>
      </w:r>
      <w:r w:rsidR="002657B1">
        <w:rPr>
          <w:rFonts w:cs="David" w:hint="cs"/>
          <w:sz w:val="28"/>
          <w:szCs w:val="28"/>
          <w:rtl/>
        </w:rPr>
        <w:t>ים</w:t>
      </w:r>
      <w:r w:rsidRPr="00B44DB6">
        <w:rPr>
          <w:rFonts w:cs="David"/>
          <w:sz w:val="28"/>
          <w:szCs w:val="28"/>
          <w:rtl/>
        </w:rPr>
        <w:t xml:space="preserve"> שחוותה </w:t>
      </w:r>
      <w:r w:rsidR="00086437">
        <w:rPr>
          <w:rFonts w:cs="David" w:hint="cs"/>
          <w:sz w:val="28"/>
          <w:szCs w:val="28"/>
          <w:rtl/>
        </w:rPr>
        <w:t xml:space="preserve">בתו </w:t>
      </w:r>
      <w:r w:rsidRPr="00B44DB6">
        <w:rPr>
          <w:rFonts w:cs="David"/>
          <w:sz w:val="28"/>
          <w:szCs w:val="28"/>
          <w:rtl/>
        </w:rPr>
        <w:t xml:space="preserve">לאורך המשפט כולו, באופן </w:t>
      </w:r>
      <w:r w:rsidR="002657B1">
        <w:rPr>
          <w:rFonts w:cs="David" w:hint="cs"/>
          <w:sz w:val="28"/>
          <w:szCs w:val="28"/>
          <w:rtl/>
        </w:rPr>
        <w:t>ש</w:t>
      </w:r>
      <w:r w:rsidRPr="00B44DB6">
        <w:rPr>
          <w:rFonts w:cs="David"/>
          <w:sz w:val="28"/>
          <w:szCs w:val="28"/>
          <w:rtl/>
        </w:rPr>
        <w:t>השליך על התנהלותה היומיומית ו</w:t>
      </w:r>
      <w:r w:rsidR="002657B1">
        <w:rPr>
          <w:rFonts w:cs="David" w:hint="cs"/>
          <w:sz w:val="28"/>
          <w:szCs w:val="28"/>
          <w:rtl/>
        </w:rPr>
        <w:t>ה</w:t>
      </w:r>
      <w:r w:rsidRPr="00B44DB6">
        <w:rPr>
          <w:rFonts w:cs="David"/>
          <w:sz w:val="28"/>
          <w:szCs w:val="28"/>
          <w:rtl/>
        </w:rPr>
        <w:t xml:space="preserve">שפיע על המשפחה כולה. </w:t>
      </w:r>
    </w:p>
    <w:p w14:paraId="619214AF" w14:textId="406FBEBD" w:rsidR="00B44DB6" w:rsidRPr="00B44DB6" w:rsidRDefault="00B44DB6" w:rsidP="001A563F">
      <w:pPr>
        <w:numPr>
          <w:ilvl w:val="0"/>
          <w:numId w:val="5"/>
        </w:numPr>
        <w:tabs>
          <w:tab w:val="left" w:pos="282"/>
        </w:tabs>
        <w:spacing w:line="360" w:lineRule="auto"/>
        <w:ind w:left="-1" w:firstLine="0"/>
        <w:jc w:val="both"/>
        <w:rPr>
          <w:rFonts w:cs="David"/>
          <w:sz w:val="28"/>
          <w:szCs w:val="28"/>
          <w:rtl/>
        </w:rPr>
      </w:pPr>
      <w:r w:rsidRPr="00B44DB6">
        <w:rPr>
          <w:rFonts w:cs="David"/>
          <w:sz w:val="28"/>
          <w:szCs w:val="28"/>
          <w:rtl/>
        </w:rPr>
        <w:t xml:space="preserve">מטעם ההגנה נשמעה עדותה של אשת המערער, </w:t>
      </w:r>
      <w:r w:rsidR="002657B1">
        <w:rPr>
          <w:rFonts w:cs="David" w:hint="cs"/>
          <w:sz w:val="28"/>
          <w:szCs w:val="28"/>
          <w:rtl/>
        </w:rPr>
        <w:t>ש</w:t>
      </w:r>
      <w:r w:rsidRPr="00B44DB6">
        <w:rPr>
          <w:rFonts w:cs="David"/>
          <w:sz w:val="28"/>
          <w:szCs w:val="28"/>
          <w:rtl/>
        </w:rPr>
        <w:t>ממנה עלה כי היא אינה בקו הבריאות</w:t>
      </w:r>
      <w:r w:rsidR="00086437">
        <w:rPr>
          <w:rFonts w:cs="David" w:hint="cs"/>
          <w:sz w:val="28"/>
          <w:szCs w:val="28"/>
          <w:rtl/>
        </w:rPr>
        <w:t>,</w:t>
      </w:r>
      <w:r w:rsidRPr="00B44DB6">
        <w:rPr>
          <w:rFonts w:cs="David"/>
          <w:sz w:val="28"/>
          <w:szCs w:val="28"/>
          <w:rtl/>
        </w:rPr>
        <w:t xml:space="preserve"> </w:t>
      </w:r>
      <w:r w:rsidR="005C6D0C">
        <w:rPr>
          <w:rFonts w:cs="David" w:hint="cs"/>
          <w:sz w:val="28"/>
          <w:szCs w:val="28"/>
          <w:rtl/>
        </w:rPr>
        <w:t xml:space="preserve">ומצבה אף </w:t>
      </w:r>
      <w:r w:rsidRPr="00B44DB6">
        <w:rPr>
          <w:rFonts w:cs="David"/>
          <w:sz w:val="28"/>
          <w:szCs w:val="28"/>
          <w:rtl/>
        </w:rPr>
        <w:t xml:space="preserve">החמיר מאז </w:t>
      </w:r>
      <w:r w:rsidR="005C6D0C">
        <w:rPr>
          <w:rFonts w:cs="David" w:hint="cs"/>
          <w:sz w:val="28"/>
          <w:szCs w:val="28"/>
          <w:rtl/>
        </w:rPr>
        <w:t xml:space="preserve">שהמערער </w:t>
      </w:r>
      <w:r w:rsidRPr="00B44DB6">
        <w:rPr>
          <w:rFonts w:cs="David"/>
          <w:sz w:val="28"/>
          <w:szCs w:val="28"/>
          <w:rtl/>
        </w:rPr>
        <w:t>נעצר. המשפחה איבדה חלק נכבד ממטה לחמה, ו</w:t>
      </w:r>
      <w:r w:rsidR="005C6D0C">
        <w:rPr>
          <w:rFonts w:cs="David" w:hint="cs"/>
          <w:sz w:val="28"/>
          <w:szCs w:val="28"/>
          <w:rtl/>
        </w:rPr>
        <w:t>ה</w:t>
      </w:r>
      <w:r w:rsidR="002657B1">
        <w:rPr>
          <w:rFonts w:cs="David" w:hint="cs"/>
          <w:sz w:val="28"/>
          <w:szCs w:val="28"/>
          <w:rtl/>
        </w:rPr>
        <w:t xml:space="preserve">עדה </w:t>
      </w:r>
      <w:r w:rsidRPr="00B44DB6">
        <w:rPr>
          <w:rFonts w:cs="David"/>
          <w:sz w:val="28"/>
          <w:szCs w:val="28"/>
          <w:rtl/>
        </w:rPr>
        <w:t xml:space="preserve">מתמודדת לבדה עם גידול שלושה ילדים פעוטים. קשיי המשפחה אף הוחרפו עקב אירוע קשה וחריג </w:t>
      </w:r>
      <w:r w:rsidR="005C6D0C">
        <w:rPr>
          <w:rFonts w:cs="David" w:hint="cs"/>
          <w:sz w:val="28"/>
          <w:szCs w:val="28"/>
          <w:rtl/>
        </w:rPr>
        <w:t>ש</w:t>
      </w:r>
      <w:r w:rsidRPr="00B44DB6">
        <w:rPr>
          <w:rFonts w:cs="David"/>
          <w:sz w:val="28"/>
          <w:szCs w:val="28"/>
          <w:rtl/>
        </w:rPr>
        <w:t>ב</w:t>
      </w:r>
      <w:r w:rsidR="005C6D0C">
        <w:rPr>
          <w:rFonts w:cs="David" w:hint="cs"/>
          <w:sz w:val="28"/>
          <w:szCs w:val="28"/>
          <w:rtl/>
        </w:rPr>
        <w:t xml:space="preserve">מהלכו </w:t>
      </w:r>
      <w:r w:rsidRPr="00B44DB6">
        <w:rPr>
          <w:rFonts w:cs="David"/>
          <w:sz w:val="28"/>
          <w:szCs w:val="28"/>
          <w:rtl/>
        </w:rPr>
        <w:t xml:space="preserve">עלה בית המשפחה באש, על כל תכולתו, חודשים ספורים לאחר מעצרו של המערער. </w:t>
      </w:r>
    </w:p>
    <w:p w14:paraId="3C306354" w14:textId="19F53739" w:rsidR="00B44DB6" w:rsidRPr="00B44DB6" w:rsidRDefault="00B44DB6" w:rsidP="001A563F">
      <w:pPr>
        <w:numPr>
          <w:ilvl w:val="0"/>
          <w:numId w:val="5"/>
        </w:numPr>
        <w:tabs>
          <w:tab w:val="left" w:pos="282"/>
        </w:tabs>
        <w:spacing w:line="360" w:lineRule="auto"/>
        <w:ind w:left="-1" w:firstLine="0"/>
        <w:jc w:val="both"/>
        <w:rPr>
          <w:rFonts w:cs="David"/>
          <w:sz w:val="28"/>
          <w:szCs w:val="28"/>
          <w:rtl/>
        </w:rPr>
      </w:pPr>
      <w:r w:rsidRPr="00B44DB6">
        <w:rPr>
          <w:rFonts w:cs="David"/>
          <w:sz w:val="28"/>
          <w:szCs w:val="28"/>
          <w:rtl/>
        </w:rPr>
        <w:t>עוד הונחה בפני בית הדין הערכת המסוכנות המינית של המערער</w:t>
      </w:r>
      <w:r w:rsidR="00086437">
        <w:rPr>
          <w:rFonts w:cs="David" w:hint="cs"/>
          <w:sz w:val="28"/>
          <w:szCs w:val="28"/>
          <w:rtl/>
        </w:rPr>
        <w:t>,</w:t>
      </w:r>
      <w:r w:rsidRPr="00B44DB6">
        <w:rPr>
          <w:rFonts w:cs="David"/>
          <w:sz w:val="28"/>
          <w:szCs w:val="28"/>
          <w:rtl/>
        </w:rPr>
        <w:t xml:space="preserve"> שהוכנה </w:t>
      </w:r>
      <w:r w:rsidR="00086437">
        <w:rPr>
          <w:rFonts w:cs="David" w:hint="cs"/>
          <w:sz w:val="28"/>
          <w:szCs w:val="28"/>
          <w:rtl/>
        </w:rPr>
        <w:t xml:space="preserve">בעקבות </w:t>
      </w:r>
      <w:r w:rsidRPr="00B44DB6">
        <w:rPr>
          <w:rFonts w:cs="David"/>
          <w:sz w:val="28"/>
          <w:szCs w:val="28"/>
          <w:rtl/>
        </w:rPr>
        <w:t xml:space="preserve">הרשעתו. </w:t>
      </w:r>
      <w:r w:rsidR="002657B1">
        <w:rPr>
          <w:rFonts w:cs="David" w:hint="cs"/>
          <w:sz w:val="28"/>
          <w:szCs w:val="28"/>
          <w:rtl/>
        </w:rPr>
        <w:t xml:space="preserve">לפני מעריך המסוכנות, </w:t>
      </w:r>
      <w:r w:rsidR="005C6D0C">
        <w:rPr>
          <w:rFonts w:cs="David" w:hint="cs"/>
          <w:sz w:val="28"/>
          <w:szCs w:val="28"/>
          <w:rtl/>
        </w:rPr>
        <w:t xml:space="preserve">לראשונה מאז נעצר, נטל המערער אחריות על המעשים שבהם הורשע. </w:t>
      </w:r>
      <w:r w:rsidRPr="00B44DB6">
        <w:rPr>
          <w:rFonts w:cs="David"/>
          <w:sz w:val="28"/>
          <w:szCs w:val="28"/>
          <w:rtl/>
        </w:rPr>
        <w:t xml:space="preserve">המערער טען </w:t>
      </w:r>
      <w:r w:rsidR="005C6D0C">
        <w:rPr>
          <w:rFonts w:cs="David" w:hint="cs"/>
          <w:sz w:val="28"/>
          <w:szCs w:val="28"/>
          <w:rtl/>
        </w:rPr>
        <w:t xml:space="preserve">לפניו </w:t>
      </w:r>
      <w:r w:rsidRPr="00B44DB6">
        <w:rPr>
          <w:rFonts w:cs="David"/>
          <w:sz w:val="28"/>
          <w:szCs w:val="28"/>
          <w:rtl/>
        </w:rPr>
        <w:t xml:space="preserve">כי מצא את הסרטון בכרטיס הזיכרון של המצלמה בחודש יולי 2019, ומאז שמר </w:t>
      </w:r>
      <w:r w:rsidR="005C6D0C">
        <w:rPr>
          <w:rFonts w:cs="David" w:hint="cs"/>
          <w:sz w:val="28"/>
          <w:szCs w:val="28"/>
          <w:rtl/>
        </w:rPr>
        <w:t xml:space="preserve">על כך </w:t>
      </w:r>
      <w:r w:rsidRPr="00B44DB6">
        <w:rPr>
          <w:rFonts w:cs="David"/>
          <w:sz w:val="28"/>
          <w:szCs w:val="28"/>
          <w:rtl/>
        </w:rPr>
        <w:t>בסוד</w:t>
      </w:r>
      <w:r w:rsidR="005C6D0C">
        <w:rPr>
          <w:rFonts w:cs="David" w:hint="cs"/>
          <w:sz w:val="28"/>
          <w:szCs w:val="28"/>
          <w:rtl/>
        </w:rPr>
        <w:t xml:space="preserve">. הוא </w:t>
      </w:r>
      <w:r w:rsidRPr="00B44DB6">
        <w:rPr>
          <w:rFonts w:cs="David"/>
          <w:sz w:val="28"/>
          <w:szCs w:val="28"/>
          <w:rtl/>
        </w:rPr>
        <w:t>נהג לצפות ב</w:t>
      </w:r>
      <w:r w:rsidR="005C6D0C">
        <w:rPr>
          <w:rFonts w:cs="David" w:hint="cs"/>
          <w:sz w:val="28"/>
          <w:szCs w:val="28"/>
          <w:rtl/>
        </w:rPr>
        <w:t>סרטון</w:t>
      </w:r>
      <w:r w:rsidRPr="00B44DB6">
        <w:rPr>
          <w:rFonts w:cs="David"/>
          <w:sz w:val="28"/>
          <w:szCs w:val="28"/>
          <w:rtl/>
        </w:rPr>
        <w:t xml:space="preserve"> מדי שלושה שבועות, </w:t>
      </w:r>
      <w:r w:rsidR="005C6D0C">
        <w:rPr>
          <w:rFonts w:cs="David" w:hint="cs"/>
          <w:sz w:val="28"/>
          <w:szCs w:val="28"/>
          <w:rtl/>
        </w:rPr>
        <w:t>ו</w:t>
      </w:r>
      <w:r w:rsidRPr="00B44DB6">
        <w:rPr>
          <w:rFonts w:cs="David"/>
          <w:sz w:val="28"/>
          <w:szCs w:val="28"/>
          <w:rtl/>
        </w:rPr>
        <w:t>חש תחושת ריגוש מכך שהוא מחזיק בידיו "סוד" שהחיילות אינן יודעות. את מכתב הסחיטה ערך, ל</w:t>
      </w:r>
      <w:r w:rsidR="005C6D0C">
        <w:rPr>
          <w:rFonts w:cs="David" w:hint="cs"/>
          <w:sz w:val="28"/>
          <w:szCs w:val="28"/>
          <w:rtl/>
        </w:rPr>
        <w:t xml:space="preserve">דבריו, </w:t>
      </w:r>
      <w:r w:rsidRPr="00B44DB6">
        <w:rPr>
          <w:rFonts w:cs="David"/>
          <w:sz w:val="28"/>
          <w:szCs w:val="28"/>
          <w:rtl/>
        </w:rPr>
        <w:t xml:space="preserve">מתוך סקרנות לדעת באיזו מהאפשרויות </w:t>
      </w:r>
      <w:r w:rsidRPr="00B44DB6">
        <w:rPr>
          <w:rFonts w:cs="David"/>
          <w:sz w:val="28"/>
          <w:szCs w:val="28"/>
          <w:rtl/>
        </w:rPr>
        <w:lastRenderedPageBreak/>
        <w:t>תבחר נפגעת העבירה</w:t>
      </w:r>
      <w:r w:rsidR="005C6D0C">
        <w:rPr>
          <w:rFonts w:cs="David" w:hint="cs"/>
          <w:sz w:val="28"/>
          <w:szCs w:val="28"/>
          <w:rtl/>
        </w:rPr>
        <w:t xml:space="preserve">. המערער ציין עוד, כי </w:t>
      </w:r>
      <w:r w:rsidRPr="00B44DB6">
        <w:rPr>
          <w:rFonts w:cs="David"/>
          <w:sz w:val="28"/>
          <w:szCs w:val="28"/>
          <w:rtl/>
        </w:rPr>
        <w:t>השליטה ב</w:t>
      </w:r>
      <w:r w:rsidR="005C6D0C">
        <w:rPr>
          <w:rFonts w:cs="David" w:hint="cs"/>
          <w:sz w:val="28"/>
          <w:szCs w:val="28"/>
          <w:rtl/>
        </w:rPr>
        <w:t>חיילת שנסחטה</w:t>
      </w:r>
      <w:r w:rsidRPr="00B44DB6">
        <w:rPr>
          <w:rFonts w:cs="David"/>
          <w:sz w:val="28"/>
          <w:szCs w:val="28"/>
          <w:rtl/>
        </w:rPr>
        <w:t xml:space="preserve"> היוותה עבורו גורם מרגש, </w:t>
      </w:r>
      <w:r w:rsidR="005C6D0C">
        <w:rPr>
          <w:rFonts w:cs="David" w:hint="cs"/>
          <w:sz w:val="28"/>
          <w:szCs w:val="28"/>
          <w:rtl/>
        </w:rPr>
        <w:t xml:space="preserve">לטענתו, </w:t>
      </w:r>
      <w:r w:rsidRPr="00B44DB6">
        <w:rPr>
          <w:rFonts w:cs="David"/>
          <w:sz w:val="28"/>
          <w:szCs w:val="28"/>
          <w:rtl/>
        </w:rPr>
        <w:t xml:space="preserve">פחות במישור המיני ויותר במובנים של שליטה וכוח. </w:t>
      </w:r>
    </w:p>
    <w:p w14:paraId="275F5A9E" w14:textId="77777777" w:rsidR="00B44DB6" w:rsidRPr="00B44DB6" w:rsidRDefault="00B44DB6" w:rsidP="001A563F">
      <w:pPr>
        <w:spacing w:line="360" w:lineRule="auto"/>
        <w:jc w:val="both"/>
        <w:outlineLvl w:val="0"/>
        <w:rPr>
          <w:rFonts w:cs="David"/>
          <w:sz w:val="28"/>
          <w:szCs w:val="28"/>
          <w:rtl/>
        </w:rPr>
      </w:pPr>
      <w:r w:rsidRPr="00B44DB6">
        <w:rPr>
          <w:rFonts w:cs="David"/>
          <w:sz w:val="28"/>
          <w:szCs w:val="28"/>
          <w:rtl/>
        </w:rPr>
        <w:t xml:space="preserve">מעריך המסוכנות התרשם כי על אף הבעת צער וחרטה על מעשיו, עשה המערער שימוש במעטה של </w:t>
      </w:r>
      <w:r w:rsidR="005C6D0C">
        <w:rPr>
          <w:rFonts w:cs="David" w:hint="cs"/>
          <w:sz w:val="28"/>
          <w:szCs w:val="28"/>
          <w:rtl/>
        </w:rPr>
        <w:t>"</w:t>
      </w:r>
      <w:r w:rsidRPr="00B44DB6">
        <w:rPr>
          <w:rFonts w:cs="David"/>
          <w:sz w:val="28"/>
          <w:szCs w:val="28"/>
          <w:rtl/>
        </w:rPr>
        <w:t>הגנתיות ואף הכחשה</w:t>
      </w:r>
      <w:r w:rsidR="005C6D0C">
        <w:rPr>
          <w:rFonts w:cs="David" w:hint="cs"/>
          <w:sz w:val="28"/>
          <w:szCs w:val="28"/>
          <w:rtl/>
        </w:rPr>
        <w:t>"</w:t>
      </w:r>
      <w:r w:rsidRPr="00B44DB6">
        <w:rPr>
          <w:rFonts w:cs="David"/>
          <w:sz w:val="28"/>
          <w:szCs w:val="28"/>
          <w:rtl/>
        </w:rPr>
        <w:t>, ולא סיפק הסברים הגיוניים לגבי נושאים שונים</w:t>
      </w:r>
      <w:r w:rsidR="00086437">
        <w:rPr>
          <w:rFonts w:cs="David" w:hint="cs"/>
          <w:sz w:val="28"/>
          <w:szCs w:val="28"/>
          <w:rtl/>
        </w:rPr>
        <w:t>,</w:t>
      </w:r>
      <w:r w:rsidRPr="00B44DB6">
        <w:rPr>
          <w:rFonts w:cs="David"/>
          <w:sz w:val="28"/>
          <w:szCs w:val="28"/>
          <w:rtl/>
        </w:rPr>
        <w:t xml:space="preserve"> כגון </w:t>
      </w:r>
      <w:r w:rsidR="002657B1">
        <w:rPr>
          <w:rFonts w:cs="David" w:hint="cs"/>
          <w:sz w:val="28"/>
          <w:szCs w:val="28"/>
          <w:rtl/>
        </w:rPr>
        <w:t xml:space="preserve">לגבי </w:t>
      </w:r>
      <w:r w:rsidR="00086437">
        <w:rPr>
          <w:rFonts w:cs="David" w:hint="cs"/>
          <w:sz w:val="28"/>
          <w:szCs w:val="28"/>
          <w:rtl/>
        </w:rPr>
        <w:t xml:space="preserve">אופן הגעתם של </w:t>
      </w:r>
      <w:r w:rsidRPr="00B44DB6">
        <w:rPr>
          <w:rFonts w:cs="David"/>
          <w:sz w:val="28"/>
          <w:szCs w:val="28"/>
          <w:rtl/>
        </w:rPr>
        <w:t xml:space="preserve">הצילומים למצלמה שלו, </w:t>
      </w:r>
      <w:r w:rsidR="00086437">
        <w:rPr>
          <w:rFonts w:cs="David" w:hint="cs"/>
          <w:sz w:val="28"/>
          <w:szCs w:val="28"/>
          <w:rtl/>
        </w:rPr>
        <w:t>לגבי אי-ה</w:t>
      </w:r>
      <w:r w:rsidRPr="00B44DB6">
        <w:rPr>
          <w:rFonts w:cs="David"/>
          <w:sz w:val="28"/>
          <w:szCs w:val="28"/>
          <w:rtl/>
        </w:rPr>
        <w:t xml:space="preserve">דיווח </w:t>
      </w:r>
      <w:r w:rsidR="002657B1">
        <w:rPr>
          <w:rFonts w:cs="David" w:hint="cs"/>
          <w:sz w:val="28"/>
          <w:szCs w:val="28"/>
          <w:rtl/>
        </w:rPr>
        <w:t xml:space="preserve">למפקדיו </w:t>
      </w:r>
      <w:r w:rsidRPr="00B44DB6">
        <w:rPr>
          <w:rFonts w:cs="David"/>
          <w:sz w:val="28"/>
          <w:szCs w:val="28"/>
          <w:rtl/>
        </w:rPr>
        <w:t>כאשר מצא את הסרטון ו</w:t>
      </w:r>
      <w:r w:rsidR="005C6D0C">
        <w:rPr>
          <w:rFonts w:cs="David" w:hint="cs"/>
          <w:sz w:val="28"/>
          <w:szCs w:val="28"/>
          <w:rtl/>
        </w:rPr>
        <w:t>עוד</w:t>
      </w:r>
      <w:r w:rsidRPr="00B44DB6">
        <w:rPr>
          <w:rFonts w:cs="David"/>
          <w:sz w:val="28"/>
          <w:szCs w:val="28"/>
          <w:rtl/>
        </w:rPr>
        <w:t xml:space="preserve">. כן התרשם </w:t>
      </w:r>
      <w:r w:rsidR="002657B1">
        <w:rPr>
          <w:rFonts w:cs="David" w:hint="cs"/>
          <w:sz w:val="28"/>
          <w:szCs w:val="28"/>
          <w:rtl/>
        </w:rPr>
        <w:t xml:space="preserve">המעריך </w:t>
      </w:r>
      <w:r w:rsidRPr="00B44DB6">
        <w:rPr>
          <w:rFonts w:cs="David"/>
          <w:sz w:val="28"/>
          <w:szCs w:val="28"/>
          <w:rtl/>
        </w:rPr>
        <w:t xml:space="preserve">מעיוותי חשיבה של המערער. לצד זאת שקל את גילו, </w:t>
      </w:r>
      <w:r w:rsidR="005C6D0C">
        <w:rPr>
          <w:rFonts w:cs="David" w:hint="cs"/>
          <w:sz w:val="28"/>
          <w:szCs w:val="28"/>
          <w:rtl/>
        </w:rPr>
        <w:t xml:space="preserve">את </w:t>
      </w:r>
      <w:r w:rsidRPr="00B44DB6">
        <w:rPr>
          <w:rFonts w:cs="David"/>
          <w:sz w:val="28"/>
          <w:szCs w:val="28"/>
          <w:rtl/>
        </w:rPr>
        <w:t>רקע</w:t>
      </w:r>
      <w:r w:rsidR="005C6D0C">
        <w:rPr>
          <w:rFonts w:cs="David" w:hint="cs"/>
          <w:sz w:val="28"/>
          <w:szCs w:val="28"/>
          <w:rtl/>
        </w:rPr>
        <w:t>ו</w:t>
      </w:r>
      <w:r w:rsidRPr="00B44DB6">
        <w:rPr>
          <w:rFonts w:cs="David"/>
          <w:sz w:val="28"/>
          <w:szCs w:val="28"/>
          <w:rtl/>
        </w:rPr>
        <w:t xml:space="preserve"> הנורמטיבי, </w:t>
      </w:r>
      <w:r w:rsidR="005C6D0C">
        <w:rPr>
          <w:rFonts w:cs="David" w:hint="cs"/>
          <w:sz w:val="28"/>
          <w:szCs w:val="28"/>
          <w:rtl/>
        </w:rPr>
        <w:t xml:space="preserve">את </w:t>
      </w:r>
      <w:r w:rsidR="002657B1">
        <w:rPr>
          <w:rFonts w:cs="David" w:hint="cs"/>
          <w:sz w:val="28"/>
          <w:szCs w:val="28"/>
          <w:rtl/>
        </w:rPr>
        <w:t>ה</w:t>
      </w:r>
      <w:r w:rsidRPr="00B44DB6">
        <w:rPr>
          <w:rFonts w:cs="David"/>
          <w:sz w:val="28"/>
          <w:szCs w:val="28"/>
          <w:rtl/>
        </w:rPr>
        <w:t xml:space="preserve">רצון </w:t>
      </w:r>
      <w:r w:rsidR="005C6D0C">
        <w:rPr>
          <w:rFonts w:cs="David" w:hint="cs"/>
          <w:sz w:val="28"/>
          <w:szCs w:val="28"/>
          <w:rtl/>
        </w:rPr>
        <w:t xml:space="preserve">שהביע לפניו </w:t>
      </w:r>
      <w:r w:rsidRPr="00B44DB6">
        <w:rPr>
          <w:rFonts w:cs="David"/>
          <w:sz w:val="28"/>
          <w:szCs w:val="28"/>
          <w:rtl/>
        </w:rPr>
        <w:t>לקבל טיפול ו</w:t>
      </w:r>
      <w:r w:rsidR="005C6D0C">
        <w:rPr>
          <w:rFonts w:cs="David" w:hint="cs"/>
          <w:sz w:val="28"/>
          <w:szCs w:val="28"/>
          <w:rtl/>
        </w:rPr>
        <w:t xml:space="preserve">את </w:t>
      </w:r>
      <w:r w:rsidRPr="00B44DB6">
        <w:rPr>
          <w:rFonts w:cs="David"/>
          <w:sz w:val="28"/>
          <w:szCs w:val="28"/>
          <w:rtl/>
        </w:rPr>
        <w:t xml:space="preserve">התמיכה המשפחתית, כמו גם </w:t>
      </w:r>
      <w:r w:rsidR="005C6D0C">
        <w:rPr>
          <w:rFonts w:cs="David" w:hint="cs"/>
          <w:sz w:val="28"/>
          <w:szCs w:val="28"/>
          <w:rtl/>
        </w:rPr>
        <w:t xml:space="preserve">את </w:t>
      </w:r>
      <w:r w:rsidRPr="00B44DB6">
        <w:rPr>
          <w:rFonts w:cs="David"/>
          <w:sz w:val="28"/>
          <w:szCs w:val="28"/>
          <w:rtl/>
        </w:rPr>
        <w:t xml:space="preserve">הבעת האחריות בפניו. לפיכך נקבע כי מן המערער נשקפת </w:t>
      </w:r>
      <w:r w:rsidR="005C6D0C">
        <w:rPr>
          <w:rFonts w:cs="David" w:hint="cs"/>
          <w:sz w:val="28"/>
          <w:szCs w:val="28"/>
          <w:rtl/>
        </w:rPr>
        <w:t>"</w:t>
      </w:r>
      <w:r w:rsidRPr="00B44DB6">
        <w:rPr>
          <w:rFonts w:cs="David"/>
          <w:sz w:val="28"/>
          <w:szCs w:val="28"/>
          <w:rtl/>
        </w:rPr>
        <w:t xml:space="preserve">מסוכנות נמוכה </w:t>
      </w:r>
      <w:r w:rsidR="009632C9">
        <w:rPr>
          <w:rFonts w:cs="David" w:hint="cs"/>
          <w:sz w:val="28"/>
          <w:szCs w:val="28"/>
          <w:rtl/>
        </w:rPr>
        <w:t>-</w:t>
      </w:r>
      <w:r w:rsidRPr="00B44DB6">
        <w:rPr>
          <w:rFonts w:cs="David"/>
          <w:sz w:val="28"/>
          <w:szCs w:val="28"/>
          <w:rtl/>
        </w:rPr>
        <w:t xml:space="preserve"> בינונית</w:t>
      </w:r>
      <w:r w:rsidR="005C6D0C">
        <w:rPr>
          <w:rFonts w:cs="David" w:hint="cs"/>
          <w:sz w:val="28"/>
          <w:szCs w:val="28"/>
          <w:rtl/>
        </w:rPr>
        <w:t>"</w:t>
      </w:r>
      <w:r w:rsidRPr="00B44DB6">
        <w:rPr>
          <w:rFonts w:cs="David"/>
          <w:sz w:val="28"/>
          <w:szCs w:val="28"/>
          <w:rtl/>
        </w:rPr>
        <w:t xml:space="preserve"> לרצידיביזם מיני, והומלץ על </w:t>
      </w:r>
      <w:r w:rsidR="005C6D0C">
        <w:rPr>
          <w:rFonts w:cs="David" w:hint="cs"/>
          <w:sz w:val="28"/>
          <w:szCs w:val="28"/>
          <w:rtl/>
        </w:rPr>
        <w:t>שילובו ב</w:t>
      </w:r>
      <w:r w:rsidRPr="00B44DB6">
        <w:rPr>
          <w:rFonts w:cs="David"/>
          <w:sz w:val="28"/>
          <w:szCs w:val="28"/>
          <w:rtl/>
        </w:rPr>
        <w:t>טיפול ייעודי לעברייני מין</w:t>
      </w:r>
      <w:r w:rsidR="00086437">
        <w:rPr>
          <w:rFonts w:cs="David" w:hint="cs"/>
          <w:sz w:val="28"/>
          <w:szCs w:val="28"/>
          <w:rtl/>
        </w:rPr>
        <w:t>,</w:t>
      </w:r>
      <w:r w:rsidRPr="00B44DB6">
        <w:rPr>
          <w:rFonts w:cs="David"/>
          <w:sz w:val="28"/>
          <w:szCs w:val="28"/>
          <w:rtl/>
        </w:rPr>
        <w:t xml:space="preserve"> במסגרת של שיקום מונע, </w:t>
      </w:r>
      <w:r w:rsidR="005C6D0C">
        <w:rPr>
          <w:rFonts w:cs="David" w:hint="cs"/>
          <w:sz w:val="28"/>
          <w:szCs w:val="28"/>
          <w:rtl/>
        </w:rPr>
        <w:t xml:space="preserve">כדי </w:t>
      </w:r>
      <w:r w:rsidRPr="00B44DB6">
        <w:rPr>
          <w:rFonts w:cs="David"/>
          <w:sz w:val="28"/>
          <w:szCs w:val="28"/>
          <w:rtl/>
        </w:rPr>
        <w:t xml:space="preserve">להפחית ממסוכנות עתידית. </w:t>
      </w:r>
    </w:p>
    <w:p w14:paraId="102435B8" w14:textId="77777777" w:rsidR="00B44DB6" w:rsidRPr="00B44DB6" w:rsidRDefault="00B44DB6" w:rsidP="001A563F">
      <w:pPr>
        <w:spacing w:line="360" w:lineRule="auto"/>
        <w:jc w:val="both"/>
        <w:outlineLvl w:val="0"/>
        <w:rPr>
          <w:rFonts w:cs="David"/>
          <w:sz w:val="28"/>
          <w:szCs w:val="28"/>
          <w:rtl/>
        </w:rPr>
      </w:pPr>
      <w:r w:rsidRPr="00B44DB6">
        <w:rPr>
          <w:rFonts w:cs="David"/>
          <w:sz w:val="28"/>
          <w:szCs w:val="28"/>
          <w:rtl/>
        </w:rPr>
        <w:t xml:space="preserve">יוער, כי גם בדברו האחרון </w:t>
      </w:r>
      <w:r w:rsidR="005C6D0C">
        <w:rPr>
          <w:rFonts w:cs="David" w:hint="cs"/>
          <w:sz w:val="28"/>
          <w:szCs w:val="28"/>
          <w:rtl/>
        </w:rPr>
        <w:t>ל</w:t>
      </w:r>
      <w:r w:rsidRPr="00B44DB6">
        <w:rPr>
          <w:rFonts w:cs="David"/>
          <w:sz w:val="28"/>
          <w:szCs w:val="28"/>
          <w:rtl/>
        </w:rPr>
        <w:t xml:space="preserve">פני בית הדין </w:t>
      </w:r>
      <w:r w:rsidR="002657B1">
        <w:rPr>
          <w:rFonts w:cs="David" w:hint="cs"/>
          <w:sz w:val="28"/>
          <w:szCs w:val="28"/>
          <w:rtl/>
        </w:rPr>
        <w:t xml:space="preserve">המחוזי, </w:t>
      </w:r>
      <w:r w:rsidRPr="00B44DB6">
        <w:rPr>
          <w:rFonts w:cs="David"/>
          <w:sz w:val="28"/>
          <w:szCs w:val="28"/>
          <w:rtl/>
        </w:rPr>
        <w:t xml:space="preserve">מסר המערער בתמצית, כי: "אני לא הייתי בסדר נקודה. אני מצטער בפני כל מי שנפגע". </w:t>
      </w:r>
    </w:p>
    <w:p w14:paraId="582D90E9" w14:textId="6F544206" w:rsidR="00B44DB6" w:rsidRPr="00B44DB6" w:rsidRDefault="00B44DB6" w:rsidP="001A563F">
      <w:pPr>
        <w:numPr>
          <w:ilvl w:val="0"/>
          <w:numId w:val="5"/>
        </w:numPr>
        <w:tabs>
          <w:tab w:val="left" w:pos="282"/>
        </w:tabs>
        <w:spacing w:line="360" w:lineRule="auto"/>
        <w:ind w:left="-1" w:firstLine="0"/>
        <w:jc w:val="both"/>
        <w:rPr>
          <w:rFonts w:cs="David"/>
          <w:sz w:val="28"/>
          <w:szCs w:val="28"/>
          <w:rtl/>
        </w:rPr>
      </w:pPr>
      <w:r w:rsidRPr="00B44DB6">
        <w:rPr>
          <w:rFonts w:cs="David"/>
          <w:sz w:val="28"/>
          <w:szCs w:val="28"/>
          <w:rtl/>
        </w:rPr>
        <w:t>בית הדין מצא לקבוע, כי על אף הרשעתו של המערער בעבירות שונות, הרי שלצורך קביעת עונשו, משמדובר ברצף מעשים</w:t>
      </w:r>
      <w:r w:rsidR="00086437">
        <w:rPr>
          <w:rFonts w:cs="David" w:hint="cs"/>
          <w:sz w:val="28"/>
          <w:szCs w:val="28"/>
          <w:rtl/>
        </w:rPr>
        <w:t xml:space="preserve"> וב</w:t>
      </w:r>
      <w:r w:rsidRPr="00B44DB6">
        <w:rPr>
          <w:rFonts w:cs="David"/>
          <w:sz w:val="28"/>
          <w:szCs w:val="28"/>
          <w:rtl/>
        </w:rPr>
        <w:t xml:space="preserve">תכנית עבריינית אחת, </w:t>
      </w:r>
      <w:r w:rsidR="00086437">
        <w:rPr>
          <w:rFonts w:cs="David" w:hint="cs"/>
          <w:sz w:val="28"/>
          <w:szCs w:val="28"/>
          <w:rtl/>
        </w:rPr>
        <w:t xml:space="preserve">כלפי אותו קורבן, </w:t>
      </w:r>
      <w:r w:rsidRPr="00B44DB6">
        <w:rPr>
          <w:rFonts w:cs="David"/>
          <w:sz w:val="28"/>
          <w:szCs w:val="28"/>
          <w:rtl/>
        </w:rPr>
        <w:t xml:space="preserve">נכון יהיה להשקיף עליהם כאירוע עברייני </w:t>
      </w:r>
      <w:r w:rsidR="002657B1">
        <w:rPr>
          <w:rFonts w:cs="David" w:hint="cs"/>
          <w:sz w:val="28"/>
          <w:szCs w:val="28"/>
          <w:rtl/>
        </w:rPr>
        <w:t>יחיד</w:t>
      </w:r>
      <w:r w:rsidRPr="00B44DB6">
        <w:rPr>
          <w:rFonts w:cs="David"/>
          <w:sz w:val="28"/>
          <w:szCs w:val="28"/>
          <w:rtl/>
        </w:rPr>
        <w:t>. לפיכך נקבע מתחם ע</w:t>
      </w:r>
      <w:r w:rsidR="001C4BC4">
        <w:rPr>
          <w:rFonts w:cs="David" w:hint="cs"/>
          <w:sz w:val="28"/>
          <w:szCs w:val="28"/>
          <w:rtl/>
        </w:rPr>
        <w:t>ו</w:t>
      </w:r>
      <w:r w:rsidRPr="00B44DB6">
        <w:rPr>
          <w:rFonts w:cs="David"/>
          <w:sz w:val="28"/>
          <w:szCs w:val="28"/>
          <w:rtl/>
        </w:rPr>
        <w:t>נש הולם אחד</w:t>
      </w:r>
      <w:r w:rsidR="002657B1">
        <w:rPr>
          <w:rFonts w:cs="David" w:hint="cs"/>
          <w:sz w:val="28"/>
          <w:szCs w:val="28"/>
          <w:rtl/>
        </w:rPr>
        <w:t xml:space="preserve"> בנוגע לכלל העבירות</w:t>
      </w:r>
      <w:r w:rsidRPr="00B44DB6">
        <w:rPr>
          <w:rFonts w:cs="David"/>
          <w:sz w:val="28"/>
          <w:szCs w:val="28"/>
          <w:rtl/>
        </w:rPr>
        <w:t xml:space="preserve">. </w:t>
      </w:r>
    </w:p>
    <w:p w14:paraId="671D15E8" w14:textId="0E75C27D" w:rsidR="00B44DB6" w:rsidRPr="00B44DB6" w:rsidRDefault="00B44DB6" w:rsidP="001A563F">
      <w:pPr>
        <w:numPr>
          <w:ilvl w:val="0"/>
          <w:numId w:val="5"/>
        </w:numPr>
        <w:tabs>
          <w:tab w:val="left" w:pos="282"/>
        </w:tabs>
        <w:spacing w:line="360" w:lineRule="auto"/>
        <w:ind w:left="-1" w:firstLine="0"/>
        <w:jc w:val="both"/>
        <w:rPr>
          <w:rFonts w:cs="David"/>
          <w:sz w:val="28"/>
          <w:szCs w:val="28"/>
          <w:rtl/>
        </w:rPr>
      </w:pPr>
      <w:r w:rsidRPr="00B44DB6">
        <w:rPr>
          <w:rFonts w:cs="David"/>
          <w:sz w:val="28"/>
          <w:szCs w:val="28"/>
          <w:rtl/>
        </w:rPr>
        <w:t>בעת קביעת מתחם הע</w:t>
      </w:r>
      <w:r w:rsidR="001C4BC4">
        <w:rPr>
          <w:rFonts w:cs="David" w:hint="cs"/>
          <w:sz w:val="28"/>
          <w:szCs w:val="28"/>
          <w:rtl/>
        </w:rPr>
        <w:t>ו</w:t>
      </w:r>
      <w:r w:rsidRPr="00B44DB6">
        <w:rPr>
          <w:rFonts w:cs="David"/>
          <w:sz w:val="28"/>
          <w:szCs w:val="28"/>
          <w:rtl/>
        </w:rPr>
        <w:t xml:space="preserve">נש </w:t>
      </w:r>
      <w:r w:rsidR="001C4BC4">
        <w:rPr>
          <w:rFonts w:cs="David" w:hint="cs"/>
          <w:sz w:val="28"/>
          <w:szCs w:val="28"/>
          <w:rtl/>
        </w:rPr>
        <w:t xml:space="preserve">עמד </w:t>
      </w:r>
      <w:r w:rsidRPr="00B44DB6">
        <w:rPr>
          <w:rFonts w:cs="David"/>
          <w:sz w:val="28"/>
          <w:szCs w:val="28"/>
          <w:rtl/>
        </w:rPr>
        <w:t xml:space="preserve">בית הדין </w:t>
      </w:r>
      <w:r w:rsidR="001C4BC4">
        <w:rPr>
          <w:rFonts w:cs="David" w:hint="cs"/>
          <w:sz w:val="28"/>
          <w:szCs w:val="28"/>
          <w:rtl/>
        </w:rPr>
        <w:t xml:space="preserve">על </w:t>
      </w:r>
      <w:r w:rsidRPr="00B44DB6">
        <w:rPr>
          <w:rFonts w:cs="David"/>
          <w:sz w:val="28"/>
          <w:szCs w:val="28"/>
          <w:rtl/>
        </w:rPr>
        <w:t>הערכים המוגנים שנפגעו</w:t>
      </w:r>
      <w:r w:rsidR="001C4BC4">
        <w:rPr>
          <w:rFonts w:cs="David" w:hint="cs"/>
          <w:sz w:val="28"/>
          <w:szCs w:val="28"/>
          <w:rtl/>
        </w:rPr>
        <w:t xml:space="preserve"> - על </w:t>
      </w:r>
      <w:r w:rsidRPr="00B44DB6">
        <w:rPr>
          <w:rFonts w:cs="David"/>
          <w:sz w:val="28"/>
          <w:szCs w:val="28"/>
          <w:rtl/>
        </w:rPr>
        <w:t xml:space="preserve">הפגיעה הקשה בפרטיותה של נפגעת העבירה, </w:t>
      </w:r>
      <w:r w:rsidR="001C4BC4">
        <w:rPr>
          <w:rFonts w:cs="David" w:hint="cs"/>
          <w:sz w:val="28"/>
          <w:szCs w:val="28"/>
          <w:rtl/>
        </w:rPr>
        <w:t>ב</w:t>
      </w:r>
      <w:r w:rsidRPr="00B44DB6">
        <w:rPr>
          <w:rFonts w:cs="David"/>
          <w:sz w:val="28"/>
          <w:szCs w:val="28"/>
          <w:rtl/>
        </w:rPr>
        <w:t xml:space="preserve">כבודה ובצנעת גופה וכן </w:t>
      </w:r>
      <w:r w:rsidR="001C4BC4">
        <w:rPr>
          <w:rFonts w:cs="David" w:hint="cs"/>
          <w:sz w:val="28"/>
          <w:szCs w:val="28"/>
          <w:rtl/>
        </w:rPr>
        <w:t xml:space="preserve">על הפגיעה הקשה </w:t>
      </w:r>
      <w:r w:rsidRPr="00B44DB6">
        <w:rPr>
          <w:rFonts w:cs="David"/>
          <w:sz w:val="28"/>
          <w:szCs w:val="28"/>
          <w:rtl/>
        </w:rPr>
        <w:t xml:space="preserve">בתחושת הביטחון </w:t>
      </w:r>
      <w:r w:rsidR="001C4BC4">
        <w:rPr>
          <w:rFonts w:cs="David" w:hint="cs"/>
          <w:sz w:val="28"/>
          <w:szCs w:val="28"/>
          <w:rtl/>
        </w:rPr>
        <w:t>שלה</w:t>
      </w:r>
      <w:r w:rsidRPr="00B44DB6">
        <w:rPr>
          <w:rFonts w:cs="David"/>
          <w:sz w:val="28"/>
          <w:szCs w:val="28"/>
          <w:rtl/>
        </w:rPr>
        <w:t xml:space="preserve">, </w:t>
      </w:r>
      <w:r w:rsidR="002657B1">
        <w:rPr>
          <w:rFonts w:cs="David" w:hint="cs"/>
          <w:sz w:val="28"/>
          <w:szCs w:val="28"/>
          <w:rtl/>
        </w:rPr>
        <w:t xml:space="preserve">בין היתר, </w:t>
      </w:r>
      <w:r w:rsidRPr="00B44DB6">
        <w:rPr>
          <w:rFonts w:cs="David"/>
          <w:sz w:val="28"/>
          <w:szCs w:val="28"/>
          <w:rtl/>
        </w:rPr>
        <w:t xml:space="preserve">בשים לב לכך שהאיום בהפצת הסרטונים מגלם פגיעה פוטנציאלית </w:t>
      </w:r>
      <w:r w:rsidR="001C4BC4">
        <w:rPr>
          <w:rFonts w:cs="David" w:hint="cs"/>
          <w:sz w:val="28"/>
          <w:szCs w:val="28"/>
          <w:rtl/>
        </w:rPr>
        <w:t xml:space="preserve">עמוקה, </w:t>
      </w:r>
      <w:r w:rsidRPr="00B44DB6">
        <w:rPr>
          <w:rFonts w:cs="David"/>
          <w:sz w:val="28"/>
          <w:szCs w:val="28"/>
          <w:rtl/>
        </w:rPr>
        <w:t xml:space="preserve">רחבה ומתמשכת. כן </w:t>
      </w:r>
      <w:r w:rsidR="001C4BC4">
        <w:rPr>
          <w:rFonts w:cs="David" w:hint="cs"/>
          <w:sz w:val="28"/>
          <w:szCs w:val="28"/>
          <w:rtl/>
        </w:rPr>
        <w:t xml:space="preserve">הוטעם, כי </w:t>
      </w:r>
      <w:r w:rsidR="002657B1">
        <w:rPr>
          <w:rFonts w:cs="David" w:hint="cs"/>
          <w:sz w:val="28"/>
          <w:szCs w:val="28"/>
          <w:rtl/>
        </w:rPr>
        <w:t xml:space="preserve">המערער </w:t>
      </w:r>
      <w:r w:rsidRPr="00B44DB6">
        <w:rPr>
          <w:rFonts w:cs="David"/>
          <w:sz w:val="28"/>
          <w:szCs w:val="28"/>
          <w:rtl/>
        </w:rPr>
        <w:t xml:space="preserve">פגע בערכים המוגנים הייחודיים למסגרת הצבאית, </w:t>
      </w:r>
      <w:r w:rsidR="002657B1">
        <w:rPr>
          <w:rFonts w:cs="David" w:hint="cs"/>
          <w:sz w:val="28"/>
          <w:szCs w:val="28"/>
          <w:rtl/>
        </w:rPr>
        <w:t>ו</w:t>
      </w:r>
      <w:r w:rsidRPr="00B44DB6">
        <w:rPr>
          <w:rFonts w:cs="David"/>
          <w:sz w:val="28"/>
          <w:szCs w:val="28"/>
          <w:rtl/>
        </w:rPr>
        <w:t>בראשם ער</w:t>
      </w:r>
      <w:r w:rsidR="002657B1">
        <w:rPr>
          <w:rFonts w:cs="David" w:hint="cs"/>
          <w:sz w:val="28"/>
          <w:szCs w:val="28"/>
          <w:rtl/>
        </w:rPr>
        <w:t xml:space="preserve">כי </w:t>
      </w:r>
      <w:r w:rsidRPr="00B44DB6">
        <w:rPr>
          <w:rFonts w:cs="David"/>
          <w:sz w:val="28"/>
          <w:szCs w:val="28"/>
          <w:rtl/>
        </w:rPr>
        <w:t xml:space="preserve">הרעות והאמון </w:t>
      </w:r>
      <w:r w:rsidR="00AF7B4B">
        <w:rPr>
          <w:rFonts w:cs="David" w:hint="cs"/>
          <w:sz w:val="28"/>
          <w:szCs w:val="28"/>
          <w:rtl/>
        </w:rPr>
        <w:t xml:space="preserve">החייבים לשרור </w:t>
      </w:r>
      <w:r w:rsidRPr="00B44DB6">
        <w:rPr>
          <w:rFonts w:cs="David"/>
          <w:sz w:val="28"/>
          <w:szCs w:val="28"/>
          <w:rtl/>
        </w:rPr>
        <w:t xml:space="preserve">בין חיילים. בהמשך לכך עמד בית הדין גם על </w:t>
      </w:r>
      <w:r w:rsidR="00086437">
        <w:rPr>
          <w:rFonts w:cs="David" w:hint="cs"/>
          <w:sz w:val="28"/>
          <w:szCs w:val="28"/>
          <w:rtl/>
        </w:rPr>
        <w:t xml:space="preserve">כשלונו </w:t>
      </w:r>
      <w:r w:rsidRPr="00B44DB6">
        <w:rPr>
          <w:rFonts w:cs="David"/>
          <w:sz w:val="28"/>
          <w:szCs w:val="28"/>
          <w:rtl/>
        </w:rPr>
        <w:t>הפיקודי ה</w:t>
      </w:r>
      <w:r w:rsidR="001C4BC4">
        <w:rPr>
          <w:rFonts w:cs="David" w:hint="cs"/>
          <w:sz w:val="28"/>
          <w:szCs w:val="28"/>
          <w:rtl/>
        </w:rPr>
        <w:t>מובהק</w:t>
      </w:r>
      <w:r w:rsidRPr="00B44DB6">
        <w:rPr>
          <w:rFonts w:cs="David"/>
          <w:sz w:val="28"/>
          <w:szCs w:val="28"/>
          <w:rtl/>
        </w:rPr>
        <w:t xml:space="preserve"> של המערער. </w:t>
      </w:r>
    </w:p>
    <w:p w14:paraId="61DE4843" w14:textId="56B2F4E0" w:rsidR="00B44DB6" w:rsidRPr="00B44DB6" w:rsidRDefault="00B44DB6" w:rsidP="001A563F">
      <w:pPr>
        <w:numPr>
          <w:ilvl w:val="0"/>
          <w:numId w:val="5"/>
        </w:numPr>
        <w:tabs>
          <w:tab w:val="left" w:pos="282"/>
        </w:tabs>
        <w:spacing w:line="360" w:lineRule="auto"/>
        <w:ind w:left="-1" w:firstLine="0"/>
        <w:jc w:val="both"/>
        <w:rPr>
          <w:rFonts w:cs="David"/>
          <w:sz w:val="28"/>
          <w:szCs w:val="28"/>
          <w:rtl/>
        </w:rPr>
      </w:pPr>
      <w:r w:rsidRPr="00B44DB6">
        <w:rPr>
          <w:rFonts w:cs="David"/>
          <w:sz w:val="28"/>
          <w:szCs w:val="28"/>
          <w:rtl/>
        </w:rPr>
        <w:t xml:space="preserve">בעת בחינת נסיבות </w:t>
      </w:r>
      <w:r w:rsidR="00481F13">
        <w:rPr>
          <w:rFonts w:cs="David" w:hint="cs"/>
          <w:sz w:val="28"/>
          <w:szCs w:val="28"/>
          <w:rtl/>
        </w:rPr>
        <w:t xml:space="preserve">ביצוע </w:t>
      </w:r>
      <w:r w:rsidRPr="00B44DB6">
        <w:rPr>
          <w:rFonts w:cs="David"/>
          <w:sz w:val="28"/>
          <w:szCs w:val="28"/>
          <w:rtl/>
        </w:rPr>
        <w:t>העביר</w:t>
      </w:r>
      <w:r w:rsidR="00481F13">
        <w:rPr>
          <w:rFonts w:cs="David" w:hint="cs"/>
          <w:sz w:val="28"/>
          <w:szCs w:val="28"/>
          <w:rtl/>
        </w:rPr>
        <w:t>ות</w:t>
      </w:r>
      <w:r w:rsidRPr="00B44DB6">
        <w:rPr>
          <w:rFonts w:cs="David"/>
          <w:sz w:val="28"/>
          <w:szCs w:val="28"/>
          <w:rtl/>
        </w:rPr>
        <w:t xml:space="preserve">, נקבע כי </w:t>
      </w:r>
      <w:r w:rsidR="00481F13">
        <w:rPr>
          <w:rFonts w:cs="David" w:hint="cs"/>
          <w:sz w:val="28"/>
          <w:szCs w:val="28"/>
          <w:rtl/>
        </w:rPr>
        <w:t xml:space="preserve">אלה </w:t>
      </w:r>
      <w:r w:rsidRPr="00B44DB6">
        <w:rPr>
          <w:rFonts w:cs="David"/>
          <w:sz w:val="28"/>
          <w:szCs w:val="28"/>
          <w:rtl/>
        </w:rPr>
        <w:t xml:space="preserve">מלמדות על מהלך מתוכנן ומחושב היטב </w:t>
      </w:r>
      <w:r w:rsidR="00481F13">
        <w:rPr>
          <w:rFonts w:cs="David" w:hint="cs"/>
          <w:sz w:val="28"/>
          <w:szCs w:val="28"/>
          <w:rtl/>
        </w:rPr>
        <w:t xml:space="preserve">של המערער, </w:t>
      </w:r>
      <w:r w:rsidRPr="00B44DB6">
        <w:rPr>
          <w:rFonts w:cs="David"/>
          <w:sz w:val="28"/>
          <w:szCs w:val="28"/>
          <w:rtl/>
        </w:rPr>
        <w:t xml:space="preserve">תוך ש"ניכר כי מדובר במלאכת מחשבת אפלה שכללה תכנון מוקדם קפדני"; וכי הן מגלמות נזק פוטנציאלי משמעותי שיכול היה להיגרם לנפגעת העבירה לו היה הסרטון מפורסם ברבים </w:t>
      </w:r>
      <w:r w:rsidR="00835F3C">
        <w:rPr>
          <w:rFonts w:cs="David" w:hint="cs"/>
          <w:sz w:val="28"/>
          <w:szCs w:val="28"/>
          <w:rtl/>
        </w:rPr>
        <w:t xml:space="preserve">או, אם הייתה מבצעת בעצמה מעשה אינוס, </w:t>
      </w:r>
      <w:r w:rsidRPr="00B44DB6">
        <w:rPr>
          <w:rFonts w:cs="David"/>
          <w:sz w:val="28"/>
          <w:szCs w:val="28"/>
          <w:rtl/>
        </w:rPr>
        <w:t xml:space="preserve">וכן נזק ממשי שנגרם לנפגעת העבירה ולחיילות אחרות בבסיס (חלקן גם כאלה שצולמו </w:t>
      </w:r>
      <w:r w:rsidR="00835F3C">
        <w:rPr>
          <w:rFonts w:cs="David" w:hint="cs"/>
          <w:sz w:val="28"/>
          <w:szCs w:val="28"/>
          <w:rtl/>
        </w:rPr>
        <w:t>ותועדו בסרטון</w:t>
      </w:r>
      <w:r w:rsidR="009D6B85">
        <w:rPr>
          <w:rFonts w:cs="David" w:hint="cs"/>
          <w:sz w:val="28"/>
          <w:szCs w:val="28"/>
          <w:rtl/>
        </w:rPr>
        <w:t>,</w:t>
      </w:r>
      <w:r w:rsidR="00835F3C">
        <w:rPr>
          <w:rFonts w:cs="David" w:hint="cs"/>
          <w:sz w:val="28"/>
          <w:szCs w:val="28"/>
          <w:rtl/>
        </w:rPr>
        <w:t xml:space="preserve"> </w:t>
      </w:r>
      <w:r w:rsidRPr="00B44DB6">
        <w:rPr>
          <w:rFonts w:cs="David"/>
          <w:sz w:val="28"/>
          <w:szCs w:val="28"/>
          <w:rtl/>
        </w:rPr>
        <w:t xml:space="preserve">בעירום מלא או חלקי). </w:t>
      </w:r>
    </w:p>
    <w:p w14:paraId="27870A28" w14:textId="2A690972" w:rsidR="00B44DB6" w:rsidRPr="00B44DB6" w:rsidRDefault="00B44DB6" w:rsidP="001A563F">
      <w:pPr>
        <w:numPr>
          <w:ilvl w:val="0"/>
          <w:numId w:val="5"/>
        </w:numPr>
        <w:tabs>
          <w:tab w:val="left" w:pos="282"/>
        </w:tabs>
        <w:spacing w:line="360" w:lineRule="auto"/>
        <w:ind w:left="-1" w:firstLine="0"/>
        <w:jc w:val="both"/>
        <w:rPr>
          <w:rFonts w:cs="David"/>
          <w:sz w:val="28"/>
          <w:szCs w:val="28"/>
          <w:rtl/>
        </w:rPr>
      </w:pPr>
      <w:r w:rsidRPr="00B44DB6">
        <w:rPr>
          <w:rFonts w:cs="David"/>
          <w:sz w:val="28"/>
          <w:szCs w:val="28"/>
          <w:rtl/>
        </w:rPr>
        <w:t xml:space="preserve">לצד זאת, לאחר בחינה של מדיניות הענישה </w:t>
      </w:r>
      <w:r w:rsidR="00481F13">
        <w:rPr>
          <w:rFonts w:cs="David" w:hint="cs"/>
          <w:sz w:val="28"/>
          <w:szCs w:val="28"/>
          <w:rtl/>
        </w:rPr>
        <w:t>במקרים דומים</w:t>
      </w:r>
      <w:r w:rsidRPr="00B44DB6">
        <w:rPr>
          <w:rFonts w:cs="David"/>
          <w:sz w:val="28"/>
          <w:szCs w:val="28"/>
          <w:rtl/>
        </w:rPr>
        <w:t xml:space="preserve">, מצא בית הדין לדחות את טענת התביעה </w:t>
      </w:r>
      <w:r w:rsidR="00481F13">
        <w:rPr>
          <w:rFonts w:cs="David" w:hint="cs"/>
          <w:sz w:val="28"/>
          <w:szCs w:val="28"/>
          <w:rtl/>
        </w:rPr>
        <w:t>ש</w:t>
      </w:r>
      <w:r w:rsidRPr="00B44DB6">
        <w:rPr>
          <w:rFonts w:cs="David"/>
          <w:sz w:val="28"/>
          <w:szCs w:val="28"/>
          <w:rtl/>
        </w:rPr>
        <w:t xml:space="preserve">לפיה יש לקבוע כי העונש המזערי בגין העבירה המושלמת של אינוס </w:t>
      </w:r>
      <w:r w:rsidR="00481F13">
        <w:rPr>
          <w:rFonts w:cs="David" w:hint="cs"/>
          <w:sz w:val="28"/>
          <w:szCs w:val="28"/>
          <w:rtl/>
        </w:rPr>
        <w:t>הוא ה</w:t>
      </w:r>
      <w:r w:rsidRPr="00B44DB6">
        <w:rPr>
          <w:rFonts w:cs="David"/>
          <w:sz w:val="28"/>
          <w:szCs w:val="28"/>
          <w:rtl/>
        </w:rPr>
        <w:t xml:space="preserve">רף תחתון </w:t>
      </w:r>
      <w:r w:rsidR="00481F13">
        <w:rPr>
          <w:rFonts w:cs="David" w:hint="cs"/>
          <w:sz w:val="28"/>
          <w:szCs w:val="28"/>
          <w:rtl/>
        </w:rPr>
        <w:t>ב</w:t>
      </w:r>
      <w:r w:rsidRPr="00B44DB6">
        <w:rPr>
          <w:rFonts w:cs="David"/>
          <w:sz w:val="28"/>
          <w:szCs w:val="28"/>
          <w:rtl/>
        </w:rPr>
        <w:t xml:space="preserve">מתחם העונש ההולם </w:t>
      </w:r>
      <w:r w:rsidR="00835F3C">
        <w:rPr>
          <w:rFonts w:cs="David" w:hint="cs"/>
          <w:sz w:val="28"/>
          <w:szCs w:val="28"/>
          <w:rtl/>
        </w:rPr>
        <w:t xml:space="preserve">גם </w:t>
      </w:r>
      <w:r w:rsidR="00481F13">
        <w:rPr>
          <w:rFonts w:cs="David" w:hint="cs"/>
          <w:sz w:val="28"/>
          <w:szCs w:val="28"/>
          <w:rtl/>
        </w:rPr>
        <w:t>ב</w:t>
      </w:r>
      <w:r w:rsidRPr="00B44DB6">
        <w:rPr>
          <w:rFonts w:cs="David"/>
          <w:sz w:val="28"/>
          <w:szCs w:val="28"/>
          <w:rtl/>
        </w:rPr>
        <w:t>עביר</w:t>
      </w:r>
      <w:r w:rsidR="00481F13">
        <w:rPr>
          <w:rFonts w:cs="David" w:hint="cs"/>
          <w:sz w:val="28"/>
          <w:szCs w:val="28"/>
          <w:rtl/>
        </w:rPr>
        <w:t xml:space="preserve">ה של </w:t>
      </w:r>
      <w:r w:rsidRPr="00B44DB6">
        <w:rPr>
          <w:rFonts w:cs="David"/>
          <w:sz w:val="28"/>
          <w:szCs w:val="28"/>
          <w:rtl/>
        </w:rPr>
        <w:t>ניסיון לגרם מעשה אינוס. מתחם הע</w:t>
      </w:r>
      <w:r w:rsidR="00481F13">
        <w:rPr>
          <w:rFonts w:cs="David" w:hint="cs"/>
          <w:sz w:val="28"/>
          <w:szCs w:val="28"/>
          <w:rtl/>
        </w:rPr>
        <w:t>ו</w:t>
      </w:r>
      <w:r w:rsidRPr="00B44DB6">
        <w:rPr>
          <w:rFonts w:cs="David"/>
          <w:sz w:val="28"/>
          <w:szCs w:val="28"/>
          <w:rtl/>
        </w:rPr>
        <w:t>נש</w:t>
      </w:r>
      <w:r w:rsidR="00481F13">
        <w:rPr>
          <w:rFonts w:cs="David" w:hint="cs"/>
          <w:sz w:val="28"/>
          <w:szCs w:val="28"/>
          <w:rtl/>
        </w:rPr>
        <w:t xml:space="preserve"> ההולם </w:t>
      </w:r>
      <w:r w:rsidRPr="00B44DB6">
        <w:rPr>
          <w:rFonts w:cs="David"/>
          <w:sz w:val="28"/>
          <w:szCs w:val="28"/>
          <w:rtl/>
        </w:rPr>
        <w:t>שנקבע בסופ</w:t>
      </w:r>
      <w:r w:rsidR="00481F13">
        <w:rPr>
          <w:rFonts w:cs="David" w:hint="cs"/>
          <w:sz w:val="28"/>
          <w:szCs w:val="28"/>
          <w:rtl/>
        </w:rPr>
        <w:t xml:space="preserve">ו של דבר </w:t>
      </w:r>
      <w:r w:rsidRPr="00232DBD">
        <w:rPr>
          <w:rFonts w:cs="David"/>
          <w:b/>
          <w:bCs/>
          <w:sz w:val="28"/>
          <w:szCs w:val="28"/>
          <w:rtl/>
        </w:rPr>
        <w:t>נע בין 24 ל-48 חודשי מאסר בפועל</w:t>
      </w:r>
      <w:r w:rsidRPr="00B44DB6">
        <w:rPr>
          <w:rFonts w:cs="David"/>
          <w:sz w:val="28"/>
          <w:szCs w:val="28"/>
          <w:rtl/>
        </w:rPr>
        <w:t xml:space="preserve">. </w:t>
      </w:r>
    </w:p>
    <w:p w14:paraId="029D75E1" w14:textId="1A9C2C9D" w:rsidR="00B44DB6" w:rsidRPr="00B44DB6" w:rsidRDefault="0071724F"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lastRenderedPageBreak/>
        <w:t xml:space="preserve">אשר למידת </w:t>
      </w:r>
      <w:r w:rsidR="00B44DB6" w:rsidRPr="00B44DB6">
        <w:rPr>
          <w:rFonts w:cs="David"/>
          <w:sz w:val="28"/>
          <w:szCs w:val="28"/>
          <w:rtl/>
        </w:rPr>
        <w:t>העונש הראוי בתוך מתחם הע</w:t>
      </w:r>
      <w:r>
        <w:rPr>
          <w:rFonts w:cs="David" w:hint="cs"/>
          <w:sz w:val="28"/>
          <w:szCs w:val="28"/>
          <w:rtl/>
        </w:rPr>
        <w:t>ו</w:t>
      </w:r>
      <w:r w:rsidR="00B44DB6" w:rsidRPr="00B44DB6">
        <w:rPr>
          <w:rFonts w:cs="David"/>
          <w:sz w:val="28"/>
          <w:szCs w:val="28"/>
          <w:rtl/>
        </w:rPr>
        <w:t xml:space="preserve">נש, </w:t>
      </w:r>
      <w:r w:rsidR="009D6B85">
        <w:rPr>
          <w:rFonts w:cs="David" w:hint="cs"/>
          <w:sz w:val="28"/>
          <w:szCs w:val="28"/>
          <w:rtl/>
        </w:rPr>
        <w:t xml:space="preserve">עמד </w:t>
      </w:r>
      <w:r w:rsidR="00B44DB6" w:rsidRPr="00B44DB6">
        <w:rPr>
          <w:rFonts w:cs="David"/>
          <w:sz w:val="28"/>
          <w:szCs w:val="28"/>
          <w:rtl/>
        </w:rPr>
        <w:t>בית הדין על כך שהמערער הכחיש את מעורבותו במעש</w:t>
      </w:r>
      <w:r>
        <w:rPr>
          <w:rFonts w:cs="David" w:hint="cs"/>
          <w:sz w:val="28"/>
          <w:szCs w:val="28"/>
          <w:rtl/>
        </w:rPr>
        <w:t>ים</w:t>
      </w:r>
      <w:r w:rsidR="00B44DB6" w:rsidRPr="00B44DB6">
        <w:rPr>
          <w:rFonts w:cs="David"/>
          <w:sz w:val="28"/>
          <w:szCs w:val="28"/>
          <w:rtl/>
        </w:rPr>
        <w:t xml:space="preserve"> שיוחס</w:t>
      </w:r>
      <w:r>
        <w:rPr>
          <w:rFonts w:cs="David" w:hint="cs"/>
          <w:sz w:val="28"/>
          <w:szCs w:val="28"/>
          <w:rtl/>
        </w:rPr>
        <w:t>ו</w:t>
      </w:r>
      <w:r w:rsidR="00B44DB6" w:rsidRPr="00B44DB6">
        <w:rPr>
          <w:rFonts w:cs="David"/>
          <w:sz w:val="28"/>
          <w:szCs w:val="28"/>
          <w:rtl/>
        </w:rPr>
        <w:t xml:space="preserve"> לו ב</w:t>
      </w:r>
      <w:r>
        <w:rPr>
          <w:rFonts w:cs="David" w:hint="cs"/>
          <w:sz w:val="28"/>
          <w:szCs w:val="28"/>
          <w:rtl/>
        </w:rPr>
        <w:t>חקירה ובמשפט</w:t>
      </w:r>
      <w:r w:rsidR="00B44DB6" w:rsidRPr="00B44DB6">
        <w:rPr>
          <w:rFonts w:cs="David"/>
          <w:sz w:val="28"/>
          <w:szCs w:val="28"/>
          <w:rtl/>
        </w:rPr>
        <w:t xml:space="preserve">. נקבע, כי אף שהבחירה לכפור באשמה ולנהל את משפטו אינה שיקול </w:t>
      </w:r>
      <w:r>
        <w:rPr>
          <w:rFonts w:cs="David" w:hint="cs"/>
          <w:sz w:val="28"/>
          <w:szCs w:val="28"/>
          <w:rtl/>
        </w:rPr>
        <w:t>להחמיר ב</w:t>
      </w:r>
      <w:r w:rsidR="00B44DB6" w:rsidRPr="00B44DB6">
        <w:rPr>
          <w:rFonts w:cs="David"/>
          <w:sz w:val="28"/>
          <w:szCs w:val="28"/>
          <w:rtl/>
        </w:rPr>
        <w:t>עונש, הרי שהמערער אינו זכאי ליהנות מ</w:t>
      </w:r>
      <w:r>
        <w:rPr>
          <w:rFonts w:cs="David" w:hint="cs"/>
          <w:sz w:val="28"/>
          <w:szCs w:val="28"/>
          <w:rtl/>
        </w:rPr>
        <w:t xml:space="preserve">ן </w:t>
      </w:r>
      <w:r w:rsidR="00B44DB6" w:rsidRPr="00B44DB6">
        <w:rPr>
          <w:rFonts w:cs="David"/>
          <w:sz w:val="28"/>
          <w:szCs w:val="28"/>
          <w:rtl/>
        </w:rPr>
        <w:t>ההקלה השמורה לאלו המודים ונוטלים אחריות בשלבים מוקדמים</w:t>
      </w:r>
      <w:r>
        <w:rPr>
          <w:rFonts w:cs="David" w:hint="cs"/>
          <w:sz w:val="28"/>
          <w:szCs w:val="28"/>
          <w:rtl/>
        </w:rPr>
        <w:t xml:space="preserve"> בהליך</w:t>
      </w:r>
      <w:r w:rsidR="00B44DB6" w:rsidRPr="00B44DB6">
        <w:rPr>
          <w:rFonts w:cs="David"/>
          <w:sz w:val="28"/>
          <w:szCs w:val="28"/>
          <w:rtl/>
        </w:rPr>
        <w:t xml:space="preserve">. </w:t>
      </w:r>
      <w:r>
        <w:rPr>
          <w:rFonts w:cs="David" w:hint="cs"/>
          <w:sz w:val="28"/>
          <w:szCs w:val="28"/>
          <w:rtl/>
        </w:rPr>
        <w:t xml:space="preserve">הוטעם, כי </w:t>
      </w:r>
      <w:r w:rsidR="00B44DB6" w:rsidRPr="00B44DB6">
        <w:rPr>
          <w:rFonts w:cs="David"/>
          <w:sz w:val="28"/>
          <w:szCs w:val="28"/>
          <w:rtl/>
        </w:rPr>
        <w:t>נטילת האחריות בשלב הערכת המסוכנות, נחזית כאינסטרומנטלית בלבד ועל כן קשה ל</w:t>
      </w:r>
      <w:r w:rsidR="00835F3C">
        <w:rPr>
          <w:rFonts w:cs="David" w:hint="cs"/>
          <w:sz w:val="28"/>
          <w:szCs w:val="28"/>
          <w:rtl/>
        </w:rPr>
        <w:t xml:space="preserve">זקוף </w:t>
      </w:r>
      <w:r w:rsidR="00B44DB6" w:rsidRPr="00B44DB6">
        <w:rPr>
          <w:rFonts w:cs="David"/>
          <w:sz w:val="28"/>
          <w:szCs w:val="28"/>
          <w:rtl/>
        </w:rPr>
        <w:t xml:space="preserve">אותה לזכותו. </w:t>
      </w:r>
      <w:r w:rsidR="00835F3C">
        <w:rPr>
          <w:rFonts w:cs="David" w:hint="cs"/>
          <w:sz w:val="28"/>
          <w:szCs w:val="28"/>
          <w:rtl/>
        </w:rPr>
        <w:t>כמו כן, ניתן משקל ל</w:t>
      </w:r>
      <w:r w:rsidR="00B44DB6" w:rsidRPr="00B44DB6">
        <w:rPr>
          <w:rFonts w:cs="David"/>
          <w:sz w:val="28"/>
          <w:szCs w:val="28"/>
          <w:rtl/>
        </w:rPr>
        <w:t>התנהגותו המניפולטיבית ו</w:t>
      </w:r>
      <w:r w:rsidR="00835F3C">
        <w:rPr>
          <w:rFonts w:cs="David" w:hint="cs"/>
          <w:sz w:val="28"/>
          <w:szCs w:val="28"/>
          <w:rtl/>
        </w:rPr>
        <w:t>ל</w:t>
      </w:r>
      <w:r w:rsidR="00B44DB6" w:rsidRPr="00B44DB6">
        <w:rPr>
          <w:rFonts w:cs="David"/>
          <w:sz w:val="28"/>
          <w:szCs w:val="28"/>
          <w:rtl/>
        </w:rPr>
        <w:t>חוסר שיתוף הפעולה של המערער במהלך החקירה</w:t>
      </w:r>
      <w:r w:rsidR="00835F3C">
        <w:rPr>
          <w:rFonts w:cs="David" w:hint="cs"/>
          <w:sz w:val="28"/>
          <w:szCs w:val="28"/>
          <w:rtl/>
        </w:rPr>
        <w:t xml:space="preserve">. בית הדין אף </w:t>
      </w:r>
      <w:r>
        <w:rPr>
          <w:rFonts w:cs="David" w:hint="cs"/>
          <w:sz w:val="28"/>
          <w:szCs w:val="28"/>
          <w:rtl/>
        </w:rPr>
        <w:t xml:space="preserve">הדגיש את </w:t>
      </w:r>
      <w:r w:rsidR="00B44DB6" w:rsidRPr="00B44DB6">
        <w:rPr>
          <w:rFonts w:cs="David"/>
          <w:sz w:val="28"/>
          <w:szCs w:val="28"/>
          <w:rtl/>
        </w:rPr>
        <w:t>סירובו של המערער לאפשר לחוקרי מצ"ח לעיין בתיקיית התמונות המקושרת לחשבון ה</w:t>
      </w:r>
      <w:r>
        <w:rPr>
          <w:rFonts w:cs="David" w:hint="cs"/>
          <w:sz w:val="28"/>
          <w:szCs w:val="28"/>
          <w:rtl/>
        </w:rPr>
        <w:t>דוא"ל (</w:t>
      </w:r>
      <w:r w:rsidR="00B44DB6" w:rsidRPr="00B44DB6">
        <w:rPr>
          <w:rFonts w:cs="David"/>
          <w:sz w:val="28"/>
          <w:szCs w:val="28"/>
        </w:rPr>
        <w:t>gmail</w:t>
      </w:r>
      <w:r>
        <w:rPr>
          <w:rFonts w:cs="David" w:hint="cs"/>
          <w:sz w:val="28"/>
          <w:szCs w:val="28"/>
          <w:rtl/>
        </w:rPr>
        <w:t>)</w:t>
      </w:r>
      <w:r w:rsidR="00B44DB6" w:rsidRPr="00B44DB6">
        <w:rPr>
          <w:rFonts w:cs="David"/>
          <w:sz w:val="28"/>
          <w:szCs w:val="28"/>
          <w:rtl/>
        </w:rPr>
        <w:t xml:space="preserve"> שלו, שבה</w:t>
      </w:r>
      <w:r>
        <w:rPr>
          <w:rFonts w:cs="David" w:hint="cs"/>
          <w:sz w:val="28"/>
          <w:szCs w:val="28"/>
          <w:rtl/>
        </w:rPr>
        <w:t>,</w:t>
      </w:r>
      <w:r w:rsidR="00B44DB6" w:rsidRPr="00B44DB6">
        <w:rPr>
          <w:rFonts w:cs="David"/>
          <w:sz w:val="28"/>
          <w:szCs w:val="28"/>
          <w:rtl/>
        </w:rPr>
        <w:t xml:space="preserve"> לפי הראיות שהו</w:t>
      </w:r>
      <w:r>
        <w:rPr>
          <w:rFonts w:cs="David" w:hint="cs"/>
          <w:sz w:val="28"/>
          <w:szCs w:val="28"/>
          <w:rtl/>
        </w:rPr>
        <w:t>צגו</w:t>
      </w:r>
      <w:r w:rsidR="00B44DB6" w:rsidRPr="00B44DB6">
        <w:rPr>
          <w:rFonts w:cs="David"/>
          <w:sz w:val="28"/>
          <w:szCs w:val="28"/>
          <w:rtl/>
        </w:rPr>
        <w:t xml:space="preserve">, נוגן סרטון העבירה לפחות פעם אחת. צוין, כי סירובו </w:t>
      </w:r>
      <w:r>
        <w:rPr>
          <w:rFonts w:cs="David" w:hint="cs"/>
          <w:sz w:val="28"/>
          <w:szCs w:val="28"/>
          <w:rtl/>
        </w:rPr>
        <w:t xml:space="preserve">כאמור, </w:t>
      </w:r>
      <w:r w:rsidR="00835F3C">
        <w:rPr>
          <w:rFonts w:cs="David" w:hint="cs"/>
          <w:sz w:val="28"/>
          <w:szCs w:val="28"/>
          <w:rtl/>
        </w:rPr>
        <w:t>מונע מ</w:t>
      </w:r>
      <w:r w:rsidR="00B44DB6" w:rsidRPr="00B44DB6">
        <w:rPr>
          <w:rFonts w:cs="David"/>
          <w:sz w:val="28"/>
          <w:szCs w:val="28"/>
          <w:rtl/>
        </w:rPr>
        <w:t>נפגעת העבירה</w:t>
      </w:r>
      <w:r w:rsidR="00835F3C">
        <w:rPr>
          <w:rFonts w:cs="David" w:hint="cs"/>
          <w:sz w:val="28"/>
          <w:szCs w:val="28"/>
          <w:rtl/>
        </w:rPr>
        <w:t xml:space="preserve"> את השקט הנפשי שהיא מייחלת לו, לנוכח חששה מפני קיומם של </w:t>
      </w:r>
      <w:r>
        <w:rPr>
          <w:rFonts w:cs="David" w:hint="cs"/>
          <w:sz w:val="28"/>
          <w:szCs w:val="28"/>
          <w:rtl/>
        </w:rPr>
        <w:t xml:space="preserve">סרטונים המתעדים אותה בעירום, </w:t>
      </w:r>
      <w:r w:rsidR="00835F3C">
        <w:rPr>
          <w:rFonts w:cs="David" w:hint="cs"/>
          <w:sz w:val="28"/>
          <w:szCs w:val="28"/>
          <w:rtl/>
        </w:rPr>
        <w:t xml:space="preserve">המצויים עדיין </w:t>
      </w:r>
      <w:r>
        <w:rPr>
          <w:rFonts w:cs="David" w:hint="cs"/>
          <w:sz w:val="28"/>
          <w:szCs w:val="28"/>
          <w:rtl/>
        </w:rPr>
        <w:t>ברשותו של המערער</w:t>
      </w:r>
      <w:r w:rsidR="00B44DB6" w:rsidRPr="00B44DB6">
        <w:rPr>
          <w:rFonts w:cs="David"/>
          <w:sz w:val="28"/>
          <w:szCs w:val="28"/>
          <w:rtl/>
        </w:rPr>
        <w:t xml:space="preserve">, </w:t>
      </w:r>
      <w:r w:rsidR="00835F3C">
        <w:rPr>
          <w:rFonts w:cs="David" w:hint="cs"/>
          <w:sz w:val="28"/>
          <w:szCs w:val="28"/>
          <w:rtl/>
        </w:rPr>
        <w:t>ו</w:t>
      </w:r>
      <w:r>
        <w:rPr>
          <w:rFonts w:cs="David" w:hint="cs"/>
          <w:sz w:val="28"/>
          <w:szCs w:val="28"/>
          <w:rtl/>
        </w:rPr>
        <w:t xml:space="preserve">עלולים להיות מופצים </w:t>
      </w:r>
      <w:r w:rsidR="00B44DB6" w:rsidRPr="00B44DB6">
        <w:rPr>
          <w:rFonts w:cs="David"/>
          <w:sz w:val="28"/>
          <w:szCs w:val="28"/>
          <w:rtl/>
        </w:rPr>
        <w:t>ברבים.</w:t>
      </w:r>
    </w:p>
    <w:p w14:paraId="6DBFE7F1" w14:textId="74684079" w:rsidR="00B44DB6" w:rsidRPr="00B44DB6" w:rsidRDefault="0071724F"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 xml:space="preserve">בסופו של דבר, </w:t>
      </w:r>
      <w:r w:rsidR="00B44DB6" w:rsidRPr="00B44DB6">
        <w:rPr>
          <w:rFonts w:cs="David"/>
          <w:sz w:val="28"/>
          <w:szCs w:val="28"/>
          <w:rtl/>
        </w:rPr>
        <w:t xml:space="preserve">הושת </w:t>
      </w:r>
      <w:r>
        <w:rPr>
          <w:rFonts w:cs="David" w:hint="cs"/>
          <w:sz w:val="28"/>
          <w:szCs w:val="28"/>
          <w:rtl/>
        </w:rPr>
        <w:t xml:space="preserve">על המערער מאסר בפועל </w:t>
      </w:r>
      <w:r w:rsidR="00B44DB6" w:rsidRPr="00B44DB6">
        <w:rPr>
          <w:rFonts w:cs="David"/>
          <w:sz w:val="28"/>
          <w:szCs w:val="28"/>
          <w:rtl/>
        </w:rPr>
        <w:t>בן שלוש שנים</w:t>
      </w:r>
      <w:r>
        <w:rPr>
          <w:rFonts w:cs="David" w:hint="cs"/>
          <w:sz w:val="28"/>
          <w:szCs w:val="28"/>
          <w:rtl/>
        </w:rPr>
        <w:t xml:space="preserve">. </w:t>
      </w:r>
      <w:r w:rsidR="00B44DB6" w:rsidRPr="00B44DB6">
        <w:rPr>
          <w:rFonts w:cs="David"/>
          <w:sz w:val="28"/>
          <w:szCs w:val="28"/>
          <w:rtl/>
        </w:rPr>
        <w:t>נקבע</w:t>
      </w:r>
      <w:r>
        <w:rPr>
          <w:rFonts w:cs="David" w:hint="cs"/>
          <w:sz w:val="28"/>
          <w:szCs w:val="28"/>
          <w:rtl/>
        </w:rPr>
        <w:t xml:space="preserve">, כי עונש זה מגלם גם את </w:t>
      </w:r>
      <w:r w:rsidR="00B44DB6" w:rsidRPr="00B44DB6">
        <w:rPr>
          <w:rFonts w:cs="David"/>
          <w:sz w:val="28"/>
          <w:szCs w:val="28"/>
          <w:rtl/>
        </w:rPr>
        <w:t>התחשבות בית הדין בהשלכות כבדות המשקל שיש ל</w:t>
      </w:r>
      <w:r>
        <w:rPr>
          <w:rFonts w:cs="David" w:hint="cs"/>
          <w:sz w:val="28"/>
          <w:szCs w:val="28"/>
          <w:rtl/>
        </w:rPr>
        <w:t xml:space="preserve">תקופת המאסר </w:t>
      </w:r>
      <w:r w:rsidR="00B44DB6" w:rsidRPr="00B44DB6">
        <w:rPr>
          <w:rFonts w:cs="David"/>
          <w:sz w:val="28"/>
          <w:szCs w:val="28"/>
          <w:rtl/>
        </w:rPr>
        <w:t xml:space="preserve">על משפחתו, </w:t>
      </w:r>
      <w:r w:rsidR="00835F3C">
        <w:rPr>
          <w:rFonts w:cs="David" w:hint="cs"/>
          <w:sz w:val="28"/>
          <w:szCs w:val="28"/>
          <w:rtl/>
        </w:rPr>
        <w:t>ל</w:t>
      </w:r>
      <w:r w:rsidR="00B44DB6" w:rsidRPr="00B44DB6">
        <w:rPr>
          <w:rFonts w:cs="David"/>
          <w:sz w:val="28"/>
          <w:szCs w:val="28"/>
          <w:rtl/>
        </w:rPr>
        <w:t xml:space="preserve">נוכח הנסיבות הקשות שהובאו </w:t>
      </w:r>
      <w:r w:rsidR="00835F3C">
        <w:rPr>
          <w:rFonts w:cs="David" w:hint="cs"/>
          <w:sz w:val="28"/>
          <w:szCs w:val="28"/>
          <w:rtl/>
        </w:rPr>
        <w:t>לפני בית הדין</w:t>
      </w:r>
      <w:r w:rsidR="00E25C04">
        <w:rPr>
          <w:rFonts w:cs="David" w:hint="cs"/>
          <w:sz w:val="28"/>
          <w:szCs w:val="28"/>
          <w:rtl/>
        </w:rPr>
        <w:t xml:space="preserve">, ובהתאם, </w:t>
      </w:r>
      <w:r w:rsidR="00B44DB6" w:rsidRPr="00B44DB6">
        <w:rPr>
          <w:rFonts w:cs="David"/>
          <w:sz w:val="28"/>
          <w:szCs w:val="28"/>
          <w:rtl/>
        </w:rPr>
        <w:t xml:space="preserve">נקבע כי: "אם מצאנו להקל במידת העונש ולא לגזור את עונשו של הנאשם ברף העליון של מתחם העונש ההולם, היה זה בין היתר נוכח הנסיבות המצערות שמהן סבלה משפחתו ומתוך התחשבות בילדיו של </w:t>
      </w:r>
      <w:r w:rsidR="009D6B85">
        <w:rPr>
          <w:rFonts w:cs="David" w:hint="cs"/>
          <w:sz w:val="28"/>
          <w:szCs w:val="28"/>
          <w:rtl/>
        </w:rPr>
        <w:t>[המערער]</w:t>
      </w:r>
      <w:r w:rsidR="00B44DB6" w:rsidRPr="00B44DB6">
        <w:rPr>
          <w:rFonts w:cs="David"/>
          <w:sz w:val="28"/>
          <w:szCs w:val="28"/>
          <w:rtl/>
        </w:rPr>
        <w:t xml:space="preserve">". </w:t>
      </w:r>
    </w:p>
    <w:p w14:paraId="7631F306" w14:textId="5E7E600F" w:rsidR="00B44DB6" w:rsidRPr="00B44DB6" w:rsidRDefault="00E25C04"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לצד עונש המאסר בפועל ועונש המאסר על תנאי</w:t>
      </w:r>
      <w:r w:rsidR="009632C9">
        <w:rPr>
          <w:rFonts w:cs="David" w:hint="cs"/>
          <w:sz w:val="28"/>
          <w:szCs w:val="28"/>
          <w:rtl/>
        </w:rPr>
        <w:t>,</w:t>
      </w:r>
      <w:r>
        <w:rPr>
          <w:rFonts w:cs="David" w:hint="cs"/>
          <w:sz w:val="28"/>
          <w:szCs w:val="28"/>
          <w:rtl/>
        </w:rPr>
        <w:t xml:space="preserve"> </w:t>
      </w:r>
      <w:r w:rsidR="009D6B85">
        <w:rPr>
          <w:rFonts w:cs="David" w:hint="cs"/>
          <w:sz w:val="28"/>
          <w:szCs w:val="28"/>
          <w:rtl/>
        </w:rPr>
        <w:t xml:space="preserve">נפסקו </w:t>
      </w:r>
      <w:r>
        <w:rPr>
          <w:rFonts w:cs="David" w:hint="cs"/>
          <w:sz w:val="28"/>
          <w:szCs w:val="28"/>
          <w:rtl/>
        </w:rPr>
        <w:t xml:space="preserve">פיצויים </w:t>
      </w:r>
      <w:r w:rsidR="0071724F">
        <w:rPr>
          <w:rFonts w:cs="David" w:hint="cs"/>
          <w:sz w:val="28"/>
          <w:szCs w:val="28"/>
          <w:rtl/>
        </w:rPr>
        <w:t>לנפגעת העבירה</w:t>
      </w:r>
      <w:r>
        <w:rPr>
          <w:rFonts w:cs="David" w:hint="cs"/>
          <w:sz w:val="28"/>
          <w:szCs w:val="28"/>
          <w:rtl/>
        </w:rPr>
        <w:t xml:space="preserve">, </w:t>
      </w:r>
      <w:r w:rsidR="009D6B85">
        <w:rPr>
          <w:rFonts w:cs="David" w:hint="cs"/>
          <w:sz w:val="28"/>
          <w:szCs w:val="28"/>
          <w:rtl/>
        </w:rPr>
        <w:t xml:space="preserve">בסך </w:t>
      </w:r>
      <w:r w:rsidR="00B44DB6" w:rsidRPr="00B44DB6">
        <w:rPr>
          <w:rFonts w:cs="David"/>
          <w:sz w:val="28"/>
          <w:szCs w:val="28"/>
          <w:rtl/>
        </w:rPr>
        <w:t xml:space="preserve">10,000 </w:t>
      </w:r>
      <w:r w:rsidR="0071724F">
        <w:rPr>
          <w:rFonts w:cs="David" w:hint="cs"/>
          <w:sz w:val="28"/>
          <w:szCs w:val="28"/>
          <w:rtl/>
        </w:rPr>
        <w:t>ש"ח.</w:t>
      </w:r>
      <w:r w:rsidR="00B44DB6" w:rsidRPr="00B44DB6">
        <w:rPr>
          <w:rFonts w:cs="David"/>
          <w:sz w:val="28"/>
          <w:szCs w:val="28"/>
          <w:rtl/>
        </w:rPr>
        <w:t xml:space="preserve"> הוטעם</w:t>
      </w:r>
      <w:r w:rsidR="009D6B85">
        <w:rPr>
          <w:rFonts w:cs="David" w:hint="cs"/>
          <w:sz w:val="28"/>
          <w:szCs w:val="28"/>
          <w:rtl/>
        </w:rPr>
        <w:t>,</w:t>
      </w:r>
      <w:r w:rsidR="00B44DB6" w:rsidRPr="00B44DB6">
        <w:rPr>
          <w:rFonts w:cs="David"/>
          <w:sz w:val="28"/>
          <w:szCs w:val="28"/>
          <w:rtl/>
        </w:rPr>
        <w:t xml:space="preserve"> כי תכליתו </w:t>
      </w:r>
      <w:r>
        <w:rPr>
          <w:rFonts w:cs="David" w:hint="cs"/>
          <w:sz w:val="28"/>
          <w:szCs w:val="28"/>
          <w:rtl/>
        </w:rPr>
        <w:t xml:space="preserve">של </w:t>
      </w:r>
      <w:r w:rsidR="009D6B85">
        <w:rPr>
          <w:rFonts w:cs="David" w:hint="cs"/>
          <w:sz w:val="28"/>
          <w:szCs w:val="28"/>
          <w:rtl/>
        </w:rPr>
        <w:t xml:space="preserve">הפיצוי היא </w:t>
      </w:r>
      <w:r w:rsidR="00B44DB6" w:rsidRPr="00B44DB6">
        <w:rPr>
          <w:rFonts w:cs="David"/>
          <w:sz w:val="28"/>
          <w:szCs w:val="28"/>
          <w:rtl/>
        </w:rPr>
        <w:t xml:space="preserve">להעניק </w:t>
      </w:r>
      <w:r>
        <w:rPr>
          <w:rFonts w:cs="David" w:hint="cs"/>
          <w:sz w:val="28"/>
          <w:szCs w:val="28"/>
          <w:rtl/>
        </w:rPr>
        <w:t xml:space="preserve">לנפגעת העבירה </w:t>
      </w:r>
      <w:r w:rsidR="00B44DB6" w:rsidRPr="00B44DB6">
        <w:rPr>
          <w:rFonts w:cs="David"/>
          <w:sz w:val="28"/>
          <w:szCs w:val="28"/>
          <w:rtl/>
        </w:rPr>
        <w:t>סעד מיידי מסויים</w:t>
      </w:r>
      <w:r w:rsidR="009D6B85">
        <w:rPr>
          <w:rFonts w:cs="David" w:hint="cs"/>
          <w:sz w:val="28"/>
          <w:szCs w:val="28"/>
          <w:rtl/>
        </w:rPr>
        <w:t>,</w:t>
      </w:r>
      <w:r w:rsidR="00B44DB6" w:rsidRPr="00B44DB6">
        <w:rPr>
          <w:rFonts w:cs="David"/>
          <w:sz w:val="28"/>
          <w:szCs w:val="28"/>
          <w:rtl/>
        </w:rPr>
        <w:t xml:space="preserve"> ול</w:t>
      </w:r>
      <w:r>
        <w:rPr>
          <w:rFonts w:cs="David" w:hint="cs"/>
          <w:sz w:val="28"/>
          <w:szCs w:val="28"/>
          <w:rtl/>
        </w:rPr>
        <w:t xml:space="preserve">בטא </w:t>
      </w:r>
      <w:r w:rsidR="00B44DB6" w:rsidRPr="00B44DB6">
        <w:rPr>
          <w:rFonts w:cs="David"/>
          <w:sz w:val="28"/>
          <w:szCs w:val="28"/>
          <w:rtl/>
        </w:rPr>
        <w:t>הכרה סמלית בסבל</w:t>
      </w:r>
      <w:r w:rsidR="0071724F">
        <w:rPr>
          <w:rFonts w:cs="David" w:hint="cs"/>
          <w:sz w:val="28"/>
          <w:szCs w:val="28"/>
          <w:rtl/>
        </w:rPr>
        <w:t>ה</w:t>
      </w:r>
      <w:r w:rsidR="00B44DB6" w:rsidRPr="00B44DB6">
        <w:rPr>
          <w:rFonts w:cs="David"/>
          <w:sz w:val="28"/>
          <w:szCs w:val="28"/>
          <w:rtl/>
        </w:rPr>
        <w:t xml:space="preserve"> ו</w:t>
      </w:r>
      <w:r w:rsidR="0071724F">
        <w:rPr>
          <w:rFonts w:cs="David" w:hint="cs"/>
          <w:sz w:val="28"/>
          <w:szCs w:val="28"/>
          <w:rtl/>
        </w:rPr>
        <w:t>ב</w:t>
      </w:r>
      <w:r w:rsidR="00B44DB6" w:rsidRPr="00B44DB6">
        <w:rPr>
          <w:rFonts w:cs="David"/>
          <w:sz w:val="28"/>
          <w:szCs w:val="28"/>
          <w:rtl/>
        </w:rPr>
        <w:t>עוגמת הנפש של</w:t>
      </w:r>
      <w:r>
        <w:rPr>
          <w:rFonts w:cs="David" w:hint="cs"/>
          <w:sz w:val="28"/>
          <w:szCs w:val="28"/>
          <w:rtl/>
        </w:rPr>
        <w:t xml:space="preserve">ה. בית הדין ציין כי </w:t>
      </w:r>
      <w:r w:rsidR="00B44DB6" w:rsidRPr="00B44DB6">
        <w:rPr>
          <w:rFonts w:cs="David"/>
          <w:sz w:val="28"/>
          <w:szCs w:val="28"/>
          <w:rtl/>
        </w:rPr>
        <w:t xml:space="preserve">הפיצויים </w:t>
      </w:r>
      <w:r w:rsidR="009D6B85">
        <w:rPr>
          <w:rFonts w:cs="David" w:hint="cs"/>
          <w:sz w:val="28"/>
          <w:szCs w:val="28"/>
          <w:rtl/>
        </w:rPr>
        <w:t xml:space="preserve">הנפסקים </w:t>
      </w:r>
      <w:r w:rsidR="00B44DB6" w:rsidRPr="00B44DB6">
        <w:rPr>
          <w:rFonts w:cs="David"/>
          <w:sz w:val="28"/>
          <w:szCs w:val="28"/>
          <w:rtl/>
        </w:rPr>
        <w:t xml:space="preserve">בהליך הפלילי לא נועדו לבטא את מלוא סבלו ונזקו של </w:t>
      </w:r>
      <w:r w:rsidR="0071724F">
        <w:rPr>
          <w:rFonts w:cs="David" w:hint="cs"/>
          <w:sz w:val="28"/>
          <w:szCs w:val="28"/>
          <w:rtl/>
        </w:rPr>
        <w:t>נפגע</w:t>
      </w:r>
      <w:r w:rsidR="00B44DB6" w:rsidRPr="00B44DB6">
        <w:rPr>
          <w:rFonts w:cs="David"/>
          <w:sz w:val="28"/>
          <w:szCs w:val="28"/>
          <w:rtl/>
        </w:rPr>
        <w:t xml:space="preserve"> העבירה, אשר בפניו פתוחה הדרך </w:t>
      </w:r>
      <w:r w:rsidR="009D6B85">
        <w:rPr>
          <w:rFonts w:cs="David" w:hint="cs"/>
          <w:sz w:val="28"/>
          <w:szCs w:val="28"/>
          <w:rtl/>
        </w:rPr>
        <w:t xml:space="preserve">לנקוט גם </w:t>
      </w:r>
      <w:r w:rsidR="00B44DB6" w:rsidRPr="00B44DB6">
        <w:rPr>
          <w:rFonts w:cs="David"/>
          <w:sz w:val="28"/>
          <w:szCs w:val="28"/>
          <w:rtl/>
        </w:rPr>
        <w:t xml:space="preserve">הליך אזרחי. </w:t>
      </w:r>
    </w:p>
    <w:p w14:paraId="7545224A" w14:textId="77777777" w:rsidR="00B44DB6" w:rsidRPr="00B44DB6" w:rsidRDefault="00B44DB6" w:rsidP="00B44DB6">
      <w:pPr>
        <w:spacing w:line="360" w:lineRule="auto"/>
        <w:outlineLvl w:val="0"/>
        <w:rPr>
          <w:rFonts w:cs="David"/>
          <w:sz w:val="28"/>
          <w:szCs w:val="28"/>
          <w:rtl/>
        </w:rPr>
      </w:pPr>
    </w:p>
    <w:p w14:paraId="78416D7C" w14:textId="77777777" w:rsidR="00B44DB6" w:rsidRPr="0067506D" w:rsidRDefault="00B44DB6" w:rsidP="00B44DB6">
      <w:pPr>
        <w:spacing w:line="360" w:lineRule="auto"/>
        <w:outlineLvl w:val="0"/>
        <w:rPr>
          <w:rFonts w:cs="David"/>
          <w:b/>
          <w:bCs/>
          <w:sz w:val="28"/>
          <w:szCs w:val="28"/>
          <w:u w:val="single"/>
          <w:rtl/>
        </w:rPr>
      </w:pPr>
      <w:r w:rsidRPr="0067506D">
        <w:rPr>
          <w:rFonts w:cs="David"/>
          <w:b/>
          <w:bCs/>
          <w:sz w:val="28"/>
          <w:szCs w:val="28"/>
          <w:u w:val="single"/>
          <w:rtl/>
        </w:rPr>
        <w:t xml:space="preserve">ערעורי הצדדים על גזר הדין  </w:t>
      </w:r>
    </w:p>
    <w:p w14:paraId="011230F3" w14:textId="77777777" w:rsidR="00B44DB6" w:rsidRPr="00EE3D55" w:rsidRDefault="00B44DB6" w:rsidP="00B44DB6">
      <w:pPr>
        <w:spacing w:line="360" w:lineRule="auto"/>
        <w:outlineLvl w:val="0"/>
        <w:rPr>
          <w:rFonts w:cs="David"/>
          <w:sz w:val="16"/>
          <w:szCs w:val="16"/>
          <w:rtl/>
        </w:rPr>
      </w:pPr>
    </w:p>
    <w:p w14:paraId="5CE9E10F" w14:textId="31381443" w:rsidR="0067506D" w:rsidRPr="009E7CF6" w:rsidRDefault="00B44DB6" w:rsidP="009E7CF6">
      <w:pPr>
        <w:spacing w:line="360" w:lineRule="auto"/>
        <w:outlineLvl w:val="0"/>
        <w:rPr>
          <w:rFonts w:cs="David"/>
          <w:sz w:val="28"/>
          <w:szCs w:val="28"/>
          <w:u w:val="single"/>
          <w:rtl/>
        </w:rPr>
      </w:pPr>
      <w:r w:rsidRPr="0067506D">
        <w:rPr>
          <w:rFonts w:cs="David"/>
          <w:sz w:val="28"/>
          <w:szCs w:val="28"/>
          <w:u w:val="single"/>
          <w:rtl/>
        </w:rPr>
        <w:t xml:space="preserve">ערעור ההגנה </w:t>
      </w:r>
    </w:p>
    <w:p w14:paraId="136BDF8C" w14:textId="4F6E2EFF" w:rsidR="00B44DB6" w:rsidRPr="00B44DB6" w:rsidRDefault="00B44DB6" w:rsidP="001A563F">
      <w:pPr>
        <w:numPr>
          <w:ilvl w:val="0"/>
          <w:numId w:val="5"/>
        </w:numPr>
        <w:tabs>
          <w:tab w:val="left" w:pos="282"/>
        </w:tabs>
        <w:spacing w:line="360" w:lineRule="auto"/>
        <w:ind w:left="-1" w:firstLine="0"/>
        <w:jc w:val="both"/>
        <w:rPr>
          <w:rFonts w:cs="David"/>
          <w:sz w:val="28"/>
          <w:szCs w:val="28"/>
          <w:rtl/>
        </w:rPr>
      </w:pPr>
      <w:r w:rsidRPr="00B44DB6">
        <w:rPr>
          <w:rFonts w:cs="David"/>
          <w:sz w:val="28"/>
          <w:szCs w:val="28"/>
          <w:rtl/>
        </w:rPr>
        <w:t>ההגנה טענה</w:t>
      </w:r>
      <w:r w:rsidR="009D6B85">
        <w:rPr>
          <w:rFonts w:cs="David" w:hint="cs"/>
          <w:sz w:val="28"/>
          <w:szCs w:val="28"/>
          <w:rtl/>
        </w:rPr>
        <w:t>,</w:t>
      </w:r>
      <w:r w:rsidRPr="00B44DB6">
        <w:rPr>
          <w:rFonts w:cs="David"/>
          <w:sz w:val="28"/>
          <w:szCs w:val="28"/>
          <w:rtl/>
        </w:rPr>
        <w:t xml:space="preserve"> </w:t>
      </w:r>
      <w:r w:rsidR="00293DD6">
        <w:rPr>
          <w:rFonts w:cs="David" w:hint="cs"/>
          <w:sz w:val="28"/>
          <w:szCs w:val="28"/>
          <w:rtl/>
        </w:rPr>
        <w:t xml:space="preserve">כי מתחם העונש שנקבע חורג לחומרה </w:t>
      </w:r>
      <w:r w:rsidRPr="00B44DB6">
        <w:rPr>
          <w:rFonts w:cs="David"/>
          <w:sz w:val="28"/>
          <w:szCs w:val="28"/>
          <w:rtl/>
        </w:rPr>
        <w:t>מ</w:t>
      </w:r>
      <w:r w:rsidR="00293DD6">
        <w:rPr>
          <w:rFonts w:cs="David" w:hint="cs"/>
          <w:sz w:val="28"/>
          <w:szCs w:val="28"/>
          <w:rtl/>
        </w:rPr>
        <w:t xml:space="preserve">מדיניות הענישה הנוהגת </w:t>
      </w:r>
      <w:r w:rsidRPr="00B44DB6">
        <w:rPr>
          <w:rFonts w:cs="David"/>
          <w:sz w:val="28"/>
          <w:szCs w:val="28"/>
          <w:rtl/>
        </w:rPr>
        <w:t xml:space="preserve">בפסיקה, בשים לב לכך שמדובר באירוע </w:t>
      </w:r>
      <w:r w:rsidR="00293DD6">
        <w:rPr>
          <w:rFonts w:cs="David" w:hint="cs"/>
          <w:sz w:val="28"/>
          <w:szCs w:val="28"/>
          <w:rtl/>
        </w:rPr>
        <w:t>בודד</w:t>
      </w:r>
      <w:r w:rsidRPr="00B44DB6">
        <w:rPr>
          <w:rFonts w:cs="David"/>
          <w:sz w:val="28"/>
          <w:szCs w:val="28"/>
          <w:rtl/>
        </w:rPr>
        <w:t>, אשר אינו מאופיין, כ</w:t>
      </w:r>
      <w:r w:rsidR="00293DD6">
        <w:rPr>
          <w:rFonts w:cs="David" w:hint="cs"/>
          <w:sz w:val="28"/>
          <w:szCs w:val="28"/>
          <w:rtl/>
        </w:rPr>
        <w:t>נטען</w:t>
      </w:r>
      <w:r w:rsidRPr="00B44DB6">
        <w:rPr>
          <w:rFonts w:cs="David"/>
          <w:sz w:val="28"/>
          <w:szCs w:val="28"/>
          <w:rtl/>
        </w:rPr>
        <w:t>, באכזריות מיוחדת או בפגיעה קשה במיוחד</w:t>
      </w:r>
      <w:r w:rsidR="00293DD6">
        <w:rPr>
          <w:rFonts w:cs="David" w:hint="cs"/>
          <w:sz w:val="28"/>
          <w:szCs w:val="28"/>
          <w:rtl/>
        </w:rPr>
        <w:t xml:space="preserve"> בנפגעת העבירה</w:t>
      </w:r>
      <w:r w:rsidRPr="00B44DB6">
        <w:rPr>
          <w:rFonts w:cs="David"/>
          <w:sz w:val="28"/>
          <w:szCs w:val="28"/>
          <w:rtl/>
        </w:rPr>
        <w:t>. ההגנה הפנתה לפסיקה רבה התומכת, לשיטתה</w:t>
      </w:r>
      <w:r w:rsidR="00293DD6">
        <w:rPr>
          <w:rFonts w:cs="David" w:hint="cs"/>
          <w:sz w:val="28"/>
          <w:szCs w:val="28"/>
          <w:rtl/>
        </w:rPr>
        <w:t>,</w:t>
      </w:r>
      <w:r w:rsidRPr="00B44DB6">
        <w:rPr>
          <w:rFonts w:cs="David"/>
          <w:sz w:val="28"/>
          <w:szCs w:val="28"/>
          <w:rtl/>
        </w:rPr>
        <w:t xml:space="preserve"> ב</w:t>
      </w:r>
      <w:r w:rsidR="00293DD6">
        <w:rPr>
          <w:rFonts w:cs="David" w:hint="cs"/>
          <w:sz w:val="28"/>
          <w:szCs w:val="28"/>
          <w:rtl/>
        </w:rPr>
        <w:t xml:space="preserve">עמדתה וטענה כי </w:t>
      </w:r>
      <w:r w:rsidR="00E25C04">
        <w:rPr>
          <w:rFonts w:cs="David" w:hint="cs"/>
          <w:sz w:val="28"/>
          <w:szCs w:val="28"/>
          <w:rtl/>
        </w:rPr>
        <w:t xml:space="preserve">אף </w:t>
      </w:r>
      <w:r w:rsidRPr="00B44DB6">
        <w:rPr>
          <w:rFonts w:cs="David"/>
          <w:sz w:val="28"/>
          <w:szCs w:val="28"/>
          <w:rtl/>
        </w:rPr>
        <w:t>הפסיקה שהצ</w:t>
      </w:r>
      <w:r w:rsidR="00293DD6">
        <w:rPr>
          <w:rFonts w:cs="David" w:hint="cs"/>
          <w:sz w:val="28"/>
          <w:szCs w:val="28"/>
          <w:rtl/>
        </w:rPr>
        <w:t>י</w:t>
      </w:r>
      <w:r w:rsidRPr="00B44DB6">
        <w:rPr>
          <w:rFonts w:cs="David"/>
          <w:sz w:val="28"/>
          <w:szCs w:val="28"/>
          <w:rtl/>
        </w:rPr>
        <w:t xml:space="preserve">גה התביעה </w:t>
      </w:r>
      <w:r w:rsidR="00E25C04">
        <w:rPr>
          <w:rFonts w:cs="David" w:hint="cs"/>
          <w:sz w:val="28"/>
          <w:szCs w:val="28"/>
          <w:rtl/>
        </w:rPr>
        <w:t xml:space="preserve">תומכת בכך. </w:t>
      </w:r>
    </w:p>
    <w:p w14:paraId="2C6BA69F" w14:textId="510DD29D" w:rsidR="00B44DB6" w:rsidRPr="00B44DB6" w:rsidRDefault="009D6B85"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 xml:space="preserve">לדעת ההגנה, ניתן ללמוד לענייננו מרמת הענישה בעניינם של מי </w:t>
      </w:r>
      <w:r w:rsidR="00293DD6">
        <w:rPr>
          <w:rFonts w:cs="David" w:hint="cs"/>
          <w:sz w:val="28"/>
          <w:szCs w:val="28"/>
          <w:rtl/>
        </w:rPr>
        <w:t>שהורשעו ב</w:t>
      </w:r>
      <w:r w:rsidR="00E25C04">
        <w:rPr>
          <w:rFonts w:cs="David" w:hint="cs"/>
          <w:sz w:val="28"/>
          <w:szCs w:val="28"/>
          <w:rtl/>
        </w:rPr>
        <w:t xml:space="preserve">ניסיון </w:t>
      </w:r>
      <w:r>
        <w:rPr>
          <w:rFonts w:cs="David" w:hint="cs"/>
          <w:sz w:val="28"/>
          <w:szCs w:val="28"/>
          <w:rtl/>
        </w:rPr>
        <w:t xml:space="preserve">מרחוק לפגוע </w:t>
      </w:r>
      <w:r w:rsidR="00B44DB6" w:rsidRPr="00B44DB6">
        <w:rPr>
          <w:rFonts w:cs="David"/>
          <w:sz w:val="28"/>
          <w:szCs w:val="28"/>
          <w:rtl/>
        </w:rPr>
        <w:t xml:space="preserve">פגיעה </w:t>
      </w:r>
      <w:r w:rsidR="00E25C04">
        <w:rPr>
          <w:rFonts w:cs="David" w:hint="cs"/>
          <w:sz w:val="28"/>
          <w:szCs w:val="28"/>
          <w:rtl/>
        </w:rPr>
        <w:t xml:space="preserve">מינית </w:t>
      </w:r>
      <w:r w:rsidR="00B44DB6" w:rsidRPr="00B44DB6">
        <w:rPr>
          <w:rFonts w:cs="David"/>
          <w:sz w:val="28"/>
          <w:szCs w:val="28"/>
          <w:rtl/>
        </w:rPr>
        <w:t>בקטינים</w:t>
      </w:r>
      <w:r w:rsidR="00293DD6">
        <w:rPr>
          <w:rFonts w:cs="David" w:hint="cs"/>
          <w:sz w:val="28"/>
          <w:szCs w:val="28"/>
          <w:rtl/>
        </w:rPr>
        <w:t>. לטעמה</w:t>
      </w:r>
      <w:r w:rsidR="00A43C63">
        <w:rPr>
          <w:rFonts w:cs="David" w:hint="cs"/>
          <w:sz w:val="28"/>
          <w:szCs w:val="28"/>
          <w:rtl/>
        </w:rPr>
        <w:t xml:space="preserve"> של ההגנה</w:t>
      </w:r>
      <w:r w:rsidR="00293DD6">
        <w:rPr>
          <w:rFonts w:cs="David" w:hint="cs"/>
          <w:sz w:val="28"/>
          <w:szCs w:val="28"/>
          <w:rtl/>
        </w:rPr>
        <w:t xml:space="preserve">, עולה מן האמור, כי </w:t>
      </w:r>
      <w:r w:rsidR="00B44DB6" w:rsidRPr="00B44DB6">
        <w:rPr>
          <w:rFonts w:cs="David"/>
          <w:sz w:val="28"/>
          <w:szCs w:val="28"/>
          <w:rtl/>
        </w:rPr>
        <w:t>יש לקבוע את מתחם הע</w:t>
      </w:r>
      <w:r w:rsidR="00293DD6">
        <w:rPr>
          <w:rFonts w:cs="David" w:hint="cs"/>
          <w:sz w:val="28"/>
          <w:szCs w:val="28"/>
          <w:rtl/>
        </w:rPr>
        <w:t>ו</w:t>
      </w:r>
      <w:r w:rsidR="00B44DB6" w:rsidRPr="00B44DB6">
        <w:rPr>
          <w:rFonts w:cs="David"/>
          <w:sz w:val="28"/>
          <w:szCs w:val="28"/>
          <w:rtl/>
        </w:rPr>
        <w:t xml:space="preserve">נש </w:t>
      </w:r>
      <w:r w:rsidR="00293DD6">
        <w:rPr>
          <w:rFonts w:cs="David" w:hint="cs"/>
          <w:sz w:val="28"/>
          <w:szCs w:val="28"/>
          <w:rtl/>
        </w:rPr>
        <w:t xml:space="preserve">ההולם </w:t>
      </w:r>
      <w:r>
        <w:rPr>
          <w:rFonts w:cs="David" w:hint="cs"/>
          <w:sz w:val="28"/>
          <w:szCs w:val="28"/>
          <w:rtl/>
        </w:rPr>
        <w:t xml:space="preserve">כך שינוע </w:t>
      </w:r>
      <w:r w:rsidR="00293DD6">
        <w:rPr>
          <w:rFonts w:cs="David" w:hint="cs"/>
          <w:sz w:val="28"/>
          <w:szCs w:val="28"/>
          <w:rtl/>
        </w:rPr>
        <w:t xml:space="preserve">בין </w:t>
      </w:r>
      <w:r w:rsidR="00B44DB6" w:rsidRPr="00B44DB6">
        <w:rPr>
          <w:rFonts w:cs="David"/>
          <w:sz w:val="28"/>
          <w:szCs w:val="28"/>
          <w:rtl/>
        </w:rPr>
        <w:t>18 ל-36 חודשי מאסר</w:t>
      </w:r>
      <w:r w:rsidR="00293DD6">
        <w:rPr>
          <w:rFonts w:cs="David" w:hint="cs"/>
          <w:sz w:val="28"/>
          <w:szCs w:val="28"/>
          <w:rtl/>
        </w:rPr>
        <w:t xml:space="preserve"> בפועל</w:t>
      </w:r>
      <w:r w:rsidR="00B44DB6" w:rsidRPr="00B44DB6">
        <w:rPr>
          <w:rFonts w:cs="David"/>
          <w:sz w:val="28"/>
          <w:szCs w:val="28"/>
          <w:rtl/>
        </w:rPr>
        <w:t xml:space="preserve">. </w:t>
      </w:r>
    </w:p>
    <w:p w14:paraId="38E3F469" w14:textId="64C276F3" w:rsidR="00232DBD" w:rsidRDefault="00B44DB6" w:rsidP="001A563F">
      <w:pPr>
        <w:numPr>
          <w:ilvl w:val="0"/>
          <w:numId w:val="5"/>
        </w:numPr>
        <w:tabs>
          <w:tab w:val="left" w:pos="282"/>
        </w:tabs>
        <w:spacing w:line="360" w:lineRule="auto"/>
        <w:ind w:left="-1" w:firstLine="0"/>
        <w:jc w:val="both"/>
        <w:rPr>
          <w:rFonts w:cs="David"/>
          <w:sz w:val="28"/>
          <w:szCs w:val="28"/>
        </w:rPr>
      </w:pPr>
      <w:r w:rsidRPr="00B44DB6">
        <w:rPr>
          <w:rFonts w:cs="David"/>
          <w:sz w:val="28"/>
          <w:szCs w:val="28"/>
          <w:rtl/>
        </w:rPr>
        <w:lastRenderedPageBreak/>
        <w:t xml:space="preserve">אשר לקביעת העונש בתוך </w:t>
      </w:r>
      <w:r w:rsidR="00A43C63">
        <w:rPr>
          <w:rFonts w:cs="David" w:hint="cs"/>
          <w:sz w:val="28"/>
          <w:szCs w:val="28"/>
          <w:rtl/>
        </w:rPr>
        <w:t>ה</w:t>
      </w:r>
      <w:r w:rsidRPr="00B44DB6">
        <w:rPr>
          <w:rFonts w:cs="David"/>
          <w:sz w:val="28"/>
          <w:szCs w:val="28"/>
          <w:rtl/>
        </w:rPr>
        <w:t xml:space="preserve">מתחם, </w:t>
      </w:r>
      <w:r w:rsidR="009D6B85">
        <w:rPr>
          <w:rFonts w:cs="David" w:hint="cs"/>
          <w:sz w:val="28"/>
          <w:szCs w:val="28"/>
          <w:rtl/>
        </w:rPr>
        <w:t xml:space="preserve">סבורה </w:t>
      </w:r>
      <w:r w:rsidRPr="00B44DB6">
        <w:rPr>
          <w:rFonts w:cs="David"/>
          <w:sz w:val="28"/>
          <w:szCs w:val="28"/>
          <w:rtl/>
        </w:rPr>
        <w:t xml:space="preserve">ההגנה, כי בית הדין קמא בחן  שיקולים לחומרה שלא היה מקום לשקלם. </w:t>
      </w:r>
      <w:r w:rsidR="00A43C63">
        <w:rPr>
          <w:rFonts w:cs="David" w:hint="cs"/>
          <w:sz w:val="28"/>
          <w:szCs w:val="28"/>
          <w:rtl/>
        </w:rPr>
        <w:t xml:space="preserve">כך, נטען, כי לא היה מקום להתיר </w:t>
      </w:r>
      <w:r w:rsidRPr="00B44DB6">
        <w:rPr>
          <w:rFonts w:cs="David"/>
          <w:sz w:val="28"/>
          <w:szCs w:val="28"/>
          <w:rtl/>
        </w:rPr>
        <w:t xml:space="preserve">את עדותו של מפקד </w:t>
      </w:r>
      <w:r w:rsidR="00A43C63">
        <w:rPr>
          <w:rFonts w:cs="David" w:hint="cs"/>
          <w:sz w:val="28"/>
          <w:szCs w:val="28"/>
          <w:rtl/>
        </w:rPr>
        <w:t>ה</w:t>
      </w:r>
      <w:r w:rsidRPr="00B44DB6">
        <w:rPr>
          <w:rFonts w:cs="David"/>
          <w:sz w:val="28"/>
          <w:szCs w:val="28"/>
          <w:rtl/>
        </w:rPr>
        <w:t>בסיס</w:t>
      </w:r>
      <w:r w:rsidR="0027570E">
        <w:rPr>
          <w:rFonts w:cs="David" w:hint="cs"/>
          <w:sz w:val="28"/>
          <w:szCs w:val="28"/>
          <w:rtl/>
        </w:rPr>
        <w:t xml:space="preserve"> בשלב הראיות לעונש</w:t>
      </w:r>
      <w:r w:rsidRPr="00B44DB6">
        <w:rPr>
          <w:rFonts w:cs="David"/>
          <w:sz w:val="28"/>
          <w:szCs w:val="28"/>
          <w:rtl/>
        </w:rPr>
        <w:t xml:space="preserve">. </w:t>
      </w:r>
      <w:r w:rsidR="00A43C63">
        <w:rPr>
          <w:rFonts w:cs="David" w:hint="cs"/>
          <w:sz w:val="28"/>
          <w:szCs w:val="28"/>
          <w:rtl/>
        </w:rPr>
        <w:t xml:space="preserve">לדידה של ההגנה, </w:t>
      </w:r>
      <w:r w:rsidRPr="00B44DB6">
        <w:rPr>
          <w:rFonts w:cs="David"/>
          <w:sz w:val="28"/>
          <w:szCs w:val="28"/>
          <w:rtl/>
        </w:rPr>
        <w:t xml:space="preserve">עדותו </w:t>
      </w:r>
      <w:r w:rsidR="00A43C63">
        <w:rPr>
          <w:rFonts w:cs="David" w:hint="cs"/>
          <w:sz w:val="28"/>
          <w:szCs w:val="28"/>
          <w:rtl/>
        </w:rPr>
        <w:t xml:space="preserve">של המפקד, </w:t>
      </w:r>
      <w:r w:rsidRPr="00B44DB6">
        <w:rPr>
          <w:rFonts w:cs="David"/>
          <w:sz w:val="28"/>
          <w:szCs w:val="28"/>
          <w:rtl/>
        </w:rPr>
        <w:t>המייחסת ל</w:t>
      </w:r>
      <w:r w:rsidR="00A43C63">
        <w:rPr>
          <w:rFonts w:cs="David" w:hint="cs"/>
          <w:sz w:val="28"/>
          <w:szCs w:val="28"/>
          <w:rtl/>
        </w:rPr>
        <w:t xml:space="preserve">נסיבות ההרשעה </w:t>
      </w:r>
      <w:r w:rsidRPr="00B44DB6">
        <w:rPr>
          <w:rFonts w:cs="David"/>
          <w:sz w:val="28"/>
          <w:szCs w:val="28"/>
          <w:rtl/>
        </w:rPr>
        <w:t xml:space="preserve">נופך חומרה נוסף של פגיעה בכוננות המבצעית של היחידה, היא </w:t>
      </w:r>
      <w:r w:rsidR="00A43C63">
        <w:rPr>
          <w:rFonts w:cs="David" w:hint="cs"/>
          <w:sz w:val="28"/>
          <w:szCs w:val="28"/>
          <w:rtl/>
        </w:rPr>
        <w:t>עדות העוסקת ב</w:t>
      </w:r>
      <w:r w:rsidRPr="00B44DB6">
        <w:rPr>
          <w:rFonts w:cs="David"/>
          <w:sz w:val="28"/>
          <w:szCs w:val="28"/>
          <w:rtl/>
        </w:rPr>
        <w:t>נתון עובדתי</w:t>
      </w:r>
      <w:r w:rsidR="00A43C63">
        <w:rPr>
          <w:rFonts w:cs="David" w:hint="cs"/>
          <w:sz w:val="28"/>
          <w:szCs w:val="28"/>
          <w:rtl/>
        </w:rPr>
        <w:t>,</w:t>
      </w:r>
      <w:r w:rsidRPr="00B44DB6">
        <w:rPr>
          <w:rFonts w:cs="David"/>
          <w:sz w:val="28"/>
          <w:szCs w:val="28"/>
          <w:rtl/>
        </w:rPr>
        <w:t xml:space="preserve"> </w:t>
      </w:r>
      <w:r w:rsidR="00A43C63">
        <w:rPr>
          <w:rFonts w:cs="David" w:hint="cs"/>
          <w:sz w:val="28"/>
          <w:szCs w:val="28"/>
          <w:rtl/>
        </w:rPr>
        <w:t>אשר ראוי היה כי יתברר ב</w:t>
      </w:r>
      <w:r w:rsidRPr="00B44DB6">
        <w:rPr>
          <w:rFonts w:cs="David"/>
          <w:sz w:val="28"/>
          <w:szCs w:val="28"/>
          <w:rtl/>
        </w:rPr>
        <w:t xml:space="preserve">הליך </w:t>
      </w:r>
      <w:r w:rsidR="00A43C63">
        <w:rPr>
          <w:rFonts w:cs="David" w:hint="cs"/>
          <w:sz w:val="28"/>
          <w:szCs w:val="28"/>
          <w:rtl/>
        </w:rPr>
        <w:t>שמיעת הראיות</w:t>
      </w:r>
      <w:r w:rsidRPr="00B44DB6">
        <w:rPr>
          <w:rFonts w:cs="David"/>
          <w:sz w:val="28"/>
          <w:szCs w:val="28"/>
          <w:rtl/>
        </w:rPr>
        <w:t>, כפי שגם ניתן היה לעשות, במ</w:t>
      </w:r>
      <w:r w:rsidR="00A43C63">
        <w:rPr>
          <w:rFonts w:cs="David" w:hint="cs"/>
          <w:sz w:val="28"/>
          <w:szCs w:val="28"/>
          <w:rtl/>
        </w:rPr>
        <w:t xml:space="preserve">הלך </w:t>
      </w:r>
      <w:r w:rsidRPr="00B44DB6">
        <w:rPr>
          <w:rFonts w:cs="David"/>
          <w:sz w:val="28"/>
          <w:szCs w:val="28"/>
          <w:rtl/>
        </w:rPr>
        <w:t>חקירת</w:t>
      </w:r>
      <w:r w:rsidR="00A43C63">
        <w:rPr>
          <w:rFonts w:cs="David" w:hint="cs"/>
          <w:sz w:val="28"/>
          <w:szCs w:val="28"/>
          <w:rtl/>
        </w:rPr>
        <w:t>ם</w:t>
      </w:r>
      <w:r w:rsidRPr="00B44DB6">
        <w:rPr>
          <w:rFonts w:cs="David"/>
          <w:sz w:val="28"/>
          <w:szCs w:val="28"/>
          <w:rtl/>
        </w:rPr>
        <w:t xml:space="preserve"> </w:t>
      </w:r>
      <w:r w:rsidR="00A43C63">
        <w:rPr>
          <w:rFonts w:cs="David" w:hint="cs"/>
          <w:sz w:val="28"/>
          <w:szCs w:val="28"/>
          <w:rtl/>
        </w:rPr>
        <w:t xml:space="preserve">של </w:t>
      </w:r>
      <w:r w:rsidRPr="00B44DB6">
        <w:rPr>
          <w:rFonts w:cs="David"/>
          <w:sz w:val="28"/>
          <w:szCs w:val="28"/>
          <w:rtl/>
        </w:rPr>
        <w:t xml:space="preserve">עדי תביעה </w:t>
      </w:r>
      <w:r w:rsidR="00A43C63">
        <w:rPr>
          <w:rFonts w:cs="David" w:hint="cs"/>
          <w:sz w:val="28"/>
          <w:szCs w:val="28"/>
          <w:rtl/>
        </w:rPr>
        <w:t>שש</w:t>
      </w:r>
      <w:r w:rsidR="0067506D">
        <w:rPr>
          <w:rFonts w:cs="David" w:hint="cs"/>
          <w:sz w:val="28"/>
          <w:szCs w:val="28"/>
          <w:rtl/>
        </w:rPr>
        <w:t>י</w:t>
      </w:r>
      <w:r w:rsidR="00A43C63">
        <w:rPr>
          <w:rFonts w:cs="David" w:hint="cs"/>
          <w:sz w:val="28"/>
          <w:szCs w:val="28"/>
          <w:rtl/>
        </w:rPr>
        <w:t>רתו ע</w:t>
      </w:r>
      <w:r w:rsidR="0027570E">
        <w:rPr>
          <w:rFonts w:cs="David" w:hint="cs"/>
          <w:sz w:val="28"/>
          <w:szCs w:val="28"/>
          <w:rtl/>
        </w:rPr>
        <w:t>ם</w:t>
      </w:r>
      <w:r w:rsidR="00A43C63">
        <w:rPr>
          <w:rFonts w:cs="David" w:hint="cs"/>
          <w:sz w:val="28"/>
          <w:szCs w:val="28"/>
          <w:rtl/>
        </w:rPr>
        <w:t xml:space="preserve"> </w:t>
      </w:r>
      <w:r w:rsidRPr="00B44DB6">
        <w:rPr>
          <w:rFonts w:cs="David"/>
          <w:sz w:val="28"/>
          <w:szCs w:val="28"/>
          <w:rtl/>
        </w:rPr>
        <w:t>המערער ונפגעת העבירה</w:t>
      </w:r>
      <w:r w:rsidR="00A43C63">
        <w:rPr>
          <w:rFonts w:cs="David" w:hint="cs"/>
          <w:sz w:val="28"/>
          <w:szCs w:val="28"/>
          <w:rtl/>
        </w:rPr>
        <w:t xml:space="preserve"> באותו הבסיס</w:t>
      </w:r>
      <w:r w:rsidR="0027570E">
        <w:rPr>
          <w:rFonts w:cs="David" w:hint="cs"/>
          <w:sz w:val="28"/>
          <w:szCs w:val="28"/>
          <w:rtl/>
        </w:rPr>
        <w:t>. נ</w:t>
      </w:r>
      <w:r w:rsidR="00A43C63">
        <w:rPr>
          <w:rFonts w:cs="David" w:hint="cs"/>
          <w:sz w:val="28"/>
          <w:szCs w:val="28"/>
          <w:rtl/>
        </w:rPr>
        <w:t xml:space="preserve">טען, כי </w:t>
      </w:r>
      <w:r w:rsidRPr="00B44DB6">
        <w:rPr>
          <w:rFonts w:cs="David"/>
          <w:sz w:val="28"/>
          <w:szCs w:val="28"/>
          <w:rtl/>
        </w:rPr>
        <w:t xml:space="preserve">בשמיעת עדותו </w:t>
      </w:r>
      <w:r w:rsidR="00A43C63">
        <w:rPr>
          <w:rFonts w:cs="David" w:hint="cs"/>
          <w:sz w:val="28"/>
          <w:szCs w:val="28"/>
          <w:rtl/>
        </w:rPr>
        <w:t xml:space="preserve">של המפקד בשלב הראיות לעונש </w:t>
      </w:r>
      <w:r w:rsidRPr="00B44DB6">
        <w:rPr>
          <w:rFonts w:cs="David"/>
          <w:sz w:val="28"/>
          <w:szCs w:val="28"/>
          <w:rtl/>
        </w:rPr>
        <w:t xml:space="preserve">היה כדי לגרום למערער עיוות דין ממשי. </w:t>
      </w:r>
      <w:r w:rsidR="00A43C63">
        <w:rPr>
          <w:rFonts w:cs="David" w:hint="cs"/>
          <w:sz w:val="28"/>
          <w:szCs w:val="28"/>
          <w:rtl/>
        </w:rPr>
        <w:t xml:space="preserve">כמו כן </w:t>
      </w:r>
      <w:r w:rsidRPr="00B44DB6">
        <w:rPr>
          <w:rFonts w:cs="David"/>
          <w:sz w:val="28"/>
          <w:szCs w:val="28"/>
          <w:rtl/>
        </w:rPr>
        <w:t>נטען, כי על אף היותו של המערער מפקד ב</w:t>
      </w:r>
      <w:r w:rsidR="00A43C63">
        <w:rPr>
          <w:rFonts w:cs="David" w:hint="cs"/>
          <w:sz w:val="28"/>
          <w:szCs w:val="28"/>
          <w:rtl/>
        </w:rPr>
        <w:t>יחידה</w:t>
      </w:r>
      <w:r w:rsidRPr="00B44DB6">
        <w:rPr>
          <w:rFonts w:cs="David"/>
          <w:sz w:val="28"/>
          <w:szCs w:val="28"/>
          <w:rtl/>
        </w:rPr>
        <w:t xml:space="preserve">, הרי </w:t>
      </w:r>
      <w:r w:rsidR="00A43C63">
        <w:rPr>
          <w:rFonts w:cs="David" w:hint="cs"/>
          <w:sz w:val="28"/>
          <w:szCs w:val="28"/>
          <w:rtl/>
        </w:rPr>
        <w:t xml:space="preserve">שמנסיבות ההרשעה עולה, כי </w:t>
      </w:r>
      <w:r w:rsidRPr="00B44DB6">
        <w:rPr>
          <w:rFonts w:cs="David"/>
          <w:sz w:val="28"/>
          <w:szCs w:val="28"/>
          <w:rtl/>
        </w:rPr>
        <w:t>לא עשה שימוש בסמכותו הפיקודית או במעמדו כדי לבצע את העביר</w:t>
      </w:r>
      <w:r w:rsidR="00A43C63">
        <w:rPr>
          <w:rFonts w:cs="David" w:hint="cs"/>
          <w:sz w:val="28"/>
          <w:szCs w:val="28"/>
          <w:rtl/>
        </w:rPr>
        <w:t>ות, שב</w:t>
      </w:r>
      <w:r w:rsidR="00C21A5F">
        <w:rPr>
          <w:rFonts w:cs="David" w:hint="cs"/>
          <w:sz w:val="28"/>
          <w:szCs w:val="28"/>
          <w:rtl/>
        </w:rPr>
        <w:t>ה</w:t>
      </w:r>
      <w:r w:rsidR="00A43C63">
        <w:rPr>
          <w:rFonts w:cs="David" w:hint="cs"/>
          <w:sz w:val="28"/>
          <w:szCs w:val="28"/>
          <w:rtl/>
        </w:rPr>
        <w:t>ן הורשע</w:t>
      </w:r>
      <w:r w:rsidRPr="00B44DB6">
        <w:rPr>
          <w:rFonts w:cs="David"/>
          <w:sz w:val="28"/>
          <w:szCs w:val="28"/>
          <w:rtl/>
        </w:rPr>
        <w:t>.</w:t>
      </w:r>
    </w:p>
    <w:p w14:paraId="1C242109" w14:textId="0576B815" w:rsidR="00B44DB6" w:rsidRPr="00B44DB6" w:rsidRDefault="00292479"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 xml:space="preserve">כאמור, </w:t>
      </w:r>
      <w:r w:rsidR="00B44DB6" w:rsidRPr="00B44DB6">
        <w:rPr>
          <w:rFonts w:cs="David"/>
          <w:sz w:val="28"/>
          <w:szCs w:val="28"/>
          <w:rtl/>
        </w:rPr>
        <w:t>לאחר שמיעת הערותינו, הודיעה ההגנה</w:t>
      </w:r>
      <w:r>
        <w:rPr>
          <w:rFonts w:cs="David" w:hint="cs"/>
          <w:sz w:val="28"/>
          <w:szCs w:val="28"/>
          <w:rtl/>
        </w:rPr>
        <w:t xml:space="preserve">, כי אינה עומדת </w:t>
      </w:r>
      <w:r w:rsidR="00B44DB6" w:rsidRPr="00B44DB6">
        <w:rPr>
          <w:rFonts w:cs="David"/>
          <w:sz w:val="28"/>
          <w:szCs w:val="28"/>
          <w:rtl/>
        </w:rPr>
        <w:t xml:space="preserve">על ערעורה כנגד </w:t>
      </w:r>
      <w:r>
        <w:rPr>
          <w:rFonts w:cs="David" w:hint="cs"/>
          <w:sz w:val="28"/>
          <w:szCs w:val="28"/>
          <w:rtl/>
        </w:rPr>
        <w:t>הקביעות העובדתיות ב</w:t>
      </w:r>
      <w:r w:rsidR="00B44DB6" w:rsidRPr="00B44DB6">
        <w:rPr>
          <w:rFonts w:cs="David"/>
          <w:sz w:val="28"/>
          <w:szCs w:val="28"/>
          <w:rtl/>
        </w:rPr>
        <w:t>הכרעת הדין</w:t>
      </w:r>
      <w:r w:rsidR="0027570E">
        <w:rPr>
          <w:rFonts w:cs="David" w:hint="cs"/>
          <w:sz w:val="28"/>
          <w:szCs w:val="28"/>
          <w:rtl/>
        </w:rPr>
        <w:t>,</w:t>
      </w:r>
      <w:r w:rsidR="00B44DB6" w:rsidRPr="00B44DB6">
        <w:rPr>
          <w:rFonts w:cs="David"/>
          <w:sz w:val="28"/>
          <w:szCs w:val="28"/>
          <w:rtl/>
        </w:rPr>
        <w:t xml:space="preserve"> </w:t>
      </w:r>
      <w:r>
        <w:rPr>
          <w:rFonts w:cs="David" w:hint="cs"/>
          <w:sz w:val="28"/>
          <w:szCs w:val="28"/>
          <w:rtl/>
        </w:rPr>
        <w:t xml:space="preserve">ומסרה </w:t>
      </w:r>
      <w:r w:rsidR="00B44DB6" w:rsidRPr="00B44DB6">
        <w:rPr>
          <w:rFonts w:cs="David"/>
          <w:sz w:val="28"/>
          <w:szCs w:val="28"/>
          <w:rtl/>
        </w:rPr>
        <w:t>כי המערער נוטל אחריות על מעשיו</w:t>
      </w:r>
      <w:r w:rsidR="00E86996">
        <w:rPr>
          <w:rFonts w:cs="David" w:hint="cs"/>
          <w:sz w:val="28"/>
          <w:szCs w:val="28"/>
          <w:rtl/>
        </w:rPr>
        <w:t xml:space="preserve">. ההגנה ציינה, כי </w:t>
      </w:r>
      <w:r w:rsidR="00BD0354">
        <w:rPr>
          <w:rFonts w:cs="David" w:hint="cs"/>
          <w:sz w:val="28"/>
          <w:szCs w:val="28"/>
          <w:rtl/>
        </w:rPr>
        <w:t xml:space="preserve">המערער עתיד </w:t>
      </w:r>
      <w:r w:rsidR="00B44DB6" w:rsidRPr="00B44DB6">
        <w:rPr>
          <w:rFonts w:cs="David"/>
          <w:sz w:val="28"/>
          <w:szCs w:val="28"/>
          <w:rtl/>
        </w:rPr>
        <w:t>ל</w:t>
      </w:r>
      <w:r w:rsidR="00BD0354">
        <w:rPr>
          <w:rFonts w:cs="David" w:hint="cs"/>
          <w:sz w:val="28"/>
          <w:szCs w:val="28"/>
          <w:rtl/>
        </w:rPr>
        <w:t xml:space="preserve">העביר </w:t>
      </w:r>
      <w:r w:rsidR="00B44DB6" w:rsidRPr="00B44DB6">
        <w:rPr>
          <w:rFonts w:cs="David"/>
          <w:sz w:val="28"/>
          <w:szCs w:val="28"/>
          <w:rtl/>
        </w:rPr>
        <w:t xml:space="preserve">מיוזמתו </w:t>
      </w:r>
      <w:r w:rsidR="00B0211B">
        <w:rPr>
          <w:rFonts w:cs="David" w:hint="cs"/>
          <w:sz w:val="28"/>
          <w:szCs w:val="28"/>
          <w:rtl/>
        </w:rPr>
        <w:t xml:space="preserve">סכום </w:t>
      </w:r>
      <w:r w:rsidR="0027570E">
        <w:rPr>
          <w:rFonts w:cs="David" w:hint="cs"/>
          <w:sz w:val="28"/>
          <w:szCs w:val="28"/>
          <w:rtl/>
        </w:rPr>
        <w:t xml:space="preserve">כסף </w:t>
      </w:r>
      <w:r w:rsidR="00B0211B">
        <w:rPr>
          <w:rFonts w:cs="David" w:hint="cs"/>
          <w:sz w:val="28"/>
          <w:szCs w:val="28"/>
          <w:rtl/>
        </w:rPr>
        <w:t xml:space="preserve">נוסף (15,000 </w:t>
      </w:r>
      <w:r w:rsidR="00BD0354">
        <w:rPr>
          <w:rFonts w:cs="David" w:hint="cs"/>
          <w:sz w:val="28"/>
          <w:szCs w:val="28"/>
          <w:rtl/>
        </w:rPr>
        <w:t>ש"ח</w:t>
      </w:r>
      <w:r w:rsidR="00B0211B">
        <w:rPr>
          <w:rFonts w:cs="David" w:hint="cs"/>
          <w:sz w:val="28"/>
          <w:szCs w:val="28"/>
          <w:rtl/>
        </w:rPr>
        <w:t>)</w:t>
      </w:r>
      <w:r w:rsidR="00BD0354">
        <w:rPr>
          <w:rFonts w:cs="David" w:hint="cs"/>
          <w:sz w:val="28"/>
          <w:szCs w:val="28"/>
          <w:rtl/>
        </w:rPr>
        <w:t>, במסגרת תשלום ה</w:t>
      </w:r>
      <w:r w:rsidR="00B44DB6" w:rsidRPr="00B44DB6">
        <w:rPr>
          <w:rFonts w:cs="David"/>
          <w:sz w:val="28"/>
          <w:szCs w:val="28"/>
          <w:rtl/>
        </w:rPr>
        <w:t>פיצויים לנפגעת העבירה</w:t>
      </w:r>
      <w:r w:rsidR="00B0211B">
        <w:rPr>
          <w:rFonts w:cs="David" w:hint="cs"/>
          <w:sz w:val="28"/>
          <w:szCs w:val="28"/>
          <w:rtl/>
        </w:rPr>
        <w:t>, ו</w:t>
      </w:r>
      <w:r w:rsidR="0027570E">
        <w:rPr>
          <w:rFonts w:cs="David" w:hint="cs"/>
          <w:sz w:val="28"/>
          <w:szCs w:val="28"/>
          <w:rtl/>
        </w:rPr>
        <w:t xml:space="preserve">מאוחר יותר עדכנה, כי </w:t>
      </w:r>
      <w:r w:rsidR="00B0211B">
        <w:rPr>
          <w:rFonts w:cs="David" w:hint="cs"/>
          <w:sz w:val="28"/>
          <w:szCs w:val="28"/>
          <w:rtl/>
        </w:rPr>
        <w:t>כך אכן עשה</w:t>
      </w:r>
      <w:r w:rsidR="00C21A5F">
        <w:rPr>
          <w:rFonts w:cs="David" w:hint="cs"/>
          <w:sz w:val="28"/>
          <w:szCs w:val="28"/>
          <w:rtl/>
        </w:rPr>
        <w:t>, היינו כי לנפגעת הועבר סכום העומד על 25,000 ש"ח</w:t>
      </w:r>
      <w:r w:rsidR="00B44DB6" w:rsidRPr="00B44DB6">
        <w:rPr>
          <w:rFonts w:cs="David"/>
          <w:sz w:val="28"/>
          <w:szCs w:val="28"/>
          <w:rtl/>
        </w:rPr>
        <w:t xml:space="preserve">. </w:t>
      </w:r>
      <w:r w:rsidR="00BD0354">
        <w:rPr>
          <w:rFonts w:cs="David" w:hint="cs"/>
          <w:sz w:val="28"/>
          <w:szCs w:val="28"/>
          <w:rtl/>
        </w:rPr>
        <w:t>כמו</w:t>
      </w:r>
      <w:r w:rsidR="00B0211B">
        <w:rPr>
          <w:rFonts w:cs="David" w:hint="cs"/>
          <w:sz w:val="28"/>
          <w:szCs w:val="28"/>
          <w:rtl/>
        </w:rPr>
        <w:t xml:space="preserve"> כן</w:t>
      </w:r>
      <w:r w:rsidR="00BD0354">
        <w:rPr>
          <w:rFonts w:cs="David" w:hint="cs"/>
          <w:sz w:val="28"/>
          <w:szCs w:val="28"/>
          <w:rtl/>
        </w:rPr>
        <w:t xml:space="preserve">, נמסר, כי </w:t>
      </w:r>
      <w:r w:rsidR="00B44DB6" w:rsidRPr="00B44DB6">
        <w:rPr>
          <w:rFonts w:cs="David"/>
          <w:sz w:val="28"/>
          <w:szCs w:val="28"/>
          <w:rtl/>
        </w:rPr>
        <w:t>ההגנה</w:t>
      </w:r>
      <w:r w:rsidR="00BD0354">
        <w:rPr>
          <w:rFonts w:cs="David" w:hint="cs"/>
          <w:sz w:val="28"/>
          <w:szCs w:val="28"/>
          <w:rtl/>
        </w:rPr>
        <w:t xml:space="preserve"> תפנה </w:t>
      </w:r>
      <w:r w:rsidR="00B44DB6" w:rsidRPr="00B44DB6">
        <w:rPr>
          <w:rFonts w:cs="David"/>
          <w:sz w:val="28"/>
          <w:szCs w:val="28"/>
          <w:rtl/>
        </w:rPr>
        <w:t>אל התביעה</w:t>
      </w:r>
      <w:r w:rsidR="00BD0354">
        <w:rPr>
          <w:rFonts w:cs="David" w:hint="cs"/>
          <w:sz w:val="28"/>
          <w:szCs w:val="28"/>
          <w:rtl/>
        </w:rPr>
        <w:t xml:space="preserve">, בניסיון לגבש </w:t>
      </w:r>
      <w:r w:rsidR="00B44DB6" w:rsidRPr="00B44DB6">
        <w:rPr>
          <w:rFonts w:cs="David"/>
          <w:sz w:val="28"/>
          <w:szCs w:val="28"/>
          <w:rtl/>
        </w:rPr>
        <w:t xml:space="preserve">מתווה שיאפשר </w:t>
      </w:r>
      <w:r w:rsidR="00BD0354">
        <w:rPr>
          <w:rFonts w:cs="David" w:hint="cs"/>
          <w:sz w:val="28"/>
          <w:szCs w:val="28"/>
          <w:rtl/>
        </w:rPr>
        <w:t>לנציגי מצ"ח ל</w:t>
      </w:r>
      <w:r w:rsidR="00B44DB6" w:rsidRPr="00B44DB6">
        <w:rPr>
          <w:rFonts w:cs="David"/>
          <w:sz w:val="28"/>
          <w:szCs w:val="28"/>
          <w:rtl/>
        </w:rPr>
        <w:t>עי</w:t>
      </w:r>
      <w:r w:rsidR="00BD0354">
        <w:rPr>
          <w:rFonts w:cs="David" w:hint="cs"/>
          <w:sz w:val="28"/>
          <w:szCs w:val="28"/>
          <w:rtl/>
        </w:rPr>
        <w:t>י</w:t>
      </w:r>
      <w:r w:rsidR="00B44DB6" w:rsidRPr="00B44DB6">
        <w:rPr>
          <w:rFonts w:cs="David"/>
          <w:sz w:val="28"/>
          <w:szCs w:val="28"/>
          <w:rtl/>
        </w:rPr>
        <w:t xml:space="preserve">ן בתיקיית התמונות של המערער, </w:t>
      </w:r>
      <w:r w:rsidR="00BD0354">
        <w:rPr>
          <w:rFonts w:cs="David" w:hint="cs"/>
          <w:sz w:val="28"/>
          <w:szCs w:val="28"/>
          <w:rtl/>
        </w:rPr>
        <w:t xml:space="preserve">כדי </w:t>
      </w:r>
      <w:r w:rsidR="00B44DB6" w:rsidRPr="00B44DB6">
        <w:rPr>
          <w:rFonts w:cs="David"/>
          <w:sz w:val="28"/>
          <w:szCs w:val="28"/>
          <w:rtl/>
        </w:rPr>
        <w:t xml:space="preserve">להסיר את חששה של נפגעת העבירה מפני </w:t>
      </w:r>
      <w:r w:rsidR="00BD0354">
        <w:rPr>
          <w:rFonts w:cs="David" w:hint="cs"/>
          <w:sz w:val="28"/>
          <w:szCs w:val="28"/>
          <w:rtl/>
        </w:rPr>
        <w:t>האפשרות כי נותרו ברשות המערער סרטונים או תמונות שלה.</w:t>
      </w:r>
      <w:r w:rsidR="0027570E">
        <w:rPr>
          <w:rFonts w:cs="David" w:hint="cs"/>
          <w:sz w:val="28"/>
          <w:szCs w:val="28"/>
          <w:rtl/>
        </w:rPr>
        <w:t xml:space="preserve"> </w:t>
      </w:r>
      <w:r w:rsidR="00BD0354">
        <w:rPr>
          <w:rFonts w:cs="David" w:hint="cs"/>
          <w:sz w:val="28"/>
          <w:szCs w:val="28"/>
          <w:rtl/>
        </w:rPr>
        <w:t xml:space="preserve"> </w:t>
      </w:r>
    </w:p>
    <w:p w14:paraId="31141549" w14:textId="2B664154" w:rsidR="00B44DB6" w:rsidRPr="00B44DB6" w:rsidRDefault="00BD0354"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 xml:space="preserve">נטען, כי </w:t>
      </w:r>
      <w:r w:rsidR="00B44DB6" w:rsidRPr="00B44DB6">
        <w:rPr>
          <w:rFonts w:cs="David"/>
          <w:sz w:val="28"/>
          <w:szCs w:val="28"/>
          <w:rtl/>
        </w:rPr>
        <w:t xml:space="preserve">בנסיבות אלה, </w:t>
      </w:r>
      <w:r w:rsidR="0067506D">
        <w:rPr>
          <w:rFonts w:cs="David" w:hint="cs"/>
          <w:sz w:val="28"/>
          <w:szCs w:val="28"/>
          <w:rtl/>
        </w:rPr>
        <w:t xml:space="preserve">בשים לב להעדר עבר פלילי </w:t>
      </w:r>
      <w:r w:rsidR="00B44DB6" w:rsidRPr="00B44DB6">
        <w:rPr>
          <w:rFonts w:cs="David"/>
          <w:sz w:val="28"/>
          <w:szCs w:val="28"/>
          <w:rtl/>
        </w:rPr>
        <w:t>של המערער ומתוך התחשבות בפגיעת</w:t>
      </w:r>
      <w:r>
        <w:rPr>
          <w:rFonts w:cs="David" w:hint="cs"/>
          <w:sz w:val="28"/>
          <w:szCs w:val="28"/>
          <w:rtl/>
        </w:rPr>
        <w:t>ו</w:t>
      </w:r>
      <w:r w:rsidR="00B44DB6" w:rsidRPr="00B44DB6">
        <w:rPr>
          <w:rFonts w:cs="David"/>
          <w:sz w:val="28"/>
          <w:szCs w:val="28"/>
          <w:rtl/>
        </w:rPr>
        <w:t xml:space="preserve"> הקשה </w:t>
      </w:r>
      <w:r>
        <w:rPr>
          <w:rFonts w:cs="David" w:hint="cs"/>
          <w:sz w:val="28"/>
          <w:szCs w:val="28"/>
          <w:rtl/>
        </w:rPr>
        <w:t xml:space="preserve">של </w:t>
      </w:r>
      <w:r w:rsidR="0027570E">
        <w:rPr>
          <w:rFonts w:cs="David" w:hint="cs"/>
          <w:sz w:val="28"/>
          <w:szCs w:val="28"/>
          <w:rtl/>
        </w:rPr>
        <w:t>ה</w:t>
      </w:r>
      <w:r>
        <w:rPr>
          <w:rFonts w:cs="David" w:hint="cs"/>
          <w:sz w:val="28"/>
          <w:szCs w:val="28"/>
          <w:rtl/>
        </w:rPr>
        <w:t xml:space="preserve">מאסר </w:t>
      </w:r>
      <w:r w:rsidR="00B44DB6" w:rsidRPr="00B44DB6">
        <w:rPr>
          <w:rFonts w:cs="David"/>
          <w:sz w:val="28"/>
          <w:szCs w:val="28"/>
          <w:rtl/>
        </w:rPr>
        <w:t>במשפחתו</w:t>
      </w:r>
      <w:r>
        <w:rPr>
          <w:rFonts w:cs="David" w:hint="cs"/>
          <w:sz w:val="28"/>
          <w:szCs w:val="28"/>
          <w:rtl/>
        </w:rPr>
        <w:t xml:space="preserve"> - </w:t>
      </w:r>
      <w:r w:rsidR="00C21A5F">
        <w:rPr>
          <w:rFonts w:cs="David" w:hint="cs"/>
          <w:sz w:val="28"/>
          <w:szCs w:val="28"/>
          <w:rtl/>
        </w:rPr>
        <w:t xml:space="preserve">יש למקם את </w:t>
      </w:r>
      <w:r w:rsidR="00B44DB6" w:rsidRPr="00B44DB6">
        <w:rPr>
          <w:rFonts w:cs="David"/>
          <w:sz w:val="28"/>
          <w:szCs w:val="28"/>
          <w:rtl/>
        </w:rPr>
        <w:t>עונשו של המערער ברף התחתון של מתחם הע</w:t>
      </w:r>
      <w:r>
        <w:rPr>
          <w:rFonts w:cs="David" w:hint="cs"/>
          <w:sz w:val="28"/>
          <w:szCs w:val="28"/>
          <w:rtl/>
        </w:rPr>
        <w:t>ו</w:t>
      </w:r>
      <w:r w:rsidR="00B44DB6" w:rsidRPr="00B44DB6">
        <w:rPr>
          <w:rFonts w:cs="David"/>
          <w:sz w:val="28"/>
          <w:szCs w:val="28"/>
          <w:rtl/>
        </w:rPr>
        <w:t>נש</w:t>
      </w:r>
      <w:r>
        <w:rPr>
          <w:rFonts w:cs="David" w:hint="cs"/>
          <w:sz w:val="28"/>
          <w:szCs w:val="28"/>
          <w:rtl/>
        </w:rPr>
        <w:t xml:space="preserve"> ההולם שאליו עתרה</w:t>
      </w:r>
      <w:r w:rsidR="0067506D">
        <w:rPr>
          <w:rFonts w:cs="David" w:hint="cs"/>
          <w:sz w:val="28"/>
          <w:szCs w:val="28"/>
          <w:rtl/>
        </w:rPr>
        <w:t xml:space="preserve"> ההגנה</w:t>
      </w:r>
      <w:r w:rsidR="00B44DB6" w:rsidRPr="00B44DB6">
        <w:rPr>
          <w:rFonts w:cs="David"/>
          <w:sz w:val="28"/>
          <w:szCs w:val="28"/>
          <w:rtl/>
        </w:rPr>
        <w:t xml:space="preserve">. </w:t>
      </w:r>
    </w:p>
    <w:p w14:paraId="6A816224" w14:textId="0CE4F109" w:rsidR="00B44DB6" w:rsidRPr="00B44DB6" w:rsidRDefault="00BD0354"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לאחר שמיעת טיעוני הצדדים, התרנו ל</w:t>
      </w:r>
      <w:r w:rsidR="00B44DB6" w:rsidRPr="00B44DB6">
        <w:rPr>
          <w:rFonts w:cs="David"/>
          <w:sz w:val="28"/>
          <w:szCs w:val="28"/>
          <w:rtl/>
        </w:rPr>
        <w:t xml:space="preserve">מערער </w:t>
      </w:r>
      <w:r w:rsidR="00B0211B">
        <w:rPr>
          <w:rFonts w:cs="David" w:hint="cs"/>
          <w:sz w:val="28"/>
          <w:szCs w:val="28"/>
          <w:rtl/>
        </w:rPr>
        <w:t xml:space="preserve">למסור מספר דברים לפנינו. המערער </w:t>
      </w:r>
      <w:r w:rsidR="00B44DB6" w:rsidRPr="00B44DB6">
        <w:rPr>
          <w:rFonts w:cs="David"/>
          <w:sz w:val="28"/>
          <w:szCs w:val="28"/>
          <w:rtl/>
        </w:rPr>
        <w:t>הביע את צערו וחרטתו על האירוע, ו</w:t>
      </w:r>
      <w:r w:rsidR="00B0211B">
        <w:rPr>
          <w:rFonts w:cs="David" w:hint="cs"/>
          <w:sz w:val="28"/>
          <w:szCs w:val="28"/>
          <w:rtl/>
        </w:rPr>
        <w:t>ציין כי הוא מ</w:t>
      </w:r>
      <w:r w:rsidR="00B44DB6" w:rsidRPr="00B44DB6">
        <w:rPr>
          <w:rFonts w:cs="David"/>
          <w:sz w:val="28"/>
          <w:szCs w:val="28"/>
          <w:rtl/>
        </w:rPr>
        <w:t>כ</w:t>
      </w:r>
      <w:r w:rsidR="00B0211B">
        <w:rPr>
          <w:rFonts w:cs="David" w:hint="cs"/>
          <w:sz w:val="28"/>
          <w:szCs w:val="28"/>
          <w:rtl/>
        </w:rPr>
        <w:t>י</w:t>
      </w:r>
      <w:r w:rsidR="00B44DB6" w:rsidRPr="00B44DB6">
        <w:rPr>
          <w:rFonts w:cs="David"/>
          <w:sz w:val="28"/>
          <w:szCs w:val="28"/>
          <w:rtl/>
        </w:rPr>
        <w:t xml:space="preserve">ר </w:t>
      </w:r>
      <w:r w:rsidR="00B0211B">
        <w:rPr>
          <w:rFonts w:cs="David" w:hint="cs"/>
          <w:sz w:val="28"/>
          <w:szCs w:val="28"/>
          <w:rtl/>
        </w:rPr>
        <w:t xml:space="preserve">בכך שפגע </w:t>
      </w:r>
      <w:r w:rsidR="00B44DB6" w:rsidRPr="00B44DB6">
        <w:rPr>
          <w:rFonts w:cs="David"/>
          <w:sz w:val="28"/>
          <w:szCs w:val="28"/>
          <w:rtl/>
        </w:rPr>
        <w:t>פגיעה כבדה מנשוא</w:t>
      </w:r>
      <w:r w:rsidR="00B0211B">
        <w:rPr>
          <w:rFonts w:cs="David" w:hint="cs"/>
          <w:sz w:val="28"/>
          <w:szCs w:val="28"/>
          <w:rtl/>
        </w:rPr>
        <w:t xml:space="preserve"> בנפגעת העבירה. לצד זאת, ציין המערער, כי </w:t>
      </w:r>
      <w:r w:rsidR="00B44DB6" w:rsidRPr="00B44DB6">
        <w:rPr>
          <w:rFonts w:cs="David"/>
          <w:sz w:val="28"/>
          <w:szCs w:val="28"/>
          <w:rtl/>
        </w:rPr>
        <w:t>משפחתו</w:t>
      </w:r>
      <w:r w:rsidR="00B0211B">
        <w:rPr>
          <w:rFonts w:cs="David" w:hint="cs"/>
          <w:sz w:val="28"/>
          <w:szCs w:val="28"/>
          <w:rtl/>
        </w:rPr>
        <w:t>, המתמודד</w:t>
      </w:r>
      <w:r w:rsidR="0027570E">
        <w:rPr>
          <w:rFonts w:cs="David" w:hint="cs"/>
          <w:sz w:val="28"/>
          <w:szCs w:val="28"/>
          <w:rtl/>
        </w:rPr>
        <w:t>ת</w:t>
      </w:r>
      <w:r w:rsidR="00B0211B">
        <w:rPr>
          <w:rFonts w:cs="David" w:hint="cs"/>
          <w:sz w:val="28"/>
          <w:szCs w:val="28"/>
          <w:rtl/>
        </w:rPr>
        <w:t xml:space="preserve"> עם השלכות הרשעתו ומאסרו,</w:t>
      </w:r>
      <w:r w:rsidR="00B44DB6" w:rsidRPr="00B44DB6">
        <w:rPr>
          <w:rFonts w:cs="David"/>
          <w:sz w:val="28"/>
          <w:szCs w:val="28"/>
          <w:rtl/>
        </w:rPr>
        <w:t xml:space="preserve"> עוברת תקופה קשה</w:t>
      </w:r>
      <w:r w:rsidR="00B0211B">
        <w:rPr>
          <w:rFonts w:cs="David" w:hint="cs"/>
          <w:sz w:val="28"/>
          <w:szCs w:val="28"/>
          <w:rtl/>
        </w:rPr>
        <w:t>.</w:t>
      </w:r>
      <w:r w:rsidR="00B44DB6" w:rsidRPr="00B44DB6">
        <w:rPr>
          <w:rFonts w:cs="David"/>
          <w:sz w:val="28"/>
          <w:szCs w:val="28"/>
          <w:rtl/>
        </w:rPr>
        <w:t xml:space="preserve"> </w:t>
      </w:r>
    </w:p>
    <w:p w14:paraId="7C9CD94F" w14:textId="77777777" w:rsidR="00A4276F" w:rsidRPr="00B0211B" w:rsidRDefault="00A4276F" w:rsidP="001A563F">
      <w:pPr>
        <w:spacing w:line="360" w:lineRule="auto"/>
        <w:jc w:val="both"/>
        <w:outlineLvl w:val="0"/>
        <w:rPr>
          <w:rFonts w:cs="David"/>
          <w:sz w:val="28"/>
          <w:szCs w:val="28"/>
          <w:rtl/>
        </w:rPr>
      </w:pPr>
    </w:p>
    <w:p w14:paraId="3DBDAB75" w14:textId="45FF9E9E" w:rsidR="00B44DB6" w:rsidRPr="009E7CF6" w:rsidRDefault="00B44DB6" w:rsidP="009E7CF6">
      <w:pPr>
        <w:spacing w:line="360" w:lineRule="auto"/>
        <w:outlineLvl w:val="0"/>
        <w:rPr>
          <w:rFonts w:cs="David"/>
          <w:sz w:val="28"/>
          <w:szCs w:val="28"/>
          <w:u w:val="single"/>
          <w:rtl/>
        </w:rPr>
      </w:pPr>
      <w:r w:rsidRPr="0067506D">
        <w:rPr>
          <w:rFonts w:cs="David"/>
          <w:sz w:val="28"/>
          <w:szCs w:val="28"/>
          <w:u w:val="single"/>
          <w:rtl/>
        </w:rPr>
        <w:t>ערעור התביעה</w:t>
      </w:r>
    </w:p>
    <w:p w14:paraId="30678A09" w14:textId="706829BB" w:rsidR="00B44DB6" w:rsidRPr="00B44DB6" w:rsidRDefault="00B44DB6" w:rsidP="001A563F">
      <w:pPr>
        <w:numPr>
          <w:ilvl w:val="0"/>
          <w:numId w:val="5"/>
        </w:numPr>
        <w:tabs>
          <w:tab w:val="left" w:pos="282"/>
        </w:tabs>
        <w:spacing w:line="360" w:lineRule="auto"/>
        <w:ind w:left="-1" w:firstLine="0"/>
        <w:jc w:val="both"/>
        <w:rPr>
          <w:rFonts w:cs="David"/>
          <w:sz w:val="28"/>
          <w:szCs w:val="28"/>
          <w:rtl/>
        </w:rPr>
      </w:pPr>
      <w:r w:rsidRPr="00B44DB6">
        <w:rPr>
          <w:rFonts w:cs="David"/>
          <w:sz w:val="28"/>
          <w:szCs w:val="28"/>
          <w:rtl/>
        </w:rPr>
        <w:t>התביעה שבה על עתירתה</w:t>
      </w:r>
      <w:r w:rsidR="00A0323A">
        <w:rPr>
          <w:rFonts w:cs="David" w:hint="cs"/>
          <w:sz w:val="28"/>
          <w:szCs w:val="28"/>
          <w:rtl/>
        </w:rPr>
        <w:t>, כפי שהוצגה ב</w:t>
      </w:r>
      <w:r w:rsidRPr="00B44DB6">
        <w:rPr>
          <w:rFonts w:cs="David"/>
          <w:sz w:val="28"/>
          <w:szCs w:val="28"/>
          <w:rtl/>
        </w:rPr>
        <w:t>בית הדין קמא, לקב</w:t>
      </w:r>
      <w:r w:rsidR="00A0323A">
        <w:rPr>
          <w:rFonts w:cs="David" w:hint="cs"/>
          <w:sz w:val="28"/>
          <w:szCs w:val="28"/>
          <w:rtl/>
        </w:rPr>
        <w:t>ו</w:t>
      </w:r>
      <w:r w:rsidRPr="00B44DB6">
        <w:rPr>
          <w:rFonts w:cs="David"/>
          <w:sz w:val="28"/>
          <w:szCs w:val="28"/>
          <w:rtl/>
        </w:rPr>
        <w:t>ע מתחם ע</w:t>
      </w:r>
      <w:r w:rsidR="00A0323A">
        <w:rPr>
          <w:rFonts w:cs="David" w:hint="cs"/>
          <w:sz w:val="28"/>
          <w:szCs w:val="28"/>
          <w:rtl/>
        </w:rPr>
        <w:t xml:space="preserve">ונש הולם </w:t>
      </w:r>
      <w:r w:rsidR="00C21A5F">
        <w:rPr>
          <w:rFonts w:cs="David" w:hint="cs"/>
          <w:sz w:val="28"/>
          <w:szCs w:val="28"/>
          <w:rtl/>
        </w:rPr>
        <w:t xml:space="preserve">הנע </w:t>
      </w:r>
      <w:r w:rsidRPr="00B44DB6">
        <w:rPr>
          <w:rFonts w:cs="David"/>
          <w:sz w:val="28"/>
          <w:szCs w:val="28"/>
          <w:rtl/>
        </w:rPr>
        <w:t>בין שלוש לשש שנות מאסר</w:t>
      </w:r>
      <w:r w:rsidR="00A0323A">
        <w:rPr>
          <w:rFonts w:cs="David" w:hint="cs"/>
          <w:sz w:val="28"/>
          <w:szCs w:val="28"/>
          <w:rtl/>
        </w:rPr>
        <w:t xml:space="preserve"> בפועל</w:t>
      </w:r>
      <w:r w:rsidRPr="00B44DB6">
        <w:rPr>
          <w:rFonts w:cs="David"/>
          <w:sz w:val="28"/>
          <w:szCs w:val="28"/>
          <w:rtl/>
        </w:rPr>
        <w:t xml:space="preserve">, </w:t>
      </w:r>
      <w:r w:rsidR="00076DCF">
        <w:rPr>
          <w:rFonts w:cs="David" w:hint="cs"/>
          <w:sz w:val="28"/>
          <w:szCs w:val="28"/>
          <w:rtl/>
        </w:rPr>
        <w:t>ו</w:t>
      </w:r>
      <w:r w:rsidRPr="00B44DB6">
        <w:rPr>
          <w:rFonts w:cs="David"/>
          <w:sz w:val="28"/>
          <w:szCs w:val="28"/>
          <w:rtl/>
        </w:rPr>
        <w:t>ל</w:t>
      </w:r>
      <w:r w:rsidR="00A0323A">
        <w:rPr>
          <w:rFonts w:cs="David" w:hint="cs"/>
          <w:sz w:val="28"/>
          <w:szCs w:val="28"/>
          <w:rtl/>
        </w:rPr>
        <w:t xml:space="preserve">מקם </w:t>
      </w:r>
      <w:r w:rsidRPr="00B44DB6">
        <w:rPr>
          <w:rFonts w:cs="David"/>
          <w:sz w:val="28"/>
          <w:szCs w:val="28"/>
          <w:rtl/>
        </w:rPr>
        <w:t xml:space="preserve">את עונשו של המערער </w:t>
      </w:r>
      <w:r w:rsidR="00CB22A4">
        <w:rPr>
          <w:rFonts w:cs="David" w:hint="cs"/>
          <w:sz w:val="28"/>
          <w:szCs w:val="28"/>
          <w:rtl/>
        </w:rPr>
        <w:t>"</w:t>
      </w:r>
      <w:r w:rsidR="00076DCF">
        <w:rPr>
          <w:rFonts w:cs="David" w:hint="cs"/>
          <w:sz w:val="28"/>
          <w:szCs w:val="28"/>
          <w:rtl/>
        </w:rPr>
        <w:t xml:space="preserve">מעל מחצית </w:t>
      </w:r>
      <w:r w:rsidRPr="00B44DB6">
        <w:rPr>
          <w:rFonts w:cs="David"/>
          <w:sz w:val="28"/>
          <w:szCs w:val="28"/>
          <w:rtl/>
        </w:rPr>
        <w:t>המתחם</w:t>
      </w:r>
      <w:r w:rsidR="00CB22A4">
        <w:rPr>
          <w:rFonts w:cs="David" w:hint="cs"/>
          <w:sz w:val="28"/>
          <w:szCs w:val="28"/>
          <w:rtl/>
        </w:rPr>
        <w:t>"</w:t>
      </w:r>
      <w:r w:rsidRPr="00B44DB6">
        <w:rPr>
          <w:rFonts w:cs="David"/>
          <w:sz w:val="28"/>
          <w:szCs w:val="28"/>
          <w:rtl/>
        </w:rPr>
        <w:t>. כן ביקשה להגדיל את סכום הפיצוי שנפסק לנפגעת העבירה "למקסימום האפשרי"</w:t>
      </w:r>
      <w:r w:rsidR="00EE4F0E">
        <w:rPr>
          <w:rFonts w:cs="David" w:hint="cs"/>
          <w:sz w:val="28"/>
          <w:szCs w:val="28"/>
          <w:rtl/>
        </w:rPr>
        <w:t xml:space="preserve"> על פי חוק</w:t>
      </w:r>
      <w:r w:rsidRPr="00B44DB6">
        <w:rPr>
          <w:rFonts w:cs="David"/>
          <w:sz w:val="28"/>
          <w:szCs w:val="28"/>
          <w:rtl/>
        </w:rPr>
        <w:t xml:space="preserve">. </w:t>
      </w:r>
    </w:p>
    <w:p w14:paraId="0F274FA4" w14:textId="4B191B6F" w:rsidR="00B44DB6" w:rsidRPr="00B44DB6" w:rsidRDefault="00B44DB6" w:rsidP="001A563F">
      <w:pPr>
        <w:numPr>
          <w:ilvl w:val="0"/>
          <w:numId w:val="5"/>
        </w:numPr>
        <w:tabs>
          <w:tab w:val="left" w:pos="282"/>
        </w:tabs>
        <w:spacing w:line="360" w:lineRule="auto"/>
        <w:ind w:left="-1" w:firstLine="0"/>
        <w:jc w:val="both"/>
        <w:rPr>
          <w:rFonts w:cs="David"/>
          <w:sz w:val="28"/>
          <w:szCs w:val="28"/>
          <w:rtl/>
        </w:rPr>
      </w:pPr>
      <w:r w:rsidRPr="00B44DB6">
        <w:rPr>
          <w:rFonts w:cs="David"/>
          <w:sz w:val="28"/>
          <w:szCs w:val="28"/>
          <w:rtl/>
        </w:rPr>
        <w:t xml:space="preserve">לשיטת התביעה, המעשים </w:t>
      </w:r>
      <w:r w:rsidR="00EE4F0E">
        <w:rPr>
          <w:rFonts w:cs="David" w:hint="cs"/>
          <w:sz w:val="28"/>
          <w:szCs w:val="28"/>
          <w:rtl/>
        </w:rPr>
        <w:t>ש</w:t>
      </w:r>
      <w:r w:rsidRPr="00B44DB6">
        <w:rPr>
          <w:rFonts w:cs="David"/>
          <w:sz w:val="28"/>
          <w:szCs w:val="28"/>
          <w:rtl/>
        </w:rPr>
        <w:t xml:space="preserve">בהם הורשע המערער חריגים בחומרתם, נוכח </w:t>
      </w:r>
      <w:r w:rsidR="00EE4F0E">
        <w:rPr>
          <w:rFonts w:cs="David" w:hint="cs"/>
          <w:sz w:val="28"/>
          <w:szCs w:val="28"/>
          <w:rtl/>
        </w:rPr>
        <w:t>צבר הנסיבות ובהן ה</w:t>
      </w:r>
      <w:r w:rsidRPr="00B44DB6">
        <w:rPr>
          <w:rFonts w:cs="David"/>
          <w:sz w:val="28"/>
          <w:szCs w:val="28"/>
          <w:rtl/>
        </w:rPr>
        <w:t xml:space="preserve">איומים, </w:t>
      </w:r>
      <w:r w:rsidR="00EE4F0E">
        <w:rPr>
          <w:rFonts w:cs="David" w:hint="cs"/>
          <w:sz w:val="28"/>
          <w:szCs w:val="28"/>
          <w:rtl/>
        </w:rPr>
        <w:t>הניסיון ל</w:t>
      </w:r>
      <w:r w:rsidRPr="00B44DB6">
        <w:rPr>
          <w:rFonts w:cs="David"/>
          <w:sz w:val="28"/>
          <w:szCs w:val="28"/>
          <w:rtl/>
        </w:rPr>
        <w:t>גר</w:t>
      </w:r>
      <w:r w:rsidR="00EE4F0E">
        <w:rPr>
          <w:rFonts w:cs="David" w:hint="cs"/>
          <w:sz w:val="28"/>
          <w:szCs w:val="28"/>
          <w:rtl/>
        </w:rPr>
        <w:t>ו</w:t>
      </w:r>
      <w:r w:rsidRPr="00B44DB6">
        <w:rPr>
          <w:rFonts w:cs="David"/>
          <w:sz w:val="28"/>
          <w:szCs w:val="28"/>
          <w:rtl/>
        </w:rPr>
        <w:t xml:space="preserve">ם </w:t>
      </w:r>
      <w:r w:rsidR="00EE4F0E">
        <w:rPr>
          <w:rFonts w:cs="David" w:hint="cs"/>
          <w:sz w:val="28"/>
          <w:szCs w:val="28"/>
          <w:rtl/>
        </w:rPr>
        <w:t>לנפגעת העבירה לבצע ב</w:t>
      </w:r>
      <w:r w:rsidR="00812BF3">
        <w:rPr>
          <w:rFonts w:cs="David" w:hint="cs"/>
          <w:sz w:val="28"/>
          <w:szCs w:val="28"/>
          <w:rtl/>
        </w:rPr>
        <w:t>עצמ</w:t>
      </w:r>
      <w:r w:rsidR="00EE4F0E">
        <w:rPr>
          <w:rFonts w:cs="David" w:hint="cs"/>
          <w:sz w:val="28"/>
          <w:szCs w:val="28"/>
          <w:rtl/>
        </w:rPr>
        <w:t>ה אינוס וה</w:t>
      </w:r>
      <w:r w:rsidRPr="00B44DB6">
        <w:rPr>
          <w:rFonts w:cs="David"/>
          <w:sz w:val="28"/>
          <w:szCs w:val="28"/>
          <w:rtl/>
        </w:rPr>
        <w:t>הדחה בחקירה</w:t>
      </w:r>
      <w:r w:rsidR="00EE4F0E">
        <w:rPr>
          <w:rFonts w:cs="David" w:hint="cs"/>
          <w:sz w:val="28"/>
          <w:szCs w:val="28"/>
          <w:rtl/>
        </w:rPr>
        <w:t>. כמו כן, נטען, כי יש ליתן משקל לחומרה ל</w:t>
      </w:r>
      <w:r w:rsidRPr="00B44DB6">
        <w:rPr>
          <w:rFonts w:cs="David"/>
          <w:sz w:val="28"/>
          <w:szCs w:val="28"/>
          <w:rtl/>
        </w:rPr>
        <w:t xml:space="preserve">עובדה כי </w:t>
      </w:r>
      <w:r w:rsidR="00EE4F0E">
        <w:rPr>
          <w:rFonts w:cs="David" w:hint="cs"/>
          <w:sz w:val="28"/>
          <w:szCs w:val="28"/>
          <w:rtl/>
        </w:rPr>
        <w:t>ה</w:t>
      </w:r>
      <w:r w:rsidRPr="00B44DB6">
        <w:rPr>
          <w:rFonts w:cs="David"/>
          <w:sz w:val="28"/>
          <w:szCs w:val="28"/>
          <w:rtl/>
        </w:rPr>
        <w:t xml:space="preserve">מעשים </w:t>
      </w:r>
      <w:r w:rsidR="00EE4F0E">
        <w:rPr>
          <w:rFonts w:cs="David" w:hint="cs"/>
          <w:sz w:val="28"/>
          <w:szCs w:val="28"/>
          <w:rtl/>
        </w:rPr>
        <w:t xml:space="preserve">בוצעו במסגרת </w:t>
      </w:r>
      <w:r w:rsidR="00EE4F0E">
        <w:rPr>
          <w:rFonts w:cs="David" w:hint="cs"/>
          <w:sz w:val="28"/>
          <w:szCs w:val="28"/>
          <w:rtl/>
        </w:rPr>
        <w:lastRenderedPageBreak/>
        <w:t>היחידה הצבאית</w:t>
      </w:r>
      <w:r w:rsidRPr="00B44DB6">
        <w:rPr>
          <w:rFonts w:cs="David"/>
          <w:sz w:val="28"/>
          <w:szCs w:val="28"/>
          <w:rtl/>
        </w:rPr>
        <w:t xml:space="preserve">, על ידי מפקד </w:t>
      </w:r>
      <w:r w:rsidR="00EE4F0E">
        <w:rPr>
          <w:rFonts w:cs="David" w:hint="cs"/>
          <w:sz w:val="28"/>
          <w:szCs w:val="28"/>
          <w:rtl/>
        </w:rPr>
        <w:t>ביחידה</w:t>
      </w:r>
      <w:r w:rsidR="00C21A5F">
        <w:rPr>
          <w:rFonts w:cs="David" w:hint="cs"/>
          <w:sz w:val="28"/>
          <w:szCs w:val="28"/>
          <w:rtl/>
        </w:rPr>
        <w:t xml:space="preserve">, </w:t>
      </w:r>
      <w:r w:rsidRPr="00B44DB6">
        <w:rPr>
          <w:rFonts w:cs="David"/>
          <w:sz w:val="28"/>
          <w:szCs w:val="28"/>
          <w:rtl/>
        </w:rPr>
        <w:t>כלפי חיילת בשירות חובה</w:t>
      </w:r>
      <w:r w:rsidR="00EE4F0E">
        <w:rPr>
          <w:rFonts w:cs="David" w:hint="cs"/>
          <w:sz w:val="28"/>
          <w:szCs w:val="28"/>
          <w:rtl/>
        </w:rPr>
        <w:t xml:space="preserve">. נטען, כי </w:t>
      </w:r>
      <w:r w:rsidRPr="00B44DB6">
        <w:rPr>
          <w:rFonts w:cs="David"/>
          <w:sz w:val="28"/>
          <w:szCs w:val="28"/>
          <w:rtl/>
        </w:rPr>
        <w:t>כל</w:t>
      </w:r>
      <w:r w:rsidR="00EE4F0E">
        <w:rPr>
          <w:rFonts w:cs="David" w:hint="cs"/>
          <w:sz w:val="28"/>
          <w:szCs w:val="28"/>
          <w:rtl/>
        </w:rPr>
        <w:t xml:space="preserve">ל הנתונים ושיקולי הענישה </w:t>
      </w:r>
      <w:r w:rsidR="00D41969">
        <w:rPr>
          <w:rFonts w:cs="David" w:hint="cs"/>
          <w:sz w:val="28"/>
          <w:szCs w:val="28"/>
          <w:rtl/>
        </w:rPr>
        <w:t xml:space="preserve">הקיימים </w:t>
      </w:r>
      <w:r w:rsidR="00EE4F0E">
        <w:rPr>
          <w:rFonts w:cs="David" w:hint="cs"/>
          <w:sz w:val="28"/>
          <w:szCs w:val="28"/>
          <w:rtl/>
        </w:rPr>
        <w:t>מחייבים לקבוע מתחם עונש הולם חמור יותר</w:t>
      </w:r>
      <w:r w:rsidR="00C21A5F">
        <w:rPr>
          <w:rFonts w:cs="David" w:hint="cs"/>
          <w:sz w:val="28"/>
          <w:szCs w:val="28"/>
          <w:rtl/>
        </w:rPr>
        <w:t>,</w:t>
      </w:r>
      <w:r w:rsidR="00EE4F0E">
        <w:rPr>
          <w:rFonts w:cs="David" w:hint="cs"/>
          <w:sz w:val="28"/>
          <w:szCs w:val="28"/>
          <w:rtl/>
        </w:rPr>
        <w:t xml:space="preserve"> </w:t>
      </w:r>
      <w:r w:rsidRPr="00B44DB6">
        <w:rPr>
          <w:rFonts w:cs="David"/>
          <w:sz w:val="28"/>
          <w:szCs w:val="28"/>
          <w:rtl/>
        </w:rPr>
        <w:t>וכי מתחם הע</w:t>
      </w:r>
      <w:r w:rsidR="00B835B4">
        <w:rPr>
          <w:rFonts w:cs="David" w:hint="cs"/>
          <w:sz w:val="28"/>
          <w:szCs w:val="28"/>
          <w:rtl/>
        </w:rPr>
        <w:t>ו</w:t>
      </w:r>
      <w:r w:rsidRPr="00B44DB6">
        <w:rPr>
          <w:rFonts w:cs="David"/>
          <w:sz w:val="28"/>
          <w:szCs w:val="28"/>
          <w:rtl/>
        </w:rPr>
        <w:t>נש שנקבע על ידי בית הדין קמא אינו מ</w:t>
      </w:r>
      <w:r w:rsidR="00B835B4">
        <w:rPr>
          <w:rFonts w:cs="David" w:hint="cs"/>
          <w:sz w:val="28"/>
          <w:szCs w:val="28"/>
          <w:rtl/>
        </w:rPr>
        <w:t xml:space="preserve">שקף כראוי </w:t>
      </w:r>
      <w:r w:rsidRPr="00B44DB6">
        <w:rPr>
          <w:rFonts w:cs="David"/>
          <w:sz w:val="28"/>
          <w:szCs w:val="28"/>
          <w:rtl/>
        </w:rPr>
        <w:t xml:space="preserve">את החומרה </w:t>
      </w:r>
      <w:r w:rsidR="00812BF3">
        <w:rPr>
          <w:rFonts w:cs="David" w:hint="cs"/>
          <w:sz w:val="28"/>
          <w:szCs w:val="28"/>
          <w:rtl/>
        </w:rPr>
        <w:t xml:space="preserve">היתרה </w:t>
      </w:r>
      <w:r w:rsidRPr="00B44DB6">
        <w:rPr>
          <w:rFonts w:cs="David"/>
          <w:sz w:val="28"/>
          <w:szCs w:val="28"/>
          <w:rtl/>
        </w:rPr>
        <w:t>הגלומה ב</w:t>
      </w:r>
      <w:r w:rsidR="00B835B4">
        <w:rPr>
          <w:rFonts w:cs="David" w:hint="cs"/>
          <w:sz w:val="28"/>
          <w:szCs w:val="28"/>
          <w:rtl/>
        </w:rPr>
        <w:t>מעשיו של המערער</w:t>
      </w:r>
      <w:r w:rsidRPr="00B44DB6">
        <w:rPr>
          <w:rFonts w:cs="David"/>
          <w:sz w:val="28"/>
          <w:szCs w:val="28"/>
          <w:rtl/>
        </w:rPr>
        <w:t xml:space="preserve">. </w:t>
      </w:r>
    </w:p>
    <w:p w14:paraId="72270E48" w14:textId="7813103B" w:rsidR="00B44DB6" w:rsidRPr="00B44DB6" w:rsidRDefault="00B44DB6" w:rsidP="001A563F">
      <w:pPr>
        <w:numPr>
          <w:ilvl w:val="0"/>
          <w:numId w:val="5"/>
        </w:numPr>
        <w:tabs>
          <w:tab w:val="left" w:pos="282"/>
        </w:tabs>
        <w:spacing w:line="360" w:lineRule="auto"/>
        <w:ind w:left="-1" w:firstLine="0"/>
        <w:jc w:val="both"/>
        <w:rPr>
          <w:rFonts w:cs="David"/>
          <w:sz w:val="28"/>
          <w:szCs w:val="28"/>
          <w:rtl/>
        </w:rPr>
      </w:pPr>
      <w:r w:rsidRPr="00B44DB6">
        <w:rPr>
          <w:rFonts w:cs="David"/>
          <w:sz w:val="28"/>
          <w:szCs w:val="28"/>
          <w:rtl/>
        </w:rPr>
        <w:t xml:space="preserve">התביעה הדגישה, כי </w:t>
      </w:r>
      <w:r w:rsidR="00B835B4">
        <w:rPr>
          <w:rFonts w:cs="David" w:hint="cs"/>
          <w:sz w:val="28"/>
          <w:szCs w:val="28"/>
          <w:rtl/>
        </w:rPr>
        <w:t xml:space="preserve">המערער פעל </w:t>
      </w:r>
      <w:r w:rsidRPr="00B44DB6">
        <w:rPr>
          <w:rFonts w:cs="David"/>
          <w:sz w:val="28"/>
          <w:szCs w:val="28"/>
          <w:rtl/>
        </w:rPr>
        <w:t>באופן מחושב ומתוכנן</w:t>
      </w:r>
      <w:r w:rsidR="0092159E">
        <w:rPr>
          <w:rFonts w:cs="David" w:hint="cs"/>
          <w:sz w:val="28"/>
          <w:szCs w:val="28"/>
          <w:rtl/>
        </w:rPr>
        <w:t>;</w:t>
      </w:r>
      <w:r w:rsidRPr="00B44DB6">
        <w:rPr>
          <w:rFonts w:cs="David"/>
          <w:sz w:val="28"/>
          <w:szCs w:val="28"/>
          <w:rtl/>
        </w:rPr>
        <w:t xml:space="preserve"> </w:t>
      </w:r>
      <w:r w:rsidR="00B835B4">
        <w:rPr>
          <w:rFonts w:cs="David" w:hint="cs"/>
          <w:sz w:val="28"/>
          <w:szCs w:val="28"/>
          <w:rtl/>
        </w:rPr>
        <w:t>הניסיון ל</w:t>
      </w:r>
      <w:r w:rsidR="0092159E">
        <w:rPr>
          <w:rFonts w:cs="David" w:hint="cs"/>
          <w:sz w:val="28"/>
          <w:szCs w:val="28"/>
          <w:rtl/>
        </w:rPr>
        <w:t xml:space="preserve">גרם מעשה </w:t>
      </w:r>
      <w:r w:rsidR="00B835B4">
        <w:rPr>
          <w:rFonts w:cs="David" w:hint="cs"/>
          <w:sz w:val="28"/>
          <w:szCs w:val="28"/>
          <w:rtl/>
        </w:rPr>
        <w:t xml:space="preserve"> אינוס</w:t>
      </w:r>
      <w:r w:rsidRPr="00B44DB6">
        <w:rPr>
          <w:rFonts w:cs="David"/>
          <w:sz w:val="28"/>
          <w:szCs w:val="28"/>
          <w:rtl/>
        </w:rPr>
        <w:t xml:space="preserve"> </w:t>
      </w:r>
      <w:r w:rsidR="00C21A5F">
        <w:rPr>
          <w:rFonts w:cs="David" w:hint="cs"/>
          <w:sz w:val="28"/>
          <w:szCs w:val="28"/>
          <w:rtl/>
        </w:rPr>
        <w:t xml:space="preserve">בוצע באמצעות </w:t>
      </w:r>
      <w:r w:rsidR="0092159E">
        <w:rPr>
          <w:rFonts w:cs="David" w:hint="cs"/>
          <w:sz w:val="28"/>
          <w:szCs w:val="28"/>
          <w:rtl/>
        </w:rPr>
        <w:t xml:space="preserve">סחיטה באיומים, </w:t>
      </w:r>
      <w:r w:rsidR="00C21A5F">
        <w:rPr>
          <w:rFonts w:cs="David" w:hint="cs"/>
          <w:sz w:val="28"/>
          <w:szCs w:val="28"/>
          <w:rtl/>
        </w:rPr>
        <w:t xml:space="preserve">שעניינם הפצת תיעוד אינטימי של הנפגעת במרשתת, והכל </w:t>
      </w:r>
      <w:r w:rsidRPr="00B44DB6">
        <w:rPr>
          <w:rFonts w:cs="David"/>
          <w:sz w:val="28"/>
          <w:szCs w:val="28"/>
          <w:rtl/>
        </w:rPr>
        <w:t xml:space="preserve">תוך </w:t>
      </w:r>
      <w:r w:rsidR="0092159E">
        <w:rPr>
          <w:rFonts w:cs="David" w:hint="cs"/>
          <w:sz w:val="28"/>
          <w:szCs w:val="28"/>
          <w:rtl/>
        </w:rPr>
        <w:t>שהמערער מסתיר את זהותו ו</w:t>
      </w:r>
      <w:r w:rsidRPr="00B44DB6">
        <w:rPr>
          <w:rFonts w:cs="David"/>
          <w:sz w:val="28"/>
          <w:szCs w:val="28"/>
          <w:rtl/>
        </w:rPr>
        <w:t xml:space="preserve">מעצים את </w:t>
      </w:r>
      <w:r w:rsidR="0092159E">
        <w:rPr>
          <w:rFonts w:cs="David" w:hint="cs"/>
          <w:sz w:val="28"/>
          <w:szCs w:val="28"/>
          <w:rtl/>
        </w:rPr>
        <w:t xml:space="preserve">תחושות הפחד והאימה של </w:t>
      </w:r>
      <w:r w:rsidRPr="00B44DB6">
        <w:rPr>
          <w:rFonts w:cs="David"/>
          <w:sz w:val="28"/>
          <w:szCs w:val="28"/>
          <w:rtl/>
        </w:rPr>
        <w:t>נפגעת העבירה</w:t>
      </w:r>
      <w:r w:rsidR="0092159E">
        <w:rPr>
          <w:rFonts w:cs="David" w:hint="cs"/>
          <w:sz w:val="28"/>
          <w:szCs w:val="28"/>
          <w:rtl/>
        </w:rPr>
        <w:t xml:space="preserve">; </w:t>
      </w:r>
      <w:r w:rsidRPr="00B44DB6">
        <w:rPr>
          <w:rFonts w:cs="David"/>
          <w:sz w:val="28"/>
          <w:szCs w:val="28"/>
          <w:rtl/>
        </w:rPr>
        <w:t xml:space="preserve">המערער </w:t>
      </w:r>
      <w:r w:rsidR="00812BF3">
        <w:rPr>
          <w:rFonts w:cs="David" w:hint="cs"/>
          <w:sz w:val="28"/>
          <w:szCs w:val="28"/>
          <w:rtl/>
        </w:rPr>
        <w:t xml:space="preserve">אף </w:t>
      </w:r>
      <w:r w:rsidRPr="00B44DB6">
        <w:rPr>
          <w:rFonts w:cs="David"/>
          <w:sz w:val="28"/>
          <w:szCs w:val="28"/>
          <w:rtl/>
        </w:rPr>
        <w:t xml:space="preserve">החזיק ברשותו </w:t>
      </w:r>
      <w:r w:rsidR="0092159E">
        <w:rPr>
          <w:rFonts w:cs="David" w:hint="cs"/>
          <w:sz w:val="28"/>
          <w:szCs w:val="28"/>
          <w:rtl/>
        </w:rPr>
        <w:t xml:space="preserve">במשך </w:t>
      </w:r>
      <w:r w:rsidRPr="00B44DB6">
        <w:rPr>
          <w:rFonts w:cs="David"/>
          <w:sz w:val="28"/>
          <w:szCs w:val="28"/>
          <w:rtl/>
        </w:rPr>
        <w:t xml:space="preserve">פרק זמן </w:t>
      </w:r>
      <w:r w:rsidR="00812BF3">
        <w:rPr>
          <w:rFonts w:cs="David" w:hint="cs"/>
          <w:sz w:val="28"/>
          <w:szCs w:val="28"/>
          <w:rtl/>
        </w:rPr>
        <w:t>ארוך</w:t>
      </w:r>
      <w:r w:rsidR="0092159E">
        <w:rPr>
          <w:rFonts w:cs="David" w:hint="cs"/>
          <w:sz w:val="28"/>
          <w:szCs w:val="28"/>
          <w:rtl/>
        </w:rPr>
        <w:t xml:space="preserve">, </w:t>
      </w:r>
      <w:r w:rsidRPr="00B44DB6">
        <w:rPr>
          <w:rFonts w:cs="David"/>
          <w:sz w:val="28"/>
          <w:szCs w:val="28"/>
          <w:rtl/>
        </w:rPr>
        <w:t xml:space="preserve">תיעוד </w:t>
      </w:r>
      <w:r w:rsidR="0092159E">
        <w:rPr>
          <w:rFonts w:cs="David" w:hint="cs"/>
          <w:sz w:val="28"/>
          <w:szCs w:val="28"/>
          <w:rtl/>
        </w:rPr>
        <w:t xml:space="preserve">חושפני ואינטימי </w:t>
      </w:r>
      <w:r w:rsidRPr="00B44DB6">
        <w:rPr>
          <w:rFonts w:cs="David"/>
          <w:sz w:val="28"/>
          <w:szCs w:val="28"/>
          <w:rtl/>
        </w:rPr>
        <w:t xml:space="preserve">של נפגעת העבירה, </w:t>
      </w:r>
      <w:r w:rsidR="00C21A5F">
        <w:rPr>
          <w:rFonts w:cs="David" w:hint="cs"/>
          <w:sz w:val="28"/>
          <w:szCs w:val="28"/>
          <w:rtl/>
        </w:rPr>
        <w:t xml:space="preserve">שהושג </w:t>
      </w:r>
      <w:r w:rsidRPr="00B44DB6">
        <w:rPr>
          <w:rFonts w:cs="David"/>
          <w:sz w:val="28"/>
          <w:szCs w:val="28"/>
          <w:rtl/>
        </w:rPr>
        <w:t>ללא הסכמתה, תוך הפרה בוטה של פרטיותה בתוך המסגרת הצבאית</w:t>
      </w:r>
      <w:r w:rsidR="00812BF3">
        <w:rPr>
          <w:rFonts w:cs="David" w:hint="cs"/>
          <w:sz w:val="28"/>
          <w:szCs w:val="28"/>
          <w:rtl/>
        </w:rPr>
        <w:t xml:space="preserve">. </w:t>
      </w:r>
      <w:r w:rsidRPr="00B44DB6">
        <w:rPr>
          <w:rFonts w:cs="David"/>
          <w:sz w:val="28"/>
          <w:szCs w:val="28"/>
          <w:rtl/>
        </w:rPr>
        <w:t xml:space="preserve">מעשיו מלמדים על הפרה </w:t>
      </w:r>
      <w:r w:rsidR="00812BF3">
        <w:rPr>
          <w:rFonts w:cs="David" w:hint="cs"/>
          <w:sz w:val="28"/>
          <w:szCs w:val="28"/>
          <w:rtl/>
        </w:rPr>
        <w:t xml:space="preserve">גסה </w:t>
      </w:r>
      <w:r w:rsidRPr="00B44DB6">
        <w:rPr>
          <w:rFonts w:cs="David"/>
          <w:sz w:val="28"/>
          <w:szCs w:val="28"/>
          <w:rtl/>
        </w:rPr>
        <w:t xml:space="preserve">של האמון המיוחד שניתן בו כמפקד, </w:t>
      </w:r>
      <w:r w:rsidR="0092159E">
        <w:rPr>
          <w:rFonts w:cs="David" w:hint="cs"/>
          <w:sz w:val="28"/>
          <w:szCs w:val="28"/>
          <w:rtl/>
        </w:rPr>
        <w:t xml:space="preserve">ועל </w:t>
      </w:r>
      <w:r w:rsidRPr="00B44DB6">
        <w:rPr>
          <w:rFonts w:cs="David"/>
          <w:sz w:val="28"/>
          <w:szCs w:val="28"/>
          <w:rtl/>
        </w:rPr>
        <w:t>ניצול מעמדו והיכרותו עם נפגעת העבירה וסביבת העבודה שלה</w:t>
      </w:r>
      <w:r w:rsidR="0092159E">
        <w:rPr>
          <w:rFonts w:cs="David" w:hint="cs"/>
          <w:sz w:val="28"/>
          <w:szCs w:val="28"/>
          <w:rtl/>
        </w:rPr>
        <w:t xml:space="preserve">. נטען עוד, כי </w:t>
      </w:r>
      <w:r w:rsidRPr="00B44DB6">
        <w:rPr>
          <w:rFonts w:cs="David"/>
          <w:sz w:val="28"/>
          <w:szCs w:val="28"/>
          <w:rtl/>
        </w:rPr>
        <w:t xml:space="preserve">במעשי המערער גלום פוטנציאל נזק רב וממשי, </w:t>
      </w:r>
      <w:r w:rsidR="00C21A5F">
        <w:rPr>
          <w:rFonts w:cs="David" w:hint="cs"/>
          <w:sz w:val="28"/>
          <w:szCs w:val="28"/>
          <w:rtl/>
        </w:rPr>
        <w:t>אשר אף התממש, נוכח ה</w:t>
      </w:r>
      <w:r w:rsidRPr="00B44DB6">
        <w:rPr>
          <w:rFonts w:cs="David"/>
          <w:sz w:val="28"/>
          <w:szCs w:val="28"/>
          <w:rtl/>
        </w:rPr>
        <w:t xml:space="preserve">פגיעה </w:t>
      </w:r>
      <w:r w:rsidR="00C21A5F">
        <w:rPr>
          <w:rFonts w:cs="David" w:hint="cs"/>
          <w:sz w:val="28"/>
          <w:szCs w:val="28"/>
          <w:rtl/>
        </w:rPr>
        <w:t>ה</w:t>
      </w:r>
      <w:r w:rsidRPr="00B44DB6">
        <w:rPr>
          <w:rFonts w:cs="David"/>
          <w:sz w:val="28"/>
          <w:szCs w:val="28"/>
          <w:rtl/>
        </w:rPr>
        <w:t>ממשית ו</w:t>
      </w:r>
      <w:r w:rsidR="00C21A5F">
        <w:rPr>
          <w:rFonts w:cs="David" w:hint="cs"/>
          <w:sz w:val="28"/>
          <w:szCs w:val="28"/>
          <w:rtl/>
        </w:rPr>
        <w:t>ה</w:t>
      </w:r>
      <w:r w:rsidRPr="00B44DB6">
        <w:rPr>
          <w:rFonts w:cs="David"/>
          <w:sz w:val="28"/>
          <w:szCs w:val="28"/>
          <w:rtl/>
        </w:rPr>
        <w:t xml:space="preserve">חריפה בנפגעת העבירה, </w:t>
      </w:r>
      <w:r w:rsidR="00C21A5F">
        <w:rPr>
          <w:rFonts w:cs="David" w:hint="cs"/>
          <w:sz w:val="28"/>
          <w:szCs w:val="28"/>
          <w:rtl/>
        </w:rPr>
        <w:t xml:space="preserve">אשר </w:t>
      </w:r>
      <w:r w:rsidRPr="00B44DB6">
        <w:rPr>
          <w:rFonts w:cs="David"/>
          <w:sz w:val="28"/>
          <w:szCs w:val="28"/>
          <w:rtl/>
        </w:rPr>
        <w:t xml:space="preserve">מתמודדת עד </w:t>
      </w:r>
      <w:r w:rsidR="0092159E">
        <w:rPr>
          <w:rFonts w:cs="David" w:hint="cs"/>
          <w:sz w:val="28"/>
          <w:szCs w:val="28"/>
          <w:rtl/>
        </w:rPr>
        <w:t xml:space="preserve">עצם </w:t>
      </w:r>
      <w:r w:rsidRPr="00B44DB6">
        <w:rPr>
          <w:rFonts w:cs="David"/>
          <w:sz w:val="28"/>
          <w:szCs w:val="28"/>
          <w:rtl/>
        </w:rPr>
        <w:t xml:space="preserve">היום </w:t>
      </w:r>
      <w:r w:rsidR="0092159E">
        <w:rPr>
          <w:rFonts w:cs="David" w:hint="cs"/>
          <w:sz w:val="28"/>
          <w:szCs w:val="28"/>
          <w:rtl/>
        </w:rPr>
        <w:t xml:space="preserve">הזה </w:t>
      </w:r>
      <w:r w:rsidRPr="00B44DB6">
        <w:rPr>
          <w:rFonts w:cs="David"/>
          <w:sz w:val="28"/>
          <w:szCs w:val="28"/>
          <w:rtl/>
        </w:rPr>
        <w:t>עם השלכות</w:t>
      </w:r>
      <w:r w:rsidR="00C21A5F">
        <w:rPr>
          <w:rFonts w:cs="David" w:hint="cs"/>
          <w:sz w:val="28"/>
          <w:szCs w:val="28"/>
          <w:rtl/>
        </w:rPr>
        <w:t xml:space="preserve"> האירוע </w:t>
      </w:r>
      <w:r w:rsidRPr="00B44DB6">
        <w:rPr>
          <w:rFonts w:cs="David"/>
          <w:sz w:val="28"/>
          <w:szCs w:val="28"/>
          <w:rtl/>
        </w:rPr>
        <w:t>ו</w:t>
      </w:r>
      <w:r w:rsidR="0092159E">
        <w:rPr>
          <w:rFonts w:cs="David" w:hint="cs"/>
          <w:sz w:val="28"/>
          <w:szCs w:val="28"/>
          <w:rtl/>
        </w:rPr>
        <w:t xml:space="preserve">עם הפגיעה </w:t>
      </w:r>
      <w:r w:rsidRPr="00B44DB6">
        <w:rPr>
          <w:rFonts w:cs="David"/>
          <w:sz w:val="28"/>
          <w:szCs w:val="28"/>
          <w:rtl/>
        </w:rPr>
        <w:t xml:space="preserve">בתחושת הביטחון </w:t>
      </w:r>
      <w:r w:rsidR="0092159E">
        <w:rPr>
          <w:rFonts w:cs="David" w:hint="cs"/>
          <w:sz w:val="28"/>
          <w:szCs w:val="28"/>
          <w:rtl/>
        </w:rPr>
        <w:t xml:space="preserve">האישי שלה. </w:t>
      </w:r>
      <w:r w:rsidRPr="00B44DB6">
        <w:rPr>
          <w:rFonts w:cs="David"/>
          <w:sz w:val="28"/>
          <w:szCs w:val="28"/>
          <w:rtl/>
        </w:rPr>
        <w:t xml:space="preserve">לעניין זה הוזכר </w:t>
      </w:r>
      <w:r w:rsidR="0092159E">
        <w:rPr>
          <w:rFonts w:cs="David" w:hint="cs"/>
          <w:sz w:val="28"/>
          <w:szCs w:val="28"/>
          <w:rtl/>
        </w:rPr>
        <w:t xml:space="preserve">גם </w:t>
      </w:r>
      <w:r w:rsidRPr="00B44DB6">
        <w:rPr>
          <w:rFonts w:cs="David"/>
          <w:sz w:val="28"/>
          <w:szCs w:val="28"/>
          <w:rtl/>
        </w:rPr>
        <w:t xml:space="preserve">כי בסרטון </w:t>
      </w:r>
      <w:r w:rsidR="00AC68DE">
        <w:rPr>
          <w:rFonts w:cs="David" w:hint="cs"/>
          <w:sz w:val="28"/>
          <w:szCs w:val="28"/>
          <w:rtl/>
        </w:rPr>
        <w:t xml:space="preserve">תועדו עוד </w:t>
      </w:r>
      <w:r w:rsidRPr="00B44DB6">
        <w:rPr>
          <w:rFonts w:cs="David"/>
          <w:sz w:val="28"/>
          <w:szCs w:val="28"/>
          <w:rtl/>
        </w:rPr>
        <w:t xml:space="preserve">נפגעות עבירה </w:t>
      </w:r>
      <w:r w:rsidR="0092159E">
        <w:rPr>
          <w:rFonts w:cs="David" w:hint="cs"/>
          <w:sz w:val="28"/>
          <w:szCs w:val="28"/>
          <w:rtl/>
        </w:rPr>
        <w:t>בעירום</w:t>
      </w:r>
      <w:r w:rsidRPr="00B44DB6">
        <w:rPr>
          <w:rFonts w:cs="David"/>
          <w:sz w:val="28"/>
          <w:szCs w:val="28"/>
          <w:rtl/>
        </w:rPr>
        <w:t>, וכי האירוע פגע ב</w:t>
      </w:r>
      <w:r w:rsidR="0092159E">
        <w:rPr>
          <w:rFonts w:cs="David" w:hint="cs"/>
          <w:sz w:val="28"/>
          <w:szCs w:val="28"/>
          <w:rtl/>
        </w:rPr>
        <w:t xml:space="preserve">בטחונן האישי </w:t>
      </w:r>
      <w:r w:rsidRPr="00B44DB6">
        <w:rPr>
          <w:rFonts w:cs="David"/>
          <w:sz w:val="28"/>
          <w:szCs w:val="28"/>
          <w:rtl/>
        </w:rPr>
        <w:t xml:space="preserve">של </w:t>
      </w:r>
      <w:r w:rsidR="0092159E">
        <w:rPr>
          <w:rFonts w:cs="David" w:hint="cs"/>
          <w:sz w:val="28"/>
          <w:szCs w:val="28"/>
          <w:rtl/>
        </w:rPr>
        <w:t xml:space="preserve">חיילות נוספות </w:t>
      </w:r>
      <w:r w:rsidRPr="00B44DB6">
        <w:rPr>
          <w:rFonts w:cs="David"/>
          <w:sz w:val="28"/>
          <w:szCs w:val="28"/>
          <w:rtl/>
        </w:rPr>
        <w:t>ביחידה</w:t>
      </w:r>
      <w:r w:rsidR="0092159E">
        <w:rPr>
          <w:rFonts w:cs="David" w:hint="cs"/>
          <w:sz w:val="28"/>
          <w:szCs w:val="28"/>
          <w:rtl/>
        </w:rPr>
        <w:t xml:space="preserve"> וביחסי האמון שראוי כי ישררו בה</w:t>
      </w:r>
      <w:r w:rsidRPr="00B44DB6">
        <w:rPr>
          <w:rFonts w:cs="David"/>
          <w:sz w:val="28"/>
          <w:szCs w:val="28"/>
          <w:rtl/>
        </w:rPr>
        <w:t xml:space="preserve">. </w:t>
      </w:r>
      <w:r w:rsidR="00AC68DE">
        <w:rPr>
          <w:rFonts w:cs="David" w:hint="cs"/>
          <w:sz w:val="28"/>
          <w:szCs w:val="28"/>
          <w:rtl/>
        </w:rPr>
        <w:t xml:space="preserve">נטען עוד, כי </w:t>
      </w:r>
      <w:r w:rsidRPr="00B44DB6">
        <w:rPr>
          <w:rFonts w:cs="David"/>
          <w:sz w:val="28"/>
          <w:szCs w:val="28"/>
          <w:rtl/>
        </w:rPr>
        <w:t>סירובו של המערער</w:t>
      </w:r>
      <w:r w:rsidR="00707594">
        <w:rPr>
          <w:rFonts w:cs="David" w:hint="cs"/>
          <w:sz w:val="28"/>
          <w:szCs w:val="28"/>
          <w:rtl/>
        </w:rPr>
        <w:t>,</w:t>
      </w:r>
      <w:r w:rsidRPr="00B44DB6">
        <w:rPr>
          <w:rFonts w:cs="David"/>
          <w:sz w:val="28"/>
          <w:szCs w:val="28"/>
          <w:rtl/>
        </w:rPr>
        <w:t xml:space="preserve"> עד </w:t>
      </w:r>
      <w:r w:rsidR="0092159E">
        <w:rPr>
          <w:rFonts w:cs="David" w:hint="cs"/>
          <w:sz w:val="28"/>
          <w:szCs w:val="28"/>
          <w:rtl/>
        </w:rPr>
        <w:t>עתה</w:t>
      </w:r>
      <w:r w:rsidRPr="00B44DB6">
        <w:rPr>
          <w:rFonts w:cs="David"/>
          <w:sz w:val="28"/>
          <w:szCs w:val="28"/>
          <w:rtl/>
        </w:rPr>
        <w:t xml:space="preserve">, לסייע </w:t>
      </w:r>
      <w:r w:rsidR="00AC68DE">
        <w:rPr>
          <w:rFonts w:cs="David" w:hint="cs"/>
          <w:sz w:val="28"/>
          <w:szCs w:val="28"/>
          <w:rtl/>
        </w:rPr>
        <w:t>ו</w:t>
      </w:r>
      <w:r w:rsidRPr="00B44DB6">
        <w:rPr>
          <w:rFonts w:cs="David"/>
          <w:sz w:val="28"/>
          <w:szCs w:val="28"/>
          <w:rtl/>
        </w:rPr>
        <w:t>ל</w:t>
      </w:r>
      <w:r w:rsidR="0092159E">
        <w:rPr>
          <w:rFonts w:cs="David" w:hint="cs"/>
          <w:sz w:val="28"/>
          <w:szCs w:val="28"/>
          <w:rtl/>
        </w:rPr>
        <w:t xml:space="preserve">צמצם </w:t>
      </w:r>
      <w:r w:rsidR="00AC68DE">
        <w:rPr>
          <w:rFonts w:cs="David" w:hint="cs"/>
          <w:sz w:val="28"/>
          <w:szCs w:val="28"/>
          <w:rtl/>
        </w:rPr>
        <w:t xml:space="preserve">את </w:t>
      </w:r>
      <w:r w:rsidRPr="00B44DB6">
        <w:rPr>
          <w:rFonts w:cs="David"/>
          <w:sz w:val="28"/>
          <w:szCs w:val="28"/>
          <w:rtl/>
        </w:rPr>
        <w:t xml:space="preserve">הנזק </w:t>
      </w:r>
      <w:r w:rsidR="0092159E">
        <w:rPr>
          <w:rFonts w:cs="David" w:hint="cs"/>
          <w:sz w:val="28"/>
          <w:szCs w:val="28"/>
          <w:rtl/>
        </w:rPr>
        <w:t>הכרוך ב</w:t>
      </w:r>
      <w:r w:rsidRPr="00B44DB6">
        <w:rPr>
          <w:rFonts w:cs="David"/>
          <w:sz w:val="28"/>
          <w:szCs w:val="28"/>
          <w:rtl/>
        </w:rPr>
        <w:t>מעשיו</w:t>
      </w:r>
      <w:r w:rsidR="00AC68DE">
        <w:rPr>
          <w:rFonts w:cs="David" w:hint="cs"/>
          <w:sz w:val="28"/>
          <w:szCs w:val="28"/>
          <w:rtl/>
        </w:rPr>
        <w:t xml:space="preserve">, על ידי מתן </w:t>
      </w:r>
      <w:r w:rsidRPr="00B44DB6">
        <w:rPr>
          <w:rFonts w:cs="David"/>
          <w:sz w:val="28"/>
          <w:szCs w:val="28"/>
          <w:rtl/>
        </w:rPr>
        <w:t>גישה לתיקיית התמונות שלו</w:t>
      </w:r>
      <w:r w:rsidR="0092159E">
        <w:rPr>
          <w:rFonts w:cs="David" w:hint="cs"/>
          <w:sz w:val="28"/>
          <w:szCs w:val="28"/>
          <w:rtl/>
        </w:rPr>
        <w:t xml:space="preserve"> במרשתת</w:t>
      </w:r>
      <w:r w:rsidR="00AC68DE">
        <w:rPr>
          <w:rFonts w:cs="David" w:hint="cs"/>
          <w:sz w:val="28"/>
          <w:szCs w:val="28"/>
          <w:rtl/>
        </w:rPr>
        <w:t xml:space="preserve"> - </w:t>
      </w:r>
      <w:r w:rsidRPr="00B44DB6">
        <w:rPr>
          <w:rFonts w:cs="David"/>
          <w:sz w:val="28"/>
          <w:szCs w:val="28"/>
          <w:rtl/>
        </w:rPr>
        <w:t>העצים עוד יותר את תחושת החרדה של נפגעת העבירה</w:t>
      </w:r>
      <w:r w:rsidR="00421101">
        <w:rPr>
          <w:rFonts w:cs="David" w:hint="cs"/>
          <w:sz w:val="28"/>
          <w:szCs w:val="28"/>
          <w:rtl/>
        </w:rPr>
        <w:t xml:space="preserve">. לבסוף, נטען, כי </w:t>
      </w:r>
      <w:r w:rsidR="0067506D">
        <w:rPr>
          <w:rFonts w:cs="David" w:hint="cs"/>
          <w:sz w:val="28"/>
          <w:szCs w:val="28"/>
          <w:rtl/>
        </w:rPr>
        <w:t xml:space="preserve">המערער נטל אחריות בשלב מאוחר בהליך, </w:t>
      </w:r>
      <w:r w:rsidRPr="00B44DB6">
        <w:rPr>
          <w:rFonts w:cs="David"/>
          <w:sz w:val="28"/>
          <w:szCs w:val="28"/>
          <w:rtl/>
        </w:rPr>
        <w:t xml:space="preserve">לאחר סיומו </w:t>
      </w:r>
      <w:r w:rsidR="00AC68DE">
        <w:rPr>
          <w:rFonts w:cs="David" w:hint="cs"/>
          <w:sz w:val="28"/>
          <w:szCs w:val="28"/>
          <w:rtl/>
        </w:rPr>
        <w:t xml:space="preserve">של </w:t>
      </w:r>
      <w:r w:rsidR="00421101">
        <w:rPr>
          <w:rFonts w:cs="David" w:hint="cs"/>
          <w:sz w:val="28"/>
          <w:szCs w:val="28"/>
          <w:rtl/>
        </w:rPr>
        <w:t xml:space="preserve">משפט </w:t>
      </w:r>
      <w:r w:rsidRPr="00B44DB6">
        <w:rPr>
          <w:rFonts w:cs="David"/>
          <w:sz w:val="28"/>
          <w:szCs w:val="28"/>
          <w:rtl/>
        </w:rPr>
        <w:t>ארוך וממושך</w:t>
      </w:r>
      <w:r w:rsidR="00421101">
        <w:rPr>
          <w:rFonts w:cs="David" w:hint="cs"/>
          <w:sz w:val="28"/>
          <w:szCs w:val="28"/>
          <w:rtl/>
        </w:rPr>
        <w:t xml:space="preserve">, </w:t>
      </w:r>
      <w:r w:rsidR="0067506D">
        <w:rPr>
          <w:rFonts w:cs="David" w:hint="cs"/>
          <w:sz w:val="28"/>
          <w:szCs w:val="28"/>
          <w:rtl/>
        </w:rPr>
        <w:t>ש</w:t>
      </w:r>
      <w:r w:rsidR="00421101">
        <w:rPr>
          <w:rFonts w:cs="David" w:hint="cs"/>
          <w:sz w:val="28"/>
          <w:szCs w:val="28"/>
          <w:rtl/>
        </w:rPr>
        <w:t xml:space="preserve">אף הוא גרם לנפגעת העבירה עינוי דין וחרדות. </w:t>
      </w:r>
    </w:p>
    <w:p w14:paraId="5F5BD9D7" w14:textId="0E62A205" w:rsidR="00B44DB6" w:rsidRPr="00B44DB6" w:rsidRDefault="00B44DB6" w:rsidP="001A563F">
      <w:pPr>
        <w:numPr>
          <w:ilvl w:val="0"/>
          <w:numId w:val="5"/>
        </w:numPr>
        <w:tabs>
          <w:tab w:val="left" w:pos="282"/>
        </w:tabs>
        <w:spacing w:line="360" w:lineRule="auto"/>
        <w:ind w:left="-1" w:firstLine="0"/>
        <w:jc w:val="both"/>
        <w:rPr>
          <w:rFonts w:cs="David"/>
          <w:sz w:val="28"/>
          <w:szCs w:val="28"/>
          <w:rtl/>
        </w:rPr>
      </w:pPr>
      <w:r w:rsidRPr="00B44DB6">
        <w:rPr>
          <w:rFonts w:cs="David"/>
          <w:sz w:val="28"/>
          <w:szCs w:val="28"/>
          <w:rtl/>
        </w:rPr>
        <w:t xml:space="preserve">אשר </w:t>
      </w:r>
      <w:r w:rsidR="00707594" w:rsidRPr="00B44DB6">
        <w:rPr>
          <w:rFonts w:cs="David"/>
          <w:sz w:val="28"/>
          <w:szCs w:val="28"/>
          <w:rtl/>
        </w:rPr>
        <w:t>ל</w:t>
      </w:r>
      <w:r w:rsidR="00707594">
        <w:rPr>
          <w:rFonts w:cs="David" w:hint="cs"/>
          <w:sz w:val="28"/>
          <w:szCs w:val="28"/>
          <w:rtl/>
        </w:rPr>
        <w:t xml:space="preserve">שיעור </w:t>
      </w:r>
      <w:r w:rsidRPr="00B44DB6">
        <w:rPr>
          <w:rFonts w:cs="David"/>
          <w:sz w:val="28"/>
          <w:szCs w:val="28"/>
          <w:rtl/>
        </w:rPr>
        <w:t>הפיצוי</w:t>
      </w:r>
      <w:r w:rsidR="00707594">
        <w:rPr>
          <w:rFonts w:cs="David" w:hint="cs"/>
          <w:sz w:val="28"/>
          <w:szCs w:val="28"/>
          <w:rtl/>
        </w:rPr>
        <w:t xml:space="preserve"> שנפסק</w:t>
      </w:r>
      <w:r w:rsidR="00421101">
        <w:rPr>
          <w:rFonts w:cs="David" w:hint="cs"/>
          <w:sz w:val="28"/>
          <w:szCs w:val="28"/>
          <w:rtl/>
        </w:rPr>
        <w:t>,</w:t>
      </w:r>
      <w:r w:rsidRPr="00B44DB6">
        <w:rPr>
          <w:rFonts w:cs="David"/>
          <w:sz w:val="28"/>
          <w:szCs w:val="28"/>
          <w:rtl/>
        </w:rPr>
        <w:t xml:space="preserve"> </w:t>
      </w:r>
      <w:r w:rsidR="00707594">
        <w:rPr>
          <w:rFonts w:cs="David" w:hint="cs"/>
          <w:sz w:val="28"/>
          <w:szCs w:val="28"/>
          <w:rtl/>
        </w:rPr>
        <w:t xml:space="preserve">נטען כי הוא </w:t>
      </w:r>
      <w:r w:rsidRPr="00B44DB6">
        <w:rPr>
          <w:rFonts w:cs="David"/>
          <w:sz w:val="28"/>
          <w:szCs w:val="28"/>
          <w:rtl/>
        </w:rPr>
        <w:t xml:space="preserve">אינו מבטא </w:t>
      </w:r>
      <w:r w:rsidR="00421101">
        <w:rPr>
          <w:rFonts w:cs="David" w:hint="cs"/>
          <w:sz w:val="28"/>
          <w:szCs w:val="28"/>
          <w:rtl/>
        </w:rPr>
        <w:t xml:space="preserve">כראוי </w:t>
      </w:r>
      <w:r w:rsidRPr="00B44DB6">
        <w:rPr>
          <w:rFonts w:cs="David"/>
          <w:sz w:val="28"/>
          <w:szCs w:val="28"/>
          <w:rtl/>
        </w:rPr>
        <w:t>את ההכרה בסבלה המשמעותי</w:t>
      </w:r>
      <w:r w:rsidR="00421101">
        <w:rPr>
          <w:rFonts w:cs="David" w:hint="cs"/>
          <w:sz w:val="28"/>
          <w:szCs w:val="28"/>
          <w:rtl/>
        </w:rPr>
        <w:t xml:space="preserve">, המתמשך, </w:t>
      </w:r>
      <w:r w:rsidRPr="00B44DB6">
        <w:rPr>
          <w:rFonts w:cs="David"/>
          <w:sz w:val="28"/>
          <w:szCs w:val="28"/>
          <w:rtl/>
        </w:rPr>
        <w:t xml:space="preserve">של נפגעת העבירה; וכי </w:t>
      </w:r>
      <w:r w:rsidR="00421101">
        <w:rPr>
          <w:rFonts w:cs="David" w:hint="cs"/>
          <w:sz w:val="28"/>
          <w:szCs w:val="28"/>
          <w:rtl/>
        </w:rPr>
        <w:t xml:space="preserve">בית הדין קמא לא נימק את החלטתו </w:t>
      </w:r>
      <w:r w:rsidRPr="00B44DB6">
        <w:rPr>
          <w:rFonts w:cs="David"/>
          <w:sz w:val="28"/>
          <w:szCs w:val="28"/>
          <w:rtl/>
        </w:rPr>
        <w:t xml:space="preserve">שלא לפסוק </w:t>
      </w:r>
      <w:r w:rsidR="00B37BD0">
        <w:rPr>
          <w:rFonts w:cs="David" w:hint="cs"/>
          <w:sz w:val="28"/>
          <w:szCs w:val="28"/>
          <w:rtl/>
        </w:rPr>
        <w:t xml:space="preserve">לה </w:t>
      </w:r>
      <w:r w:rsidR="00421101">
        <w:rPr>
          <w:rFonts w:cs="David" w:hint="cs"/>
          <w:sz w:val="28"/>
          <w:szCs w:val="28"/>
          <w:rtl/>
        </w:rPr>
        <w:t>את ה</w:t>
      </w:r>
      <w:r w:rsidRPr="00B44DB6">
        <w:rPr>
          <w:rFonts w:cs="David"/>
          <w:sz w:val="28"/>
          <w:szCs w:val="28"/>
          <w:rtl/>
        </w:rPr>
        <w:t>סכום ה</w:t>
      </w:r>
      <w:r w:rsidR="00421101">
        <w:rPr>
          <w:rFonts w:cs="David" w:hint="cs"/>
          <w:sz w:val="28"/>
          <w:szCs w:val="28"/>
          <w:rtl/>
        </w:rPr>
        <w:t>מירבי</w:t>
      </w:r>
      <w:r w:rsidR="00076DCF">
        <w:rPr>
          <w:rFonts w:cs="David" w:hint="cs"/>
          <w:sz w:val="28"/>
          <w:szCs w:val="28"/>
          <w:rtl/>
        </w:rPr>
        <w:t xml:space="preserve"> </w:t>
      </w:r>
      <w:r w:rsidR="00421101">
        <w:rPr>
          <w:rFonts w:cs="David" w:hint="cs"/>
          <w:sz w:val="28"/>
          <w:szCs w:val="28"/>
          <w:rtl/>
        </w:rPr>
        <w:t>על פי חוק</w:t>
      </w:r>
      <w:r w:rsidRPr="00B44DB6">
        <w:rPr>
          <w:rFonts w:cs="David"/>
          <w:sz w:val="28"/>
          <w:szCs w:val="28"/>
          <w:rtl/>
        </w:rPr>
        <w:t xml:space="preserve">.  </w:t>
      </w:r>
    </w:p>
    <w:p w14:paraId="090F5ABB" w14:textId="77777777" w:rsidR="009E7CF6" w:rsidRDefault="009E7CF6" w:rsidP="00B44DB6">
      <w:pPr>
        <w:spacing w:line="360" w:lineRule="auto"/>
        <w:outlineLvl w:val="0"/>
        <w:rPr>
          <w:rFonts w:cs="David"/>
          <w:b/>
          <w:bCs/>
          <w:sz w:val="28"/>
          <w:szCs w:val="28"/>
          <w:u w:val="single"/>
          <w:rtl/>
        </w:rPr>
      </w:pPr>
    </w:p>
    <w:p w14:paraId="488A65DF" w14:textId="6A097D0D" w:rsidR="00B44DB6" w:rsidRPr="0067506D" w:rsidRDefault="00B44DB6" w:rsidP="00B44DB6">
      <w:pPr>
        <w:spacing w:line="360" w:lineRule="auto"/>
        <w:outlineLvl w:val="0"/>
        <w:rPr>
          <w:rFonts w:cs="David"/>
          <w:b/>
          <w:bCs/>
          <w:sz w:val="28"/>
          <w:szCs w:val="28"/>
          <w:u w:val="single"/>
          <w:rtl/>
        </w:rPr>
      </w:pPr>
      <w:r w:rsidRPr="0067506D">
        <w:rPr>
          <w:rFonts w:cs="David"/>
          <w:b/>
          <w:bCs/>
          <w:sz w:val="28"/>
          <w:szCs w:val="28"/>
          <w:u w:val="single"/>
          <w:rtl/>
        </w:rPr>
        <w:t xml:space="preserve">דיון והכרעה   </w:t>
      </w:r>
    </w:p>
    <w:p w14:paraId="0073043E" w14:textId="77777777" w:rsidR="00B6104F" w:rsidRPr="00EE3D55" w:rsidRDefault="00B6104F" w:rsidP="00B44DB6">
      <w:pPr>
        <w:spacing w:line="360" w:lineRule="auto"/>
        <w:outlineLvl w:val="0"/>
        <w:rPr>
          <w:rFonts w:cs="David"/>
          <w:sz w:val="16"/>
          <w:szCs w:val="16"/>
          <w:u w:val="single"/>
          <w:rtl/>
        </w:rPr>
      </w:pPr>
    </w:p>
    <w:p w14:paraId="740EF20B" w14:textId="78EE5395" w:rsidR="00B6104F" w:rsidRPr="0073787A" w:rsidRDefault="00B44DB6" w:rsidP="009E7CF6">
      <w:pPr>
        <w:spacing w:line="360" w:lineRule="auto"/>
        <w:outlineLvl w:val="0"/>
        <w:rPr>
          <w:rFonts w:cs="David"/>
          <w:sz w:val="28"/>
          <w:szCs w:val="28"/>
          <w:u w:val="single"/>
          <w:rtl/>
        </w:rPr>
      </w:pPr>
      <w:r w:rsidRPr="0073787A">
        <w:rPr>
          <w:rFonts w:cs="David"/>
          <w:sz w:val="28"/>
          <w:szCs w:val="28"/>
          <w:u w:val="single"/>
          <w:rtl/>
        </w:rPr>
        <w:t>מתחם הע</w:t>
      </w:r>
      <w:r w:rsidR="0029109F" w:rsidRPr="0073787A">
        <w:rPr>
          <w:rFonts w:cs="David" w:hint="cs"/>
          <w:sz w:val="28"/>
          <w:szCs w:val="28"/>
          <w:u w:val="single"/>
          <w:rtl/>
        </w:rPr>
        <w:t>ונש ההולם</w:t>
      </w:r>
    </w:p>
    <w:p w14:paraId="7C688B40" w14:textId="71C8EF9E" w:rsidR="00FD7E8D" w:rsidRPr="00B44DB6" w:rsidRDefault="001C5447"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 xml:space="preserve">המערער ביצע שלוש עבירות חמורות ובתוך כך פגע בערכים חברתיים מרכזיים וחשובים. </w:t>
      </w:r>
      <w:r w:rsidR="00FD7E8D">
        <w:rPr>
          <w:rFonts w:cs="David" w:hint="cs"/>
          <w:sz w:val="28"/>
          <w:szCs w:val="28"/>
          <w:rtl/>
        </w:rPr>
        <w:t xml:space="preserve">על </w:t>
      </w:r>
      <w:r w:rsidR="00FD7E8D" w:rsidRPr="00B44DB6">
        <w:rPr>
          <w:rFonts w:cs="David"/>
          <w:sz w:val="28"/>
          <w:szCs w:val="28"/>
          <w:rtl/>
        </w:rPr>
        <w:t>עביר</w:t>
      </w:r>
      <w:r w:rsidR="00FD7E8D">
        <w:rPr>
          <w:rFonts w:cs="David" w:hint="cs"/>
          <w:sz w:val="28"/>
          <w:szCs w:val="28"/>
          <w:rtl/>
        </w:rPr>
        <w:t>ת ה</w:t>
      </w:r>
      <w:r w:rsidR="00FD7E8D" w:rsidRPr="00B44DB6">
        <w:rPr>
          <w:rFonts w:cs="David"/>
          <w:sz w:val="28"/>
          <w:szCs w:val="28"/>
          <w:rtl/>
        </w:rPr>
        <w:t>סחיטה באיומים</w:t>
      </w:r>
      <w:r w:rsidR="00FD7E8D">
        <w:rPr>
          <w:rFonts w:cs="David" w:hint="cs"/>
          <w:sz w:val="28"/>
          <w:szCs w:val="28"/>
          <w:rtl/>
        </w:rPr>
        <w:t xml:space="preserve"> נפסק, </w:t>
      </w:r>
      <w:r w:rsidR="00FD7E8D" w:rsidRPr="00B44DB6">
        <w:rPr>
          <w:rFonts w:cs="David"/>
          <w:sz w:val="28"/>
          <w:szCs w:val="28"/>
          <w:rtl/>
        </w:rPr>
        <w:t xml:space="preserve">כי היא פוגעת פגיעה קשה בערכים המוגנים שעניינם שלום הציבור, שגרת חייו, קניינו ובטחונו; וכי ההחמרה בענישה מתחייבת </w:t>
      </w:r>
      <w:r w:rsidR="00FD7E8D">
        <w:rPr>
          <w:rFonts w:cs="David" w:hint="cs"/>
          <w:sz w:val="28"/>
          <w:szCs w:val="28"/>
          <w:rtl/>
        </w:rPr>
        <w:t>אף כדי "</w:t>
      </w:r>
      <w:r w:rsidR="00FD7E8D" w:rsidRPr="00B44DB6">
        <w:rPr>
          <w:rFonts w:cs="David"/>
          <w:sz w:val="28"/>
          <w:szCs w:val="28"/>
          <w:rtl/>
        </w:rPr>
        <w:t>לשבור את קשר השתיקה</w:t>
      </w:r>
      <w:r w:rsidR="00FD7E8D">
        <w:rPr>
          <w:rFonts w:cs="David" w:hint="cs"/>
          <w:sz w:val="28"/>
          <w:szCs w:val="28"/>
          <w:rtl/>
        </w:rPr>
        <w:t>",</w:t>
      </w:r>
      <w:r w:rsidR="00FD7E8D" w:rsidRPr="00B44DB6">
        <w:rPr>
          <w:rFonts w:cs="David"/>
          <w:sz w:val="28"/>
          <w:szCs w:val="28"/>
          <w:rtl/>
        </w:rPr>
        <w:t xml:space="preserve"> שהוא פעמים רבות מנת חלקו של הנסחט, נוכח האיום המופעל כלפיו</w:t>
      </w:r>
      <w:r w:rsidR="00FD7E8D">
        <w:rPr>
          <w:rFonts w:cs="David" w:hint="cs"/>
          <w:sz w:val="28"/>
          <w:szCs w:val="28"/>
          <w:rtl/>
        </w:rPr>
        <w:t xml:space="preserve">, אשר </w:t>
      </w:r>
      <w:r w:rsidR="00FD7E8D" w:rsidRPr="00B44DB6">
        <w:rPr>
          <w:rFonts w:cs="David"/>
          <w:sz w:val="28"/>
          <w:szCs w:val="28"/>
          <w:rtl/>
        </w:rPr>
        <w:t xml:space="preserve">מקשה עליו להתלונן ולהרתיע את הסוחט (ע"פ 5769/14 </w:t>
      </w:r>
      <w:r w:rsidR="00FD7E8D" w:rsidRPr="00232DBD">
        <w:rPr>
          <w:rFonts w:cs="David"/>
          <w:b/>
          <w:bCs/>
          <w:sz w:val="28"/>
          <w:szCs w:val="28"/>
          <w:rtl/>
        </w:rPr>
        <w:t>אלרואי נ' מדינת ישראל</w:t>
      </w:r>
      <w:r w:rsidR="00FD7E8D">
        <w:rPr>
          <w:rFonts w:cs="David"/>
          <w:sz w:val="28"/>
          <w:szCs w:val="28"/>
          <w:rtl/>
        </w:rPr>
        <w:t>, פסקה 9 (</w:t>
      </w:r>
      <w:r w:rsidR="0035073D">
        <w:rPr>
          <w:rFonts w:cs="David" w:hint="cs"/>
          <w:sz w:val="28"/>
          <w:szCs w:val="28"/>
          <w:rtl/>
        </w:rPr>
        <w:t xml:space="preserve">לא פורסם, </w:t>
      </w:r>
      <w:r w:rsidR="00FD7E8D">
        <w:rPr>
          <w:rFonts w:cs="David" w:hint="cs"/>
          <w:sz w:val="28"/>
          <w:szCs w:val="28"/>
          <w:rtl/>
        </w:rPr>
        <w:t>20.9.2015</w:t>
      </w:r>
      <w:r w:rsidR="00FD7E8D" w:rsidRPr="00B44DB6">
        <w:rPr>
          <w:rFonts w:cs="David"/>
          <w:sz w:val="28"/>
          <w:szCs w:val="28"/>
          <w:rtl/>
        </w:rPr>
        <w:t>)). ביחס לעבירת האינוס</w:t>
      </w:r>
      <w:r w:rsidR="00FD7E8D">
        <w:rPr>
          <w:rFonts w:cs="David" w:hint="cs"/>
          <w:sz w:val="28"/>
          <w:szCs w:val="28"/>
          <w:rtl/>
        </w:rPr>
        <w:t xml:space="preserve">, כפי שציינו </w:t>
      </w:r>
      <w:r w:rsidR="00FD7E8D" w:rsidRPr="00B44DB6">
        <w:rPr>
          <w:rFonts w:cs="David"/>
          <w:sz w:val="28"/>
          <w:szCs w:val="28"/>
          <w:rtl/>
        </w:rPr>
        <w:t xml:space="preserve">לעיל, </w:t>
      </w:r>
      <w:r w:rsidR="00FD7E8D">
        <w:rPr>
          <w:rFonts w:cs="David" w:hint="cs"/>
          <w:sz w:val="28"/>
          <w:szCs w:val="28"/>
          <w:rtl/>
        </w:rPr>
        <w:t>הרי שזו כרוכה ב</w:t>
      </w:r>
      <w:r w:rsidR="00FD7E8D" w:rsidRPr="00B44DB6">
        <w:rPr>
          <w:rFonts w:cs="David"/>
          <w:sz w:val="28"/>
          <w:szCs w:val="28"/>
          <w:rtl/>
        </w:rPr>
        <w:t xml:space="preserve">פגיעה קשה באוטונומיית הרצון </w:t>
      </w:r>
      <w:r w:rsidR="00FD7E8D" w:rsidRPr="00B44DB6">
        <w:rPr>
          <w:rFonts w:cs="David"/>
          <w:sz w:val="28"/>
          <w:szCs w:val="28"/>
          <w:rtl/>
        </w:rPr>
        <w:lastRenderedPageBreak/>
        <w:t xml:space="preserve">של נפגעת העבירה, בכבודה ובשליטתה על גופה - פגיעה </w:t>
      </w:r>
      <w:r w:rsidR="00FD7E8D">
        <w:rPr>
          <w:rFonts w:cs="David" w:hint="cs"/>
          <w:sz w:val="28"/>
          <w:szCs w:val="28"/>
          <w:rtl/>
        </w:rPr>
        <w:t>אשר, כ</w:t>
      </w:r>
      <w:r>
        <w:rPr>
          <w:rFonts w:cs="David" w:hint="cs"/>
          <w:sz w:val="28"/>
          <w:szCs w:val="28"/>
          <w:rtl/>
        </w:rPr>
        <w:t xml:space="preserve">פי שנתאר בהמשך, </w:t>
      </w:r>
      <w:r w:rsidR="00FD7E8D">
        <w:rPr>
          <w:rFonts w:cs="David" w:hint="cs"/>
          <w:sz w:val="28"/>
          <w:szCs w:val="28"/>
          <w:rtl/>
        </w:rPr>
        <w:t xml:space="preserve">מתעצמת </w:t>
      </w:r>
      <w:r w:rsidR="00FD7E8D" w:rsidRPr="00B44DB6">
        <w:rPr>
          <w:rFonts w:cs="David"/>
          <w:sz w:val="28"/>
          <w:szCs w:val="28"/>
          <w:rtl/>
        </w:rPr>
        <w:t>עוד יותר כשהיא מ</w:t>
      </w:r>
      <w:r w:rsidR="00FD7E8D">
        <w:rPr>
          <w:rFonts w:cs="David" w:hint="cs"/>
          <w:sz w:val="28"/>
          <w:szCs w:val="28"/>
          <w:rtl/>
        </w:rPr>
        <w:t xml:space="preserve">בוצעת </w:t>
      </w:r>
      <w:r w:rsidR="00FD7E8D" w:rsidRPr="00B44DB6">
        <w:rPr>
          <w:rFonts w:cs="David"/>
          <w:sz w:val="28"/>
          <w:szCs w:val="28"/>
          <w:rtl/>
        </w:rPr>
        <w:t>במסגרת הצבאית</w:t>
      </w:r>
      <w:r w:rsidR="00FD7E8D">
        <w:rPr>
          <w:rFonts w:cs="David" w:hint="cs"/>
          <w:sz w:val="28"/>
          <w:szCs w:val="28"/>
          <w:rtl/>
        </w:rPr>
        <w:t xml:space="preserve"> </w:t>
      </w:r>
      <w:r w:rsidR="00FD7E8D" w:rsidRPr="00B44DB6">
        <w:rPr>
          <w:rFonts w:cs="David"/>
          <w:sz w:val="28"/>
          <w:szCs w:val="28"/>
          <w:rtl/>
        </w:rPr>
        <w:t>(</w:t>
      </w:r>
      <w:r w:rsidRPr="001C5447">
        <w:rPr>
          <w:rFonts w:cs="David"/>
          <w:sz w:val="28"/>
          <w:szCs w:val="28"/>
          <w:rtl/>
        </w:rPr>
        <w:t xml:space="preserve">ע/117/05 </w:t>
      </w:r>
      <w:r w:rsidRPr="001C5447">
        <w:rPr>
          <w:rFonts w:cs="David"/>
          <w:b/>
          <w:bCs/>
          <w:sz w:val="28"/>
          <w:szCs w:val="28"/>
          <w:rtl/>
        </w:rPr>
        <w:t>התובע הצבאי נ' אל"ם זאהר</w:t>
      </w:r>
      <w:r w:rsidRPr="001C5447">
        <w:rPr>
          <w:rFonts w:cs="David"/>
          <w:sz w:val="28"/>
          <w:szCs w:val="28"/>
          <w:rtl/>
        </w:rPr>
        <w:t>, פסק</w:t>
      </w:r>
      <w:r>
        <w:rPr>
          <w:rFonts w:cs="David" w:hint="cs"/>
          <w:sz w:val="28"/>
          <w:szCs w:val="28"/>
          <w:rtl/>
        </w:rPr>
        <w:t xml:space="preserve">אות 127-125 </w:t>
      </w:r>
      <w:r w:rsidRPr="001C5447">
        <w:rPr>
          <w:rFonts w:cs="David"/>
          <w:sz w:val="28"/>
          <w:szCs w:val="28"/>
          <w:rtl/>
        </w:rPr>
        <w:t>(2006)</w:t>
      </w:r>
      <w:r w:rsidR="00FD7E8D" w:rsidRPr="00B44DB6">
        <w:rPr>
          <w:rFonts w:cs="David"/>
          <w:sz w:val="28"/>
          <w:szCs w:val="28"/>
          <w:rtl/>
        </w:rPr>
        <w:t>).</w:t>
      </w:r>
      <w:r>
        <w:rPr>
          <w:rFonts w:cs="David" w:hint="cs"/>
          <w:sz w:val="28"/>
          <w:szCs w:val="28"/>
          <w:rtl/>
        </w:rPr>
        <w:t xml:space="preserve"> </w:t>
      </w:r>
      <w:r w:rsidRPr="001C5447">
        <w:rPr>
          <w:rFonts w:cs="David" w:hint="cs"/>
          <w:sz w:val="28"/>
          <w:szCs w:val="28"/>
          <w:rtl/>
        </w:rPr>
        <w:t xml:space="preserve">עבירת ההדחה בחקירה, </w:t>
      </w:r>
      <w:r>
        <w:rPr>
          <w:rFonts w:cs="David" w:hint="cs"/>
          <w:sz w:val="28"/>
          <w:szCs w:val="28"/>
          <w:rtl/>
        </w:rPr>
        <w:t>עניינה</w:t>
      </w:r>
      <w:r w:rsidR="00B841F3">
        <w:rPr>
          <w:rFonts w:cs="David" w:hint="cs"/>
          <w:sz w:val="28"/>
          <w:szCs w:val="28"/>
          <w:rtl/>
        </w:rPr>
        <w:t>,</w:t>
      </w:r>
      <w:r>
        <w:rPr>
          <w:rFonts w:cs="David" w:hint="cs"/>
          <w:sz w:val="28"/>
          <w:szCs w:val="28"/>
          <w:rtl/>
        </w:rPr>
        <w:t xml:space="preserve"> כאמור</w:t>
      </w:r>
      <w:r w:rsidR="00B841F3">
        <w:rPr>
          <w:rFonts w:cs="David" w:hint="cs"/>
          <w:sz w:val="28"/>
          <w:szCs w:val="28"/>
          <w:rtl/>
        </w:rPr>
        <w:t>,</w:t>
      </w:r>
      <w:r>
        <w:rPr>
          <w:rFonts w:cs="David" w:hint="cs"/>
          <w:sz w:val="28"/>
          <w:szCs w:val="28"/>
          <w:rtl/>
        </w:rPr>
        <w:t xml:space="preserve"> באינטרס הציבורי </w:t>
      </w:r>
      <w:r w:rsidRPr="001C5447">
        <w:rPr>
          <w:rFonts w:cs="David" w:hint="cs"/>
          <w:sz w:val="28"/>
          <w:szCs w:val="28"/>
          <w:rtl/>
        </w:rPr>
        <w:t>למנוע מצב שבו עדים או מתלוננים פוטנציאליים יאוימו לבל ישתפו פעולה עם רשויות החקירה, באופן שימנע גילוי עבירות ולא יאפשר קיום חקירה אפקטיבית</w:t>
      </w:r>
      <w:r w:rsidR="00124FB5">
        <w:rPr>
          <w:rFonts w:cs="David" w:hint="cs"/>
          <w:sz w:val="28"/>
          <w:szCs w:val="28"/>
          <w:rtl/>
        </w:rPr>
        <w:t xml:space="preserve">; ומכאן שתכליתה היא להגן על תהליך עשיית הצדק במשפט, על טוהר ההליך המשפטי ועל גילוי האמת (ע"פ 4444/16 </w:t>
      </w:r>
      <w:r w:rsidR="00124FB5">
        <w:rPr>
          <w:rFonts w:cs="David" w:hint="cs"/>
          <w:b/>
          <w:bCs/>
          <w:sz w:val="28"/>
          <w:szCs w:val="28"/>
          <w:rtl/>
        </w:rPr>
        <w:t>פלוני נ' מדינת ישראל</w:t>
      </w:r>
      <w:r w:rsidR="00124FB5">
        <w:rPr>
          <w:rFonts w:cs="David" w:hint="cs"/>
          <w:sz w:val="28"/>
          <w:szCs w:val="28"/>
          <w:rtl/>
        </w:rPr>
        <w:t>, פסקה 7 (2018))</w:t>
      </w:r>
      <w:r w:rsidRPr="001C5447">
        <w:rPr>
          <w:rFonts w:cs="David" w:hint="cs"/>
          <w:sz w:val="28"/>
          <w:szCs w:val="28"/>
          <w:rtl/>
        </w:rPr>
        <w:t>.</w:t>
      </w:r>
      <w:r w:rsidR="00FD7E8D" w:rsidRPr="00B44DB6">
        <w:rPr>
          <w:rFonts w:cs="David"/>
          <w:sz w:val="28"/>
          <w:szCs w:val="28"/>
          <w:rtl/>
        </w:rPr>
        <w:t xml:space="preserve">  </w:t>
      </w:r>
    </w:p>
    <w:p w14:paraId="51B30ECF" w14:textId="101BCBD2" w:rsidR="00B44DB6" w:rsidRPr="00DC1D7F" w:rsidRDefault="00D158E2"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 xml:space="preserve">גם </w:t>
      </w:r>
      <w:r w:rsidR="006B74FD" w:rsidRPr="00DC1D7F">
        <w:rPr>
          <w:rFonts w:cs="David" w:hint="cs"/>
          <w:sz w:val="28"/>
          <w:szCs w:val="28"/>
          <w:rtl/>
        </w:rPr>
        <w:t>נסיבות ביצוע</w:t>
      </w:r>
      <w:r w:rsidR="004D3613" w:rsidRPr="00DC1D7F">
        <w:rPr>
          <w:rFonts w:cs="David" w:hint="cs"/>
          <w:sz w:val="28"/>
          <w:szCs w:val="28"/>
          <w:rtl/>
        </w:rPr>
        <w:t>ן של</w:t>
      </w:r>
      <w:r w:rsidR="006B74FD" w:rsidRPr="00DC1D7F">
        <w:rPr>
          <w:rFonts w:cs="David" w:hint="cs"/>
          <w:sz w:val="28"/>
          <w:szCs w:val="28"/>
          <w:rtl/>
        </w:rPr>
        <w:t xml:space="preserve"> העבירות </w:t>
      </w:r>
      <w:r w:rsidR="004D3613" w:rsidRPr="00DC1D7F">
        <w:rPr>
          <w:rFonts w:cs="David" w:hint="cs"/>
          <w:sz w:val="28"/>
          <w:szCs w:val="28"/>
          <w:rtl/>
        </w:rPr>
        <w:t xml:space="preserve">בענייננו מלמדות </w:t>
      </w:r>
      <w:r w:rsidR="006B74FD" w:rsidRPr="00DC1D7F">
        <w:rPr>
          <w:rFonts w:cs="David" w:hint="cs"/>
          <w:sz w:val="28"/>
          <w:szCs w:val="28"/>
          <w:rtl/>
        </w:rPr>
        <w:t xml:space="preserve">על </w:t>
      </w:r>
      <w:r w:rsidR="006B74FD" w:rsidRPr="00DC1D7F">
        <w:rPr>
          <w:rFonts w:cs="David" w:hint="cs"/>
          <w:b/>
          <w:bCs/>
          <w:sz w:val="28"/>
          <w:szCs w:val="28"/>
          <w:rtl/>
        </w:rPr>
        <w:t xml:space="preserve">חומרה </w:t>
      </w:r>
      <w:r w:rsidR="00076DCF" w:rsidRPr="00DC1D7F">
        <w:rPr>
          <w:rFonts w:cs="David" w:hint="cs"/>
          <w:b/>
          <w:bCs/>
          <w:sz w:val="28"/>
          <w:szCs w:val="28"/>
          <w:rtl/>
        </w:rPr>
        <w:t>יתרה</w:t>
      </w:r>
      <w:r w:rsidR="006B74FD" w:rsidRPr="00DC1D7F">
        <w:rPr>
          <w:rFonts w:cs="David" w:hint="cs"/>
          <w:sz w:val="28"/>
          <w:szCs w:val="28"/>
          <w:rtl/>
        </w:rPr>
        <w:t xml:space="preserve">. כמפורט לעיל, עסקינן במי שלאחר </w:t>
      </w:r>
      <w:r w:rsidR="006B74FD" w:rsidRPr="00DC1D7F">
        <w:rPr>
          <w:rFonts w:cs="David" w:hint="cs"/>
          <w:b/>
          <w:bCs/>
          <w:sz w:val="28"/>
          <w:szCs w:val="28"/>
          <w:rtl/>
        </w:rPr>
        <w:t>תכנון מפורט ומוקפד</w:t>
      </w:r>
      <w:r w:rsidR="006B74FD" w:rsidRPr="00DC1D7F">
        <w:rPr>
          <w:rFonts w:cs="David" w:hint="cs"/>
          <w:sz w:val="28"/>
          <w:szCs w:val="28"/>
          <w:rtl/>
        </w:rPr>
        <w:t xml:space="preserve">, </w:t>
      </w:r>
      <w:r w:rsidR="00DC1D7F">
        <w:rPr>
          <w:rFonts w:cs="David" w:hint="cs"/>
          <w:sz w:val="28"/>
          <w:szCs w:val="28"/>
          <w:rtl/>
        </w:rPr>
        <w:t xml:space="preserve">כשהוא </w:t>
      </w:r>
      <w:r w:rsidR="006B74FD" w:rsidRPr="00DC1D7F">
        <w:rPr>
          <w:rFonts w:cs="David" w:hint="cs"/>
          <w:sz w:val="28"/>
          <w:szCs w:val="28"/>
          <w:rtl/>
        </w:rPr>
        <w:t xml:space="preserve">נעזר באמצעים טכנולוגיים </w:t>
      </w:r>
      <w:r w:rsidR="00076DCF" w:rsidRPr="00DC1D7F">
        <w:rPr>
          <w:rFonts w:cs="David" w:hint="cs"/>
          <w:sz w:val="28"/>
          <w:szCs w:val="28"/>
          <w:rtl/>
        </w:rPr>
        <w:t>מגוונים</w:t>
      </w:r>
      <w:r w:rsidR="006B74FD" w:rsidRPr="00DC1D7F">
        <w:rPr>
          <w:rFonts w:cs="David" w:hint="cs"/>
          <w:sz w:val="28"/>
          <w:szCs w:val="28"/>
          <w:rtl/>
        </w:rPr>
        <w:t xml:space="preserve">, עשה שימוש בצילום בסתר של חיילות בעירום, על מנת להלך </w:t>
      </w:r>
      <w:r w:rsidR="00076DCF" w:rsidRPr="00DC1D7F">
        <w:rPr>
          <w:rFonts w:cs="David" w:hint="cs"/>
          <w:sz w:val="28"/>
          <w:szCs w:val="28"/>
          <w:rtl/>
        </w:rPr>
        <w:t xml:space="preserve">אימים </w:t>
      </w:r>
      <w:r w:rsidR="006B74FD" w:rsidRPr="00DC1D7F">
        <w:rPr>
          <w:rFonts w:cs="David" w:hint="cs"/>
          <w:sz w:val="28"/>
          <w:szCs w:val="28"/>
          <w:rtl/>
        </w:rPr>
        <w:t>על אחת מהן, נפגעת העבירה, ולגרום לה לבצע בעצמה מעשה אינוס.</w:t>
      </w:r>
      <w:r w:rsidR="00AF27A1" w:rsidRPr="00DC1D7F">
        <w:rPr>
          <w:rFonts w:cs="David" w:hint="cs"/>
          <w:sz w:val="28"/>
          <w:szCs w:val="28"/>
          <w:rtl/>
        </w:rPr>
        <w:t xml:space="preserve"> המערער </w:t>
      </w:r>
      <w:r w:rsidR="00AF27A1" w:rsidRPr="00DC1D7F">
        <w:rPr>
          <w:rFonts w:cs="David"/>
          <w:sz w:val="28"/>
          <w:szCs w:val="28"/>
          <w:rtl/>
        </w:rPr>
        <w:t>ער</w:t>
      </w:r>
      <w:r w:rsidR="00AF27A1" w:rsidRPr="00DC1D7F">
        <w:rPr>
          <w:rFonts w:cs="David" w:hint="cs"/>
          <w:sz w:val="28"/>
          <w:szCs w:val="28"/>
          <w:rtl/>
        </w:rPr>
        <w:t xml:space="preserve">ך את </w:t>
      </w:r>
      <w:r w:rsidR="00AF27A1" w:rsidRPr="00DC1D7F">
        <w:rPr>
          <w:rFonts w:cs="David"/>
          <w:sz w:val="28"/>
          <w:szCs w:val="28"/>
          <w:rtl/>
        </w:rPr>
        <w:t>הסרטון המקורי ו</w:t>
      </w:r>
      <w:r w:rsidR="00AF27A1" w:rsidRPr="00DC1D7F">
        <w:rPr>
          <w:rFonts w:cs="David" w:hint="cs"/>
          <w:sz w:val="28"/>
          <w:szCs w:val="28"/>
          <w:rtl/>
        </w:rPr>
        <w:t xml:space="preserve">יצר </w:t>
      </w:r>
      <w:r w:rsidR="00AF27A1" w:rsidRPr="00DC1D7F">
        <w:rPr>
          <w:rFonts w:cs="David"/>
          <w:sz w:val="28"/>
          <w:szCs w:val="28"/>
          <w:rtl/>
        </w:rPr>
        <w:t xml:space="preserve">סרטונים </w:t>
      </w:r>
      <w:r w:rsidR="00AF27A1" w:rsidRPr="00DC1D7F">
        <w:rPr>
          <w:rFonts w:cs="David" w:hint="cs"/>
          <w:sz w:val="28"/>
          <w:szCs w:val="28"/>
          <w:rtl/>
        </w:rPr>
        <w:t>"</w:t>
      </w:r>
      <w:r w:rsidR="00AF27A1" w:rsidRPr="00DC1D7F">
        <w:rPr>
          <w:rFonts w:cs="David"/>
          <w:sz w:val="28"/>
          <w:szCs w:val="28"/>
          <w:rtl/>
        </w:rPr>
        <w:t>חלקיים</w:t>
      </w:r>
      <w:r w:rsidR="00AF27A1" w:rsidRPr="00DC1D7F">
        <w:rPr>
          <w:rFonts w:cs="David" w:hint="cs"/>
          <w:sz w:val="28"/>
          <w:szCs w:val="28"/>
          <w:rtl/>
        </w:rPr>
        <w:t>"</w:t>
      </w:r>
      <w:r w:rsidR="00AF27A1" w:rsidRPr="00DC1D7F">
        <w:rPr>
          <w:rFonts w:cs="David"/>
          <w:sz w:val="28"/>
          <w:szCs w:val="28"/>
          <w:rtl/>
        </w:rPr>
        <w:t>; שתל כיתובים מטעם  ה"צוות"; פתח תיבת דוא"ל; והכ</w:t>
      </w:r>
      <w:r w:rsidR="00AF27A1" w:rsidRPr="00DC1D7F">
        <w:rPr>
          <w:rFonts w:cs="David" w:hint="cs"/>
          <w:sz w:val="28"/>
          <w:szCs w:val="28"/>
          <w:rtl/>
        </w:rPr>
        <w:t>ין</w:t>
      </w:r>
      <w:r w:rsidR="00AF27A1" w:rsidRPr="00DC1D7F">
        <w:rPr>
          <w:rFonts w:cs="David"/>
          <w:sz w:val="28"/>
          <w:szCs w:val="28"/>
          <w:rtl/>
        </w:rPr>
        <w:t xml:space="preserve"> </w:t>
      </w:r>
      <w:r w:rsidR="00AF27A1" w:rsidRPr="00DC1D7F">
        <w:rPr>
          <w:rFonts w:cs="David" w:hint="cs"/>
          <w:sz w:val="28"/>
          <w:szCs w:val="28"/>
          <w:rtl/>
        </w:rPr>
        <w:t xml:space="preserve">את </w:t>
      </w:r>
      <w:r w:rsidR="00AF27A1" w:rsidRPr="00DC1D7F">
        <w:rPr>
          <w:rFonts w:cs="David"/>
          <w:sz w:val="28"/>
          <w:szCs w:val="28"/>
          <w:rtl/>
        </w:rPr>
        <w:t>מכתב הסחיטה</w:t>
      </w:r>
      <w:r w:rsidR="00AF27A1" w:rsidRPr="00DC1D7F">
        <w:rPr>
          <w:rFonts w:cs="David" w:hint="cs"/>
          <w:sz w:val="28"/>
          <w:szCs w:val="28"/>
          <w:rtl/>
        </w:rPr>
        <w:t xml:space="preserve">, על "חלופותיו" והסרטון המצורף לו, שכל-כולו הנעה של המתלוננת, תוך העצמת האיום המשודר לה. </w:t>
      </w:r>
      <w:r w:rsidR="006B74FD" w:rsidRPr="00DC1D7F">
        <w:rPr>
          <w:rFonts w:cs="David" w:hint="cs"/>
          <w:sz w:val="28"/>
          <w:szCs w:val="28"/>
          <w:rtl/>
        </w:rPr>
        <w:t xml:space="preserve">המערער פעל תחת מעטה של אנונימיות, כשהוא מתחזה ל"צוות" של אנשים ותוך שהוא מאיים על נפגעת העבירה בהפצת תיעוד </w:t>
      </w:r>
      <w:r w:rsidR="002C1FAB" w:rsidRPr="00DC1D7F">
        <w:rPr>
          <w:rFonts w:cs="David" w:hint="cs"/>
          <w:sz w:val="28"/>
          <w:szCs w:val="28"/>
          <w:rtl/>
        </w:rPr>
        <w:t xml:space="preserve">אינטימי שלה </w:t>
      </w:r>
      <w:r w:rsidR="006B74FD" w:rsidRPr="00DC1D7F">
        <w:rPr>
          <w:rFonts w:cs="David" w:hint="cs"/>
          <w:sz w:val="28"/>
          <w:szCs w:val="28"/>
          <w:rtl/>
        </w:rPr>
        <w:t>במרשתת</w:t>
      </w:r>
      <w:r w:rsidR="002C1FAB" w:rsidRPr="00DC1D7F">
        <w:rPr>
          <w:rFonts w:cs="David" w:hint="cs"/>
          <w:sz w:val="28"/>
          <w:szCs w:val="28"/>
          <w:rtl/>
        </w:rPr>
        <w:t xml:space="preserve">, אם לא תיענה לדרישותיו, או אם </w:t>
      </w:r>
      <w:r w:rsidR="006B74FD" w:rsidRPr="00DC1D7F">
        <w:rPr>
          <w:rFonts w:cs="David" w:hint="cs"/>
          <w:sz w:val="28"/>
          <w:szCs w:val="28"/>
          <w:rtl/>
        </w:rPr>
        <w:t xml:space="preserve">תדווח על מעשיו לאחרים. </w:t>
      </w:r>
      <w:r w:rsidR="00DC1D7F" w:rsidRPr="00DC1D7F">
        <w:rPr>
          <w:rFonts w:cs="David" w:hint="cs"/>
          <w:sz w:val="28"/>
          <w:szCs w:val="28"/>
          <w:rtl/>
        </w:rPr>
        <w:t xml:space="preserve">הוא </w:t>
      </w:r>
      <w:r w:rsidR="00DC1D7F" w:rsidRPr="00DC1D7F">
        <w:rPr>
          <w:rFonts w:cs="David"/>
          <w:sz w:val="28"/>
          <w:szCs w:val="28"/>
          <w:rtl/>
        </w:rPr>
        <w:t xml:space="preserve">ניצל את נגישותו למשרדה של נפגעת העבירה, </w:t>
      </w:r>
      <w:r w:rsidR="00DC1D7F" w:rsidRPr="00DC1D7F">
        <w:rPr>
          <w:rFonts w:cs="David" w:hint="cs"/>
          <w:sz w:val="28"/>
          <w:szCs w:val="28"/>
          <w:rtl/>
        </w:rPr>
        <w:t xml:space="preserve">כדי </w:t>
      </w:r>
      <w:r w:rsidR="00DC1D7F" w:rsidRPr="00DC1D7F">
        <w:rPr>
          <w:rFonts w:cs="David"/>
          <w:sz w:val="28"/>
          <w:szCs w:val="28"/>
          <w:rtl/>
        </w:rPr>
        <w:t xml:space="preserve">להעביר את המכתב </w:t>
      </w:r>
      <w:r w:rsidR="00DC1D7F" w:rsidRPr="00DC1D7F">
        <w:rPr>
          <w:rFonts w:cs="David" w:hint="cs"/>
          <w:sz w:val="28"/>
          <w:szCs w:val="28"/>
          <w:rtl/>
        </w:rPr>
        <w:t xml:space="preserve">והסרטון </w:t>
      </w:r>
      <w:r w:rsidR="00DC1D7F" w:rsidRPr="00DC1D7F">
        <w:rPr>
          <w:rFonts w:cs="David"/>
          <w:sz w:val="28"/>
          <w:szCs w:val="28"/>
          <w:rtl/>
        </w:rPr>
        <w:t>לידיה, מבלי להתגלות בשעת מעשה</w:t>
      </w:r>
      <w:r w:rsidR="00DC1D7F" w:rsidRPr="00DC1D7F">
        <w:rPr>
          <w:rFonts w:cs="David" w:hint="cs"/>
          <w:sz w:val="28"/>
          <w:szCs w:val="28"/>
          <w:rtl/>
        </w:rPr>
        <w:t>, ו</w:t>
      </w:r>
      <w:r w:rsidR="00795F2B">
        <w:rPr>
          <w:rFonts w:cs="David" w:hint="cs"/>
          <w:sz w:val="28"/>
          <w:szCs w:val="28"/>
          <w:rtl/>
        </w:rPr>
        <w:t xml:space="preserve">יצר </w:t>
      </w:r>
      <w:r w:rsidR="00DC1D7F" w:rsidRPr="00DC1D7F">
        <w:rPr>
          <w:rFonts w:cs="David"/>
          <w:sz w:val="28"/>
          <w:szCs w:val="28"/>
          <w:rtl/>
        </w:rPr>
        <w:t>מצג</w:t>
      </w:r>
      <w:r w:rsidR="00DC1D7F" w:rsidRPr="00DC1D7F">
        <w:rPr>
          <w:rFonts w:cs="David" w:hint="cs"/>
          <w:sz w:val="28"/>
          <w:szCs w:val="28"/>
          <w:rtl/>
        </w:rPr>
        <w:t>,</w:t>
      </w:r>
      <w:r w:rsidR="00DC1D7F" w:rsidRPr="00DC1D7F">
        <w:rPr>
          <w:rFonts w:cs="David"/>
          <w:sz w:val="28"/>
          <w:szCs w:val="28"/>
          <w:rtl/>
        </w:rPr>
        <w:t xml:space="preserve"> </w:t>
      </w:r>
      <w:r w:rsidR="00DC1D7F" w:rsidRPr="00DC1D7F">
        <w:rPr>
          <w:rFonts w:cs="David" w:hint="cs"/>
          <w:sz w:val="28"/>
          <w:szCs w:val="28"/>
          <w:rtl/>
        </w:rPr>
        <w:t>ש</w:t>
      </w:r>
      <w:r w:rsidR="00DC1D7F" w:rsidRPr="00DC1D7F">
        <w:rPr>
          <w:rFonts w:cs="David"/>
          <w:sz w:val="28"/>
          <w:szCs w:val="28"/>
          <w:rtl/>
        </w:rPr>
        <w:t>לפי</w:t>
      </w:r>
      <w:r w:rsidR="00DC1D7F" w:rsidRPr="00DC1D7F">
        <w:rPr>
          <w:rFonts w:cs="David" w:hint="cs"/>
          <w:sz w:val="28"/>
          <w:szCs w:val="28"/>
          <w:rtl/>
        </w:rPr>
        <w:t>ו</w:t>
      </w:r>
      <w:r w:rsidR="00DC1D7F" w:rsidRPr="00DC1D7F">
        <w:rPr>
          <w:rFonts w:cs="David"/>
          <w:sz w:val="28"/>
          <w:szCs w:val="28"/>
          <w:rtl/>
        </w:rPr>
        <w:t xml:space="preserve"> חברי הצוות עוקבים אחריה בכל עת. </w:t>
      </w:r>
      <w:r w:rsidR="00DC1D7F">
        <w:rPr>
          <w:rFonts w:cs="David" w:hint="cs"/>
          <w:sz w:val="28"/>
          <w:szCs w:val="28"/>
          <w:rtl/>
        </w:rPr>
        <w:t>ע</w:t>
      </w:r>
      <w:r w:rsidR="00DC1D7F" w:rsidRPr="00DC1D7F">
        <w:rPr>
          <w:rFonts w:cs="David" w:hint="cs"/>
          <w:sz w:val="28"/>
          <w:szCs w:val="28"/>
          <w:rtl/>
        </w:rPr>
        <w:t xml:space="preserve">סקינן, אפוא, במי </w:t>
      </w:r>
      <w:r w:rsidR="006B74FD" w:rsidRPr="00DC1D7F">
        <w:rPr>
          <w:rFonts w:cs="David" w:hint="cs"/>
          <w:sz w:val="28"/>
          <w:szCs w:val="28"/>
          <w:rtl/>
        </w:rPr>
        <w:t>פעל לפי תכנית עבריינית סדורה ומתוחכמת לממש את מאוויו המיניים ולגרום לנפגעת העבירה לבצע ב</w:t>
      </w:r>
      <w:r w:rsidR="00FB5AE5" w:rsidRPr="00DC1D7F">
        <w:rPr>
          <w:rFonts w:cs="David" w:hint="cs"/>
          <w:sz w:val="28"/>
          <w:szCs w:val="28"/>
          <w:rtl/>
        </w:rPr>
        <w:t>עצמ</w:t>
      </w:r>
      <w:r w:rsidR="006B74FD" w:rsidRPr="00DC1D7F">
        <w:rPr>
          <w:rFonts w:cs="David" w:hint="cs"/>
          <w:sz w:val="28"/>
          <w:szCs w:val="28"/>
          <w:rtl/>
        </w:rPr>
        <w:t xml:space="preserve">ה מעשה אינוס.  </w:t>
      </w:r>
    </w:p>
    <w:p w14:paraId="5D4BFF14" w14:textId="34E62339" w:rsidR="00B44DB6" w:rsidRDefault="001C5447"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יתרה מזאת, </w:t>
      </w:r>
      <w:r w:rsidR="00FB5AE5">
        <w:rPr>
          <w:rFonts w:cs="David" w:hint="cs"/>
          <w:sz w:val="28"/>
          <w:szCs w:val="28"/>
          <w:rtl/>
        </w:rPr>
        <w:t xml:space="preserve">הסרטון </w:t>
      </w:r>
      <w:r w:rsidR="00E77C4C">
        <w:rPr>
          <w:rFonts w:cs="David" w:hint="cs"/>
          <w:sz w:val="28"/>
          <w:szCs w:val="28"/>
          <w:rtl/>
        </w:rPr>
        <w:t xml:space="preserve">המתואר </w:t>
      </w:r>
      <w:r w:rsidR="00FB5AE5">
        <w:rPr>
          <w:rFonts w:cs="David" w:hint="cs"/>
          <w:sz w:val="28"/>
          <w:szCs w:val="28"/>
          <w:rtl/>
        </w:rPr>
        <w:t xml:space="preserve">הגיע </w:t>
      </w:r>
      <w:r w:rsidR="00E77C4C">
        <w:rPr>
          <w:rFonts w:cs="David" w:hint="cs"/>
          <w:sz w:val="28"/>
          <w:szCs w:val="28"/>
          <w:rtl/>
        </w:rPr>
        <w:t xml:space="preserve">אל המערער </w:t>
      </w:r>
      <w:r w:rsidR="00B44DB6" w:rsidRPr="00B44DB6">
        <w:rPr>
          <w:rFonts w:cs="David"/>
          <w:sz w:val="28"/>
          <w:szCs w:val="28"/>
          <w:rtl/>
        </w:rPr>
        <w:t>במועד שקדם ל</w:t>
      </w:r>
      <w:r w:rsidR="00FB5AE5">
        <w:rPr>
          <w:rFonts w:cs="David" w:hint="cs"/>
          <w:sz w:val="28"/>
          <w:szCs w:val="28"/>
          <w:rtl/>
        </w:rPr>
        <w:t xml:space="preserve">חודש </w:t>
      </w:r>
      <w:r w:rsidR="00692F04">
        <w:rPr>
          <w:rFonts w:cs="David" w:hint="cs"/>
          <w:sz w:val="28"/>
          <w:szCs w:val="28"/>
          <w:rtl/>
        </w:rPr>
        <w:t xml:space="preserve">יולי </w:t>
      </w:r>
      <w:r w:rsidR="00B44DB6" w:rsidRPr="00B44DB6">
        <w:rPr>
          <w:rFonts w:cs="David"/>
          <w:sz w:val="28"/>
          <w:szCs w:val="28"/>
          <w:rtl/>
        </w:rPr>
        <w:t xml:space="preserve">2019. </w:t>
      </w:r>
      <w:r w:rsidR="00FB5AE5">
        <w:rPr>
          <w:rFonts w:cs="David" w:hint="cs"/>
          <w:sz w:val="28"/>
          <w:szCs w:val="28"/>
          <w:rtl/>
        </w:rPr>
        <w:t xml:space="preserve">על אף מעמדו </w:t>
      </w:r>
      <w:r w:rsidR="00786B30">
        <w:rPr>
          <w:rFonts w:cs="David" w:hint="cs"/>
          <w:sz w:val="28"/>
          <w:szCs w:val="28"/>
          <w:rtl/>
        </w:rPr>
        <w:t>כ</w:t>
      </w:r>
      <w:r w:rsidR="00B44DB6" w:rsidRPr="00B44DB6">
        <w:rPr>
          <w:rFonts w:cs="David"/>
          <w:sz w:val="28"/>
          <w:szCs w:val="28"/>
          <w:rtl/>
        </w:rPr>
        <w:t>מפקד ב</w:t>
      </w:r>
      <w:r w:rsidR="00786B30">
        <w:rPr>
          <w:rFonts w:cs="David" w:hint="cs"/>
          <w:sz w:val="28"/>
          <w:szCs w:val="28"/>
          <w:rtl/>
        </w:rPr>
        <w:t>יחידה</w:t>
      </w:r>
      <w:r w:rsidR="00B44DB6" w:rsidRPr="00B44DB6">
        <w:rPr>
          <w:rFonts w:cs="David"/>
          <w:sz w:val="28"/>
          <w:szCs w:val="28"/>
          <w:rtl/>
        </w:rPr>
        <w:t xml:space="preserve">, </w:t>
      </w:r>
      <w:r w:rsidR="00FB5AE5">
        <w:rPr>
          <w:rFonts w:cs="David" w:hint="cs"/>
          <w:sz w:val="28"/>
          <w:szCs w:val="28"/>
          <w:rtl/>
        </w:rPr>
        <w:t>ו</w:t>
      </w:r>
      <w:r w:rsidR="00B44DB6" w:rsidRPr="00B44DB6">
        <w:rPr>
          <w:rFonts w:cs="David"/>
          <w:sz w:val="28"/>
          <w:szCs w:val="28"/>
          <w:rtl/>
        </w:rPr>
        <w:t>דרגת</w:t>
      </w:r>
      <w:r w:rsidR="00FB5AE5">
        <w:rPr>
          <w:rFonts w:cs="David" w:hint="cs"/>
          <w:sz w:val="28"/>
          <w:szCs w:val="28"/>
          <w:rtl/>
        </w:rPr>
        <w:t>ו הבכירה (</w:t>
      </w:r>
      <w:r w:rsidR="00B44DB6" w:rsidRPr="00B44DB6">
        <w:rPr>
          <w:rFonts w:cs="David"/>
          <w:sz w:val="28"/>
          <w:szCs w:val="28"/>
          <w:rtl/>
        </w:rPr>
        <w:t>רס"ר</w:t>
      </w:r>
      <w:r w:rsidR="00FB5AE5">
        <w:rPr>
          <w:rFonts w:cs="David" w:hint="cs"/>
          <w:sz w:val="28"/>
          <w:szCs w:val="28"/>
          <w:rtl/>
        </w:rPr>
        <w:t>)</w:t>
      </w:r>
      <w:r w:rsidR="00786B30">
        <w:rPr>
          <w:rFonts w:cs="David" w:hint="cs"/>
          <w:sz w:val="28"/>
          <w:szCs w:val="28"/>
          <w:rtl/>
        </w:rPr>
        <w:t xml:space="preserve"> </w:t>
      </w:r>
      <w:r w:rsidR="009632C9">
        <w:rPr>
          <w:rFonts w:cs="David" w:hint="cs"/>
          <w:sz w:val="28"/>
          <w:szCs w:val="28"/>
          <w:rtl/>
        </w:rPr>
        <w:t>-</w:t>
      </w:r>
      <w:r w:rsidR="00786B30">
        <w:rPr>
          <w:rFonts w:cs="David" w:hint="cs"/>
          <w:sz w:val="28"/>
          <w:szCs w:val="28"/>
          <w:rtl/>
        </w:rPr>
        <w:t xml:space="preserve"> נמנע המערער מ</w:t>
      </w:r>
      <w:r w:rsidR="00B44DB6" w:rsidRPr="00B44DB6">
        <w:rPr>
          <w:rFonts w:cs="David"/>
          <w:sz w:val="28"/>
          <w:szCs w:val="28"/>
          <w:rtl/>
        </w:rPr>
        <w:t xml:space="preserve">להתריע על כך, לא </w:t>
      </w:r>
      <w:r w:rsidR="00786B30">
        <w:rPr>
          <w:rFonts w:cs="David" w:hint="cs"/>
          <w:sz w:val="28"/>
          <w:szCs w:val="28"/>
          <w:rtl/>
        </w:rPr>
        <w:t>דיווח על</w:t>
      </w:r>
      <w:r w:rsidR="00FB5AE5">
        <w:rPr>
          <w:rFonts w:cs="David" w:hint="cs"/>
          <w:sz w:val="28"/>
          <w:szCs w:val="28"/>
          <w:rtl/>
        </w:rPr>
        <w:t xml:space="preserve"> הסרטון </w:t>
      </w:r>
      <w:r w:rsidR="00786B30">
        <w:rPr>
          <w:rFonts w:cs="David" w:hint="cs"/>
          <w:sz w:val="28"/>
          <w:szCs w:val="28"/>
          <w:rtl/>
        </w:rPr>
        <w:t>למפקדי</w:t>
      </w:r>
      <w:r w:rsidR="00FB5AE5">
        <w:rPr>
          <w:rFonts w:cs="David" w:hint="cs"/>
          <w:sz w:val="28"/>
          <w:szCs w:val="28"/>
          <w:rtl/>
        </w:rPr>
        <w:t>ו</w:t>
      </w:r>
      <w:r w:rsidR="00786B30">
        <w:rPr>
          <w:rFonts w:cs="David" w:hint="cs"/>
          <w:sz w:val="28"/>
          <w:szCs w:val="28"/>
          <w:rtl/>
        </w:rPr>
        <w:t xml:space="preserve"> הבכירים והותיר אותו ברשותו</w:t>
      </w:r>
      <w:r w:rsidR="00692F04">
        <w:rPr>
          <w:rFonts w:cs="David" w:hint="cs"/>
          <w:sz w:val="28"/>
          <w:szCs w:val="28"/>
          <w:rtl/>
        </w:rPr>
        <w:t xml:space="preserve">, במשך חודשים ארוכים - עד אשר </w:t>
      </w:r>
      <w:r w:rsidR="00B44DB6" w:rsidRPr="00B44DB6">
        <w:rPr>
          <w:rFonts w:cs="David"/>
          <w:sz w:val="28"/>
          <w:szCs w:val="28"/>
          <w:rtl/>
        </w:rPr>
        <w:t>בחודש אפריל 2020, ע</w:t>
      </w:r>
      <w:r w:rsidR="00786B30">
        <w:rPr>
          <w:rFonts w:cs="David" w:hint="cs"/>
          <w:sz w:val="28"/>
          <w:szCs w:val="28"/>
          <w:rtl/>
        </w:rPr>
        <w:t xml:space="preserve">ובר לסיום </w:t>
      </w:r>
      <w:r w:rsidR="00692F04">
        <w:rPr>
          <w:rFonts w:cs="David" w:hint="cs"/>
          <w:sz w:val="28"/>
          <w:szCs w:val="28"/>
          <w:rtl/>
        </w:rPr>
        <w:t xml:space="preserve">שירותה </w:t>
      </w:r>
      <w:r w:rsidR="00786B30">
        <w:rPr>
          <w:rFonts w:cs="David" w:hint="cs"/>
          <w:sz w:val="28"/>
          <w:szCs w:val="28"/>
          <w:rtl/>
        </w:rPr>
        <w:t xml:space="preserve">הצבאי של נפגעת העבירה, ניגש להוציא </w:t>
      </w:r>
      <w:r w:rsidR="00B44DB6" w:rsidRPr="00B44DB6">
        <w:rPr>
          <w:rFonts w:cs="David"/>
          <w:sz w:val="28"/>
          <w:szCs w:val="28"/>
          <w:rtl/>
        </w:rPr>
        <w:t xml:space="preserve">לפועל </w:t>
      </w:r>
      <w:r w:rsidR="00786B30">
        <w:rPr>
          <w:rFonts w:cs="David" w:hint="cs"/>
          <w:sz w:val="28"/>
          <w:szCs w:val="28"/>
          <w:rtl/>
        </w:rPr>
        <w:t xml:space="preserve">את </w:t>
      </w:r>
      <w:r w:rsidR="00B44DB6" w:rsidRPr="00B44DB6">
        <w:rPr>
          <w:rFonts w:cs="David"/>
          <w:sz w:val="28"/>
          <w:szCs w:val="28"/>
          <w:rtl/>
        </w:rPr>
        <w:t xml:space="preserve">תכניתו. </w:t>
      </w:r>
    </w:p>
    <w:p w14:paraId="478580FA" w14:textId="7BE20165" w:rsidR="00DC1D7F" w:rsidRPr="00B44DB6" w:rsidRDefault="00DC1D7F" w:rsidP="001A563F">
      <w:pPr>
        <w:numPr>
          <w:ilvl w:val="0"/>
          <w:numId w:val="5"/>
        </w:numPr>
        <w:tabs>
          <w:tab w:val="left" w:pos="282"/>
        </w:tabs>
        <w:spacing w:line="360" w:lineRule="auto"/>
        <w:ind w:left="-1" w:firstLine="0"/>
        <w:jc w:val="both"/>
        <w:rPr>
          <w:rFonts w:cs="David"/>
          <w:sz w:val="28"/>
          <w:szCs w:val="28"/>
          <w:rtl/>
        </w:rPr>
      </w:pPr>
      <w:r w:rsidRPr="00DC1D7F">
        <w:rPr>
          <w:rFonts w:cs="David"/>
          <w:sz w:val="28"/>
          <w:szCs w:val="28"/>
          <w:rtl/>
        </w:rPr>
        <w:t>הסרטון</w:t>
      </w:r>
      <w:r w:rsidR="00FD7E8D">
        <w:rPr>
          <w:rFonts w:cs="David" w:hint="cs"/>
          <w:sz w:val="28"/>
          <w:szCs w:val="28"/>
          <w:rtl/>
        </w:rPr>
        <w:t xml:space="preserve"> </w:t>
      </w:r>
      <w:r w:rsidRPr="00DC1D7F">
        <w:rPr>
          <w:rFonts w:cs="David"/>
          <w:sz w:val="28"/>
          <w:szCs w:val="28"/>
          <w:rtl/>
        </w:rPr>
        <w:t xml:space="preserve">מתעד כעשר חיילות </w:t>
      </w:r>
      <w:r w:rsidRPr="00DC1D7F">
        <w:rPr>
          <w:rFonts w:cs="David" w:hint="cs"/>
          <w:sz w:val="28"/>
          <w:szCs w:val="28"/>
          <w:rtl/>
        </w:rPr>
        <w:t>מיחידתו ב</w:t>
      </w:r>
      <w:r w:rsidRPr="00DC1D7F">
        <w:rPr>
          <w:rFonts w:cs="David"/>
          <w:sz w:val="28"/>
          <w:szCs w:val="28"/>
          <w:rtl/>
        </w:rPr>
        <w:t>מקלחות הבסיס</w:t>
      </w:r>
      <w:r w:rsidRPr="00DC1D7F">
        <w:rPr>
          <w:rFonts w:cs="David" w:hint="cs"/>
          <w:sz w:val="28"/>
          <w:szCs w:val="28"/>
          <w:rtl/>
        </w:rPr>
        <w:t>.</w:t>
      </w:r>
      <w:r w:rsidRPr="00DC1D7F">
        <w:rPr>
          <w:rFonts w:cs="David"/>
          <w:sz w:val="28"/>
          <w:szCs w:val="28"/>
          <w:rtl/>
        </w:rPr>
        <w:t xml:space="preserve"> </w:t>
      </w:r>
      <w:r w:rsidRPr="00DC1D7F">
        <w:rPr>
          <w:rFonts w:cs="David" w:hint="cs"/>
          <w:sz w:val="28"/>
          <w:szCs w:val="28"/>
          <w:rtl/>
        </w:rPr>
        <w:t xml:space="preserve">החיילות </w:t>
      </w:r>
      <w:r w:rsidRPr="00DC1D7F">
        <w:rPr>
          <w:rFonts w:cs="David"/>
          <w:sz w:val="28"/>
          <w:szCs w:val="28"/>
          <w:rtl/>
        </w:rPr>
        <w:t>צולמו</w:t>
      </w:r>
      <w:r w:rsidRPr="00DC1D7F">
        <w:rPr>
          <w:rFonts w:cs="David" w:hint="cs"/>
          <w:sz w:val="28"/>
          <w:szCs w:val="28"/>
          <w:rtl/>
        </w:rPr>
        <w:t xml:space="preserve"> בעירום מלא או חלקי</w:t>
      </w:r>
      <w:r w:rsidRPr="00DC1D7F">
        <w:rPr>
          <w:rFonts w:cs="David"/>
          <w:sz w:val="28"/>
          <w:szCs w:val="28"/>
          <w:rtl/>
        </w:rPr>
        <w:t xml:space="preserve">, </w:t>
      </w:r>
      <w:r w:rsidRPr="00DC1D7F">
        <w:rPr>
          <w:rFonts w:cs="David" w:hint="cs"/>
          <w:sz w:val="28"/>
          <w:szCs w:val="28"/>
          <w:rtl/>
        </w:rPr>
        <w:t>ביחידה, שבה הוצבו במסגרת שירות</w:t>
      </w:r>
      <w:r w:rsidR="009655E4">
        <w:rPr>
          <w:rFonts w:cs="David" w:hint="cs"/>
          <w:sz w:val="28"/>
          <w:szCs w:val="28"/>
          <w:rtl/>
        </w:rPr>
        <w:t>ן</w:t>
      </w:r>
      <w:r w:rsidRPr="00DC1D7F">
        <w:rPr>
          <w:rFonts w:cs="David" w:hint="cs"/>
          <w:sz w:val="28"/>
          <w:szCs w:val="28"/>
          <w:rtl/>
        </w:rPr>
        <w:t xml:space="preserve"> הצבאי על פי חוק, במקום שבו הן אמורות לחוש בטוחות ומוגנות. </w:t>
      </w:r>
      <w:r w:rsidR="00FD7E8D">
        <w:rPr>
          <w:rFonts w:cs="David" w:hint="cs"/>
          <w:sz w:val="28"/>
          <w:szCs w:val="28"/>
          <w:rtl/>
        </w:rPr>
        <w:t xml:space="preserve">עולה, אפוא, כי </w:t>
      </w:r>
      <w:r w:rsidRPr="00DC1D7F">
        <w:rPr>
          <w:rFonts w:cs="David"/>
          <w:sz w:val="28"/>
          <w:szCs w:val="28"/>
          <w:rtl/>
        </w:rPr>
        <w:t>מעשיו של המערער</w:t>
      </w:r>
      <w:r w:rsidRPr="00DC1D7F">
        <w:rPr>
          <w:rFonts w:cs="David" w:hint="cs"/>
          <w:sz w:val="28"/>
          <w:szCs w:val="28"/>
          <w:rtl/>
        </w:rPr>
        <w:t xml:space="preserve"> חרגו מן הנזק שנגרם לנפגעת העבירה ומן הנזק שנגרם לחיילות שצולמו, ופגעו בשגרת היום ביחידה, בתחושת הביטחון האישי של המשרתות בה, בערך הרעות וביחסי האמון שראוי כי ישררו בה. בעניין זה נדגיש, כי אף ללא עדותו של מפקד היחידה בנושא, לנוכח טיב מעשיו של המערער, אופן מציאת המכתב והסרטון, והשתלשלות העניינים </w:t>
      </w:r>
      <w:r w:rsidRPr="00DC1D7F">
        <w:rPr>
          <w:rFonts w:cs="David" w:hint="cs"/>
          <w:sz w:val="28"/>
          <w:szCs w:val="28"/>
          <w:rtl/>
        </w:rPr>
        <w:lastRenderedPageBreak/>
        <w:t xml:space="preserve">שהובילה לפתיחת החקירה </w:t>
      </w:r>
      <w:r w:rsidR="00B6104F">
        <w:rPr>
          <w:rFonts w:cs="David" w:hint="cs"/>
          <w:sz w:val="28"/>
          <w:szCs w:val="28"/>
          <w:rtl/>
        </w:rPr>
        <w:t>-</w:t>
      </w:r>
      <w:r w:rsidRPr="00DC1D7F">
        <w:rPr>
          <w:rFonts w:cs="David" w:hint="cs"/>
          <w:sz w:val="28"/>
          <w:szCs w:val="28"/>
          <w:rtl/>
        </w:rPr>
        <w:t xml:space="preserve"> לא יכולה להיות מחלוקת בדבר הנזק שנגרם למרקם החיים בבסיס, וניתן להניח במידת הוודאות הנדרשת כי ביחידה שררה אווירה קשה שמקורה בתחושות של חשדנות וחששות של החיילות.</w:t>
      </w:r>
    </w:p>
    <w:p w14:paraId="67B1C112" w14:textId="285C68AB" w:rsidR="002032BF" w:rsidRDefault="00B44DB6" w:rsidP="001A563F">
      <w:pPr>
        <w:numPr>
          <w:ilvl w:val="0"/>
          <w:numId w:val="5"/>
        </w:numPr>
        <w:tabs>
          <w:tab w:val="left" w:pos="282"/>
        </w:tabs>
        <w:spacing w:line="360" w:lineRule="auto"/>
        <w:ind w:left="-1" w:firstLine="0"/>
        <w:jc w:val="both"/>
        <w:rPr>
          <w:rFonts w:cs="David"/>
          <w:sz w:val="28"/>
          <w:szCs w:val="28"/>
        </w:rPr>
      </w:pPr>
      <w:r w:rsidRPr="00B44DB6">
        <w:rPr>
          <w:rFonts w:cs="David"/>
          <w:sz w:val="28"/>
          <w:szCs w:val="28"/>
          <w:rtl/>
        </w:rPr>
        <w:t xml:space="preserve">הנזק </w:t>
      </w:r>
      <w:r w:rsidR="00C47687">
        <w:rPr>
          <w:rFonts w:cs="David" w:hint="cs"/>
          <w:sz w:val="28"/>
          <w:szCs w:val="28"/>
          <w:rtl/>
        </w:rPr>
        <w:t>הפוטנציאלי</w:t>
      </w:r>
      <w:r w:rsidR="00533B75">
        <w:rPr>
          <w:rFonts w:cs="David" w:hint="cs"/>
          <w:sz w:val="28"/>
          <w:szCs w:val="28"/>
          <w:rtl/>
        </w:rPr>
        <w:t>, אילולא דיווחה הנפגעת על מכתב הסחיטה (ובוודאי, אילו הייתה נכנעת לאיום שבו),</w:t>
      </w:r>
      <w:r w:rsidR="00C47687">
        <w:rPr>
          <w:rFonts w:cs="David" w:hint="cs"/>
          <w:sz w:val="28"/>
          <w:szCs w:val="28"/>
          <w:rtl/>
        </w:rPr>
        <w:t xml:space="preserve"> והנזק </w:t>
      </w:r>
      <w:r w:rsidRPr="00B44DB6">
        <w:rPr>
          <w:rFonts w:cs="David"/>
          <w:sz w:val="28"/>
          <w:szCs w:val="28"/>
          <w:rtl/>
        </w:rPr>
        <w:t xml:space="preserve">שנגרם בפועל בגין </w:t>
      </w:r>
      <w:r w:rsidR="00C47687">
        <w:rPr>
          <w:rFonts w:cs="David" w:hint="cs"/>
          <w:sz w:val="28"/>
          <w:szCs w:val="28"/>
          <w:rtl/>
        </w:rPr>
        <w:t>העבירות</w:t>
      </w:r>
      <w:r w:rsidR="00533B75">
        <w:rPr>
          <w:rFonts w:cs="David" w:hint="cs"/>
          <w:sz w:val="28"/>
          <w:szCs w:val="28"/>
          <w:rtl/>
        </w:rPr>
        <w:t>,</w:t>
      </w:r>
      <w:r w:rsidR="00C47687">
        <w:rPr>
          <w:rFonts w:cs="David" w:hint="cs"/>
          <w:sz w:val="28"/>
          <w:szCs w:val="28"/>
          <w:rtl/>
        </w:rPr>
        <w:t xml:space="preserve"> </w:t>
      </w:r>
      <w:r w:rsidR="00533B75">
        <w:rPr>
          <w:rFonts w:cs="David" w:hint="cs"/>
          <w:sz w:val="28"/>
          <w:szCs w:val="28"/>
          <w:rtl/>
        </w:rPr>
        <w:t>שניהם</w:t>
      </w:r>
      <w:r w:rsidR="007E6DB1">
        <w:rPr>
          <w:rFonts w:cs="David" w:hint="cs"/>
          <w:sz w:val="28"/>
          <w:szCs w:val="28"/>
          <w:rtl/>
        </w:rPr>
        <w:t xml:space="preserve"> </w:t>
      </w:r>
      <w:r w:rsidRPr="00B44DB6">
        <w:rPr>
          <w:rFonts w:cs="David"/>
          <w:sz w:val="28"/>
          <w:szCs w:val="28"/>
          <w:rtl/>
        </w:rPr>
        <w:t>משמעותי</w:t>
      </w:r>
      <w:r w:rsidR="00C47687">
        <w:rPr>
          <w:rFonts w:cs="David" w:hint="cs"/>
          <w:sz w:val="28"/>
          <w:szCs w:val="28"/>
          <w:rtl/>
        </w:rPr>
        <w:t>ים ורחבי</w:t>
      </w:r>
      <w:r w:rsidR="0063570F">
        <w:rPr>
          <w:rFonts w:cs="David" w:hint="cs"/>
          <w:sz w:val="28"/>
          <w:szCs w:val="28"/>
          <w:rtl/>
        </w:rPr>
        <w:t xml:space="preserve"> היקף</w:t>
      </w:r>
      <w:r w:rsidR="00C47687">
        <w:rPr>
          <w:rFonts w:cs="David" w:hint="cs"/>
          <w:sz w:val="28"/>
          <w:szCs w:val="28"/>
          <w:rtl/>
        </w:rPr>
        <w:t xml:space="preserve">. </w:t>
      </w:r>
      <w:r w:rsidRPr="00B44DB6">
        <w:rPr>
          <w:rFonts w:cs="David"/>
          <w:sz w:val="28"/>
          <w:szCs w:val="28"/>
          <w:rtl/>
        </w:rPr>
        <w:t>בפני בית הדין קמא הובאו ראיות על הסבל והקושי הרב שה</w:t>
      </w:r>
      <w:r w:rsidR="0063570F">
        <w:rPr>
          <w:rFonts w:cs="David" w:hint="cs"/>
          <w:sz w:val="28"/>
          <w:szCs w:val="28"/>
          <w:rtl/>
        </w:rPr>
        <w:t xml:space="preserve">ם </w:t>
      </w:r>
      <w:r w:rsidRPr="00B44DB6">
        <w:rPr>
          <w:rFonts w:cs="David"/>
          <w:sz w:val="28"/>
          <w:szCs w:val="28"/>
          <w:rtl/>
        </w:rPr>
        <w:t xml:space="preserve">מנת חלקה של נפגעת העבירה </w:t>
      </w:r>
      <w:r w:rsidR="0063570F">
        <w:rPr>
          <w:rFonts w:cs="David" w:hint="cs"/>
          <w:sz w:val="28"/>
          <w:szCs w:val="28"/>
          <w:rtl/>
        </w:rPr>
        <w:t xml:space="preserve">מאז </w:t>
      </w:r>
      <w:r w:rsidRPr="00B44DB6">
        <w:rPr>
          <w:rFonts w:cs="David"/>
          <w:sz w:val="28"/>
          <w:szCs w:val="28"/>
          <w:rtl/>
        </w:rPr>
        <w:t xml:space="preserve">האירוע, ועל הפגיעה </w:t>
      </w:r>
      <w:r w:rsidR="002032BF">
        <w:rPr>
          <w:rFonts w:cs="David" w:hint="cs"/>
          <w:sz w:val="28"/>
          <w:szCs w:val="28"/>
          <w:rtl/>
        </w:rPr>
        <w:t xml:space="preserve">העמוקה </w:t>
      </w:r>
      <w:r w:rsidRPr="00B44DB6">
        <w:rPr>
          <w:rFonts w:cs="David"/>
          <w:sz w:val="28"/>
          <w:szCs w:val="28"/>
          <w:rtl/>
        </w:rPr>
        <w:t>בה ובמשפחתה כולה. יום שחרור</w:t>
      </w:r>
      <w:r w:rsidR="0063570F">
        <w:rPr>
          <w:rFonts w:cs="David" w:hint="cs"/>
          <w:sz w:val="28"/>
          <w:szCs w:val="28"/>
          <w:rtl/>
        </w:rPr>
        <w:t>ה</w:t>
      </w:r>
      <w:r w:rsidRPr="00B44DB6">
        <w:rPr>
          <w:rFonts w:cs="David"/>
          <w:sz w:val="28"/>
          <w:szCs w:val="28"/>
          <w:rtl/>
        </w:rPr>
        <w:t xml:space="preserve"> מצה"ל, שאמור היה להיות </w:t>
      </w:r>
      <w:r w:rsidR="0063570F">
        <w:rPr>
          <w:rFonts w:cs="David" w:hint="cs"/>
          <w:sz w:val="28"/>
          <w:szCs w:val="28"/>
          <w:rtl/>
        </w:rPr>
        <w:t xml:space="preserve">עבורה </w:t>
      </w:r>
      <w:r w:rsidRPr="00B44DB6">
        <w:rPr>
          <w:rFonts w:cs="David"/>
          <w:sz w:val="28"/>
          <w:szCs w:val="28"/>
          <w:rtl/>
        </w:rPr>
        <w:t xml:space="preserve">יום שמח </w:t>
      </w:r>
      <w:r w:rsidR="002032BF">
        <w:rPr>
          <w:rFonts w:cs="David" w:hint="cs"/>
          <w:sz w:val="28"/>
          <w:szCs w:val="28"/>
          <w:rtl/>
        </w:rPr>
        <w:t xml:space="preserve">ומרגש, </w:t>
      </w:r>
      <w:r w:rsidRPr="00B44DB6">
        <w:rPr>
          <w:rFonts w:cs="David"/>
          <w:sz w:val="28"/>
          <w:szCs w:val="28"/>
          <w:rtl/>
        </w:rPr>
        <w:t xml:space="preserve">של </w:t>
      </w:r>
      <w:r w:rsidR="002032BF">
        <w:rPr>
          <w:rFonts w:cs="David" w:hint="cs"/>
          <w:sz w:val="28"/>
          <w:szCs w:val="28"/>
          <w:rtl/>
        </w:rPr>
        <w:t xml:space="preserve">סיום </w:t>
      </w:r>
      <w:r w:rsidRPr="00B44DB6">
        <w:rPr>
          <w:rFonts w:cs="David"/>
          <w:sz w:val="28"/>
          <w:szCs w:val="28"/>
          <w:rtl/>
        </w:rPr>
        <w:t xml:space="preserve">והתחלה חדשה, הפך לסיוט מתמשך, </w:t>
      </w:r>
      <w:r w:rsidR="0063570F">
        <w:rPr>
          <w:rFonts w:cs="David" w:hint="cs"/>
          <w:sz w:val="28"/>
          <w:szCs w:val="28"/>
          <w:rtl/>
        </w:rPr>
        <w:t>א</w:t>
      </w:r>
      <w:r w:rsidRPr="00B44DB6">
        <w:rPr>
          <w:rFonts w:cs="David"/>
          <w:sz w:val="28"/>
          <w:szCs w:val="28"/>
          <w:rtl/>
        </w:rPr>
        <w:t>ש</w:t>
      </w:r>
      <w:r w:rsidR="0063570F">
        <w:rPr>
          <w:rFonts w:cs="David" w:hint="cs"/>
          <w:sz w:val="28"/>
          <w:szCs w:val="28"/>
          <w:rtl/>
        </w:rPr>
        <w:t xml:space="preserve">ר </w:t>
      </w:r>
      <w:r w:rsidRPr="00B44DB6">
        <w:rPr>
          <w:rFonts w:cs="David"/>
          <w:sz w:val="28"/>
          <w:szCs w:val="28"/>
          <w:rtl/>
        </w:rPr>
        <w:t xml:space="preserve">הועצם </w:t>
      </w:r>
      <w:r w:rsidR="0063570F">
        <w:rPr>
          <w:rFonts w:cs="David" w:hint="cs"/>
          <w:sz w:val="28"/>
          <w:szCs w:val="28"/>
          <w:rtl/>
        </w:rPr>
        <w:t>לאחר מכן, לנוכח התמשכות ההליכים</w:t>
      </w:r>
      <w:r w:rsidR="002032BF">
        <w:rPr>
          <w:rFonts w:cs="David" w:hint="cs"/>
          <w:sz w:val="28"/>
          <w:szCs w:val="28"/>
          <w:rtl/>
        </w:rPr>
        <w:t xml:space="preserve"> ו</w:t>
      </w:r>
      <w:r w:rsidR="0063570F">
        <w:rPr>
          <w:rFonts w:cs="David" w:hint="cs"/>
          <w:sz w:val="28"/>
          <w:szCs w:val="28"/>
          <w:rtl/>
        </w:rPr>
        <w:t xml:space="preserve">אף </w:t>
      </w:r>
      <w:r w:rsidR="002032BF">
        <w:rPr>
          <w:rFonts w:cs="David" w:hint="cs"/>
          <w:sz w:val="28"/>
          <w:szCs w:val="28"/>
          <w:rtl/>
        </w:rPr>
        <w:t xml:space="preserve">לנוכח </w:t>
      </w:r>
      <w:r w:rsidRPr="00B44DB6">
        <w:rPr>
          <w:rFonts w:cs="David"/>
          <w:sz w:val="28"/>
          <w:szCs w:val="28"/>
          <w:rtl/>
        </w:rPr>
        <w:t xml:space="preserve">החשש </w:t>
      </w:r>
      <w:r w:rsidR="002032BF">
        <w:rPr>
          <w:rFonts w:cs="David" w:hint="cs"/>
          <w:sz w:val="28"/>
          <w:szCs w:val="28"/>
          <w:rtl/>
        </w:rPr>
        <w:t>שמקנן בה</w:t>
      </w:r>
      <w:r w:rsidR="00533B75">
        <w:rPr>
          <w:rFonts w:cs="David" w:hint="cs"/>
          <w:sz w:val="28"/>
          <w:szCs w:val="28"/>
          <w:rtl/>
        </w:rPr>
        <w:t>,</w:t>
      </w:r>
      <w:r w:rsidR="002032BF">
        <w:rPr>
          <w:rFonts w:cs="David" w:hint="cs"/>
          <w:sz w:val="28"/>
          <w:szCs w:val="28"/>
          <w:rtl/>
        </w:rPr>
        <w:t xml:space="preserve"> </w:t>
      </w:r>
      <w:r w:rsidR="00C05DA5">
        <w:rPr>
          <w:rFonts w:cs="David" w:hint="cs"/>
          <w:sz w:val="28"/>
          <w:szCs w:val="28"/>
          <w:rtl/>
        </w:rPr>
        <w:t xml:space="preserve">שמא </w:t>
      </w:r>
      <w:r w:rsidR="002032BF">
        <w:rPr>
          <w:rFonts w:cs="David" w:hint="cs"/>
          <w:sz w:val="28"/>
          <w:szCs w:val="28"/>
          <w:rtl/>
        </w:rPr>
        <w:t xml:space="preserve">קיים תיעוד </w:t>
      </w:r>
      <w:r w:rsidRPr="00B44DB6">
        <w:rPr>
          <w:rFonts w:cs="David"/>
          <w:sz w:val="28"/>
          <w:szCs w:val="28"/>
          <w:rtl/>
        </w:rPr>
        <w:t>נוס</w:t>
      </w:r>
      <w:r w:rsidR="002032BF">
        <w:rPr>
          <w:rFonts w:cs="David" w:hint="cs"/>
          <w:sz w:val="28"/>
          <w:szCs w:val="28"/>
          <w:rtl/>
        </w:rPr>
        <w:t>ף שלה, שאף הוא חושפני ופולשני</w:t>
      </w:r>
      <w:r w:rsidR="009655E4">
        <w:rPr>
          <w:rFonts w:cs="David" w:hint="cs"/>
          <w:sz w:val="28"/>
          <w:szCs w:val="28"/>
          <w:rtl/>
        </w:rPr>
        <w:t xml:space="preserve"> -</w:t>
      </w:r>
      <w:r w:rsidR="002032BF">
        <w:rPr>
          <w:rFonts w:cs="David" w:hint="cs"/>
          <w:sz w:val="28"/>
          <w:szCs w:val="28"/>
          <w:rtl/>
        </w:rPr>
        <w:t xml:space="preserve"> </w:t>
      </w:r>
      <w:r w:rsidRPr="00B44DB6">
        <w:rPr>
          <w:rFonts w:cs="David"/>
          <w:sz w:val="28"/>
          <w:szCs w:val="28"/>
          <w:rtl/>
        </w:rPr>
        <w:t>ב</w:t>
      </w:r>
      <w:r w:rsidR="0063570F">
        <w:rPr>
          <w:rFonts w:cs="David" w:hint="cs"/>
          <w:sz w:val="28"/>
          <w:szCs w:val="28"/>
          <w:rtl/>
        </w:rPr>
        <w:t xml:space="preserve">רשותו </w:t>
      </w:r>
      <w:r w:rsidR="002032BF">
        <w:rPr>
          <w:rFonts w:cs="David" w:hint="cs"/>
          <w:sz w:val="28"/>
          <w:szCs w:val="28"/>
          <w:rtl/>
        </w:rPr>
        <w:t xml:space="preserve">של </w:t>
      </w:r>
      <w:r w:rsidRPr="00B44DB6">
        <w:rPr>
          <w:rFonts w:cs="David"/>
          <w:sz w:val="28"/>
          <w:szCs w:val="28"/>
          <w:rtl/>
        </w:rPr>
        <w:t xml:space="preserve">המערער. </w:t>
      </w:r>
      <w:r w:rsidR="0063570F">
        <w:rPr>
          <w:rFonts w:cs="David" w:hint="cs"/>
          <w:sz w:val="28"/>
          <w:szCs w:val="28"/>
          <w:rtl/>
        </w:rPr>
        <w:t xml:space="preserve">נציין בעניין זה, כי </w:t>
      </w:r>
      <w:r w:rsidR="00C05DA5">
        <w:rPr>
          <w:rFonts w:cs="David" w:hint="cs"/>
          <w:sz w:val="28"/>
          <w:szCs w:val="28"/>
          <w:rtl/>
        </w:rPr>
        <w:t xml:space="preserve">אתמול, </w:t>
      </w:r>
      <w:r w:rsidR="00C05DA5" w:rsidRPr="009632C9">
        <w:rPr>
          <w:rFonts w:cs="David" w:hint="eastAsia"/>
          <w:b/>
          <w:bCs/>
          <w:sz w:val="28"/>
          <w:szCs w:val="28"/>
          <w:rtl/>
        </w:rPr>
        <w:t>לראשונה</w:t>
      </w:r>
      <w:r w:rsidR="00C05DA5">
        <w:rPr>
          <w:rFonts w:cs="David" w:hint="cs"/>
          <w:sz w:val="28"/>
          <w:szCs w:val="28"/>
          <w:rtl/>
        </w:rPr>
        <w:t xml:space="preserve">, הועברה אלינו הודעה מטעם הצדדים, שלפיה לאחר גיבוש תנאים מוסכמים, ניתנה לחוקר מצ"ח גישה לתיקיות הרשת של המערער וכי החיפוש בהן לא העלה "ממצאים המעידים על קיומם של קבצים המשוייכים לעבירות שיוחסו [למערער]". עולה, </w:t>
      </w:r>
      <w:r w:rsidR="0063570F">
        <w:rPr>
          <w:rFonts w:cs="David" w:hint="cs"/>
          <w:sz w:val="28"/>
          <w:szCs w:val="28"/>
          <w:rtl/>
        </w:rPr>
        <w:t xml:space="preserve">אפוא, </w:t>
      </w:r>
      <w:r w:rsidR="00C05DA5">
        <w:rPr>
          <w:rFonts w:cs="David" w:hint="cs"/>
          <w:sz w:val="28"/>
          <w:szCs w:val="28"/>
          <w:rtl/>
        </w:rPr>
        <w:t xml:space="preserve">כי לנפגעת עבירה נגרמה </w:t>
      </w:r>
      <w:r w:rsidR="002032BF">
        <w:rPr>
          <w:rFonts w:cs="David" w:hint="cs"/>
          <w:sz w:val="28"/>
          <w:szCs w:val="28"/>
          <w:rtl/>
        </w:rPr>
        <w:t xml:space="preserve">פגיעה נפשית </w:t>
      </w:r>
      <w:r w:rsidR="00C05DA5">
        <w:rPr>
          <w:rFonts w:cs="David" w:hint="cs"/>
          <w:sz w:val="28"/>
          <w:szCs w:val="28"/>
          <w:rtl/>
        </w:rPr>
        <w:t>עמוקה ו</w:t>
      </w:r>
      <w:r w:rsidR="002032BF">
        <w:rPr>
          <w:rFonts w:cs="David" w:hint="cs"/>
          <w:sz w:val="28"/>
          <w:szCs w:val="28"/>
          <w:rtl/>
        </w:rPr>
        <w:t xml:space="preserve">מתמשכת, אשר מוסיפה לתת </w:t>
      </w:r>
      <w:r w:rsidR="00533B75">
        <w:rPr>
          <w:rFonts w:cs="David" w:hint="cs"/>
          <w:sz w:val="28"/>
          <w:szCs w:val="28"/>
          <w:rtl/>
        </w:rPr>
        <w:t xml:space="preserve">בה </w:t>
      </w:r>
      <w:r w:rsidR="002032BF">
        <w:rPr>
          <w:rFonts w:cs="David" w:hint="cs"/>
          <w:sz w:val="28"/>
          <w:szCs w:val="28"/>
          <w:rtl/>
        </w:rPr>
        <w:t xml:space="preserve">את אותותיה </w:t>
      </w:r>
      <w:r w:rsidR="00C05DA5">
        <w:rPr>
          <w:rFonts w:cs="David" w:hint="cs"/>
          <w:sz w:val="28"/>
          <w:szCs w:val="28"/>
          <w:rtl/>
        </w:rPr>
        <w:t>גם היום, אך אנו תקווה, כי הוקל לה ולו במעט, בעקבות ההודעה</w:t>
      </w:r>
      <w:r w:rsidR="00533B75">
        <w:rPr>
          <w:rFonts w:cs="David" w:hint="cs"/>
          <w:sz w:val="28"/>
          <w:szCs w:val="28"/>
          <w:rtl/>
        </w:rPr>
        <w:t xml:space="preserve"> הנזכרת</w:t>
      </w:r>
      <w:r w:rsidR="00C05DA5">
        <w:rPr>
          <w:rFonts w:cs="David" w:hint="cs"/>
          <w:sz w:val="28"/>
          <w:szCs w:val="28"/>
          <w:rtl/>
        </w:rPr>
        <w:t xml:space="preserve">. </w:t>
      </w:r>
    </w:p>
    <w:p w14:paraId="2948CFF8" w14:textId="7C282E07" w:rsidR="00B44DB6" w:rsidRPr="00B44DB6" w:rsidRDefault="008D02A2"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 xml:space="preserve">בראי נזקים אלו, הממשיים והפוטנציאליים, ברי כי </w:t>
      </w:r>
      <w:r w:rsidR="00B44DB6" w:rsidRPr="00B44DB6">
        <w:rPr>
          <w:rFonts w:cs="David"/>
          <w:sz w:val="28"/>
          <w:szCs w:val="28"/>
          <w:rtl/>
        </w:rPr>
        <w:t xml:space="preserve">מעמדו של המערער כמפקד, </w:t>
      </w:r>
      <w:r>
        <w:rPr>
          <w:rFonts w:cs="David" w:hint="cs"/>
          <w:sz w:val="28"/>
          <w:szCs w:val="28"/>
          <w:rtl/>
        </w:rPr>
        <w:t xml:space="preserve">אף הוא בבחינת נסיבה לחומרה. </w:t>
      </w:r>
      <w:r w:rsidR="00B44DB6" w:rsidRPr="00B44DB6">
        <w:rPr>
          <w:rFonts w:cs="David"/>
          <w:sz w:val="28"/>
          <w:szCs w:val="28"/>
          <w:rtl/>
        </w:rPr>
        <w:t xml:space="preserve">בית דין זה עמד </w:t>
      </w:r>
      <w:r>
        <w:rPr>
          <w:rFonts w:cs="David" w:hint="cs"/>
          <w:sz w:val="28"/>
          <w:szCs w:val="28"/>
          <w:rtl/>
        </w:rPr>
        <w:t>פעם אחר פעם</w:t>
      </w:r>
      <w:r w:rsidR="00B44DB6" w:rsidRPr="00B44DB6">
        <w:rPr>
          <w:rFonts w:cs="David"/>
          <w:sz w:val="28"/>
          <w:szCs w:val="28"/>
          <w:rtl/>
        </w:rPr>
        <w:t xml:space="preserve">, על החובה </w:t>
      </w:r>
      <w:r>
        <w:rPr>
          <w:rFonts w:cs="David" w:hint="cs"/>
          <w:sz w:val="28"/>
          <w:szCs w:val="28"/>
          <w:rtl/>
        </w:rPr>
        <w:t xml:space="preserve">והאחריות </w:t>
      </w:r>
      <w:r w:rsidR="00B44DB6" w:rsidRPr="00B44DB6">
        <w:rPr>
          <w:rFonts w:cs="David"/>
          <w:sz w:val="28"/>
          <w:szCs w:val="28"/>
          <w:rtl/>
        </w:rPr>
        <w:t>המוטלת על מפקדי צה"ל</w:t>
      </w:r>
      <w:r>
        <w:rPr>
          <w:rFonts w:cs="David" w:hint="cs"/>
          <w:sz w:val="28"/>
          <w:szCs w:val="28"/>
          <w:rtl/>
        </w:rPr>
        <w:t xml:space="preserve">, ועל מימדי כישלונם הפיקודי </w:t>
      </w:r>
      <w:r w:rsidR="00B44DB6" w:rsidRPr="00B44DB6">
        <w:rPr>
          <w:rFonts w:cs="David"/>
          <w:sz w:val="28"/>
          <w:szCs w:val="28"/>
          <w:rtl/>
        </w:rPr>
        <w:t>ב</w:t>
      </w:r>
      <w:r>
        <w:rPr>
          <w:rFonts w:cs="David" w:hint="cs"/>
          <w:sz w:val="28"/>
          <w:szCs w:val="28"/>
          <w:rtl/>
        </w:rPr>
        <w:t xml:space="preserve">מקרים </w:t>
      </w:r>
      <w:r w:rsidR="00356DA7">
        <w:rPr>
          <w:rFonts w:cs="David" w:hint="cs"/>
          <w:sz w:val="28"/>
          <w:szCs w:val="28"/>
          <w:rtl/>
        </w:rPr>
        <w:t xml:space="preserve">בעלי מאפיינים </w:t>
      </w:r>
      <w:r>
        <w:rPr>
          <w:rFonts w:cs="David" w:hint="cs"/>
          <w:sz w:val="28"/>
          <w:szCs w:val="28"/>
          <w:rtl/>
        </w:rPr>
        <w:t>דומים</w:t>
      </w:r>
      <w:r w:rsidR="00B44DB6" w:rsidRPr="00B44DB6">
        <w:rPr>
          <w:rFonts w:cs="David"/>
          <w:sz w:val="28"/>
          <w:szCs w:val="28"/>
          <w:rtl/>
        </w:rPr>
        <w:t xml:space="preserve">: </w:t>
      </w:r>
    </w:p>
    <w:p w14:paraId="695F1D4E" w14:textId="77777777" w:rsidR="00B44DB6" w:rsidRPr="00B44DB6" w:rsidRDefault="00B44DB6" w:rsidP="00232DBD">
      <w:pPr>
        <w:ind w:left="1502" w:right="993"/>
        <w:jc w:val="both"/>
        <w:outlineLvl w:val="0"/>
        <w:rPr>
          <w:rFonts w:cs="David"/>
          <w:sz w:val="28"/>
          <w:szCs w:val="28"/>
          <w:rtl/>
        </w:rPr>
      </w:pPr>
      <w:r w:rsidRPr="00B44DB6">
        <w:rPr>
          <w:rFonts w:cs="David"/>
          <w:sz w:val="28"/>
          <w:szCs w:val="28"/>
          <w:rtl/>
        </w:rPr>
        <w:t xml:space="preserve">"אין חולק, כי עבירה של פגיעה בפרטיות המבוצעת על ידי מפקדים, לא כל שכן, עת שהיא מכוונת לחדירה לפרטיותם של פקודיהם - היא בבחינת כישלון פיקודי מובהק. המדובר בהתנהגות פסולה, אשר לא זו בלבד שהיא רומסת ברגל גסה את פרטיותו של הפקוד, ובתוך כך, פוגעת בכבודו ובביטחונו האישי - יש בה אף משום פגיעה קשה במעמדו של המפקד בעיני חייליו, ומשום פגיעה משמעותית באמון הציבור במערכת הצבאית כולה" (ע/49/20 </w:t>
      </w:r>
      <w:r w:rsidRPr="00232DBD">
        <w:rPr>
          <w:rFonts w:cs="David"/>
          <w:b/>
          <w:bCs/>
          <w:sz w:val="28"/>
          <w:szCs w:val="28"/>
          <w:rtl/>
        </w:rPr>
        <w:t>התובע הצבאי הראשי נ' רס"ם רוימי</w:t>
      </w:r>
      <w:r w:rsidRPr="00B44DB6">
        <w:rPr>
          <w:rFonts w:cs="David"/>
          <w:sz w:val="28"/>
          <w:szCs w:val="28"/>
          <w:rtl/>
        </w:rPr>
        <w:t>, פסקה 28 (2020)</w:t>
      </w:r>
      <w:r w:rsidR="00356DA7">
        <w:rPr>
          <w:rFonts w:cs="David" w:hint="cs"/>
          <w:sz w:val="28"/>
          <w:szCs w:val="28"/>
          <w:rtl/>
        </w:rPr>
        <w:t>)</w:t>
      </w:r>
      <w:r w:rsidRPr="00B44DB6">
        <w:rPr>
          <w:rFonts w:cs="David"/>
          <w:sz w:val="28"/>
          <w:szCs w:val="28"/>
          <w:rtl/>
        </w:rPr>
        <w:t xml:space="preserve">. </w:t>
      </w:r>
    </w:p>
    <w:p w14:paraId="00F42CBB" w14:textId="77777777" w:rsidR="00B44DB6" w:rsidRPr="00B44DB6" w:rsidRDefault="00B44DB6" w:rsidP="00B44DB6">
      <w:pPr>
        <w:spacing w:line="360" w:lineRule="auto"/>
        <w:outlineLvl w:val="0"/>
        <w:rPr>
          <w:rFonts w:cs="David"/>
          <w:sz w:val="28"/>
          <w:szCs w:val="28"/>
          <w:rtl/>
        </w:rPr>
      </w:pPr>
    </w:p>
    <w:p w14:paraId="3264AAEC" w14:textId="54BEC78D" w:rsidR="001E09CE" w:rsidRDefault="00B44DB6" w:rsidP="001A563F">
      <w:pPr>
        <w:numPr>
          <w:ilvl w:val="0"/>
          <w:numId w:val="5"/>
        </w:numPr>
        <w:tabs>
          <w:tab w:val="left" w:pos="282"/>
        </w:tabs>
        <w:spacing w:line="360" w:lineRule="auto"/>
        <w:ind w:left="-1" w:firstLine="0"/>
        <w:jc w:val="both"/>
        <w:rPr>
          <w:rFonts w:cs="David"/>
          <w:sz w:val="28"/>
          <w:szCs w:val="28"/>
        </w:rPr>
      </w:pPr>
      <w:r w:rsidRPr="00B44DB6">
        <w:rPr>
          <w:rFonts w:cs="David"/>
          <w:sz w:val="28"/>
          <w:szCs w:val="28"/>
          <w:rtl/>
        </w:rPr>
        <w:t>בפסיקת בית המשפט העליון</w:t>
      </w:r>
      <w:r w:rsidR="008D02A2">
        <w:rPr>
          <w:rFonts w:cs="David" w:hint="cs"/>
          <w:sz w:val="28"/>
          <w:szCs w:val="28"/>
          <w:rtl/>
        </w:rPr>
        <w:t xml:space="preserve"> </w:t>
      </w:r>
      <w:r w:rsidRPr="00B44DB6">
        <w:rPr>
          <w:rFonts w:cs="David"/>
          <w:sz w:val="28"/>
          <w:szCs w:val="28"/>
          <w:rtl/>
        </w:rPr>
        <w:t xml:space="preserve">נקבע, כי </w:t>
      </w:r>
      <w:r w:rsidR="00133722">
        <w:rPr>
          <w:rFonts w:cs="David" w:hint="cs"/>
          <w:sz w:val="28"/>
          <w:szCs w:val="28"/>
          <w:rtl/>
        </w:rPr>
        <w:t xml:space="preserve">יש לייחס משקל </w:t>
      </w:r>
      <w:r w:rsidRPr="00B44DB6">
        <w:rPr>
          <w:rFonts w:cs="David"/>
          <w:sz w:val="28"/>
          <w:szCs w:val="28"/>
          <w:rtl/>
        </w:rPr>
        <w:t>למאפייני המסגרת הצבאית</w:t>
      </w:r>
      <w:r w:rsidR="00133722">
        <w:rPr>
          <w:rFonts w:cs="David" w:hint="cs"/>
          <w:sz w:val="28"/>
          <w:szCs w:val="28"/>
          <w:rtl/>
        </w:rPr>
        <w:t xml:space="preserve"> ולצרכיה </w:t>
      </w:r>
      <w:r w:rsidRPr="00B44DB6">
        <w:rPr>
          <w:rFonts w:cs="David"/>
          <w:sz w:val="28"/>
          <w:szCs w:val="28"/>
          <w:rtl/>
        </w:rPr>
        <w:t>במלאכת הענישה</w:t>
      </w:r>
      <w:r w:rsidR="00E77C4C">
        <w:rPr>
          <w:rFonts w:cs="David" w:hint="cs"/>
          <w:sz w:val="28"/>
          <w:szCs w:val="28"/>
          <w:rtl/>
        </w:rPr>
        <w:t xml:space="preserve"> (</w:t>
      </w:r>
      <w:r w:rsidR="00E77C4C">
        <w:rPr>
          <w:rFonts w:cs="David"/>
          <w:sz w:val="28"/>
          <w:szCs w:val="28"/>
          <w:rtl/>
        </w:rPr>
        <w:t>רע"פ 39</w:t>
      </w:r>
      <w:r w:rsidR="00E77C4C">
        <w:rPr>
          <w:rFonts w:cs="David" w:hint="cs"/>
          <w:sz w:val="28"/>
          <w:szCs w:val="28"/>
          <w:rtl/>
        </w:rPr>
        <w:t>1/17</w:t>
      </w:r>
      <w:r w:rsidR="00E77C4C" w:rsidRPr="008D02A2">
        <w:rPr>
          <w:rFonts w:cs="David"/>
          <w:sz w:val="28"/>
          <w:szCs w:val="28"/>
          <w:rtl/>
        </w:rPr>
        <w:t xml:space="preserve"> </w:t>
      </w:r>
      <w:r w:rsidR="00E77C4C" w:rsidRPr="00232DBD">
        <w:rPr>
          <w:rFonts w:cs="David"/>
          <w:b/>
          <w:bCs/>
          <w:sz w:val="28"/>
          <w:szCs w:val="28"/>
          <w:rtl/>
        </w:rPr>
        <w:t>פלוני נ' התובעת הצבאית הראשית</w:t>
      </w:r>
      <w:r w:rsidR="00E77C4C">
        <w:rPr>
          <w:rFonts w:cs="David"/>
          <w:sz w:val="28"/>
          <w:szCs w:val="28"/>
          <w:rtl/>
        </w:rPr>
        <w:t xml:space="preserve">, פסקה 12 </w:t>
      </w:r>
      <w:r w:rsidR="00E77C4C">
        <w:rPr>
          <w:rFonts w:cs="David" w:hint="cs"/>
          <w:sz w:val="28"/>
          <w:szCs w:val="28"/>
          <w:rtl/>
        </w:rPr>
        <w:t>(</w:t>
      </w:r>
      <w:r w:rsidR="0035073D">
        <w:rPr>
          <w:rFonts w:cs="David" w:hint="cs"/>
          <w:sz w:val="28"/>
          <w:szCs w:val="28"/>
          <w:rtl/>
        </w:rPr>
        <w:t xml:space="preserve">לא פורסם, </w:t>
      </w:r>
      <w:r w:rsidR="00E77C4C">
        <w:rPr>
          <w:rFonts w:cs="David" w:hint="cs"/>
          <w:sz w:val="28"/>
          <w:szCs w:val="28"/>
          <w:rtl/>
        </w:rPr>
        <w:t>15.1.2017</w:t>
      </w:r>
      <w:r w:rsidR="00E77C4C" w:rsidRPr="008D02A2">
        <w:rPr>
          <w:rFonts w:cs="David"/>
          <w:sz w:val="28"/>
          <w:szCs w:val="28"/>
          <w:rtl/>
        </w:rPr>
        <w:t>))</w:t>
      </w:r>
      <w:r w:rsidR="00E77C4C">
        <w:rPr>
          <w:rFonts w:cs="David" w:hint="cs"/>
          <w:sz w:val="28"/>
          <w:szCs w:val="28"/>
          <w:rtl/>
        </w:rPr>
        <w:t>.</w:t>
      </w:r>
      <w:r w:rsidRPr="00B44DB6">
        <w:rPr>
          <w:rFonts w:cs="David"/>
          <w:sz w:val="28"/>
          <w:szCs w:val="28"/>
          <w:rtl/>
        </w:rPr>
        <w:t xml:space="preserve"> ואכן</w:t>
      </w:r>
      <w:r w:rsidR="00E77C4C">
        <w:rPr>
          <w:rFonts w:cs="David" w:hint="cs"/>
          <w:sz w:val="28"/>
          <w:szCs w:val="28"/>
          <w:rtl/>
        </w:rPr>
        <w:t>,</w:t>
      </w:r>
      <w:r w:rsidRPr="00B44DB6">
        <w:rPr>
          <w:rFonts w:cs="David"/>
          <w:sz w:val="28"/>
          <w:szCs w:val="28"/>
          <w:rtl/>
        </w:rPr>
        <w:t xml:space="preserve"> נקבע לא אחת בפסיקת בית דין זה כי </w:t>
      </w:r>
      <w:r w:rsidR="00133722">
        <w:rPr>
          <w:rFonts w:cs="David" w:hint="cs"/>
          <w:sz w:val="28"/>
          <w:szCs w:val="28"/>
          <w:rtl/>
        </w:rPr>
        <w:t>ל</w:t>
      </w:r>
      <w:r w:rsidRPr="00B44DB6">
        <w:rPr>
          <w:rFonts w:cs="David"/>
          <w:sz w:val="28"/>
          <w:szCs w:val="28"/>
          <w:rtl/>
        </w:rPr>
        <w:t>מ</w:t>
      </w:r>
      <w:r w:rsidR="008D02A2">
        <w:rPr>
          <w:rFonts w:cs="David" w:hint="cs"/>
          <w:sz w:val="28"/>
          <w:szCs w:val="28"/>
          <w:rtl/>
        </w:rPr>
        <w:t>סגרת</w:t>
      </w:r>
      <w:r w:rsidRPr="00B44DB6">
        <w:rPr>
          <w:rFonts w:cs="David"/>
          <w:sz w:val="28"/>
          <w:szCs w:val="28"/>
          <w:rtl/>
        </w:rPr>
        <w:t xml:space="preserve"> הצבאית ייחודיות</w:t>
      </w:r>
      <w:r w:rsidR="00133722">
        <w:rPr>
          <w:rFonts w:cs="David" w:hint="cs"/>
          <w:sz w:val="28"/>
          <w:szCs w:val="28"/>
          <w:rtl/>
        </w:rPr>
        <w:t>,</w:t>
      </w:r>
      <w:r w:rsidRPr="00B44DB6">
        <w:rPr>
          <w:rFonts w:cs="David"/>
          <w:sz w:val="28"/>
          <w:szCs w:val="28"/>
          <w:rtl/>
        </w:rPr>
        <w:t xml:space="preserve"> אשר אינה קיימת ב</w:t>
      </w:r>
      <w:r w:rsidR="00133722">
        <w:rPr>
          <w:rFonts w:cs="David" w:hint="cs"/>
          <w:sz w:val="28"/>
          <w:szCs w:val="28"/>
          <w:rtl/>
        </w:rPr>
        <w:t xml:space="preserve">ארגונים </w:t>
      </w:r>
      <w:r w:rsidRPr="00B44DB6">
        <w:rPr>
          <w:rFonts w:cs="David"/>
          <w:sz w:val="28"/>
          <w:szCs w:val="28"/>
          <w:rtl/>
        </w:rPr>
        <w:t xml:space="preserve">אחרים, </w:t>
      </w:r>
      <w:r w:rsidR="008D02A2">
        <w:rPr>
          <w:rFonts w:cs="David" w:hint="cs"/>
          <w:sz w:val="28"/>
          <w:szCs w:val="28"/>
          <w:rtl/>
        </w:rPr>
        <w:t>וכי בכל הנוגע לעבירות מין ופגיעה בפרטיות המ</w:t>
      </w:r>
      <w:r w:rsidR="00133722">
        <w:rPr>
          <w:rFonts w:cs="David" w:hint="cs"/>
          <w:sz w:val="28"/>
          <w:szCs w:val="28"/>
          <w:rtl/>
        </w:rPr>
        <w:t xml:space="preserve">תבצעות בתוככי היחידות ובמהלך השירות הצבאי ובפרט, </w:t>
      </w:r>
      <w:r w:rsidR="008D02A2">
        <w:rPr>
          <w:rFonts w:cs="David" w:hint="cs"/>
          <w:sz w:val="28"/>
          <w:szCs w:val="28"/>
          <w:rtl/>
        </w:rPr>
        <w:t>על ידי מפקדים</w:t>
      </w:r>
      <w:r w:rsidR="009632C9">
        <w:rPr>
          <w:rFonts w:cs="David" w:hint="cs"/>
          <w:sz w:val="28"/>
          <w:szCs w:val="28"/>
          <w:rtl/>
        </w:rPr>
        <w:t xml:space="preserve"> -</w:t>
      </w:r>
      <w:r w:rsidR="008D02A2">
        <w:rPr>
          <w:rFonts w:cs="David" w:hint="cs"/>
          <w:sz w:val="28"/>
          <w:szCs w:val="28"/>
          <w:rtl/>
        </w:rPr>
        <w:t xml:space="preserve"> יש לנקוט ענישה מחמירה</w:t>
      </w:r>
      <w:r w:rsidR="009F26DF">
        <w:rPr>
          <w:rFonts w:cs="David" w:hint="cs"/>
          <w:sz w:val="28"/>
          <w:szCs w:val="28"/>
          <w:rtl/>
        </w:rPr>
        <w:t>,</w:t>
      </w:r>
      <w:r w:rsidR="008D02A2">
        <w:rPr>
          <w:rFonts w:cs="David" w:hint="cs"/>
          <w:sz w:val="28"/>
          <w:szCs w:val="28"/>
          <w:rtl/>
        </w:rPr>
        <w:t xml:space="preserve"> משיקולים של הלימה. </w:t>
      </w:r>
      <w:r w:rsidRPr="00B44DB6">
        <w:rPr>
          <w:rFonts w:cs="David"/>
          <w:sz w:val="28"/>
          <w:szCs w:val="28"/>
          <w:rtl/>
        </w:rPr>
        <w:t>הצבא הוא גוף היררכי המושתת על פקודות ונהלים. חיילי צה"ל מ</w:t>
      </w:r>
      <w:r w:rsidR="008D02A2">
        <w:rPr>
          <w:rFonts w:cs="David" w:hint="cs"/>
          <w:sz w:val="28"/>
          <w:szCs w:val="28"/>
          <w:rtl/>
        </w:rPr>
        <w:t>ת</w:t>
      </w:r>
      <w:r w:rsidRPr="00B44DB6">
        <w:rPr>
          <w:rFonts w:cs="David"/>
          <w:sz w:val="28"/>
          <w:szCs w:val="28"/>
          <w:rtl/>
        </w:rPr>
        <w:t xml:space="preserve">גייסים </w:t>
      </w:r>
      <w:r w:rsidR="008D02A2">
        <w:rPr>
          <w:rFonts w:cs="David" w:hint="cs"/>
          <w:sz w:val="28"/>
          <w:szCs w:val="28"/>
          <w:rtl/>
        </w:rPr>
        <w:t xml:space="preserve">לשירות חובה </w:t>
      </w:r>
      <w:r w:rsidRPr="00B44DB6">
        <w:rPr>
          <w:rFonts w:cs="David"/>
          <w:sz w:val="28"/>
          <w:szCs w:val="28"/>
          <w:rtl/>
        </w:rPr>
        <w:lastRenderedPageBreak/>
        <w:t xml:space="preserve">מכוח חוק, ומקום שירותם אינו </w:t>
      </w:r>
      <w:r w:rsidR="008D02A2">
        <w:rPr>
          <w:rFonts w:cs="David" w:hint="cs"/>
          <w:sz w:val="28"/>
          <w:szCs w:val="28"/>
          <w:rtl/>
        </w:rPr>
        <w:t xml:space="preserve">נתון לבחירתם. </w:t>
      </w:r>
      <w:r w:rsidRPr="00B44DB6">
        <w:rPr>
          <w:rFonts w:cs="David"/>
          <w:sz w:val="28"/>
          <w:szCs w:val="28"/>
          <w:rtl/>
        </w:rPr>
        <w:t xml:space="preserve">צה"ל </w:t>
      </w:r>
      <w:r w:rsidR="001E09CE">
        <w:rPr>
          <w:rFonts w:cs="David" w:hint="cs"/>
          <w:sz w:val="28"/>
          <w:szCs w:val="28"/>
          <w:rtl/>
        </w:rPr>
        <w:t xml:space="preserve">חייב, אפוא, </w:t>
      </w:r>
      <w:r w:rsidRPr="00B44DB6">
        <w:rPr>
          <w:rFonts w:cs="David"/>
          <w:sz w:val="28"/>
          <w:szCs w:val="28"/>
          <w:rtl/>
        </w:rPr>
        <w:t>להגן על שלומם ו</w:t>
      </w:r>
      <w:r w:rsidR="001E09CE">
        <w:rPr>
          <w:rFonts w:cs="David" w:hint="cs"/>
          <w:sz w:val="28"/>
          <w:szCs w:val="28"/>
          <w:rtl/>
        </w:rPr>
        <w:t xml:space="preserve">על </w:t>
      </w:r>
      <w:r w:rsidRPr="00B44DB6">
        <w:rPr>
          <w:rFonts w:cs="David"/>
          <w:sz w:val="28"/>
          <w:szCs w:val="28"/>
          <w:rtl/>
        </w:rPr>
        <w:t xml:space="preserve">כבודם של </w:t>
      </w:r>
      <w:r w:rsidR="001E09CE">
        <w:rPr>
          <w:rFonts w:cs="David" w:hint="cs"/>
          <w:sz w:val="28"/>
          <w:szCs w:val="28"/>
          <w:rtl/>
        </w:rPr>
        <w:t>ה</w:t>
      </w:r>
      <w:r w:rsidRPr="00B44DB6">
        <w:rPr>
          <w:rFonts w:cs="David"/>
          <w:sz w:val="28"/>
          <w:szCs w:val="28"/>
          <w:rtl/>
        </w:rPr>
        <w:t>חיילים ו</w:t>
      </w:r>
      <w:r w:rsidR="001E09CE">
        <w:rPr>
          <w:rFonts w:cs="David" w:hint="cs"/>
          <w:sz w:val="28"/>
          <w:szCs w:val="28"/>
          <w:rtl/>
        </w:rPr>
        <w:t>ה</w:t>
      </w:r>
      <w:r w:rsidRPr="00B44DB6">
        <w:rPr>
          <w:rFonts w:cs="David"/>
          <w:sz w:val="28"/>
          <w:szCs w:val="28"/>
          <w:rtl/>
        </w:rPr>
        <w:t>חיילות</w:t>
      </w:r>
      <w:r w:rsidR="001E09CE">
        <w:rPr>
          <w:rFonts w:cs="David" w:hint="cs"/>
          <w:sz w:val="28"/>
          <w:szCs w:val="28"/>
          <w:rtl/>
        </w:rPr>
        <w:t>, ה</w:t>
      </w:r>
      <w:r w:rsidRPr="00B44DB6">
        <w:rPr>
          <w:rFonts w:cs="David"/>
          <w:sz w:val="28"/>
          <w:szCs w:val="28"/>
          <w:rtl/>
        </w:rPr>
        <w:t>משרתים ב</w:t>
      </w:r>
      <w:r w:rsidR="001E09CE">
        <w:rPr>
          <w:rFonts w:cs="David" w:hint="cs"/>
          <w:sz w:val="28"/>
          <w:szCs w:val="28"/>
          <w:rtl/>
        </w:rPr>
        <w:t>ו</w:t>
      </w:r>
      <w:r w:rsidRPr="00B44DB6">
        <w:rPr>
          <w:rFonts w:cs="David"/>
          <w:sz w:val="28"/>
          <w:szCs w:val="28"/>
          <w:rtl/>
        </w:rPr>
        <w:t xml:space="preserve"> (</w:t>
      </w:r>
      <w:bookmarkStart w:id="0" w:name="_Hlk95942322"/>
      <w:r w:rsidRPr="00B44DB6">
        <w:rPr>
          <w:rFonts w:cs="David"/>
          <w:sz w:val="28"/>
          <w:szCs w:val="28"/>
          <w:rtl/>
        </w:rPr>
        <w:t>ע</w:t>
      </w:r>
      <w:r w:rsidR="007E6DB1">
        <w:rPr>
          <w:rFonts w:cs="David" w:hint="cs"/>
          <w:sz w:val="28"/>
          <w:szCs w:val="28"/>
          <w:rtl/>
        </w:rPr>
        <w:t xml:space="preserve">ניין </w:t>
      </w:r>
      <w:r w:rsidRPr="00232DBD">
        <w:rPr>
          <w:rFonts w:cs="David"/>
          <w:b/>
          <w:bCs/>
          <w:sz w:val="28"/>
          <w:szCs w:val="28"/>
          <w:rtl/>
        </w:rPr>
        <w:t>זאהר</w:t>
      </w:r>
      <w:r w:rsidR="007E6DB1">
        <w:rPr>
          <w:rFonts w:cs="David" w:hint="cs"/>
          <w:b/>
          <w:bCs/>
          <w:sz w:val="28"/>
          <w:szCs w:val="28"/>
          <w:rtl/>
        </w:rPr>
        <w:t xml:space="preserve"> </w:t>
      </w:r>
      <w:r w:rsidR="007E6DB1">
        <w:rPr>
          <w:rFonts w:cs="David" w:hint="cs"/>
          <w:sz w:val="28"/>
          <w:szCs w:val="28"/>
          <w:rtl/>
        </w:rPr>
        <w:t>הנ"ל</w:t>
      </w:r>
      <w:r w:rsidRPr="00B44DB6">
        <w:rPr>
          <w:rFonts w:cs="David"/>
          <w:sz w:val="28"/>
          <w:szCs w:val="28"/>
          <w:rtl/>
        </w:rPr>
        <w:t>, פסקה 127;</w:t>
      </w:r>
      <w:bookmarkEnd w:id="0"/>
      <w:r w:rsidRPr="00B44DB6">
        <w:rPr>
          <w:rFonts w:cs="David"/>
          <w:sz w:val="28"/>
          <w:szCs w:val="28"/>
          <w:rtl/>
        </w:rPr>
        <w:t xml:space="preserve"> ע26,33/19 </w:t>
      </w:r>
      <w:r w:rsidRPr="00232DBD">
        <w:rPr>
          <w:rFonts w:cs="David"/>
          <w:b/>
          <w:bCs/>
          <w:sz w:val="28"/>
          <w:szCs w:val="28"/>
          <w:rtl/>
        </w:rPr>
        <w:t>סמל נהרי נ' התובע הצבאי הראשי</w:t>
      </w:r>
      <w:r w:rsidRPr="00B44DB6">
        <w:rPr>
          <w:rFonts w:cs="David"/>
          <w:sz w:val="28"/>
          <w:szCs w:val="28"/>
          <w:rtl/>
        </w:rPr>
        <w:t>, פסקה 22 (2019)</w:t>
      </w:r>
      <w:r w:rsidR="001E09CE">
        <w:rPr>
          <w:rFonts w:cs="David" w:hint="cs"/>
          <w:sz w:val="28"/>
          <w:szCs w:val="28"/>
          <w:rtl/>
        </w:rPr>
        <w:t>)</w:t>
      </w:r>
      <w:r w:rsidRPr="00B44DB6">
        <w:rPr>
          <w:rFonts w:cs="David"/>
          <w:sz w:val="28"/>
          <w:szCs w:val="28"/>
          <w:rtl/>
        </w:rPr>
        <w:t xml:space="preserve">. </w:t>
      </w:r>
    </w:p>
    <w:p w14:paraId="5AFDE0EC" w14:textId="165C5A89" w:rsidR="00B44DB6" w:rsidRPr="00B44DB6" w:rsidRDefault="00B44DB6" w:rsidP="001A563F">
      <w:pPr>
        <w:numPr>
          <w:ilvl w:val="0"/>
          <w:numId w:val="5"/>
        </w:numPr>
        <w:tabs>
          <w:tab w:val="left" w:pos="282"/>
        </w:tabs>
        <w:spacing w:line="360" w:lineRule="auto"/>
        <w:ind w:left="-1" w:firstLine="0"/>
        <w:jc w:val="both"/>
        <w:rPr>
          <w:rFonts w:cs="David"/>
          <w:sz w:val="28"/>
          <w:szCs w:val="28"/>
          <w:rtl/>
        </w:rPr>
      </w:pPr>
      <w:r w:rsidRPr="00B44DB6">
        <w:rPr>
          <w:rFonts w:cs="David"/>
          <w:sz w:val="28"/>
          <w:szCs w:val="28"/>
          <w:rtl/>
        </w:rPr>
        <w:t xml:space="preserve">מעשיו של המערער </w:t>
      </w:r>
      <w:r w:rsidR="009F26DF">
        <w:rPr>
          <w:rFonts w:cs="David" w:hint="cs"/>
          <w:sz w:val="28"/>
          <w:szCs w:val="28"/>
          <w:rtl/>
        </w:rPr>
        <w:t xml:space="preserve">חותרים תחת </w:t>
      </w:r>
      <w:r w:rsidRPr="00B44DB6">
        <w:rPr>
          <w:rFonts w:cs="David"/>
          <w:sz w:val="28"/>
          <w:szCs w:val="28"/>
          <w:rtl/>
        </w:rPr>
        <w:t xml:space="preserve">הערכים המוגנים </w:t>
      </w:r>
      <w:r w:rsidR="001E09CE">
        <w:rPr>
          <w:rFonts w:cs="David" w:hint="cs"/>
          <w:sz w:val="28"/>
          <w:szCs w:val="28"/>
          <w:rtl/>
        </w:rPr>
        <w:t>הייחודיים למסגרת הצבאית - ה</w:t>
      </w:r>
      <w:r w:rsidRPr="00B44DB6">
        <w:rPr>
          <w:rFonts w:cs="David"/>
          <w:sz w:val="28"/>
          <w:szCs w:val="28"/>
          <w:rtl/>
        </w:rPr>
        <w:t>שמיר</w:t>
      </w:r>
      <w:r w:rsidR="001E09CE">
        <w:rPr>
          <w:rFonts w:cs="David" w:hint="cs"/>
          <w:sz w:val="28"/>
          <w:szCs w:val="28"/>
          <w:rtl/>
        </w:rPr>
        <w:t xml:space="preserve">ה על ערך </w:t>
      </w:r>
      <w:r w:rsidRPr="00B44DB6">
        <w:rPr>
          <w:rFonts w:cs="David"/>
          <w:sz w:val="28"/>
          <w:szCs w:val="28"/>
          <w:rtl/>
        </w:rPr>
        <w:t>הרעות ו</w:t>
      </w:r>
      <w:r w:rsidR="00133722">
        <w:rPr>
          <w:rFonts w:cs="David" w:hint="cs"/>
          <w:sz w:val="28"/>
          <w:szCs w:val="28"/>
          <w:rtl/>
        </w:rPr>
        <w:t xml:space="preserve">על </w:t>
      </w:r>
      <w:r w:rsidRPr="00B44DB6">
        <w:rPr>
          <w:rFonts w:cs="David"/>
          <w:sz w:val="28"/>
          <w:szCs w:val="28"/>
          <w:rtl/>
        </w:rPr>
        <w:t xml:space="preserve">אמון </w:t>
      </w:r>
      <w:r w:rsidR="001E09CE">
        <w:rPr>
          <w:rFonts w:cs="David" w:hint="cs"/>
          <w:sz w:val="28"/>
          <w:szCs w:val="28"/>
          <w:rtl/>
        </w:rPr>
        <w:t>החיילים ב</w:t>
      </w:r>
      <w:r w:rsidR="00133722">
        <w:rPr>
          <w:rFonts w:cs="David" w:hint="cs"/>
          <w:sz w:val="28"/>
          <w:szCs w:val="28"/>
          <w:rtl/>
        </w:rPr>
        <w:t>מפקדיהם</w:t>
      </w:r>
      <w:r w:rsidR="009F26DF">
        <w:rPr>
          <w:rFonts w:cs="David" w:hint="cs"/>
          <w:sz w:val="28"/>
          <w:szCs w:val="28"/>
          <w:rtl/>
        </w:rPr>
        <w:t>,</w:t>
      </w:r>
      <w:r w:rsidR="00133722">
        <w:rPr>
          <w:rFonts w:cs="David" w:hint="cs"/>
          <w:sz w:val="28"/>
          <w:szCs w:val="28"/>
          <w:rtl/>
        </w:rPr>
        <w:t xml:space="preserve"> כמו גם על אמון </w:t>
      </w:r>
      <w:r w:rsidR="001E09CE">
        <w:rPr>
          <w:rFonts w:cs="David" w:hint="cs"/>
          <w:sz w:val="28"/>
          <w:szCs w:val="28"/>
          <w:rtl/>
        </w:rPr>
        <w:t xml:space="preserve">הציבור </w:t>
      </w:r>
      <w:r w:rsidRPr="00B44DB6">
        <w:rPr>
          <w:rFonts w:cs="David"/>
          <w:sz w:val="28"/>
          <w:szCs w:val="28"/>
          <w:rtl/>
        </w:rPr>
        <w:t>ב</w:t>
      </w:r>
      <w:r w:rsidR="001E09CE">
        <w:rPr>
          <w:rFonts w:cs="David" w:hint="cs"/>
          <w:sz w:val="28"/>
          <w:szCs w:val="28"/>
          <w:rtl/>
        </w:rPr>
        <w:t xml:space="preserve">צה"ל. </w:t>
      </w:r>
      <w:r w:rsidRPr="00B44DB6">
        <w:rPr>
          <w:rFonts w:cs="David"/>
          <w:sz w:val="28"/>
          <w:szCs w:val="28"/>
          <w:rtl/>
        </w:rPr>
        <w:t>עבירות מין</w:t>
      </w:r>
      <w:r w:rsidR="001E09CE">
        <w:rPr>
          <w:rFonts w:cs="David" w:hint="cs"/>
          <w:sz w:val="28"/>
          <w:szCs w:val="28"/>
          <w:rtl/>
        </w:rPr>
        <w:t xml:space="preserve"> המבוצעות על ידי מפקדים, </w:t>
      </w:r>
      <w:r w:rsidR="00133722">
        <w:rPr>
          <w:rFonts w:cs="David" w:hint="cs"/>
          <w:sz w:val="28"/>
          <w:szCs w:val="28"/>
          <w:rtl/>
        </w:rPr>
        <w:t xml:space="preserve">שומטות את הבסיס לסמכותם ולמרותם. </w:t>
      </w:r>
      <w:r w:rsidR="001E09CE">
        <w:rPr>
          <w:rFonts w:cs="David" w:hint="cs"/>
          <w:sz w:val="28"/>
          <w:szCs w:val="28"/>
          <w:rtl/>
        </w:rPr>
        <w:t xml:space="preserve">בתוך כך, מכרסמות </w:t>
      </w:r>
      <w:r w:rsidR="00133722">
        <w:rPr>
          <w:rFonts w:cs="David" w:hint="cs"/>
          <w:sz w:val="28"/>
          <w:szCs w:val="28"/>
          <w:rtl/>
        </w:rPr>
        <w:t xml:space="preserve">העבירות </w:t>
      </w:r>
      <w:r w:rsidR="001E09CE">
        <w:rPr>
          <w:rFonts w:cs="David" w:hint="cs"/>
          <w:sz w:val="28"/>
          <w:szCs w:val="28"/>
          <w:rtl/>
        </w:rPr>
        <w:t>במעמדו</w:t>
      </w:r>
      <w:r w:rsidR="00133722">
        <w:rPr>
          <w:rFonts w:cs="David" w:hint="cs"/>
          <w:sz w:val="28"/>
          <w:szCs w:val="28"/>
          <w:rtl/>
        </w:rPr>
        <w:t xml:space="preserve"> ו</w:t>
      </w:r>
      <w:r w:rsidR="001E09CE">
        <w:rPr>
          <w:rFonts w:cs="David" w:hint="cs"/>
          <w:sz w:val="28"/>
          <w:szCs w:val="28"/>
          <w:rtl/>
        </w:rPr>
        <w:t>בחוסנו של ה</w:t>
      </w:r>
      <w:r w:rsidRPr="00B44DB6">
        <w:rPr>
          <w:rFonts w:cs="David"/>
          <w:sz w:val="28"/>
          <w:szCs w:val="28"/>
          <w:rtl/>
        </w:rPr>
        <w:t>צבא</w:t>
      </w:r>
      <w:r w:rsidR="00133722">
        <w:rPr>
          <w:rFonts w:cs="David" w:hint="cs"/>
          <w:sz w:val="28"/>
          <w:szCs w:val="28"/>
          <w:rtl/>
        </w:rPr>
        <w:t xml:space="preserve"> כולו</w:t>
      </w:r>
      <w:r w:rsidRPr="00B44DB6">
        <w:rPr>
          <w:rFonts w:cs="David"/>
          <w:sz w:val="28"/>
          <w:szCs w:val="28"/>
          <w:rtl/>
        </w:rPr>
        <w:t xml:space="preserve">. </w:t>
      </w:r>
      <w:r w:rsidR="009F26DF">
        <w:rPr>
          <w:rFonts w:cs="David" w:hint="cs"/>
          <w:sz w:val="28"/>
          <w:szCs w:val="28"/>
          <w:rtl/>
        </w:rPr>
        <w:t xml:space="preserve">כפי שקבענו בעבר, </w:t>
      </w:r>
      <w:r w:rsidR="001E09CE">
        <w:rPr>
          <w:rFonts w:cs="David" w:hint="cs"/>
          <w:sz w:val="28"/>
          <w:szCs w:val="28"/>
          <w:rtl/>
        </w:rPr>
        <w:t xml:space="preserve">על בתי הדין הצבאיים </w:t>
      </w:r>
      <w:r w:rsidRPr="00B44DB6">
        <w:rPr>
          <w:rFonts w:cs="David"/>
          <w:sz w:val="28"/>
          <w:szCs w:val="28"/>
          <w:rtl/>
        </w:rPr>
        <w:t>ל</w:t>
      </w:r>
      <w:r w:rsidR="001E09CE">
        <w:rPr>
          <w:rFonts w:cs="David" w:hint="cs"/>
          <w:sz w:val="28"/>
          <w:szCs w:val="28"/>
          <w:rtl/>
        </w:rPr>
        <w:t>יטול חלק במאבק כנגד אותן עבירות</w:t>
      </w:r>
      <w:r w:rsidR="00D63389">
        <w:rPr>
          <w:rFonts w:cs="David" w:hint="cs"/>
          <w:sz w:val="28"/>
          <w:szCs w:val="28"/>
          <w:rtl/>
        </w:rPr>
        <w:t>,</w:t>
      </w:r>
      <w:r w:rsidR="001E09CE">
        <w:rPr>
          <w:rFonts w:cs="David" w:hint="cs"/>
          <w:sz w:val="28"/>
          <w:szCs w:val="28"/>
          <w:rtl/>
        </w:rPr>
        <w:t xml:space="preserve"> באמצעות </w:t>
      </w:r>
      <w:r w:rsidRPr="00B44DB6">
        <w:rPr>
          <w:rFonts w:cs="David"/>
          <w:sz w:val="28"/>
          <w:szCs w:val="28"/>
          <w:rtl/>
        </w:rPr>
        <w:t xml:space="preserve">ענישה כואבת ומרתיעה (ע/101/09 </w:t>
      </w:r>
      <w:r w:rsidRPr="00232DBD">
        <w:rPr>
          <w:rFonts w:cs="David"/>
          <w:b/>
          <w:bCs/>
          <w:sz w:val="28"/>
          <w:szCs w:val="28"/>
          <w:rtl/>
        </w:rPr>
        <w:t>התובע הצבאי נ' סגן דניאל</w:t>
      </w:r>
      <w:r w:rsidRPr="00B44DB6">
        <w:rPr>
          <w:rFonts w:cs="David"/>
          <w:sz w:val="28"/>
          <w:szCs w:val="28"/>
          <w:rtl/>
        </w:rPr>
        <w:t xml:space="preserve"> (2009)). </w:t>
      </w:r>
    </w:p>
    <w:p w14:paraId="58AAA41F" w14:textId="2FF07B32" w:rsidR="00CB22A4" w:rsidRPr="00CB22A4" w:rsidRDefault="001E09CE" w:rsidP="001A563F">
      <w:pPr>
        <w:numPr>
          <w:ilvl w:val="0"/>
          <w:numId w:val="5"/>
        </w:numPr>
        <w:tabs>
          <w:tab w:val="left" w:pos="282"/>
        </w:tabs>
        <w:spacing w:line="360" w:lineRule="auto"/>
        <w:ind w:left="-1" w:firstLine="0"/>
        <w:jc w:val="both"/>
        <w:rPr>
          <w:rFonts w:cs="David"/>
          <w:sz w:val="28"/>
          <w:szCs w:val="28"/>
          <w:rtl/>
        </w:rPr>
      </w:pPr>
      <w:r w:rsidRPr="000318BB">
        <w:rPr>
          <w:rFonts w:cs="David" w:hint="cs"/>
          <w:sz w:val="28"/>
          <w:szCs w:val="28"/>
          <w:rtl/>
        </w:rPr>
        <w:t xml:space="preserve">בראי האמור, </w:t>
      </w:r>
      <w:r w:rsidR="00B44DB6" w:rsidRPr="000318BB">
        <w:rPr>
          <w:rFonts w:cs="David"/>
          <w:sz w:val="28"/>
          <w:szCs w:val="28"/>
          <w:rtl/>
        </w:rPr>
        <w:t xml:space="preserve">לאחר שעיינו בפסיקה </w:t>
      </w:r>
      <w:r w:rsidRPr="000318BB">
        <w:rPr>
          <w:rFonts w:cs="David" w:hint="cs"/>
          <w:sz w:val="28"/>
          <w:szCs w:val="28"/>
          <w:rtl/>
        </w:rPr>
        <w:t>ש</w:t>
      </w:r>
      <w:r w:rsidR="00B44DB6" w:rsidRPr="000318BB">
        <w:rPr>
          <w:rFonts w:cs="David"/>
          <w:sz w:val="28"/>
          <w:szCs w:val="28"/>
          <w:rtl/>
        </w:rPr>
        <w:t xml:space="preserve">אליה הפנתה ההגנה, </w:t>
      </w:r>
      <w:r w:rsidRPr="000318BB">
        <w:rPr>
          <w:rFonts w:cs="David" w:hint="cs"/>
          <w:sz w:val="28"/>
          <w:szCs w:val="28"/>
          <w:rtl/>
        </w:rPr>
        <w:t xml:space="preserve">מצאנו לדחות את </w:t>
      </w:r>
      <w:r w:rsidR="00634C13">
        <w:rPr>
          <w:rFonts w:cs="David" w:hint="cs"/>
          <w:sz w:val="28"/>
          <w:szCs w:val="28"/>
          <w:rtl/>
        </w:rPr>
        <w:t xml:space="preserve">ערעור </w:t>
      </w:r>
      <w:r w:rsidRPr="000318BB">
        <w:rPr>
          <w:rFonts w:cs="David" w:hint="cs"/>
          <w:sz w:val="28"/>
          <w:szCs w:val="28"/>
          <w:rtl/>
        </w:rPr>
        <w:t>ההגנה</w:t>
      </w:r>
      <w:r w:rsidR="00634C13">
        <w:rPr>
          <w:rFonts w:cs="David" w:hint="cs"/>
          <w:sz w:val="28"/>
          <w:szCs w:val="28"/>
          <w:rtl/>
        </w:rPr>
        <w:t xml:space="preserve"> על חומרת העונש</w:t>
      </w:r>
      <w:r w:rsidRPr="000318BB">
        <w:rPr>
          <w:rFonts w:cs="David" w:hint="cs"/>
          <w:sz w:val="28"/>
          <w:szCs w:val="28"/>
          <w:rtl/>
        </w:rPr>
        <w:t xml:space="preserve">. כידוע, </w:t>
      </w:r>
      <w:r w:rsidR="00B44DB6" w:rsidRPr="000318BB">
        <w:rPr>
          <w:rFonts w:cs="David"/>
          <w:sz w:val="28"/>
          <w:szCs w:val="28"/>
          <w:rtl/>
        </w:rPr>
        <w:t xml:space="preserve">מדיניות הענישה </w:t>
      </w:r>
      <w:r w:rsidR="00D63389">
        <w:rPr>
          <w:rFonts w:cs="David" w:hint="cs"/>
          <w:sz w:val="28"/>
          <w:szCs w:val="28"/>
          <w:rtl/>
        </w:rPr>
        <w:t>הנהוגה</w:t>
      </w:r>
      <w:r w:rsidR="00D63389" w:rsidRPr="000318BB">
        <w:rPr>
          <w:rFonts w:cs="David"/>
          <w:sz w:val="28"/>
          <w:szCs w:val="28"/>
          <w:rtl/>
        </w:rPr>
        <w:t xml:space="preserve"> </w:t>
      </w:r>
      <w:r w:rsidR="00B44DB6" w:rsidRPr="000318BB">
        <w:rPr>
          <w:rFonts w:cs="David"/>
          <w:sz w:val="28"/>
          <w:szCs w:val="28"/>
          <w:rtl/>
        </w:rPr>
        <w:t xml:space="preserve">היא רק אחד השיקולים המשפיעים על קביעת מתחם העונש ההולם (ע"פ 3698/20 </w:t>
      </w:r>
      <w:r w:rsidR="00B44DB6" w:rsidRPr="000318BB">
        <w:rPr>
          <w:rFonts w:cs="David"/>
          <w:b/>
          <w:bCs/>
          <w:sz w:val="28"/>
          <w:szCs w:val="28"/>
          <w:rtl/>
        </w:rPr>
        <w:t>מחאמיד נ' מדינת ישראל</w:t>
      </w:r>
      <w:r w:rsidR="00D63389">
        <w:rPr>
          <w:rFonts w:cs="David" w:hint="cs"/>
          <w:sz w:val="28"/>
          <w:szCs w:val="28"/>
          <w:rtl/>
        </w:rPr>
        <w:t>,</w:t>
      </w:r>
      <w:r w:rsidR="00B44DB6" w:rsidRPr="000318BB">
        <w:rPr>
          <w:rFonts w:cs="David"/>
          <w:sz w:val="28"/>
          <w:szCs w:val="28"/>
          <w:rtl/>
        </w:rPr>
        <w:t xml:space="preserve"> פסקה 11 (</w:t>
      </w:r>
      <w:r w:rsidR="0035073D">
        <w:rPr>
          <w:rFonts w:cs="David" w:hint="cs"/>
          <w:sz w:val="28"/>
          <w:szCs w:val="28"/>
          <w:rtl/>
        </w:rPr>
        <w:t xml:space="preserve">לא פורסם, </w:t>
      </w:r>
      <w:r w:rsidRPr="000318BB">
        <w:rPr>
          <w:rFonts w:cs="David" w:hint="cs"/>
          <w:sz w:val="28"/>
          <w:szCs w:val="28"/>
          <w:rtl/>
        </w:rPr>
        <w:t>3.11.2020)</w:t>
      </w:r>
      <w:r w:rsidR="00B44DB6" w:rsidRPr="000318BB">
        <w:rPr>
          <w:rFonts w:cs="David"/>
          <w:sz w:val="28"/>
          <w:szCs w:val="28"/>
          <w:rtl/>
        </w:rPr>
        <w:t>).</w:t>
      </w:r>
      <w:r w:rsidR="00CB22A4">
        <w:rPr>
          <w:rFonts w:cs="David" w:hint="cs"/>
          <w:sz w:val="28"/>
          <w:szCs w:val="28"/>
          <w:rtl/>
        </w:rPr>
        <w:t xml:space="preserve"> כך, הטעים </w:t>
      </w:r>
      <w:r w:rsidR="00CB22A4" w:rsidRPr="00CB22A4">
        <w:rPr>
          <w:rFonts w:cs="David"/>
          <w:sz w:val="28"/>
          <w:szCs w:val="28"/>
          <w:rtl/>
        </w:rPr>
        <w:t xml:space="preserve">בית המשפט העליון אך לאחרונה: </w:t>
      </w:r>
    </w:p>
    <w:p w14:paraId="25672E74" w14:textId="77777777" w:rsidR="00D63389" w:rsidRDefault="00CB22A4" w:rsidP="00CB22A4">
      <w:pPr>
        <w:ind w:left="1502" w:right="993"/>
        <w:jc w:val="both"/>
        <w:outlineLvl w:val="0"/>
        <w:rPr>
          <w:rFonts w:cs="David"/>
          <w:sz w:val="28"/>
          <w:szCs w:val="28"/>
          <w:rtl/>
        </w:rPr>
      </w:pPr>
      <w:r w:rsidRPr="00CB22A4">
        <w:rPr>
          <w:rFonts w:cs="David"/>
          <w:sz w:val="28"/>
          <w:szCs w:val="28"/>
          <w:rtl/>
        </w:rPr>
        <w:t>"קשה לחלוק על כך שהעונש שהוטל על המערער הוא עונש חמור, העולה על רף הענישה הנוהג. ואולם, יום ביומו שׁוֹנִים באוזננו סנגורים כי מלאכת גזירת הדין היא אינדיווידואלית, וכי יש להתחשב לא רק ברף הענישה המקובל ביחס לעבירות בהן הורשע הנאשם, אלא גם בנסיבותיהם הייחודיות של המעשה ושל העושה. ואם כך, באופן תדיר, כשיקול להפחתה בעונש לעומת רף הענישה המקובל, הרי שכך גם, במקרים מתאימים, כשיקול להחמרה בהשוואה לרף הנוהג"</w:t>
      </w:r>
      <w:r w:rsidR="003A4AD1">
        <w:rPr>
          <w:rFonts w:cs="David" w:hint="cs"/>
          <w:sz w:val="28"/>
          <w:szCs w:val="28"/>
          <w:rtl/>
        </w:rPr>
        <w:t>.</w:t>
      </w:r>
    </w:p>
    <w:p w14:paraId="026DCEEB" w14:textId="0840B810" w:rsidR="00CB22A4" w:rsidRDefault="00CB22A4" w:rsidP="00CB22A4">
      <w:pPr>
        <w:ind w:left="1502" w:right="993"/>
        <w:jc w:val="both"/>
        <w:outlineLvl w:val="0"/>
        <w:rPr>
          <w:rFonts w:cs="David"/>
          <w:sz w:val="28"/>
          <w:szCs w:val="28"/>
          <w:rtl/>
        </w:rPr>
      </w:pPr>
      <w:r w:rsidRPr="00CB22A4">
        <w:rPr>
          <w:rFonts w:cs="David"/>
          <w:sz w:val="28"/>
          <w:szCs w:val="28"/>
          <w:rtl/>
        </w:rPr>
        <w:t xml:space="preserve">(ע"פ 6193/20 </w:t>
      </w:r>
      <w:r w:rsidRPr="00276B99">
        <w:rPr>
          <w:rFonts w:cs="David"/>
          <w:b/>
          <w:bCs/>
          <w:sz w:val="28"/>
          <w:szCs w:val="28"/>
          <w:rtl/>
        </w:rPr>
        <w:t>בר זכאי נ' מדינת ישראל</w:t>
      </w:r>
      <w:r w:rsidRPr="00CB22A4">
        <w:rPr>
          <w:rFonts w:cs="David"/>
          <w:sz w:val="28"/>
          <w:szCs w:val="28"/>
          <w:rtl/>
        </w:rPr>
        <w:t xml:space="preserve"> (</w:t>
      </w:r>
      <w:r w:rsidR="0035073D">
        <w:rPr>
          <w:rFonts w:cs="David" w:hint="cs"/>
          <w:sz w:val="28"/>
          <w:szCs w:val="28"/>
          <w:rtl/>
        </w:rPr>
        <w:t xml:space="preserve">לא פורסם, </w:t>
      </w:r>
      <w:r w:rsidRPr="00CB22A4">
        <w:rPr>
          <w:rFonts w:cs="David"/>
          <w:sz w:val="28"/>
          <w:szCs w:val="28"/>
          <w:rtl/>
        </w:rPr>
        <w:t>25.3.2021)</w:t>
      </w:r>
      <w:r>
        <w:rPr>
          <w:rFonts w:cs="David" w:hint="cs"/>
          <w:sz w:val="28"/>
          <w:szCs w:val="28"/>
          <w:rtl/>
        </w:rPr>
        <w:t>)</w:t>
      </w:r>
      <w:r w:rsidRPr="00CB22A4">
        <w:rPr>
          <w:rFonts w:cs="David"/>
          <w:sz w:val="28"/>
          <w:szCs w:val="28"/>
          <w:rtl/>
        </w:rPr>
        <w:t>.</w:t>
      </w:r>
      <w:r w:rsidR="00B44DB6" w:rsidRPr="000318BB">
        <w:rPr>
          <w:rFonts w:cs="David"/>
          <w:sz w:val="28"/>
          <w:szCs w:val="28"/>
          <w:rtl/>
        </w:rPr>
        <w:t xml:space="preserve"> </w:t>
      </w:r>
    </w:p>
    <w:p w14:paraId="49A7B861" w14:textId="77777777" w:rsidR="00CB22A4" w:rsidRDefault="00CB22A4" w:rsidP="00276B99">
      <w:pPr>
        <w:ind w:left="1502" w:right="993"/>
        <w:jc w:val="both"/>
        <w:outlineLvl w:val="0"/>
        <w:rPr>
          <w:rFonts w:cs="David"/>
          <w:sz w:val="28"/>
          <w:szCs w:val="28"/>
        </w:rPr>
      </w:pPr>
    </w:p>
    <w:p w14:paraId="4259451F" w14:textId="41EE2FB0" w:rsidR="00B44DB6" w:rsidRDefault="00CB22A4"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ואכן, </w:t>
      </w:r>
      <w:r w:rsidR="00B44DB6" w:rsidRPr="000318BB">
        <w:rPr>
          <w:rFonts w:cs="David"/>
          <w:sz w:val="28"/>
          <w:szCs w:val="28"/>
          <w:rtl/>
        </w:rPr>
        <w:t xml:space="preserve">לצד </w:t>
      </w:r>
      <w:r>
        <w:rPr>
          <w:rFonts w:cs="David" w:hint="cs"/>
          <w:sz w:val="28"/>
          <w:szCs w:val="28"/>
          <w:rtl/>
        </w:rPr>
        <w:t>מדיניות הענישה</w:t>
      </w:r>
      <w:r w:rsidR="003A4AD1">
        <w:rPr>
          <w:rFonts w:cs="David" w:hint="cs"/>
          <w:sz w:val="28"/>
          <w:szCs w:val="28"/>
          <w:rtl/>
        </w:rPr>
        <w:t xml:space="preserve"> הנהוגה</w:t>
      </w:r>
      <w:r w:rsidR="001E09CE" w:rsidRPr="000318BB">
        <w:rPr>
          <w:rFonts w:cs="David" w:hint="cs"/>
          <w:sz w:val="28"/>
          <w:szCs w:val="28"/>
          <w:rtl/>
        </w:rPr>
        <w:t>,</w:t>
      </w:r>
      <w:r w:rsidR="00B44DB6" w:rsidRPr="000318BB">
        <w:rPr>
          <w:rFonts w:cs="David"/>
          <w:sz w:val="28"/>
          <w:szCs w:val="28"/>
          <w:rtl/>
        </w:rPr>
        <w:t xml:space="preserve"> יש לבחון גם את </w:t>
      </w:r>
      <w:r>
        <w:rPr>
          <w:rFonts w:cs="David" w:hint="cs"/>
          <w:sz w:val="28"/>
          <w:szCs w:val="28"/>
          <w:rtl/>
        </w:rPr>
        <w:t xml:space="preserve">מידת אשמו של הנאשם </w:t>
      </w:r>
      <w:r w:rsidR="009655E4">
        <w:rPr>
          <w:rFonts w:cs="David" w:hint="cs"/>
          <w:sz w:val="28"/>
          <w:szCs w:val="28"/>
          <w:rtl/>
        </w:rPr>
        <w:t>-</w:t>
      </w:r>
      <w:r>
        <w:rPr>
          <w:rFonts w:cs="David" w:hint="cs"/>
          <w:sz w:val="28"/>
          <w:szCs w:val="28"/>
          <w:rtl/>
        </w:rPr>
        <w:t xml:space="preserve">את </w:t>
      </w:r>
      <w:r w:rsidR="00B44DB6" w:rsidRPr="000318BB">
        <w:rPr>
          <w:rFonts w:cs="David"/>
          <w:sz w:val="28"/>
          <w:szCs w:val="28"/>
          <w:rtl/>
        </w:rPr>
        <w:t>נסיבות ביצוע העבירה ו</w:t>
      </w:r>
      <w:r>
        <w:rPr>
          <w:rFonts w:cs="David" w:hint="cs"/>
          <w:sz w:val="28"/>
          <w:szCs w:val="28"/>
          <w:rtl/>
        </w:rPr>
        <w:t xml:space="preserve">את היקף </w:t>
      </w:r>
      <w:r w:rsidR="00B44DB6" w:rsidRPr="000318BB">
        <w:rPr>
          <w:rFonts w:cs="David"/>
          <w:sz w:val="28"/>
          <w:szCs w:val="28"/>
          <w:rtl/>
        </w:rPr>
        <w:t xml:space="preserve">הפגיעה בערכים המוגנים. </w:t>
      </w:r>
      <w:r w:rsidR="00801F2D" w:rsidRPr="000318BB">
        <w:rPr>
          <w:rFonts w:cs="David" w:hint="cs"/>
          <w:sz w:val="28"/>
          <w:szCs w:val="28"/>
          <w:rtl/>
        </w:rPr>
        <w:t xml:space="preserve">נסיבות ביצוע העבירות </w:t>
      </w:r>
      <w:r>
        <w:rPr>
          <w:rFonts w:cs="David" w:hint="cs"/>
          <w:sz w:val="28"/>
          <w:szCs w:val="28"/>
          <w:rtl/>
        </w:rPr>
        <w:t xml:space="preserve">במקרה דנן, </w:t>
      </w:r>
      <w:r w:rsidR="00801F2D" w:rsidRPr="000318BB">
        <w:rPr>
          <w:rFonts w:cs="David" w:hint="cs"/>
          <w:sz w:val="28"/>
          <w:szCs w:val="28"/>
          <w:rtl/>
        </w:rPr>
        <w:t>כמפורט לעיל, בראי עומק הפגיעה בערכים המוגנים הכלליים</w:t>
      </w:r>
      <w:r w:rsidR="008F7DA4" w:rsidRPr="000318BB">
        <w:rPr>
          <w:rFonts w:cs="David" w:hint="cs"/>
          <w:sz w:val="28"/>
          <w:szCs w:val="28"/>
          <w:rtl/>
        </w:rPr>
        <w:t xml:space="preserve">, </w:t>
      </w:r>
      <w:r w:rsidR="00801F2D" w:rsidRPr="000318BB">
        <w:rPr>
          <w:rFonts w:cs="David" w:hint="cs"/>
          <w:sz w:val="28"/>
          <w:szCs w:val="28"/>
          <w:rtl/>
        </w:rPr>
        <w:t xml:space="preserve">והיקף הפגיעה בערכים הייחודיים </w:t>
      </w:r>
      <w:r w:rsidR="00B44DB6" w:rsidRPr="000318BB">
        <w:rPr>
          <w:rFonts w:cs="David"/>
          <w:sz w:val="28"/>
          <w:szCs w:val="28"/>
          <w:rtl/>
        </w:rPr>
        <w:t>למ</w:t>
      </w:r>
      <w:r w:rsidR="00801F2D" w:rsidRPr="000318BB">
        <w:rPr>
          <w:rFonts w:cs="David" w:hint="cs"/>
          <w:sz w:val="28"/>
          <w:szCs w:val="28"/>
          <w:rtl/>
        </w:rPr>
        <w:t xml:space="preserve">סגרת </w:t>
      </w:r>
      <w:r w:rsidR="00B44DB6" w:rsidRPr="000318BB">
        <w:rPr>
          <w:rFonts w:cs="David"/>
          <w:sz w:val="28"/>
          <w:szCs w:val="28"/>
          <w:rtl/>
        </w:rPr>
        <w:t>הצבאית</w:t>
      </w:r>
      <w:r w:rsidR="009C2037">
        <w:rPr>
          <w:rFonts w:cs="David" w:hint="cs"/>
          <w:sz w:val="28"/>
          <w:szCs w:val="28"/>
          <w:rtl/>
        </w:rPr>
        <w:t>,</w:t>
      </w:r>
      <w:r w:rsidR="00B44DB6" w:rsidRPr="000318BB">
        <w:rPr>
          <w:rFonts w:cs="David"/>
          <w:sz w:val="28"/>
          <w:szCs w:val="28"/>
          <w:rtl/>
        </w:rPr>
        <w:t xml:space="preserve"> </w:t>
      </w:r>
      <w:r w:rsidR="00801F2D" w:rsidRPr="000318BB">
        <w:rPr>
          <w:rFonts w:cs="David" w:hint="cs"/>
          <w:sz w:val="28"/>
          <w:szCs w:val="28"/>
          <w:rtl/>
        </w:rPr>
        <w:t>מחייב</w:t>
      </w:r>
      <w:r w:rsidR="00133722" w:rsidRPr="000318BB">
        <w:rPr>
          <w:rFonts w:cs="David" w:hint="cs"/>
          <w:sz w:val="28"/>
          <w:szCs w:val="28"/>
          <w:rtl/>
        </w:rPr>
        <w:t xml:space="preserve">ות </w:t>
      </w:r>
      <w:r w:rsidR="00801F2D" w:rsidRPr="000318BB">
        <w:rPr>
          <w:rFonts w:cs="David" w:hint="cs"/>
          <w:sz w:val="28"/>
          <w:szCs w:val="28"/>
          <w:rtl/>
        </w:rPr>
        <w:t xml:space="preserve">לקבוע מתחם עונש הולם </w:t>
      </w:r>
      <w:r w:rsidR="00801F2D" w:rsidRPr="000318BB">
        <w:rPr>
          <w:rFonts w:cs="David" w:hint="eastAsia"/>
          <w:b/>
          <w:bCs/>
          <w:sz w:val="28"/>
          <w:szCs w:val="28"/>
          <w:rtl/>
        </w:rPr>
        <w:t>חמור</w:t>
      </w:r>
      <w:r w:rsidR="00801F2D" w:rsidRPr="000318BB">
        <w:rPr>
          <w:rFonts w:cs="David"/>
          <w:b/>
          <w:bCs/>
          <w:sz w:val="28"/>
          <w:szCs w:val="28"/>
          <w:rtl/>
        </w:rPr>
        <w:t xml:space="preserve"> </w:t>
      </w:r>
      <w:r w:rsidR="00801F2D" w:rsidRPr="000318BB">
        <w:rPr>
          <w:rFonts w:cs="David" w:hint="eastAsia"/>
          <w:b/>
          <w:bCs/>
          <w:sz w:val="28"/>
          <w:szCs w:val="28"/>
          <w:rtl/>
        </w:rPr>
        <w:t>יותר</w:t>
      </w:r>
      <w:r w:rsidR="00801F2D" w:rsidRPr="000318BB">
        <w:rPr>
          <w:rFonts w:cs="David" w:hint="cs"/>
          <w:sz w:val="28"/>
          <w:szCs w:val="28"/>
          <w:rtl/>
        </w:rPr>
        <w:t xml:space="preserve">, גבוה מזה שקבע בית הדין קמא הנכבד. </w:t>
      </w:r>
    </w:p>
    <w:p w14:paraId="75BD859C" w14:textId="0B7F616E" w:rsidR="001C5447" w:rsidRPr="00B44DB6" w:rsidRDefault="001C5447"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 xml:space="preserve">זאת ועוד, מעשיו הנלוזים של </w:t>
      </w:r>
      <w:r w:rsidRPr="00B44DB6">
        <w:rPr>
          <w:rFonts w:cs="David"/>
          <w:sz w:val="28"/>
          <w:szCs w:val="28"/>
          <w:rtl/>
        </w:rPr>
        <w:t>המערער ה</w:t>
      </w:r>
      <w:r>
        <w:rPr>
          <w:rFonts w:cs="David" w:hint="cs"/>
          <w:sz w:val="28"/>
          <w:szCs w:val="28"/>
          <w:rtl/>
        </w:rPr>
        <w:t xml:space="preserve">ם </w:t>
      </w:r>
      <w:r w:rsidRPr="00B44DB6">
        <w:rPr>
          <w:rFonts w:cs="David"/>
          <w:sz w:val="28"/>
          <w:szCs w:val="28"/>
          <w:rtl/>
        </w:rPr>
        <w:t xml:space="preserve">חלק מתופעה </w:t>
      </w:r>
      <w:r>
        <w:rPr>
          <w:rFonts w:cs="David" w:hint="cs"/>
          <w:sz w:val="28"/>
          <w:szCs w:val="28"/>
          <w:rtl/>
        </w:rPr>
        <w:t>מדאיגה, ה</w:t>
      </w:r>
      <w:r w:rsidRPr="00B44DB6">
        <w:rPr>
          <w:rFonts w:cs="David"/>
          <w:sz w:val="28"/>
          <w:szCs w:val="28"/>
          <w:rtl/>
        </w:rPr>
        <w:t xml:space="preserve">הולכת </w:t>
      </w:r>
      <w:r>
        <w:rPr>
          <w:rFonts w:cs="David" w:hint="cs"/>
          <w:sz w:val="28"/>
          <w:szCs w:val="28"/>
          <w:rtl/>
        </w:rPr>
        <w:t xml:space="preserve">ופושה </w:t>
      </w:r>
      <w:r w:rsidRPr="00B44DB6">
        <w:rPr>
          <w:rFonts w:cs="David"/>
          <w:sz w:val="28"/>
          <w:szCs w:val="28"/>
          <w:rtl/>
        </w:rPr>
        <w:t xml:space="preserve">בשנים האחרונות, עם התפתחות הטכנולוגיה, ועניינה </w:t>
      </w:r>
      <w:r w:rsidRPr="00232DBD">
        <w:rPr>
          <w:rFonts w:cs="David"/>
          <w:b/>
          <w:bCs/>
          <w:sz w:val="28"/>
          <w:szCs w:val="28"/>
          <w:rtl/>
        </w:rPr>
        <w:t>ב</w:t>
      </w:r>
      <w:r w:rsidRPr="00232DBD">
        <w:rPr>
          <w:rFonts w:cs="David" w:hint="eastAsia"/>
          <w:b/>
          <w:bCs/>
          <w:sz w:val="28"/>
          <w:szCs w:val="28"/>
          <w:rtl/>
        </w:rPr>
        <w:t>עבריינות</w:t>
      </w:r>
      <w:r w:rsidRPr="00232DBD">
        <w:rPr>
          <w:rFonts w:cs="David"/>
          <w:b/>
          <w:bCs/>
          <w:sz w:val="28"/>
          <w:szCs w:val="28"/>
          <w:rtl/>
        </w:rPr>
        <w:t xml:space="preserve"> מין </w:t>
      </w:r>
      <w:r w:rsidRPr="00232DBD">
        <w:rPr>
          <w:rFonts w:cs="David" w:hint="eastAsia"/>
          <w:b/>
          <w:bCs/>
          <w:sz w:val="28"/>
          <w:szCs w:val="28"/>
          <w:rtl/>
        </w:rPr>
        <w:t>מרחוק</w:t>
      </w:r>
      <w:r>
        <w:rPr>
          <w:rFonts w:cs="David" w:hint="cs"/>
          <w:sz w:val="28"/>
          <w:szCs w:val="28"/>
          <w:rtl/>
        </w:rPr>
        <w:t xml:space="preserve">, בדרך של שימוש בתוצרי צילום ממצלמות, או בדרך של היוועדות מרחוק, ובחסות האנונימות והקלות הבלתי נסבלת של הפצת חומרים פוגעניים במרשתת. ראוי להדגיש, כפי שהוטעם </w:t>
      </w:r>
      <w:r w:rsidRPr="00B44DB6">
        <w:rPr>
          <w:rFonts w:cs="David"/>
          <w:sz w:val="28"/>
          <w:szCs w:val="28"/>
          <w:rtl/>
        </w:rPr>
        <w:t xml:space="preserve">אך לאחרונה בע"פ 4537/20 </w:t>
      </w:r>
      <w:r w:rsidRPr="00232DBD">
        <w:rPr>
          <w:rFonts w:cs="David"/>
          <w:b/>
          <w:bCs/>
          <w:sz w:val="28"/>
          <w:szCs w:val="28"/>
          <w:rtl/>
        </w:rPr>
        <w:t>הללי נ' מדינת ישראל</w:t>
      </w:r>
      <w:r w:rsidRPr="00B44DB6">
        <w:rPr>
          <w:rFonts w:cs="David"/>
          <w:sz w:val="28"/>
          <w:szCs w:val="28"/>
          <w:rtl/>
        </w:rPr>
        <w:t xml:space="preserve"> (</w:t>
      </w:r>
      <w:r w:rsidR="0035073D">
        <w:rPr>
          <w:rFonts w:cs="David" w:hint="cs"/>
          <w:sz w:val="28"/>
          <w:szCs w:val="28"/>
          <w:rtl/>
        </w:rPr>
        <w:t xml:space="preserve">לא פורסם, </w:t>
      </w:r>
      <w:r>
        <w:rPr>
          <w:rFonts w:cs="David" w:hint="cs"/>
          <w:sz w:val="28"/>
          <w:szCs w:val="28"/>
          <w:rtl/>
        </w:rPr>
        <w:t>14.9.2021</w:t>
      </w:r>
      <w:r w:rsidRPr="00B44DB6">
        <w:rPr>
          <w:rFonts w:cs="David"/>
          <w:sz w:val="28"/>
          <w:szCs w:val="28"/>
          <w:rtl/>
        </w:rPr>
        <w:t xml:space="preserve">), כי: </w:t>
      </w:r>
    </w:p>
    <w:p w14:paraId="02BB993A" w14:textId="77777777" w:rsidR="001C5447" w:rsidRPr="00B44DB6" w:rsidRDefault="001C5447" w:rsidP="009655E4">
      <w:pPr>
        <w:ind w:left="1502" w:right="993"/>
        <w:jc w:val="both"/>
        <w:outlineLvl w:val="0"/>
        <w:rPr>
          <w:rFonts w:cs="David"/>
          <w:sz w:val="28"/>
          <w:szCs w:val="28"/>
          <w:rtl/>
        </w:rPr>
      </w:pPr>
      <w:r w:rsidRPr="00B44DB6">
        <w:rPr>
          <w:rFonts w:cs="David"/>
          <w:sz w:val="28"/>
          <w:szCs w:val="28"/>
          <w:rtl/>
        </w:rPr>
        <w:lastRenderedPageBreak/>
        <w:t xml:space="preserve">"על אף מאפייניהן השונים של עבירות מין ברשת ביחס לעבירות המבוצעות במרחב הפיזי, שבהן הפוגע והקורבן נמצאים בדרך כלל במרחב פיזי אחד, אין מקום להקל ראש בחומרתן של עבירות מין המבוצעות במרחב המקוון. </w:t>
      </w:r>
      <w:r w:rsidRPr="00232DBD">
        <w:rPr>
          <w:rFonts w:cs="David"/>
          <w:b/>
          <w:bCs/>
          <w:sz w:val="28"/>
          <w:szCs w:val="28"/>
          <w:rtl/>
        </w:rPr>
        <w:t>עבירות מין ברשת עלולות להביא לפגיעה נפשית ופיזית בנפגעי העבירה, בעוצמה ובהיקף שאינם פחותים מן הפגיעה בקורבנותיהן של עבירות מין המבוצעות במרחב הפיזי</w:t>
      </w:r>
      <w:r w:rsidRPr="00B44DB6">
        <w:rPr>
          <w:rFonts w:cs="David"/>
          <w:sz w:val="28"/>
          <w:szCs w:val="28"/>
          <w:rtl/>
        </w:rPr>
        <w:t xml:space="preserve">... יתר על כן, וזאת בשונה מעבירות מין המבוצעות במרחב שאינו וירטואלי, עבירות מקוונות מבוצעות לרוב בביתם של הנפגעים, ופעמים אף בחדרם </w:t>
      </w:r>
      <w:r w:rsidR="009655E4">
        <w:rPr>
          <w:rFonts w:cs="David" w:hint="cs"/>
          <w:sz w:val="28"/>
          <w:szCs w:val="28"/>
          <w:rtl/>
        </w:rPr>
        <w:t>-</w:t>
      </w:r>
      <w:r w:rsidRPr="00B44DB6">
        <w:rPr>
          <w:rFonts w:cs="David"/>
          <w:sz w:val="28"/>
          <w:szCs w:val="28"/>
          <w:rtl/>
        </w:rPr>
        <w:t xml:space="preserve"> היינו, במרחב שבו הם אמורים להיות מוגנים מכול" (פסקה 3 לפסק דינה של השופטת וילנר, ההדגשה אינה במקור). </w:t>
      </w:r>
    </w:p>
    <w:p w14:paraId="71F1FABE" w14:textId="77777777" w:rsidR="001C5447" w:rsidRPr="00B44DB6" w:rsidRDefault="001C5447" w:rsidP="001C5447">
      <w:pPr>
        <w:spacing w:line="360" w:lineRule="auto"/>
        <w:outlineLvl w:val="0"/>
        <w:rPr>
          <w:rFonts w:cs="David"/>
          <w:sz w:val="28"/>
          <w:szCs w:val="28"/>
          <w:rtl/>
        </w:rPr>
      </w:pPr>
    </w:p>
    <w:p w14:paraId="6B2D3F76" w14:textId="7F3805AE" w:rsidR="005B3BCC" w:rsidRDefault="001C5447" w:rsidP="001A563F">
      <w:pPr>
        <w:numPr>
          <w:ilvl w:val="0"/>
          <w:numId w:val="5"/>
        </w:numPr>
        <w:tabs>
          <w:tab w:val="left" w:pos="282"/>
        </w:tabs>
        <w:spacing w:line="360" w:lineRule="auto"/>
        <w:ind w:left="-1" w:firstLine="0"/>
        <w:jc w:val="both"/>
        <w:rPr>
          <w:rFonts w:cs="David"/>
          <w:sz w:val="28"/>
          <w:szCs w:val="28"/>
        </w:rPr>
      </w:pPr>
      <w:r w:rsidRPr="000350E6">
        <w:rPr>
          <w:rFonts w:cs="David"/>
          <w:sz w:val="28"/>
          <w:szCs w:val="28"/>
          <w:rtl/>
        </w:rPr>
        <w:t xml:space="preserve">נוכח </w:t>
      </w:r>
      <w:r w:rsidRPr="000350E6">
        <w:rPr>
          <w:rFonts w:cs="David" w:hint="cs"/>
          <w:sz w:val="28"/>
          <w:szCs w:val="28"/>
          <w:rtl/>
        </w:rPr>
        <w:t>השלכותיה החמורות של תופעת ה</w:t>
      </w:r>
      <w:r w:rsidRPr="000350E6">
        <w:rPr>
          <w:rFonts w:cs="David"/>
          <w:sz w:val="28"/>
          <w:szCs w:val="28"/>
          <w:rtl/>
        </w:rPr>
        <w:t xml:space="preserve">עבריינות </w:t>
      </w:r>
      <w:r w:rsidRPr="000350E6">
        <w:rPr>
          <w:rFonts w:cs="David" w:hint="cs"/>
          <w:sz w:val="28"/>
          <w:szCs w:val="28"/>
          <w:rtl/>
        </w:rPr>
        <w:t>המינית "מרחוק", קלות הביצוע של העבירות ומימדיה ההולכים וגדלים של התופעה, קיימת מ</w:t>
      </w:r>
      <w:r w:rsidRPr="000350E6">
        <w:rPr>
          <w:rFonts w:cs="David"/>
          <w:sz w:val="28"/>
          <w:szCs w:val="28"/>
          <w:rtl/>
        </w:rPr>
        <w:t>גמ</w:t>
      </w:r>
      <w:r w:rsidRPr="000350E6">
        <w:rPr>
          <w:rFonts w:cs="David" w:hint="cs"/>
          <w:sz w:val="28"/>
          <w:szCs w:val="28"/>
          <w:rtl/>
        </w:rPr>
        <w:t>ה בפסיקה להחמיר</w:t>
      </w:r>
      <w:r w:rsidR="009655E4">
        <w:rPr>
          <w:rFonts w:cs="David" w:hint="cs"/>
          <w:sz w:val="28"/>
          <w:szCs w:val="28"/>
          <w:rtl/>
        </w:rPr>
        <w:t xml:space="preserve"> </w:t>
      </w:r>
      <w:r w:rsidRPr="000350E6">
        <w:rPr>
          <w:rFonts w:cs="David" w:hint="cs"/>
          <w:sz w:val="28"/>
          <w:szCs w:val="28"/>
          <w:rtl/>
        </w:rPr>
        <w:t>בענישה במקרים אלו (ראו:</w:t>
      </w:r>
      <w:r w:rsidR="009655E4">
        <w:rPr>
          <w:rFonts w:cs="David" w:hint="cs"/>
          <w:sz w:val="28"/>
          <w:szCs w:val="28"/>
          <w:rtl/>
        </w:rPr>
        <w:t xml:space="preserve"> </w:t>
      </w:r>
      <w:r w:rsidR="00634C13" w:rsidRPr="00634C13">
        <w:rPr>
          <w:rFonts w:cs="David"/>
          <w:sz w:val="28"/>
          <w:szCs w:val="28"/>
          <w:rtl/>
        </w:rPr>
        <w:t xml:space="preserve">רע"פ 4593/20 </w:t>
      </w:r>
      <w:r w:rsidR="00634C13" w:rsidRPr="00634C13">
        <w:rPr>
          <w:rFonts w:cs="David"/>
          <w:b/>
          <w:bCs/>
          <w:sz w:val="28"/>
          <w:szCs w:val="28"/>
          <w:rtl/>
        </w:rPr>
        <w:t>פלוני נ' מדינת ישראל</w:t>
      </w:r>
      <w:r w:rsidR="00634C13" w:rsidRPr="00634C13">
        <w:rPr>
          <w:rFonts w:cs="David"/>
          <w:sz w:val="28"/>
          <w:szCs w:val="28"/>
          <w:rtl/>
        </w:rPr>
        <w:t>, פסקה 9 (</w:t>
      </w:r>
      <w:r w:rsidR="0035073D">
        <w:rPr>
          <w:rFonts w:cs="David" w:hint="cs"/>
          <w:sz w:val="28"/>
          <w:szCs w:val="28"/>
          <w:rtl/>
        </w:rPr>
        <w:t xml:space="preserve">לא פורסם, </w:t>
      </w:r>
      <w:r w:rsidR="00634C13" w:rsidRPr="00634C13">
        <w:rPr>
          <w:rFonts w:cs="David" w:hint="cs"/>
          <w:sz w:val="28"/>
          <w:szCs w:val="28"/>
          <w:rtl/>
        </w:rPr>
        <w:t>15.7.2020</w:t>
      </w:r>
      <w:r w:rsidR="00634C13" w:rsidRPr="00634C13">
        <w:rPr>
          <w:rFonts w:cs="David"/>
          <w:sz w:val="28"/>
          <w:szCs w:val="28"/>
          <w:rtl/>
        </w:rPr>
        <w:t>)</w:t>
      </w:r>
      <w:r w:rsidR="009655E4">
        <w:rPr>
          <w:rFonts w:cs="David" w:hint="cs"/>
          <w:sz w:val="28"/>
          <w:szCs w:val="28"/>
          <w:rtl/>
        </w:rPr>
        <w:t>;</w:t>
      </w:r>
      <w:r w:rsidRPr="000350E6">
        <w:rPr>
          <w:rFonts w:cs="David"/>
          <w:sz w:val="28"/>
          <w:szCs w:val="28"/>
          <w:rtl/>
        </w:rPr>
        <w:t xml:space="preserve">ע"פ 4629/19 </w:t>
      </w:r>
      <w:r w:rsidRPr="000350E6">
        <w:rPr>
          <w:rFonts w:cs="David"/>
          <w:b/>
          <w:bCs/>
          <w:sz w:val="28"/>
          <w:szCs w:val="28"/>
          <w:rtl/>
        </w:rPr>
        <w:t>פלוני נ' מדינת ישראל</w:t>
      </w:r>
      <w:r w:rsidRPr="000350E6">
        <w:rPr>
          <w:rFonts w:cs="David"/>
          <w:sz w:val="28"/>
          <w:szCs w:val="28"/>
          <w:rtl/>
        </w:rPr>
        <w:t xml:space="preserve"> (</w:t>
      </w:r>
      <w:r w:rsidR="0035073D">
        <w:rPr>
          <w:rFonts w:cs="David" w:hint="cs"/>
          <w:sz w:val="28"/>
          <w:szCs w:val="28"/>
          <w:rtl/>
        </w:rPr>
        <w:t xml:space="preserve">לא פורסם, </w:t>
      </w:r>
      <w:r w:rsidRPr="000350E6">
        <w:rPr>
          <w:rFonts w:cs="David" w:hint="cs"/>
          <w:sz w:val="28"/>
          <w:szCs w:val="28"/>
          <w:rtl/>
        </w:rPr>
        <w:t>19.11.2020</w:t>
      </w:r>
      <w:r w:rsidRPr="000350E6">
        <w:rPr>
          <w:rFonts w:cs="David"/>
          <w:sz w:val="28"/>
          <w:szCs w:val="28"/>
          <w:rtl/>
        </w:rPr>
        <w:t>)</w:t>
      </w:r>
      <w:r w:rsidRPr="000350E6">
        <w:rPr>
          <w:rFonts w:cs="David" w:hint="cs"/>
          <w:sz w:val="28"/>
          <w:szCs w:val="28"/>
          <w:rtl/>
        </w:rPr>
        <w:t xml:space="preserve">; </w:t>
      </w:r>
      <w:r w:rsidRPr="000350E6">
        <w:rPr>
          <w:rFonts w:cs="David"/>
          <w:sz w:val="28"/>
          <w:szCs w:val="28"/>
          <w:rtl/>
        </w:rPr>
        <w:t xml:space="preserve">ע/45/19 </w:t>
      </w:r>
      <w:r w:rsidRPr="000350E6">
        <w:rPr>
          <w:rFonts w:cs="David"/>
          <w:b/>
          <w:bCs/>
          <w:sz w:val="28"/>
          <w:szCs w:val="28"/>
          <w:rtl/>
        </w:rPr>
        <w:t>כ</w:t>
      </w:r>
      <w:r w:rsidRPr="000350E6">
        <w:rPr>
          <w:rFonts w:cs="David" w:hint="eastAsia"/>
          <w:b/>
          <w:bCs/>
          <w:sz w:val="28"/>
          <w:szCs w:val="28"/>
          <w:rtl/>
        </w:rPr>
        <w:t>ו</w:t>
      </w:r>
      <w:r w:rsidRPr="000350E6">
        <w:rPr>
          <w:rFonts w:cs="David"/>
          <w:b/>
          <w:bCs/>
          <w:sz w:val="28"/>
          <w:szCs w:val="28"/>
          <w:rtl/>
        </w:rPr>
        <w:t>הניאן נ' התובע הצבאי הראשי</w:t>
      </w:r>
      <w:r w:rsidRPr="000350E6">
        <w:rPr>
          <w:rFonts w:cs="David" w:hint="cs"/>
          <w:sz w:val="28"/>
          <w:szCs w:val="28"/>
          <w:rtl/>
        </w:rPr>
        <w:t xml:space="preserve">, </w:t>
      </w:r>
      <w:r w:rsidRPr="000350E6">
        <w:rPr>
          <w:rFonts w:cs="David"/>
          <w:sz w:val="28"/>
          <w:szCs w:val="28"/>
          <w:rtl/>
        </w:rPr>
        <w:t>פסקה 18 (2019)</w:t>
      </w:r>
      <w:r w:rsidRPr="000350E6">
        <w:rPr>
          <w:rFonts w:cs="David" w:hint="cs"/>
          <w:sz w:val="28"/>
          <w:szCs w:val="28"/>
          <w:rtl/>
        </w:rPr>
        <w:t xml:space="preserve">; ע/2/21 </w:t>
      </w:r>
      <w:r w:rsidRPr="000350E6">
        <w:rPr>
          <w:rFonts w:cs="David" w:hint="cs"/>
          <w:b/>
          <w:bCs/>
          <w:sz w:val="28"/>
          <w:szCs w:val="28"/>
          <w:rtl/>
        </w:rPr>
        <w:t>רב"ט כברה נ' התובע הצבאי הראשי</w:t>
      </w:r>
      <w:r w:rsidRPr="000350E6">
        <w:rPr>
          <w:rFonts w:cs="David" w:hint="cs"/>
          <w:sz w:val="28"/>
          <w:szCs w:val="28"/>
          <w:rtl/>
        </w:rPr>
        <w:t xml:space="preserve"> (2021)). ודוק: אף אם העבירות בענייננו בוצעו במרחב הפיזי, שעניינו הנחת מכתב וסרטון במשרדה של הנפגעת - הרי </w:t>
      </w:r>
      <w:r w:rsidRPr="00CC07CA">
        <w:rPr>
          <w:rFonts w:cs="David" w:hint="cs"/>
          <w:b/>
          <w:bCs/>
          <w:sz w:val="28"/>
          <w:szCs w:val="28"/>
          <w:rtl/>
        </w:rPr>
        <w:t>מהותו של האיום הייתה במרחב הווירטואלי</w:t>
      </w:r>
      <w:r w:rsidRPr="000350E6">
        <w:rPr>
          <w:rFonts w:cs="David" w:hint="cs"/>
          <w:sz w:val="28"/>
          <w:szCs w:val="28"/>
          <w:rtl/>
        </w:rPr>
        <w:t xml:space="preserve">, על חומרת השלכותיו. לא לחינם, </w:t>
      </w:r>
      <w:r>
        <w:rPr>
          <w:rFonts w:cs="David" w:hint="cs"/>
          <w:sz w:val="28"/>
          <w:szCs w:val="28"/>
          <w:rtl/>
        </w:rPr>
        <w:t>הדגיש</w:t>
      </w:r>
      <w:r w:rsidRPr="002C1FAB">
        <w:rPr>
          <w:rFonts w:cs="David" w:hint="cs"/>
          <w:sz w:val="28"/>
          <w:szCs w:val="28"/>
          <w:rtl/>
        </w:rPr>
        <w:t xml:space="preserve"> </w:t>
      </w:r>
      <w:r w:rsidRPr="00CC07CA">
        <w:rPr>
          <w:rFonts w:cs="David" w:hint="cs"/>
          <w:sz w:val="28"/>
          <w:szCs w:val="28"/>
          <w:rtl/>
        </w:rPr>
        <w:t>בית המשפט העליון, לגבי עבירות במרחב הווירטואלי, כי "לאור</w:t>
      </w:r>
      <w:r w:rsidRPr="00CC07CA">
        <w:rPr>
          <w:rFonts w:cs="David"/>
          <w:sz w:val="28"/>
          <w:szCs w:val="28"/>
          <w:rtl/>
        </w:rPr>
        <w:t xml:space="preserve"> </w:t>
      </w:r>
      <w:r w:rsidRPr="00CC07CA">
        <w:rPr>
          <w:rFonts w:cs="David" w:hint="cs"/>
          <w:sz w:val="28"/>
          <w:szCs w:val="28"/>
          <w:rtl/>
        </w:rPr>
        <w:t>הפגיעה</w:t>
      </w:r>
      <w:r w:rsidRPr="00CC07CA">
        <w:rPr>
          <w:rFonts w:cs="David"/>
          <w:sz w:val="28"/>
          <w:szCs w:val="28"/>
          <w:rtl/>
        </w:rPr>
        <w:t xml:space="preserve"> </w:t>
      </w:r>
      <w:r w:rsidRPr="00CC07CA">
        <w:rPr>
          <w:rFonts w:cs="David" w:hint="cs"/>
          <w:sz w:val="28"/>
          <w:szCs w:val="28"/>
          <w:rtl/>
        </w:rPr>
        <w:t>הקשה</w:t>
      </w:r>
      <w:r w:rsidRPr="00CC07CA">
        <w:rPr>
          <w:rFonts w:cs="David"/>
          <w:sz w:val="28"/>
          <w:szCs w:val="28"/>
          <w:rtl/>
        </w:rPr>
        <w:t xml:space="preserve"> </w:t>
      </w:r>
      <w:r w:rsidRPr="00CC07CA">
        <w:rPr>
          <w:rFonts w:cs="David" w:hint="cs"/>
          <w:sz w:val="28"/>
          <w:szCs w:val="28"/>
          <w:rtl/>
        </w:rPr>
        <w:t>בקורבן</w:t>
      </w:r>
      <w:r w:rsidRPr="00CC07CA">
        <w:rPr>
          <w:rFonts w:cs="David"/>
          <w:sz w:val="28"/>
          <w:szCs w:val="28"/>
          <w:rtl/>
        </w:rPr>
        <w:t xml:space="preserve"> </w:t>
      </w:r>
      <w:r w:rsidRPr="00CC07CA">
        <w:rPr>
          <w:rFonts w:cs="David" w:hint="cs"/>
          <w:sz w:val="28"/>
          <w:szCs w:val="28"/>
          <w:rtl/>
        </w:rPr>
        <w:t>הנלווית</w:t>
      </w:r>
      <w:r w:rsidRPr="00CC07CA">
        <w:rPr>
          <w:rFonts w:cs="David"/>
          <w:sz w:val="28"/>
          <w:szCs w:val="28"/>
          <w:rtl/>
        </w:rPr>
        <w:t xml:space="preserve"> </w:t>
      </w:r>
      <w:r w:rsidRPr="00CC07CA">
        <w:rPr>
          <w:rFonts w:cs="David" w:hint="cs"/>
          <w:sz w:val="28"/>
          <w:szCs w:val="28"/>
          <w:rtl/>
        </w:rPr>
        <w:t>לביצוע</w:t>
      </w:r>
      <w:r w:rsidRPr="00CC07CA">
        <w:rPr>
          <w:rFonts w:cs="David"/>
          <w:sz w:val="28"/>
          <w:szCs w:val="28"/>
          <w:rtl/>
        </w:rPr>
        <w:t xml:space="preserve"> </w:t>
      </w:r>
      <w:r w:rsidRPr="00CC07CA">
        <w:rPr>
          <w:rFonts w:cs="David" w:hint="cs"/>
          <w:sz w:val="28"/>
          <w:szCs w:val="28"/>
          <w:rtl/>
        </w:rPr>
        <w:t>העבירה</w:t>
      </w:r>
      <w:r w:rsidRPr="00CC07CA">
        <w:rPr>
          <w:rFonts w:cs="David"/>
          <w:sz w:val="28"/>
          <w:szCs w:val="28"/>
          <w:rtl/>
        </w:rPr>
        <w:t xml:space="preserve">, </w:t>
      </w:r>
      <w:r w:rsidRPr="00CC07CA">
        <w:rPr>
          <w:rFonts w:cs="David" w:hint="cs"/>
          <w:sz w:val="28"/>
          <w:szCs w:val="28"/>
          <w:rtl/>
        </w:rPr>
        <w:t>ובשים</w:t>
      </w:r>
      <w:r w:rsidRPr="00CC07CA">
        <w:rPr>
          <w:rFonts w:cs="David"/>
          <w:sz w:val="28"/>
          <w:szCs w:val="28"/>
          <w:rtl/>
        </w:rPr>
        <w:t xml:space="preserve"> </w:t>
      </w:r>
      <w:r w:rsidRPr="00CC07CA">
        <w:rPr>
          <w:rFonts w:cs="David" w:hint="cs"/>
          <w:sz w:val="28"/>
          <w:szCs w:val="28"/>
          <w:rtl/>
        </w:rPr>
        <w:t>לב</w:t>
      </w:r>
      <w:r w:rsidRPr="00CC07CA">
        <w:rPr>
          <w:rFonts w:cs="David"/>
          <w:sz w:val="28"/>
          <w:szCs w:val="28"/>
          <w:rtl/>
        </w:rPr>
        <w:t xml:space="preserve"> </w:t>
      </w:r>
      <w:r w:rsidRPr="00CC07CA">
        <w:rPr>
          <w:rFonts w:cs="David" w:hint="cs"/>
          <w:sz w:val="28"/>
          <w:szCs w:val="28"/>
          <w:rtl/>
        </w:rPr>
        <w:t>לכך</w:t>
      </w:r>
      <w:r w:rsidRPr="00CC07CA">
        <w:rPr>
          <w:rFonts w:cs="David"/>
          <w:sz w:val="28"/>
          <w:szCs w:val="28"/>
          <w:rtl/>
        </w:rPr>
        <w:t xml:space="preserve"> </w:t>
      </w:r>
      <w:r w:rsidRPr="00CC07CA">
        <w:rPr>
          <w:rFonts w:cs="David" w:hint="cs"/>
          <w:sz w:val="28"/>
          <w:szCs w:val="28"/>
          <w:rtl/>
        </w:rPr>
        <w:t>שלא</w:t>
      </w:r>
      <w:r w:rsidRPr="00CC07CA">
        <w:rPr>
          <w:rFonts w:cs="David"/>
          <w:sz w:val="28"/>
          <w:szCs w:val="28"/>
          <w:rtl/>
        </w:rPr>
        <w:t xml:space="preserve"> </w:t>
      </w:r>
      <w:r w:rsidRPr="00CC07CA">
        <w:rPr>
          <w:rFonts w:cs="David" w:hint="cs"/>
          <w:sz w:val="28"/>
          <w:szCs w:val="28"/>
          <w:rtl/>
        </w:rPr>
        <w:t>פעם</w:t>
      </w:r>
      <w:r w:rsidRPr="00CC07CA">
        <w:rPr>
          <w:rFonts w:cs="David"/>
          <w:sz w:val="28"/>
          <w:szCs w:val="28"/>
          <w:rtl/>
        </w:rPr>
        <w:t xml:space="preserve"> </w:t>
      </w:r>
      <w:r w:rsidRPr="00CC07CA">
        <w:rPr>
          <w:rFonts w:cs="David" w:hint="cs"/>
          <w:sz w:val="28"/>
          <w:szCs w:val="28"/>
          <w:rtl/>
        </w:rPr>
        <w:t>האפשרות</w:t>
      </w:r>
      <w:r w:rsidRPr="00CC07CA">
        <w:rPr>
          <w:rFonts w:cs="David"/>
          <w:sz w:val="28"/>
          <w:szCs w:val="28"/>
          <w:rtl/>
        </w:rPr>
        <w:t xml:space="preserve"> </w:t>
      </w:r>
      <w:r w:rsidRPr="00CC07CA">
        <w:rPr>
          <w:rFonts w:cs="David" w:hint="cs"/>
          <w:sz w:val="28"/>
          <w:szCs w:val="28"/>
          <w:rtl/>
        </w:rPr>
        <w:t>לאתר</w:t>
      </w:r>
      <w:r w:rsidRPr="00CC07CA">
        <w:rPr>
          <w:rFonts w:cs="David"/>
          <w:sz w:val="28"/>
          <w:szCs w:val="28"/>
          <w:rtl/>
        </w:rPr>
        <w:t xml:space="preserve"> </w:t>
      </w:r>
      <w:r w:rsidRPr="00CC07CA">
        <w:rPr>
          <w:rFonts w:cs="David" w:hint="cs"/>
          <w:sz w:val="28"/>
          <w:szCs w:val="28"/>
          <w:rtl/>
        </w:rPr>
        <w:t>את</w:t>
      </w:r>
      <w:r w:rsidRPr="00CC07CA">
        <w:rPr>
          <w:rFonts w:cs="David"/>
          <w:sz w:val="28"/>
          <w:szCs w:val="28"/>
          <w:rtl/>
        </w:rPr>
        <w:t xml:space="preserve"> </w:t>
      </w:r>
      <w:r w:rsidRPr="00CC07CA">
        <w:rPr>
          <w:rFonts w:cs="David" w:hint="cs"/>
          <w:sz w:val="28"/>
          <w:szCs w:val="28"/>
          <w:rtl/>
        </w:rPr>
        <w:t>העבריין</w:t>
      </w:r>
      <w:r w:rsidRPr="00CC07CA">
        <w:rPr>
          <w:rFonts w:cs="David"/>
          <w:sz w:val="28"/>
          <w:szCs w:val="28"/>
          <w:rtl/>
        </w:rPr>
        <w:t xml:space="preserve"> </w:t>
      </w:r>
      <w:r w:rsidRPr="00CC07CA">
        <w:rPr>
          <w:rFonts w:cs="David" w:hint="cs"/>
          <w:sz w:val="28"/>
          <w:szCs w:val="28"/>
          <w:rtl/>
        </w:rPr>
        <w:t>מוגבלת</w:t>
      </w:r>
      <w:r w:rsidRPr="00CC07CA">
        <w:rPr>
          <w:rFonts w:cs="David"/>
          <w:sz w:val="28"/>
          <w:szCs w:val="28"/>
          <w:rtl/>
        </w:rPr>
        <w:t xml:space="preserve"> </w:t>
      </w:r>
      <w:r w:rsidRPr="00CC07CA">
        <w:rPr>
          <w:rFonts w:cs="David" w:hint="cs"/>
          <w:sz w:val="28"/>
          <w:szCs w:val="28"/>
          <w:rtl/>
        </w:rPr>
        <w:t>ביותר</w:t>
      </w:r>
      <w:r w:rsidRPr="00CC07CA">
        <w:rPr>
          <w:rFonts w:cs="David"/>
          <w:sz w:val="28"/>
          <w:szCs w:val="28"/>
          <w:rtl/>
        </w:rPr>
        <w:t xml:space="preserve">, </w:t>
      </w:r>
      <w:r w:rsidRPr="00CC07CA">
        <w:rPr>
          <w:rFonts w:cs="David" w:hint="cs"/>
          <w:sz w:val="28"/>
          <w:szCs w:val="28"/>
          <w:rtl/>
        </w:rPr>
        <w:t>נחוצה</w:t>
      </w:r>
      <w:r w:rsidRPr="00CC07CA">
        <w:rPr>
          <w:rFonts w:cs="David"/>
          <w:sz w:val="28"/>
          <w:szCs w:val="28"/>
          <w:rtl/>
        </w:rPr>
        <w:t xml:space="preserve"> </w:t>
      </w:r>
      <w:r w:rsidRPr="00CC07CA">
        <w:rPr>
          <w:rFonts w:cs="David" w:hint="cs"/>
          <w:sz w:val="28"/>
          <w:szCs w:val="28"/>
          <w:rtl/>
        </w:rPr>
        <w:t>לגישתי</w:t>
      </w:r>
      <w:r w:rsidRPr="00CC07CA">
        <w:rPr>
          <w:rFonts w:cs="David"/>
          <w:sz w:val="28"/>
          <w:szCs w:val="28"/>
          <w:rtl/>
        </w:rPr>
        <w:t xml:space="preserve"> </w:t>
      </w:r>
      <w:r w:rsidRPr="00CC07CA">
        <w:rPr>
          <w:rFonts w:cs="David" w:hint="cs"/>
          <w:sz w:val="28"/>
          <w:szCs w:val="28"/>
          <w:rtl/>
        </w:rPr>
        <w:t>מדיניות</w:t>
      </w:r>
      <w:r w:rsidRPr="00CC07CA">
        <w:rPr>
          <w:rFonts w:cs="David"/>
          <w:sz w:val="28"/>
          <w:szCs w:val="28"/>
          <w:rtl/>
        </w:rPr>
        <w:t xml:space="preserve"> </w:t>
      </w:r>
      <w:r w:rsidRPr="00CC07CA">
        <w:rPr>
          <w:rFonts w:cs="David" w:hint="cs"/>
          <w:sz w:val="28"/>
          <w:szCs w:val="28"/>
          <w:rtl/>
        </w:rPr>
        <w:t>ענישה</w:t>
      </w:r>
      <w:r w:rsidRPr="00CC07CA">
        <w:rPr>
          <w:rFonts w:cs="David"/>
          <w:sz w:val="28"/>
          <w:szCs w:val="28"/>
          <w:rtl/>
        </w:rPr>
        <w:t xml:space="preserve"> </w:t>
      </w:r>
      <w:r w:rsidRPr="00CC07CA">
        <w:rPr>
          <w:rFonts w:cs="David" w:hint="cs"/>
          <w:sz w:val="28"/>
          <w:szCs w:val="28"/>
          <w:rtl/>
        </w:rPr>
        <w:t>מחמירה</w:t>
      </w:r>
      <w:r w:rsidRPr="00CC07CA">
        <w:rPr>
          <w:rFonts w:cs="David"/>
          <w:sz w:val="28"/>
          <w:szCs w:val="28"/>
          <w:rtl/>
        </w:rPr>
        <w:t xml:space="preserve"> </w:t>
      </w:r>
      <w:r w:rsidRPr="00CC07CA">
        <w:rPr>
          <w:rFonts w:cs="David" w:hint="cs"/>
          <w:sz w:val="28"/>
          <w:szCs w:val="28"/>
          <w:rtl/>
        </w:rPr>
        <w:t>אשר</w:t>
      </w:r>
      <w:r w:rsidRPr="00CC07CA">
        <w:rPr>
          <w:rFonts w:cs="David"/>
          <w:sz w:val="28"/>
          <w:szCs w:val="28"/>
          <w:rtl/>
        </w:rPr>
        <w:t xml:space="preserve"> </w:t>
      </w:r>
      <w:r w:rsidRPr="00CC07CA">
        <w:rPr>
          <w:rFonts w:cs="David" w:hint="cs"/>
          <w:sz w:val="28"/>
          <w:szCs w:val="28"/>
          <w:rtl/>
        </w:rPr>
        <w:t>תרתיע</w:t>
      </w:r>
      <w:r w:rsidRPr="00CC07CA">
        <w:rPr>
          <w:rFonts w:cs="David"/>
          <w:sz w:val="28"/>
          <w:szCs w:val="28"/>
          <w:rtl/>
        </w:rPr>
        <w:t xml:space="preserve"> </w:t>
      </w:r>
      <w:r w:rsidRPr="00CC07CA">
        <w:rPr>
          <w:rFonts w:cs="David" w:hint="cs"/>
          <w:sz w:val="28"/>
          <w:szCs w:val="28"/>
          <w:rtl/>
        </w:rPr>
        <w:t>עבריינים</w:t>
      </w:r>
      <w:r w:rsidRPr="00CC07CA">
        <w:rPr>
          <w:rFonts w:cs="David"/>
          <w:sz w:val="28"/>
          <w:szCs w:val="28"/>
          <w:rtl/>
        </w:rPr>
        <w:t xml:space="preserve"> </w:t>
      </w:r>
      <w:r w:rsidRPr="00CC07CA">
        <w:rPr>
          <w:rFonts w:cs="David" w:hint="cs"/>
          <w:sz w:val="28"/>
          <w:szCs w:val="28"/>
          <w:rtl/>
        </w:rPr>
        <w:t>פוטנציאליים</w:t>
      </w:r>
      <w:r w:rsidRPr="00CC07CA">
        <w:rPr>
          <w:rFonts w:cs="David"/>
          <w:sz w:val="28"/>
          <w:szCs w:val="28"/>
          <w:rtl/>
        </w:rPr>
        <w:t xml:space="preserve"> </w:t>
      </w:r>
      <w:r w:rsidRPr="00CC07CA">
        <w:rPr>
          <w:rFonts w:cs="David" w:hint="cs"/>
          <w:sz w:val="28"/>
          <w:szCs w:val="28"/>
          <w:rtl/>
        </w:rPr>
        <w:t>מלבצע</w:t>
      </w:r>
      <w:r w:rsidRPr="00CC07CA">
        <w:rPr>
          <w:rFonts w:cs="David"/>
          <w:sz w:val="28"/>
          <w:szCs w:val="28"/>
          <w:rtl/>
        </w:rPr>
        <w:t xml:space="preserve"> </w:t>
      </w:r>
      <w:r w:rsidRPr="00CC07CA">
        <w:rPr>
          <w:rFonts w:cs="David" w:hint="cs"/>
          <w:sz w:val="28"/>
          <w:szCs w:val="28"/>
          <w:rtl/>
        </w:rPr>
        <w:t>את</w:t>
      </w:r>
      <w:r w:rsidRPr="00CC07CA">
        <w:rPr>
          <w:rFonts w:cs="David"/>
          <w:sz w:val="28"/>
          <w:szCs w:val="28"/>
          <w:rtl/>
        </w:rPr>
        <w:t xml:space="preserve"> </w:t>
      </w:r>
      <w:r w:rsidRPr="00CC07CA">
        <w:rPr>
          <w:rFonts w:cs="David" w:hint="cs"/>
          <w:sz w:val="28"/>
          <w:szCs w:val="28"/>
          <w:rtl/>
        </w:rPr>
        <w:t xml:space="preserve">מעשיהם" (רע"פ 1024/21 </w:t>
      </w:r>
      <w:r w:rsidRPr="00CC07CA">
        <w:rPr>
          <w:rFonts w:cs="David" w:hint="cs"/>
          <w:b/>
          <w:bCs/>
          <w:sz w:val="28"/>
          <w:szCs w:val="28"/>
          <w:rtl/>
        </w:rPr>
        <w:t>פלוני נ' מדינת ישראל</w:t>
      </w:r>
      <w:r w:rsidRPr="00CC07CA">
        <w:rPr>
          <w:rFonts w:cs="David" w:hint="cs"/>
          <w:sz w:val="28"/>
          <w:szCs w:val="28"/>
          <w:rtl/>
        </w:rPr>
        <w:t>, פסקה 9 (</w:t>
      </w:r>
      <w:r w:rsidR="0035073D">
        <w:rPr>
          <w:rFonts w:cs="David" w:hint="cs"/>
          <w:sz w:val="28"/>
          <w:szCs w:val="28"/>
          <w:rtl/>
        </w:rPr>
        <w:t xml:space="preserve">לא פורסם, </w:t>
      </w:r>
      <w:r w:rsidRPr="00CC07CA">
        <w:rPr>
          <w:rFonts w:cs="David" w:hint="cs"/>
          <w:sz w:val="28"/>
          <w:szCs w:val="28"/>
          <w:rtl/>
        </w:rPr>
        <w:t>17.3.2021))</w:t>
      </w:r>
      <w:r w:rsidRPr="00CC07CA">
        <w:rPr>
          <w:rFonts w:cs="David"/>
          <w:sz w:val="28"/>
          <w:szCs w:val="28"/>
          <w:rtl/>
        </w:rPr>
        <w:t>.</w:t>
      </w:r>
      <w:r w:rsidR="00634C13">
        <w:rPr>
          <w:rFonts w:cs="David" w:hint="cs"/>
          <w:sz w:val="28"/>
          <w:szCs w:val="28"/>
          <w:rtl/>
        </w:rPr>
        <w:t xml:space="preserve"> </w:t>
      </w:r>
    </w:p>
    <w:p w14:paraId="41E88D20" w14:textId="065BBD45" w:rsidR="00B44DB6" w:rsidRPr="00C839F2" w:rsidRDefault="00B44DB6" w:rsidP="001A563F">
      <w:pPr>
        <w:numPr>
          <w:ilvl w:val="0"/>
          <w:numId w:val="5"/>
        </w:numPr>
        <w:tabs>
          <w:tab w:val="left" w:pos="282"/>
        </w:tabs>
        <w:spacing w:line="360" w:lineRule="auto"/>
        <w:ind w:left="-1" w:firstLine="0"/>
        <w:jc w:val="both"/>
        <w:rPr>
          <w:rFonts w:cs="David"/>
          <w:sz w:val="28"/>
          <w:szCs w:val="28"/>
          <w:rtl/>
        </w:rPr>
      </w:pPr>
      <w:r w:rsidRPr="00C839F2">
        <w:rPr>
          <w:rFonts w:cs="David"/>
          <w:sz w:val="28"/>
          <w:szCs w:val="28"/>
          <w:rtl/>
        </w:rPr>
        <w:t xml:space="preserve">בע"פ 4629/19 </w:t>
      </w:r>
      <w:r w:rsidRPr="00232DBD">
        <w:rPr>
          <w:rFonts w:cs="David"/>
          <w:b/>
          <w:bCs/>
          <w:sz w:val="28"/>
          <w:szCs w:val="28"/>
          <w:rtl/>
        </w:rPr>
        <w:t xml:space="preserve">פלוני </w:t>
      </w:r>
      <w:r w:rsidR="005B3BCC">
        <w:rPr>
          <w:rFonts w:cs="David" w:hint="cs"/>
          <w:sz w:val="28"/>
          <w:szCs w:val="28"/>
          <w:rtl/>
        </w:rPr>
        <w:t>לעיל</w:t>
      </w:r>
      <w:r w:rsidR="008F7DA4">
        <w:rPr>
          <w:rFonts w:cs="David" w:hint="cs"/>
          <w:sz w:val="28"/>
          <w:szCs w:val="28"/>
          <w:rtl/>
        </w:rPr>
        <w:t>,</w:t>
      </w:r>
      <w:r w:rsidR="005B3BCC">
        <w:rPr>
          <w:rFonts w:cs="David" w:hint="cs"/>
          <w:sz w:val="28"/>
          <w:szCs w:val="28"/>
          <w:rtl/>
        </w:rPr>
        <w:t xml:space="preserve"> </w:t>
      </w:r>
      <w:r w:rsidRPr="00C839F2">
        <w:rPr>
          <w:rFonts w:cs="David"/>
          <w:sz w:val="28"/>
          <w:szCs w:val="28"/>
          <w:rtl/>
        </w:rPr>
        <w:t>דן בית המשפט העליון באירוע חמור אף מענייננו</w:t>
      </w:r>
      <w:r w:rsidR="00C839F2">
        <w:rPr>
          <w:rFonts w:cs="David" w:hint="cs"/>
          <w:sz w:val="28"/>
          <w:szCs w:val="28"/>
          <w:rtl/>
        </w:rPr>
        <w:t xml:space="preserve">. באותו מקרה נדון </w:t>
      </w:r>
      <w:r w:rsidRPr="00C839F2">
        <w:rPr>
          <w:rFonts w:cs="David"/>
          <w:sz w:val="28"/>
          <w:szCs w:val="28"/>
          <w:rtl/>
        </w:rPr>
        <w:t xml:space="preserve">מי שביצע במשך מספר חודשים עבירות מין חמורות בקטינות, כולן במרחב הווירטואלי. בהתאם לכך גם </w:t>
      </w:r>
      <w:r w:rsidR="008F7DA4">
        <w:rPr>
          <w:rFonts w:cs="David" w:hint="cs"/>
          <w:sz w:val="28"/>
          <w:szCs w:val="28"/>
          <w:rtl/>
        </w:rPr>
        <w:t xml:space="preserve">הושתו </w:t>
      </w:r>
      <w:r w:rsidRPr="00C839F2">
        <w:rPr>
          <w:rFonts w:cs="David"/>
          <w:sz w:val="28"/>
          <w:szCs w:val="28"/>
          <w:rtl/>
        </w:rPr>
        <w:t xml:space="preserve">עליו </w:t>
      </w:r>
      <w:r w:rsidR="00C839F2">
        <w:rPr>
          <w:rFonts w:cs="David" w:hint="cs"/>
          <w:sz w:val="28"/>
          <w:szCs w:val="28"/>
          <w:rtl/>
        </w:rPr>
        <w:t xml:space="preserve">שמונה </w:t>
      </w:r>
      <w:r w:rsidRPr="00C839F2">
        <w:rPr>
          <w:rFonts w:cs="David"/>
          <w:sz w:val="28"/>
          <w:szCs w:val="28"/>
          <w:rtl/>
        </w:rPr>
        <w:t>שנות מאסר</w:t>
      </w:r>
      <w:r w:rsidR="00C839F2">
        <w:rPr>
          <w:rFonts w:cs="David" w:hint="cs"/>
          <w:sz w:val="28"/>
          <w:szCs w:val="28"/>
          <w:rtl/>
        </w:rPr>
        <w:t xml:space="preserve"> בפועל</w:t>
      </w:r>
      <w:r w:rsidRPr="00C839F2">
        <w:rPr>
          <w:rFonts w:cs="David"/>
          <w:sz w:val="28"/>
          <w:szCs w:val="28"/>
          <w:rtl/>
        </w:rPr>
        <w:t>. חש</w:t>
      </w:r>
      <w:r w:rsidR="00C839F2">
        <w:rPr>
          <w:rFonts w:cs="David" w:hint="cs"/>
          <w:sz w:val="28"/>
          <w:szCs w:val="28"/>
          <w:rtl/>
        </w:rPr>
        <w:t xml:space="preserve">ובה לענייננו </w:t>
      </w:r>
      <w:r w:rsidRPr="00C839F2">
        <w:rPr>
          <w:rFonts w:cs="David"/>
          <w:sz w:val="28"/>
          <w:szCs w:val="28"/>
          <w:rtl/>
        </w:rPr>
        <w:t xml:space="preserve">קביעת בית המשפט העליון, כי גם עבירות שאינן כוללות מרכיב של מגע פיזי בין הנאשם לקרבן, הן עבירות חמורות הראויות לענישה מחמירה; ואין עוד מקום לנקיטת מדיניות ענישה מקלה, אשר מטעמים של ראשוניות התופעה </w:t>
      </w:r>
      <w:r w:rsidR="0066387B">
        <w:rPr>
          <w:rFonts w:cs="David" w:hint="cs"/>
          <w:sz w:val="28"/>
          <w:szCs w:val="28"/>
          <w:rtl/>
        </w:rPr>
        <w:t>ועקרון ה</w:t>
      </w:r>
      <w:r w:rsidRPr="00C839F2">
        <w:rPr>
          <w:rFonts w:cs="David"/>
          <w:sz w:val="28"/>
          <w:szCs w:val="28"/>
          <w:rtl/>
        </w:rPr>
        <w:t>הדרגתיות ב</w:t>
      </w:r>
      <w:r w:rsidR="008F7DA4">
        <w:rPr>
          <w:rFonts w:cs="David" w:hint="cs"/>
          <w:sz w:val="28"/>
          <w:szCs w:val="28"/>
          <w:rtl/>
        </w:rPr>
        <w:t>החמרה ב</w:t>
      </w:r>
      <w:r w:rsidRPr="00C839F2">
        <w:rPr>
          <w:rFonts w:cs="David"/>
          <w:sz w:val="28"/>
          <w:szCs w:val="28"/>
          <w:rtl/>
        </w:rPr>
        <w:t xml:space="preserve">ענישה; בואר כי: </w:t>
      </w:r>
    </w:p>
    <w:p w14:paraId="117AD6D3" w14:textId="77777777" w:rsidR="00B44DB6" w:rsidRPr="00B44DB6" w:rsidRDefault="00B44DB6" w:rsidP="00232DBD">
      <w:pPr>
        <w:ind w:left="1502" w:right="993"/>
        <w:jc w:val="both"/>
        <w:outlineLvl w:val="0"/>
        <w:rPr>
          <w:rFonts w:cs="David"/>
          <w:sz w:val="28"/>
          <w:szCs w:val="28"/>
          <w:rtl/>
        </w:rPr>
      </w:pPr>
      <w:r w:rsidRPr="00B44DB6">
        <w:rPr>
          <w:rFonts w:cs="David"/>
          <w:sz w:val="28"/>
          <w:szCs w:val="28"/>
          <w:rtl/>
        </w:rPr>
        <w:t xml:space="preserve">"חומרתן הרבה של עבירות המין במרחב הווירטואלי נובעת ממאפייניהן הייחודיים והמסוכנים, ביניהם הקלות בה ניתן לבצען בתדירות גבוהה בנפגעות שונות ופוטנציאל הפגיעה הנרחב שלהן. בניגוד לעבריין מין הפועל במרחב הפיזי, עבריין מין הפועל במרחב הווירטואלי בביתו אינו חשוף לכל עין בוחנת. הוא מסתתר בין קירות ביתו ומאחורי זהויות בדויות בלא כל הפרעה. מרחבי הרשת פרושים לפניו </w:t>
      </w:r>
      <w:r w:rsidRPr="00B44DB6">
        <w:rPr>
          <w:rFonts w:cs="David"/>
          <w:sz w:val="28"/>
          <w:szCs w:val="28"/>
          <w:rtl/>
        </w:rPr>
        <w:lastRenderedPageBreak/>
        <w:t xml:space="preserve">וכוללים אפשרויות מגוונות לפגיעה מינית. פגיעה זו יכולה להתבצע בדרכים שונות הכוללות יצירת קשר דרך ממשקים מקוונים... </w:t>
      </w:r>
    </w:p>
    <w:p w14:paraId="30901A18" w14:textId="77777777" w:rsidR="00F4127C" w:rsidRDefault="00B44DB6" w:rsidP="00F4127C">
      <w:pPr>
        <w:ind w:left="1502" w:right="993"/>
        <w:jc w:val="both"/>
        <w:outlineLvl w:val="0"/>
        <w:rPr>
          <w:rFonts w:cs="David"/>
          <w:sz w:val="28"/>
          <w:szCs w:val="28"/>
          <w:rtl/>
        </w:rPr>
      </w:pPr>
      <w:r w:rsidRPr="0073787A">
        <w:rPr>
          <w:rFonts w:cs="David"/>
          <w:b/>
          <w:bCs/>
          <w:sz w:val="28"/>
          <w:szCs w:val="28"/>
          <w:rtl/>
        </w:rPr>
        <w:t xml:space="preserve">מסכים אני עם עמדתו של בית המשפט המחוזי, כי גזרי הדין שנגזרו בעבר על עברייני מין במרחב הווירטואלי הושפעו לעתים לקולא גם מטעמים של </w:t>
      </w:r>
      <w:r w:rsidR="00F4127C">
        <w:rPr>
          <w:rFonts w:cs="David" w:hint="cs"/>
          <w:b/>
          <w:bCs/>
          <w:sz w:val="28"/>
          <w:szCs w:val="28"/>
          <w:rtl/>
        </w:rPr>
        <w:t>'</w:t>
      </w:r>
      <w:r w:rsidRPr="0073787A">
        <w:rPr>
          <w:rFonts w:cs="David"/>
          <w:b/>
          <w:bCs/>
          <w:sz w:val="28"/>
          <w:szCs w:val="28"/>
          <w:rtl/>
        </w:rPr>
        <w:t>הדרגתיות</w:t>
      </w:r>
      <w:r w:rsidR="00F4127C">
        <w:rPr>
          <w:rFonts w:cs="David" w:hint="cs"/>
          <w:b/>
          <w:bCs/>
          <w:sz w:val="28"/>
          <w:szCs w:val="28"/>
          <w:rtl/>
        </w:rPr>
        <w:t>'</w:t>
      </w:r>
      <w:r w:rsidR="00F4127C" w:rsidRPr="0073787A">
        <w:rPr>
          <w:rFonts w:cs="David"/>
          <w:b/>
          <w:bCs/>
          <w:sz w:val="28"/>
          <w:szCs w:val="28"/>
          <w:rtl/>
        </w:rPr>
        <w:t xml:space="preserve"> </w:t>
      </w:r>
      <w:r w:rsidRPr="0073787A">
        <w:rPr>
          <w:rFonts w:cs="David"/>
          <w:b/>
          <w:bCs/>
          <w:sz w:val="28"/>
          <w:szCs w:val="28"/>
          <w:rtl/>
        </w:rPr>
        <w:t>אשר לנוכח התפשטות התופעה אינם מתאימים עוד</w:t>
      </w:r>
      <w:r w:rsidRPr="00B44DB6">
        <w:rPr>
          <w:rFonts w:cs="David"/>
          <w:sz w:val="28"/>
          <w:szCs w:val="28"/>
          <w:rtl/>
        </w:rPr>
        <w:t>"</w:t>
      </w:r>
      <w:r w:rsidR="00F4127C">
        <w:rPr>
          <w:rFonts w:cs="David" w:hint="cs"/>
          <w:sz w:val="28"/>
          <w:szCs w:val="28"/>
          <w:rtl/>
        </w:rPr>
        <w:t>.</w:t>
      </w:r>
    </w:p>
    <w:p w14:paraId="2345E276" w14:textId="77777777" w:rsidR="00B44DB6" w:rsidRPr="00B44DB6" w:rsidRDefault="00B44DB6" w:rsidP="00F4127C">
      <w:pPr>
        <w:ind w:left="1502" w:right="993"/>
        <w:jc w:val="both"/>
        <w:outlineLvl w:val="0"/>
        <w:rPr>
          <w:rFonts w:cs="David"/>
          <w:sz w:val="28"/>
          <w:szCs w:val="28"/>
          <w:rtl/>
        </w:rPr>
      </w:pPr>
      <w:r w:rsidRPr="00B44DB6">
        <w:rPr>
          <w:rFonts w:cs="David"/>
          <w:sz w:val="28"/>
          <w:szCs w:val="28"/>
          <w:rtl/>
        </w:rPr>
        <w:t xml:space="preserve">(פסקאות 9 ו-10 לפסק דינו של השופט מינץ. ההדגשות </w:t>
      </w:r>
      <w:r w:rsidR="008F7DA4">
        <w:rPr>
          <w:rFonts w:cs="David" w:hint="cs"/>
          <w:sz w:val="28"/>
          <w:szCs w:val="28"/>
          <w:rtl/>
        </w:rPr>
        <w:t>הוספו</w:t>
      </w:r>
      <w:r w:rsidRPr="00B44DB6">
        <w:rPr>
          <w:rFonts w:cs="David"/>
          <w:sz w:val="28"/>
          <w:szCs w:val="28"/>
          <w:rtl/>
        </w:rPr>
        <w:t>).</w:t>
      </w:r>
    </w:p>
    <w:p w14:paraId="4B0D973E" w14:textId="77777777" w:rsidR="00B44DB6" w:rsidRPr="00B44DB6" w:rsidRDefault="00B44DB6" w:rsidP="00B44DB6">
      <w:pPr>
        <w:spacing w:line="360" w:lineRule="auto"/>
        <w:outlineLvl w:val="0"/>
        <w:rPr>
          <w:rFonts w:cs="David"/>
          <w:sz w:val="28"/>
          <w:szCs w:val="28"/>
          <w:rtl/>
        </w:rPr>
      </w:pPr>
    </w:p>
    <w:p w14:paraId="636FFF36" w14:textId="19EE68C6" w:rsidR="00B44DB6" w:rsidRPr="00B44DB6" w:rsidRDefault="00C839F2"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 xml:space="preserve">נפנה גם לעניין </w:t>
      </w:r>
      <w:r w:rsidR="00B44DB6" w:rsidRPr="00232DBD">
        <w:rPr>
          <w:rFonts w:cs="David"/>
          <w:b/>
          <w:bCs/>
          <w:sz w:val="28"/>
          <w:szCs w:val="28"/>
          <w:rtl/>
        </w:rPr>
        <w:t>הללי</w:t>
      </w:r>
      <w:r w:rsidR="00B44DB6" w:rsidRPr="00B44DB6">
        <w:rPr>
          <w:rFonts w:cs="David"/>
          <w:sz w:val="28"/>
          <w:szCs w:val="28"/>
          <w:rtl/>
        </w:rPr>
        <w:t xml:space="preserve"> </w:t>
      </w:r>
      <w:r w:rsidR="00F4127C">
        <w:rPr>
          <w:rFonts w:cs="David" w:hint="cs"/>
          <w:sz w:val="28"/>
          <w:szCs w:val="28"/>
          <w:rtl/>
        </w:rPr>
        <w:t>הנ"ל</w:t>
      </w:r>
      <w:r>
        <w:rPr>
          <w:rFonts w:cs="David" w:hint="cs"/>
          <w:sz w:val="28"/>
          <w:szCs w:val="28"/>
          <w:rtl/>
        </w:rPr>
        <w:t>, שם נ</w:t>
      </w:r>
      <w:r w:rsidR="00B44DB6" w:rsidRPr="00B44DB6">
        <w:rPr>
          <w:rFonts w:cs="David"/>
          <w:sz w:val="28"/>
          <w:szCs w:val="28"/>
          <w:rtl/>
        </w:rPr>
        <w:t>מצא שלא להתערב בעונש של 30 חודשי מאסר</w:t>
      </w:r>
      <w:r>
        <w:rPr>
          <w:rFonts w:cs="David" w:hint="cs"/>
          <w:sz w:val="28"/>
          <w:szCs w:val="28"/>
          <w:rtl/>
        </w:rPr>
        <w:t xml:space="preserve"> בפועל</w:t>
      </w:r>
      <w:r w:rsidR="00B44DB6" w:rsidRPr="00B44DB6">
        <w:rPr>
          <w:rFonts w:cs="David"/>
          <w:sz w:val="28"/>
          <w:szCs w:val="28"/>
          <w:rtl/>
        </w:rPr>
        <w:t xml:space="preserve">, אשר נגזר על </w:t>
      </w:r>
      <w:r w:rsidR="00F4127C">
        <w:rPr>
          <w:rFonts w:cs="David" w:hint="cs"/>
          <w:sz w:val="28"/>
          <w:szCs w:val="28"/>
          <w:rtl/>
        </w:rPr>
        <w:t xml:space="preserve">מי </w:t>
      </w:r>
      <w:r w:rsidR="00B44DB6" w:rsidRPr="00B44DB6">
        <w:rPr>
          <w:rFonts w:cs="David"/>
          <w:sz w:val="28"/>
          <w:szCs w:val="28"/>
          <w:rtl/>
        </w:rPr>
        <w:t xml:space="preserve">שהורשע בניסיון לבצע מעשים מגונים ואינוס במי שסבר כי היא ילדה בת 13, המתכתבת </w:t>
      </w:r>
      <w:r>
        <w:rPr>
          <w:rFonts w:cs="David" w:hint="cs"/>
          <w:sz w:val="28"/>
          <w:szCs w:val="28"/>
          <w:rtl/>
        </w:rPr>
        <w:t xml:space="preserve">עמו </w:t>
      </w:r>
      <w:r w:rsidR="00B44DB6" w:rsidRPr="00B44DB6">
        <w:rPr>
          <w:rFonts w:cs="David"/>
          <w:sz w:val="28"/>
          <w:szCs w:val="28"/>
          <w:rtl/>
        </w:rPr>
        <w:t>ברשת</w:t>
      </w:r>
      <w:r w:rsidR="00F4127C">
        <w:rPr>
          <w:rFonts w:cs="David" w:hint="cs"/>
          <w:sz w:val="28"/>
          <w:szCs w:val="28"/>
          <w:rtl/>
        </w:rPr>
        <w:t xml:space="preserve"> (</w:t>
      </w:r>
      <w:r w:rsidR="00B44DB6" w:rsidRPr="00B44DB6">
        <w:rPr>
          <w:rFonts w:cs="David"/>
          <w:sz w:val="28"/>
          <w:szCs w:val="28"/>
          <w:rtl/>
        </w:rPr>
        <w:t>בפועל</w:t>
      </w:r>
      <w:r w:rsidR="00F4127C">
        <w:rPr>
          <w:rFonts w:cs="David" w:hint="cs"/>
          <w:sz w:val="28"/>
          <w:szCs w:val="28"/>
          <w:rtl/>
        </w:rPr>
        <w:t>,</w:t>
      </w:r>
      <w:r w:rsidR="00B44DB6" w:rsidRPr="00B44DB6">
        <w:rPr>
          <w:rFonts w:cs="David"/>
          <w:sz w:val="28"/>
          <w:szCs w:val="28"/>
          <w:rtl/>
        </w:rPr>
        <w:t xml:space="preserve"> היתה זו סוכנת משטרתית סמויה</w:t>
      </w:r>
      <w:r w:rsidR="00F4127C">
        <w:rPr>
          <w:rFonts w:cs="David" w:hint="cs"/>
          <w:sz w:val="28"/>
          <w:szCs w:val="28"/>
          <w:rtl/>
        </w:rPr>
        <w:t>)</w:t>
      </w:r>
      <w:r w:rsidR="00B44DB6" w:rsidRPr="00B44DB6">
        <w:rPr>
          <w:rFonts w:cs="David"/>
          <w:sz w:val="28"/>
          <w:szCs w:val="28"/>
          <w:rtl/>
        </w:rPr>
        <w:t>. ב</w:t>
      </w:r>
      <w:r>
        <w:rPr>
          <w:rFonts w:cs="David" w:hint="cs"/>
          <w:sz w:val="28"/>
          <w:szCs w:val="28"/>
          <w:rtl/>
        </w:rPr>
        <w:t xml:space="preserve">ואר </w:t>
      </w:r>
      <w:r w:rsidR="00B44DB6" w:rsidRPr="00B44DB6">
        <w:rPr>
          <w:rFonts w:cs="David"/>
          <w:sz w:val="28"/>
          <w:szCs w:val="28"/>
          <w:rtl/>
        </w:rPr>
        <w:t xml:space="preserve">כי מעשה שמטרתו לגרום  לאדם אחר לבצע אינוס בעצמו, </w:t>
      </w:r>
      <w:r>
        <w:rPr>
          <w:rFonts w:cs="David" w:hint="cs"/>
          <w:sz w:val="28"/>
          <w:szCs w:val="28"/>
          <w:rtl/>
        </w:rPr>
        <w:t>גם אם מרחוק</w:t>
      </w:r>
      <w:r w:rsidR="00B44DB6" w:rsidRPr="00B44DB6">
        <w:rPr>
          <w:rFonts w:cs="David"/>
          <w:sz w:val="28"/>
          <w:szCs w:val="28"/>
          <w:rtl/>
        </w:rPr>
        <w:t xml:space="preserve">, הוא </w:t>
      </w:r>
      <w:r>
        <w:rPr>
          <w:rFonts w:cs="David" w:hint="cs"/>
          <w:sz w:val="28"/>
          <w:szCs w:val="28"/>
          <w:rtl/>
        </w:rPr>
        <w:t>בבחינת "</w:t>
      </w:r>
      <w:r w:rsidR="00B44DB6" w:rsidRPr="00B44DB6">
        <w:rPr>
          <w:rFonts w:cs="David"/>
          <w:sz w:val="28"/>
          <w:szCs w:val="28"/>
          <w:rtl/>
        </w:rPr>
        <w:t>גרם מעשה אינוס</w:t>
      </w:r>
      <w:r>
        <w:rPr>
          <w:rFonts w:cs="David" w:hint="cs"/>
          <w:sz w:val="28"/>
          <w:szCs w:val="28"/>
          <w:rtl/>
        </w:rPr>
        <w:t xml:space="preserve">" והודגשה </w:t>
      </w:r>
      <w:r w:rsidR="00B44DB6" w:rsidRPr="00B44DB6">
        <w:rPr>
          <w:rFonts w:cs="David"/>
          <w:sz w:val="28"/>
          <w:szCs w:val="28"/>
          <w:rtl/>
        </w:rPr>
        <w:t>החומרה הרבה שיש למעשים אלה</w:t>
      </w:r>
      <w:r>
        <w:rPr>
          <w:rFonts w:cs="David" w:hint="cs"/>
          <w:sz w:val="28"/>
          <w:szCs w:val="28"/>
          <w:rtl/>
        </w:rPr>
        <w:t>,</w:t>
      </w:r>
      <w:r w:rsidR="00B44DB6" w:rsidRPr="00B44DB6">
        <w:rPr>
          <w:rFonts w:cs="David"/>
          <w:sz w:val="28"/>
          <w:szCs w:val="28"/>
          <w:rtl/>
        </w:rPr>
        <w:t xml:space="preserve"> דווקא </w:t>
      </w:r>
      <w:r w:rsidR="00F4127C">
        <w:rPr>
          <w:rFonts w:cs="David" w:hint="cs"/>
          <w:sz w:val="28"/>
          <w:szCs w:val="28"/>
          <w:rtl/>
        </w:rPr>
        <w:t>בנסיבות אלה:</w:t>
      </w:r>
    </w:p>
    <w:p w14:paraId="5A9EA4B7" w14:textId="77777777" w:rsidR="00F4127C" w:rsidRDefault="00B44DB6" w:rsidP="00F4127C">
      <w:pPr>
        <w:ind w:left="1502" w:right="993"/>
        <w:jc w:val="both"/>
        <w:outlineLvl w:val="0"/>
        <w:rPr>
          <w:rFonts w:cs="David"/>
          <w:sz w:val="28"/>
          <w:szCs w:val="28"/>
          <w:rtl/>
        </w:rPr>
      </w:pPr>
      <w:r w:rsidRPr="00B44DB6">
        <w:rPr>
          <w:rFonts w:cs="David"/>
          <w:sz w:val="28"/>
          <w:szCs w:val="28"/>
          <w:rtl/>
        </w:rPr>
        <w:t xml:space="preserve">"עבירות מין אינן בגדר עבריינות חדשה, אך הטכנולוגיה שינתה את פניהן. הסיכון שטמון בפעילותו של עבריין </w:t>
      </w:r>
      <w:r w:rsidR="00F4127C">
        <w:rPr>
          <w:rFonts w:cs="David" w:hint="cs"/>
          <w:sz w:val="28"/>
          <w:szCs w:val="28"/>
          <w:rtl/>
        </w:rPr>
        <w:t>'</w:t>
      </w:r>
      <w:r w:rsidRPr="00B44DB6">
        <w:rPr>
          <w:rFonts w:cs="David"/>
          <w:sz w:val="28"/>
          <w:szCs w:val="28"/>
          <w:rtl/>
        </w:rPr>
        <w:t>מרחוק</w:t>
      </w:r>
      <w:r w:rsidR="00F4127C">
        <w:rPr>
          <w:rFonts w:cs="David" w:hint="cs"/>
          <w:sz w:val="28"/>
          <w:szCs w:val="28"/>
          <w:rtl/>
        </w:rPr>
        <w:t>'</w:t>
      </w:r>
      <w:r w:rsidR="00F4127C" w:rsidRPr="00B44DB6">
        <w:rPr>
          <w:rFonts w:cs="David"/>
          <w:sz w:val="28"/>
          <w:szCs w:val="28"/>
          <w:rtl/>
        </w:rPr>
        <w:t xml:space="preserve"> </w:t>
      </w:r>
      <w:r w:rsidRPr="00B44DB6">
        <w:rPr>
          <w:rFonts w:cs="David"/>
          <w:sz w:val="28"/>
          <w:szCs w:val="28"/>
          <w:rtl/>
        </w:rPr>
        <w:t xml:space="preserve">נראה קטן יותר בעיניו. הוא לא צריך לצאת מביתו ולחפש קרבן בחשיכה ובין הצללים. יש לתת מענה לעבריינות זו ולעקור אותה מהשורש ככל שניתן...  על בית המשפט לצאת במסר מרתיע, שמדגיש את החומרה הרבה של המעשים חרף עשייתם </w:t>
      </w:r>
      <w:r w:rsidR="00C839F2">
        <w:rPr>
          <w:rFonts w:cs="David" w:hint="cs"/>
          <w:sz w:val="28"/>
          <w:szCs w:val="28"/>
          <w:rtl/>
        </w:rPr>
        <w:t>'</w:t>
      </w:r>
      <w:r w:rsidRPr="00B44DB6">
        <w:rPr>
          <w:rFonts w:cs="David"/>
          <w:sz w:val="28"/>
          <w:szCs w:val="28"/>
          <w:rtl/>
        </w:rPr>
        <w:t>מרחוק</w:t>
      </w:r>
      <w:r w:rsidR="00C839F2">
        <w:rPr>
          <w:rFonts w:cs="David" w:hint="cs"/>
          <w:sz w:val="28"/>
          <w:szCs w:val="28"/>
          <w:rtl/>
        </w:rPr>
        <w:t>'</w:t>
      </w:r>
      <w:r w:rsidRPr="00B44DB6">
        <w:rPr>
          <w:rFonts w:cs="David"/>
          <w:sz w:val="28"/>
          <w:szCs w:val="28"/>
          <w:rtl/>
        </w:rPr>
        <w:t xml:space="preserve">, ואולי דווקא בשל כך... יכולתו של הנאשם לבצע את המעשים מביתו וממרחב </w:t>
      </w:r>
      <w:r w:rsidR="00C839F2">
        <w:rPr>
          <w:rFonts w:cs="David" w:hint="cs"/>
          <w:sz w:val="28"/>
          <w:szCs w:val="28"/>
          <w:rtl/>
        </w:rPr>
        <w:t>'</w:t>
      </w:r>
      <w:r w:rsidRPr="00B44DB6">
        <w:rPr>
          <w:rFonts w:cs="David"/>
          <w:sz w:val="28"/>
          <w:szCs w:val="28"/>
          <w:rtl/>
        </w:rPr>
        <w:t>בטוח</w:t>
      </w:r>
      <w:r w:rsidR="00C839F2">
        <w:rPr>
          <w:rFonts w:cs="David" w:hint="cs"/>
          <w:sz w:val="28"/>
          <w:szCs w:val="28"/>
          <w:rtl/>
        </w:rPr>
        <w:t>'</w:t>
      </w:r>
      <w:r w:rsidRPr="00B44DB6">
        <w:rPr>
          <w:rFonts w:cs="David"/>
          <w:sz w:val="28"/>
          <w:szCs w:val="28"/>
          <w:rtl/>
        </w:rPr>
        <w:t xml:space="preserve"> יוצרת קרקע פורייה למעשים חמורים נוספים ולפגיעה בנפגעי עבירה נוספים"</w:t>
      </w:r>
      <w:r w:rsidR="00FB1331">
        <w:rPr>
          <w:rFonts w:cs="David" w:hint="cs"/>
          <w:sz w:val="28"/>
          <w:szCs w:val="28"/>
          <w:rtl/>
        </w:rPr>
        <w:t>.</w:t>
      </w:r>
    </w:p>
    <w:p w14:paraId="1321E21D" w14:textId="77777777" w:rsidR="00B44DB6" w:rsidRPr="00B44DB6" w:rsidRDefault="00B44DB6" w:rsidP="00F4127C">
      <w:pPr>
        <w:ind w:left="1502" w:right="993"/>
        <w:jc w:val="both"/>
        <w:outlineLvl w:val="0"/>
        <w:rPr>
          <w:rFonts w:cs="David"/>
          <w:sz w:val="28"/>
          <w:szCs w:val="28"/>
          <w:rtl/>
        </w:rPr>
      </w:pPr>
      <w:r w:rsidRPr="00B44DB6">
        <w:rPr>
          <w:rFonts w:cs="David"/>
          <w:sz w:val="28"/>
          <w:szCs w:val="28"/>
          <w:rtl/>
        </w:rPr>
        <w:t>(עמ' 13 לפסק דינו של המשנה לנשיאה הנדל).</w:t>
      </w:r>
    </w:p>
    <w:p w14:paraId="15EC4004" w14:textId="77777777" w:rsidR="00B44DB6" w:rsidRPr="00B44DB6" w:rsidRDefault="00B44DB6" w:rsidP="00B44DB6">
      <w:pPr>
        <w:spacing w:line="360" w:lineRule="auto"/>
        <w:outlineLvl w:val="0"/>
        <w:rPr>
          <w:rFonts w:cs="David"/>
          <w:sz w:val="28"/>
          <w:szCs w:val="28"/>
          <w:rtl/>
        </w:rPr>
      </w:pPr>
    </w:p>
    <w:p w14:paraId="236085E3" w14:textId="6A36344A" w:rsidR="00B44DB6" w:rsidRDefault="00C839F2"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נבהיר, כי העונש שהושת </w:t>
      </w:r>
      <w:r w:rsidR="00B44DB6" w:rsidRPr="00B44DB6">
        <w:rPr>
          <w:rFonts w:cs="David"/>
          <w:sz w:val="28"/>
          <w:szCs w:val="28"/>
          <w:rtl/>
        </w:rPr>
        <w:t xml:space="preserve">בעניין </w:t>
      </w:r>
      <w:r w:rsidR="00B44DB6" w:rsidRPr="00276B99">
        <w:rPr>
          <w:rFonts w:cs="David"/>
          <w:b/>
          <w:bCs/>
          <w:sz w:val="28"/>
          <w:szCs w:val="28"/>
          <w:rtl/>
        </w:rPr>
        <w:t>הללי</w:t>
      </w:r>
      <w:r w:rsidR="00B44DB6" w:rsidRPr="00B44DB6">
        <w:rPr>
          <w:rFonts w:cs="David"/>
          <w:sz w:val="28"/>
          <w:szCs w:val="28"/>
          <w:rtl/>
        </w:rPr>
        <w:t xml:space="preserve"> </w:t>
      </w:r>
      <w:r>
        <w:rPr>
          <w:rFonts w:cs="David" w:hint="cs"/>
          <w:sz w:val="28"/>
          <w:szCs w:val="28"/>
          <w:rtl/>
        </w:rPr>
        <w:t>מ</w:t>
      </w:r>
      <w:r w:rsidR="00B44DB6" w:rsidRPr="00B44DB6">
        <w:rPr>
          <w:rFonts w:cs="David"/>
          <w:sz w:val="28"/>
          <w:szCs w:val="28"/>
          <w:rtl/>
        </w:rPr>
        <w:t xml:space="preserve">צביע על מגמת </w:t>
      </w:r>
      <w:r>
        <w:rPr>
          <w:rFonts w:cs="David" w:hint="cs"/>
          <w:sz w:val="28"/>
          <w:szCs w:val="28"/>
          <w:rtl/>
        </w:rPr>
        <w:t>ה</w:t>
      </w:r>
      <w:r w:rsidR="00B44DB6" w:rsidRPr="00B44DB6">
        <w:rPr>
          <w:rFonts w:cs="David"/>
          <w:sz w:val="28"/>
          <w:szCs w:val="28"/>
          <w:rtl/>
        </w:rPr>
        <w:t>החמרה בענישה</w:t>
      </w:r>
      <w:r w:rsidR="00F4127C">
        <w:rPr>
          <w:rFonts w:cs="David" w:hint="cs"/>
          <w:sz w:val="28"/>
          <w:szCs w:val="28"/>
          <w:rtl/>
        </w:rPr>
        <w:t xml:space="preserve">. אף שאין מדובר בענייננו בניסיון פגיעה בקטינים, הרי שמתקיימים כאן </w:t>
      </w:r>
      <w:r w:rsidR="00B44DB6" w:rsidRPr="00B44DB6">
        <w:rPr>
          <w:rFonts w:cs="David"/>
          <w:sz w:val="28"/>
          <w:szCs w:val="28"/>
          <w:rtl/>
        </w:rPr>
        <w:t xml:space="preserve">היבטי חומרה </w:t>
      </w:r>
      <w:r w:rsidR="00F4127C">
        <w:rPr>
          <w:rFonts w:cs="David" w:hint="cs"/>
          <w:sz w:val="28"/>
          <w:szCs w:val="28"/>
          <w:rtl/>
        </w:rPr>
        <w:t>אחרים ו</w:t>
      </w:r>
      <w:r>
        <w:rPr>
          <w:rFonts w:cs="David" w:hint="cs"/>
          <w:sz w:val="28"/>
          <w:szCs w:val="28"/>
          <w:rtl/>
        </w:rPr>
        <w:t xml:space="preserve">נוספים - </w:t>
      </w:r>
      <w:r w:rsidR="00B44DB6" w:rsidRPr="00B44DB6">
        <w:rPr>
          <w:rFonts w:cs="David"/>
          <w:sz w:val="28"/>
          <w:szCs w:val="28"/>
          <w:rtl/>
        </w:rPr>
        <w:t xml:space="preserve">מעמדו של המערער כמפקד וביצוע העבירות במסגרת הצבאית; </w:t>
      </w:r>
      <w:r w:rsidR="006C75C3">
        <w:rPr>
          <w:rFonts w:cs="David" w:hint="cs"/>
          <w:sz w:val="28"/>
          <w:szCs w:val="28"/>
          <w:rtl/>
        </w:rPr>
        <w:t>ה</w:t>
      </w:r>
      <w:r w:rsidR="00B44DB6" w:rsidRPr="00B44DB6">
        <w:rPr>
          <w:rFonts w:cs="David"/>
          <w:sz w:val="28"/>
          <w:szCs w:val="28"/>
          <w:rtl/>
        </w:rPr>
        <w:t>הרשעה גם בעבירה של סחיטה באיומים</w:t>
      </w:r>
      <w:r w:rsidR="006C75C3">
        <w:rPr>
          <w:rFonts w:cs="David" w:hint="cs"/>
          <w:sz w:val="28"/>
          <w:szCs w:val="28"/>
          <w:rtl/>
        </w:rPr>
        <w:t>;</w:t>
      </w:r>
      <w:r w:rsidR="00B44DB6" w:rsidRPr="00B44DB6">
        <w:rPr>
          <w:rFonts w:cs="David"/>
          <w:sz w:val="28"/>
          <w:szCs w:val="28"/>
          <w:rtl/>
        </w:rPr>
        <w:t xml:space="preserve"> </w:t>
      </w:r>
      <w:r w:rsidR="006C75C3">
        <w:rPr>
          <w:rFonts w:cs="David" w:hint="cs"/>
          <w:sz w:val="28"/>
          <w:szCs w:val="28"/>
          <w:rtl/>
        </w:rPr>
        <w:t>ה</w:t>
      </w:r>
      <w:r w:rsidR="00B44DB6" w:rsidRPr="00B44DB6">
        <w:rPr>
          <w:rFonts w:cs="David"/>
          <w:sz w:val="28"/>
          <w:szCs w:val="28"/>
          <w:rtl/>
        </w:rPr>
        <w:t xml:space="preserve">פגיעה </w:t>
      </w:r>
      <w:r w:rsidR="006C75C3">
        <w:rPr>
          <w:rFonts w:cs="David" w:hint="cs"/>
          <w:sz w:val="28"/>
          <w:szCs w:val="28"/>
          <w:rtl/>
        </w:rPr>
        <w:t>ה</w:t>
      </w:r>
      <w:r w:rsidR="00B44DB6" w:rsidRPr="00B44DB6">
        <w:rPr>
          <w:rFonts w:cs="David"/>
          <w:sz w:val="28"/>
          <w:szCs w:val="28"/>
          <w:rtl/>
        </w:rPr>
        <w:t xml:space="preserve">ממשית </w:t>
      </w:r>
      <w:r w:rsidR="006C75C3">
        <w:rPr>
          <w:rFonts w:cs="David" w:hint="cs"/>
          <w:sz w:val="28"/>
          <w:szCs w:val="28"/>
          <w:rtl/>
        </w:rPr>
        <w:t xml:space="preserve">והקשה </w:t>
      </w:r>
      <w:r w:rsidR="00B44DB6" w:rsidRPr="00B44DB6">
        <w:rPr>
          <w:rFonts w:cs="David"/>
          <w:sz w:val="28"/>
          <w:szCs w:val="28"/>
          <w:rtl/>
        </w:rPr>
        <w:t xml:space="preserve">בנפגעת </w:t>
      </w:r>
      <w:r w:rsidR="00F4127C">
        <w:rPr>
          <w:rFonts w:cs="David" w:hint="cs"/>
          <w:sz w:val="28"/>
          <w:szCs w:val="28"/>
          <w:rtl/>
        </w:rPr>
        <w:t>ה</w:t>
      </w:r>
      <w:r w:rsidR="00B44DB6" w:rsidRPr="00B44DB6">
        <w:rPr>
          <w:rFonts w:cs="David"/>
          <w:sz w:val="28"/>
          <w:szCs w:val="28"/>
          <w:rtl/>
        </w:rPr>
        <w:t>עבירה</w:t>
      </w:r>
      <w:r w:rsidR="00F4127C">
        <w:rPr>
          <w:rFonts w:cs="David" w:hint="cs"/>
          <w:sz w:val="28"/>
          <w:szCs w:val="28"/>
          <w:rtl/>
        </w:rPr>
        <w:t>,</w:t>
      </w:r>
      <w:r w:rsidR="006C75C3">
        <w:rPr>
          <w:rFonts w:cs="David" w:hint="cs"/>
          <w:sz w:val="28"/>
          <w:szCs w:val="28"/>
          <w:rtl/>
        </w:rPr>
        <w:t xml:space="preserve"> ואף </w:t>
      </w:r>
      <w:r w:rsidR="008F7DA4">
        <w:rPr>
          <w:rFonts w:cs="David" w:hint="cs"/>
          <w:sz w:val="28"/>
          <w:szCs w:val="28"/>
          <w:rtl/>
        </w:rPr>
        <w:t xml:space="preserve">הספק בדבר </w:t>
      </w:r>
      <w:r w:rsidR="006C75C3">
        <w:rPr>
          <w:rFonts w:cs="David" w:hint="cs"/>
          <w:sz w:val="28"/>
          <w:szCs w:val="28"/>
          <w:rtl/>
        </w:rPr>
        <w:t xml:space="preserve">הפנמת הפסול </w:t>
      </w:r>
      <w:r w:rsidR="00562690">
        <w:rPr>
          <w:rFonts w:cs="David" w:hint="cs"/>
          <w:sz w:val="28"/>
          <w:szCs w:val="28"/>
          <w:rtl/>
        </w:rPr>
        <w:t>שבמעשים, בשלב המאוחר שבו נטל המערער אחריות עליהם</w:t>
      </w:r>
      <w:r w:rsidR="006C75C3">
        <w:rPr>
          <w:rFonts w:cs="David" w:hint="cs"/>
          <w:sz w:val="28"/>
          <w:szCs w:val="28"/>
          <w:rtl/>
        </w:rPr>
        <w:t xml:space="preserve">, </w:t>
      </w:r>
      <w:r w:rsidR="006C75C3" w:rsidRPr="0073787A">
        <w:rPr>
          <w:rFonts w:cs="David" w:hint="eastAsia"/>
          <w:sz w:val="28"/>
          <w:szCs w:val="28"/>
          <w:rtl/>
        </w:rPr>
        <w:t>כמבואר</w:t>
      </w:r>
      <w:r w:rsidR="006C75C3" w:rsidRPr="0073787A">
        <w:rPr>
          <w:rFonts w:cs="David"/>
          <w:sz w:val="28"/>
          <w:szCs w:val="28"/>
          <w:rtl/>
        </w:rPr>
        <w:t xml:space="preserve"> </w:t>
      </w:r>
      <w:r w:rsidR="006C75C3" w:rsidRPr="0073787A">
        <w:rPr>
          <w:rFonts w:cs="David" w:hint="eastAsia"/>
          <w:sz w:val="28"/>
          <w:szCs w:val="28"/>
          <w:rtl/>
        </w:rPr>
        <w:t>להלן</w:t>
      </w:r>
      <w:r w:rsidR="006C75C3" w:rsidRPr="0073787A">
        <w:rPr>
          <w:rFonts w:cs="David" w:hint="cs"/>
          <w:sz w:val="28"/>
          <w:szCs w:val="28"/>
          <w:rtl/>
        </w:rPr>
        <w:t xml:space="preserve">. </w:t>
      </w:r>
    </w:p>
    <w:p w14:paraId="48FD244A" w14:textId="4BD3C431" w:rsidR="00B44DB6" w:rsidRPr="00B44DB6" w:rsidRDefault="000318BB"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 xml:space="preserve">מכאן מסקנתנו, </w:t>
      </w:r>
      <w:r w:rsidR="009C2037">
        <w:rPr>
          <w:rFonts w:cs="David" w:hint="cs"/>
          <w:sz w:val="28"/>
          <w:szCs w:val="28"/>
          <w:rtl/>
        </w:rPr>
        <w:t>ש</w:t>
      </w:r>
      <w:r>
        <w:rPr>
          <w:rFonts w:cs="David" w:hint="cs"/>
          <w:sz w:val="28"/>
          <w:szCs w:val="28"/>
          <w:rtl/>
        </w:rPr>
        <w:t xml:space="preserve">לפיה </w:t>
      </w:r>
      <w:r w:rsidR="00134C3D">
        <w:rPr>
          <w:rFonts w:cs="David" w:hint="cs"/>
          <w:sz w:val="28"/>
          <w:szCs w:val="28"/>
          <w:rtl/>
        </w:rPr>
        <w:t xml:space="preserve">יש </w:t>
      </w:r>
      <w:r w:rsidR="00801F2D" w:rsidRPr="00801F2D">
        <w:rPr>
          <w:rFonts w:cs="David" w:hint="cs"/>
          <w:sz w:val="28"/>
          <w:szCs w:val="28"/>
          <w:rtl/>
        </w:rPr>
        <w:t>ל</w:t>
      </w:r>
      <w:r w:rsidR="008F7DA4">
        <w:rPr>
          <w:rFonts w:cs="David" w:hint="cs"/>
          <w:sz w:val="28"/>
          <w:szCs w:val="28"/>
          <w:rtl/>
        </w:rPr>
        <w:t>קבל את עתירת התביעה</w:t>
      </w:r>
      <w:r w:rsidR="00134C3D">
        <w:rPr>
          <w:rFonts w:cs="David" w:hint="cs"/>
          <w:sz w:val="28"/>
          <w:szCs w:val="28"/>
          <w:rtl/>
        </w:rPr>
        <w:t>,</w:t>
      </w:r>
      <w:r w:rsidR="008F7DA4">
        <w:rPr>
          <w:rFonts w:cs="David" w:hint="cs"/>
          <w:sz w:val="28"/>
          <w:szCs w:val="28"/>
          <w:rtl/>
        </w:rPr>
        <w:t xml:space="preserve"> </w:t>
      </w:r>
      <w:r w:rsidR="00134C3D" w:rsidRPr="00774653">
        <w:rPr>
          <w:rFonts w:cs="David" w:hint="cs"/>
          <w:b/>
          <w:bCs/>
          <w:sz w:val="28"/>
          <w:szCs w:val="28"/>
          <w:rtl/>
        </w:rPr>
        <w:t xml:space="preserve">ולהחמיר </w:t>
      </w:r>
      <w:r w:rsidR="00801F2D" w:rsidRPr="00774653">
        <w:rPr>
          <w:rFonts w:cs="David" w:hint="cs"/>
          <w:b/>
          <w:bCs/>
          <w:sz w:val="28"/>
          <w:szCs w:val="28"/>
          <w:rtl/>
        </w:rPr>
        <w:t>את מתחם העונש ההולם</w:t>
      </w:r>
      <w:r w:rsidR="00134C3D" w:rsidRPr="00774653">
        <w:rPr>
          <w:rFonts w:cs="David" w:hint="cs"/>
          <w:b/>
          <w:bCs/>
          <w:sz w:val="28"/>
          <w:szCs w:val="28"/>
          <w:rtl/>
        </w:rPr>
        <w:t>, כך שינוע</w:t>
      </w:r>
      <w:r w:rsidR="00801F2D" w:rsidRPr="00774653">
        <w:rPr>
          <w:rFonts w:cs="David" w:hint="cs"/>
          <w:b/>
          <w:bCs/>
          <w:sz w:val="28"/>
          <w:szCs w:val="28"/>
          <w:rtl/>
        </w:rPr>
        <w:t xml:space="preserve"> בין שלוש לשש שנות מאסר בפועל</w:t>
      </w:r>
      <w:r w:rsidR="00801F2D" w:rsidRPr="00801F2D">
        <w:rPr>
          <w:rFonts w:cs="David" w:hint="cs"/>
          <w:sz w:val="28"/>
          <w:szCs w:val="28"/>
          <w:rtl/>
        </w:rPr>
        <w:t xml:space="preserve">, לצד רכיבים של מאסר על תנאי והורדה לדרגת טוראי. </w:t>
      </w:r>
      <w:r w:rsidR="00B44DB6" w:rsidRPr="00B44DB6">
        <w:rPr>
          <w:rFonts w:cs="David"/>
          <w:sz w:val="28"/>
          <w:szCs w:val="28"/>
          <w:rtl/>
        </w:rPr>
        <w:t xml:space="preserve">בחינת </w:t>
      </w:r>
      <w:r w:rsidR="00B44DB6" w:rsidRPr="00232DBD">
        <w:rPr>
          <w:rFonts w:cs="David"/>
          <w:b/>
          <w:bCs/>
          <w:sz w:val="28"/>
          <w:szCs w:val="28"/>
          <w:rtl/>
        </w:rPr>
        <w:t>אשמו</w:t>
      </w:r>
      <w:r w:rsidR="00B44DB6" w:rsidRPr="00B44DB6">
        <w:rPr>
          <w:rFonts w:cs="David"/>
          <w:sz w:val="28"/>
          <w:szCs w:val="28"/>
          <w:rtl/>
        </w:rPr>
        <w:t xml:space="preserve"> של המערער; הפגיעה המשמעותית בערכים המוגנים; ה</w:t>
      </w:r>
      <w:r w:rsidR="006C75C3">
        <w:rPr>
          <w:rFonts w:cs="David" w:hint="cs"/>
          <w:sz w:val="28"/>
          <w:szCs w:val="28"/>
          <w:rtl/>
        </w:rPr>
        <w:t>צורך לה</w:t>
      </w:r>
      <w:r w:rsidR="00B44DB6" w:rsidRPr="00B44DB6">
        <w:rPr>
          <w:rFonts w:cs="David"/>
          <w:sz w:val="28"/>
          <w:szCs w:val="28"/>
          <w:rtl/>
        </w:rPr>
        <w:t>חמ</w:t>
      </w:r>
      <w:r w:rsidR="006C75C3">
        <w:rPr>
          <w:rFonts w:cs="David" w:hint="cs"/>
          <w:sz w:val="28"/>
          <w:szCs w:val="28"/>
          <w:rtl/>
        </w:rPr>
        <w:t>י</w:t>
      </w:r>
      <w:r w:rsidR="00B44DB6" w:rsidRPr="00B44DB6">
        <w:rPr>
          <w:rFonts w:cs="David"/>
          <w:sz w:val="28"/>
          <w:szCs w:val="28"/>
          <w:rtl/>
        </w:rPr>
        <w:t xml:space="preserve">ר בענישה </w:t>
      </w:r>
      <w:r w:rsidR="006C75C3">
        <w:rPr>
          <w:rFonts w:cs="David" w:hint="cs"/>
          <w:sz w:val="28"/>
          <w:szCs w:val="28"/>
          <w:rtl/>
        </w:rPr>
        <w:t>כעולה</w:t>
      </w:r>
      <w:r w:rsidR="008F7DA4">
        <w:rPr>
          <w:rFonts w:cs="David" w:hint="cs"/>
          <w:sz w:val="28"/>
          <w:szCs w:val="28"/>
          <w:rtl/>
        </w:rPr>
        <w:t xml:space="preserve"> </w:t>
      </w:r>
      <w:r w:rsidR="006C75C3">
        <w:rPr>
          <w:rFonts w:cs="David" w:hint="cs"/>
          <w:sz w:val="28"/>
          <w:szCs w:val="28"/>
          <w:rtl/>
        </w:rPr>
        <w:t>מפסיקת בי</w:t>
      </w:r>
      <w:r w:rsidR="008F7DA4">
        <w:rPr>
          <w:rFonts w:cs="David" w:hint="cs"/>
          <w:sz w:val="28"/>
          <w:szCs w:val="28"/>
          <w:rtl/>
        </w:rPr>
        <w:t>ת</w:t>
      </w:r>
      <w:r w:rsidR="006C75C3">
        <w:rPr>
          <w:rFonts w:cs="David" w:hint="cs"/>
          <w:sz w:val="28"/>
          <w:szCs w:val="28"/>
          <w:rtl/>
        </w:rPr>
        <w:t xml:space="preserve"> המשפט העליון ואף ה</w:t>
      </w:r>
      <w:r w:rsidR="00B44DB6" w:rsidRPr="00B44DB6">
        <w:rPr>
          <w:rFonts w:cs="David"/>
          <w:sz w:val="28"/>
          <w:szCs w:val="28"/>
          <w:rtl/>
        </w:rPr>
        <w:t xml:space="preserve">כישלון הפיקודי החריף </w:t>
      </w:r>
      <w:r w:rsidR="006C75C3">
        <w:rPr>
          <w:rFonts w:cs="David" w:hint="cs"/>
          <w:sz w:val="28"/>
          <w:szCs w:val="28"/>
          <w:rtl/>
        </w:rPr>
        <w:t xml:space="preserve">של המערער, </w:t>
      </w:r>
      <w:r w:rsidR="00B44DB6" w:rsidRPr="00B44DB6">
        <w:rPr>
          <w:rFonts w:cs="David"/>
          <w:sz w:val="28"/>
          <w:szCs w:val="28"/>
          <w:rtl/>
        </w:rPr>
        <w:t xml:space="preserve">ופגיעת מעשיו </w:t>
      </w:r>
      <w:r w:rsidR="00134C3D">
        <w:rPr>
          <w:rFonts w:cs="David" w:hint="cs"/>
          <w:sz w:val="28"/>
          <w:szCs w:val="28"/>
          <w:rtl/>
        </w:rPr>
        <w:t xml:space="preserve">בנפגעת העבירה, </w:t>
      </w:r>
      <w:r w:rsidR="00B44DB6" w:rsidRPr="00B44DB6">
        <w:rPr>
          <w:rFonts w:cs="David"/>
          <w:sz w:val="28"/>
          <w:szCs w:val="28"/>
          <w:rtl/>
        </w:rPr>
        <w:t>ב</w:t>
      </w:r>
      <w:r w:rsidR="008F7DA4">
        <w:rPr>
          <w:rFonts w:cs="David" w:hint="cs"/>
          <w:sz w:val="28"/>
          <w:szCs w:val="28"/>
          <w:rtl/>
        </w:rPr>
        <w:t>מרקם החיים ביחידתו וב</w:t>
      </w:r>
      <w:r w:rsidR="00B44DB6" w:rsidRPr="00B44DB6">
        <w:rPr>
          <w:rFonts w:cs="David"/>
          <w:sz w:val="28"/>
          <w:szCs w:val="28"/>
          <w:rtl/>
        </w:rPr>
        <w:t>מ</w:t>
      </w:r>
      <w:r w:rsidR="006C75C3">
        <w:rPr>
          <w:rFonts w:cs="David" w:hint="cs"/>
          <w:sz w:val="28"/>
          <w:szCs w:val="28"/>
          <w:rtl/>
        </w:rPr>
        <w:t xml:space="preserve">סגרת </w:t>
      </w:r>
      <w:r w:rsidR="00B44DB6" w:rsidRPr="00B44DB6">
        <w:rPr>
          <w:rFonts w:cs="David"/>
          <w:sz w:val="28"/>
          <w:szCs w:val="28"/>
          <w:rtl/>
        </w:rPr>
        <w:t xml:space="preserve">הצבאית </w:t>
      </w:r>
      <w:r w:rsidR="008F7DA4">
        <w:rPr>
          <w:rFonts w:cs="David" w:hint="cs"/>
          <w:sz w:val="28"/>
          <w:szCs w:val="28"/>
          <w:rtl/>
        </w:rPr>
        <w:t xml:space="preserve">בכלל </w:t>
      </w:r>
      <w:r w:rsidR="009632C9">
        <w:rPr>
          <w:rFonts w:cs="David" w:hint="cs"/>
          <w:sz w:val="28"/>
          <w:szCs w:val="28"/>
          <w:rtl/>
        </w:rPr>
        <w:t>-</w:t>
      </w:r>
      <w:r w:rsidR="00B44DB6" w:rsidRPr="00B44DB6">
        <w:rPr>
          <w:rFonts w:cs="David"/>
          <w:sz w:val="28"/>
          <w:szCs w:val="28"/>
          <w:rtl/>
        </w:rPr>
        <w:t xml:space="preserve"> </w:t>
      </w:r>
      <w:r w:rsidR="00CB639D">
        <w:rPr>
          <w:rFonts w:cs="David" w:hint="cs"/>
          <w:sz w:val="28"/>
          <w:szCs w:val="28"/>
          <w:rtl/>
        </w:rPr>
        <w:t xml:space="preserve">אכן </w:t>
      </w:r>
      <w:r w:rsidR="006C75C3">
        <w:rPr>
          <w:rFonts w:cs="David" w:hint="cs"/>
          <w:sz w:val="28"/>
          <w:szCs w:val="28"/>
          <w:rtl/>
        </w:rPr>
        <w:t>מחייב</w:t>
      </w:r>
      <w:r w:rsidR="00232DBD">
        <w:rPr>
          <w:rFonts w:cs="David" w:hint="cs"/>
          <w:sz w:val="28"/>
          <w:szCs w:val="28"/>
          <w:rtl/>
        </w:rPr>
        <w:t>י</w:t>
      </w:r>
      <w:r w:rsidR="006C75C3">
        <w:rPr>
          <w:rFonts w:cs="David" w:hint="cs"/>
          <w:sz w:val="28"/>
          <w:szCs w:val="28"/>
          <w:rtl/>
        </w:rPr>
        <w:t xml:space="preserve">ם לקבוע מתחם עונש הולם חמור יותר. </w:t>
      </w:r>
    </w:p>
    <w:p w14:paraId="32660805" w14:textId="77777777" w:rsidR="00B44DB6" w:rsidRPr="00B44DB6" w:rsidRDefault="00B44DB6" w:rsidP="00B44DB6">
      <w:pPr>
        <w:spacing w:line="360" w:lineRule="auto"/>
        <w:outlineLvl w:val="0"/>
        <w:rPr>
          <w:rFonts w:cs="David"/>
          <w:sz w:val="28"/>
          <w:szCs w:val="28"/>
          <w:rtl/>
        </w:rPr>
      </w:pPr>
    </w:p>
    <w:p w14:paraId="508C0A51" w14:textId="161A7C1F" w:rsidR="00B44DB6" w:rsidRPr="009E7CF6" w:rsidRDefault="00B44DB6" w:rsidP="009E7CF6">
      <w:pPr>
        <w:spacing w:line="360" w:lineRule="auto"/>
        <w:outlineLvl w:val="0"/>
        <w:rPr>
          <w:rFonts w:cs="David"/>
          <w:sz w:val="28"/>
          <w:szCs w:val="28"/>
          <w:u w:val="single"/>
          <w:rtl/>
        </w:rPr>
      </w:pPr>
      <w:r w:rsidRPr="009655E4">
        <w:rPr>
          <w:rFonts w:cs="David"/>
          <w:sz w:val="28"/>
          <w:szCs w:val="28"/>
          <w:u w:val="single"/>
          <w:rtl/>
        </w:rPr>
        <w:lastRenderedPageBreak/>
        <w:t>קביעת עונשו של המערער בתוך מתחם הע</w:t>
      </w:r>
      <w:r w:rsidR="009C2037" w:rsidRPr="009655E4">
        <w:rPr>
          <w:rFonts w:cs="David" w:hint="cs"/>
          <w:sz w:val="28"/>
          <w:szCs w:val="28"/>
          <w:u w:val="single"/>
          <w:rtl/>
        </w:rPr>
        <w:t>ונש ההולם</w:t>
      </w:r>
      <w:r w:rsidRPr="009655E4">
        <w:rPr>
          <w:rFonts w:cs="David"/>
          <w:sz w:val="28"/>
          <w:szCs w:val="28"/>
          <w:u w:val="single"/>
          <w:rtl/>
        </w:rPr>
        <w:t xml:space="preserve"> </w:t>
      </w:r>
    </w:p>
    <w:p w14:paraId="2774A423" w14:textId="11186F75" w:rsidR="009C2037" w:rsidRDefault="00B44DB6" w:rsidP="001A563F">
      <w:pPr>
        <w:numPr>
          <w:ilvl w:val="0"/>
          <w:numId w:val="5"/>
        </w:numPr>
        <w:tabs>
          <w:tab w:val="left" w:pos="282"/>
        </w:tabs>
        <w:spacing w:line="360" w:lineRule="auto"/>
        <w:ind w:left="-1" w:firstLine="0"/>
        <w:jc w:val="both"/>
        <w:rPr>
          <w:rFonts w:cs="David"/>
          <w:sz w:val="28"/>
          <w:szCs w:val="28"/>
        </w:rPr>
      </w:pPr>
      <w:r w:rsidRPr="00B44DB6">
        <w:rPr>
          <w:rFonts w:cs="David"/>
          <w:sz w:val="28"/>
          <w:szCs w:val="28"/>
          <w:rtl/>
        </w:rPr>
        <w:t xml:space="preserve">אף בקביעת העונש הראוי בתוך </w:t>
      </w:r>
      <w:r w:rsidR="009C2037">
        <w:rPr>
          <w:rFonts w:cs="David" w:hint="cs"/>
          <w:sz w:val="28"/>
          <w:szCs w:val="28"/>
          <w:rtl/>
        </w:rPr>
        <w:t>ה</w:t>
      </w:r>
      <w:r w:rsidRPr="00B44DB6">
        <w:rPr>
          <w:rFonts w:cs="David"/>
          <w:sz w:val="28"/>
          <w:szCs w:val="28"/>
          <w:rtl/>
        </w:rPr>
        <w:t>מתחם, סברנו כי יש מקום להחמרה משמעותית ב</w:t>
      </w:r>
      <w:r w:rsidR="009C2037">
        <w:rPr>
          <w:rFonts w:cs="David" w:hint="cs"/>
          <w:sz w:val="28"/>
          <w:szCs w:val="28"/>
          <w:rtl/>
        </w:rPr>
        <w:t xml:space="preserve">עונשו </w:t>
      </w:r>
      <w:r w:rsidRPr="00B44DB6">
        <w:rPr>
          <w:rFonts w:cs="David"/>
          <w:sz w:val="28"/>
          <w:szCs w:val="28"/>
          <w:rtl/>
        </w:rPr>
        <w:t>של המערער</w:t>
      </w:r>
      <w:r w:rsidR="00CB639D">
        <w:rPr>
          <w:rFonts w:cs="David" w:hint="cs"/>
          <w:sz w:val="28"/>
          <w:szCs w:val="28"/>
          <w:rtl/>
        </w:rPr>
        <w:t xml:space="preserve">. </w:t>
      </w:r>
    </w:p>
    <w:p w14:paraId="40C99CF8" w14:textId="717885D6" w:rsidR="00451637" w:rsidRDefault="009C2037"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תחילה נציין את צרכי </w:t>
      </w:r>
      <w:r w:rsidR="00B44DB6" w:rsidRPr="00B44DB6">
        <w:rPr>
          <w:rFonts w:cs="David"/>
          <w:sz w:val="28"/>
          <w:szCs w:val="28"/>
          <w:rtl/>
        </w:rPr>
        <w:t>הרתעת הרבים (סעיף 40ז לחוק העונשין)</w:t>
      </w:r>
      <w:r>
        <w:rPr>
          <w:rFonts w:cs="David" w:hint="cs"/>
          <w:sz w:val="28"/>
          <w:szCs w:val="28"/>
          <w:rtl/>
        </w:rPr>
        <w:t>,</w:t>
      </w:r>
      <w:r w:rsidR="00B44DB6" w:rsidRPr="00B44DB6">
        <w:rPr>
          <w:rFonts w:cs="David"/>
          <w:sz w:val="28"/>
          <w:szCs w:val="28"/>
          <w:rtl/>
        </w:rPr>
        <w:t xml:space="preserve"> </w:t>
      </w:r>
      <w:r>
        <w:rPr>
          <w:rFonts w:cs="David" w:hint="cs"/>
          <w:sz w:val="28"/>
          <w:szCs w:val="28"/>
          <w:rtl/>
        </w:rPr>
        <w:t>הן ל</w:t>
      </w:r>
      <w:r w:rsidR="00B44DB6" w:rsidRPr="00B44DB6">
        <w:rPr>
          <w:rFonts w:cs="David"/>
          <w:sz w:val="28"/>
          <w:szCs w:val="28"/>
          <w:rtl/>
        </w:rPr>
        <w:t xml:space="preserve">נוכח </w:t>
      </w:r>
      <w:r>
        <w:rPr>
          <w:rFonts w:cs="David" w:hint="cs"/>
          <w:sz w:val="28"/>
          <w:szCs w:val="28"/>
          <w:rtl/>
        </w:rPr>
        <w:t xml:space="preserve">התופעה </w:t>
      </w:r>
      <w:r w:rsidR="00CB639D">
        <w:rPr>
          <w:rFonts w:cs="David" w:hint="cs"/>
          <w:sz w:val="28"/>
          <w:szCs w:val="28"/>
          <w:rtl/>
        </w:rPr>
        <w:t xml:space="preserve">הגוברת </w:t>
      </w:r>
      <w:r>
        <w:rPr>
          <w:rFonts w:cs="David" w:hint="cs"/>
          <w:sz w:val="28"/>
          <w:szCs w:val="28"/>
          <w:rtl/>
        </w:rPr>
        <w:t xml:space="preserve">של </w:t>
      </w:r>
      <w:r w:rsidR="00B44DB6" w:rsidRPr="00B44DB6">
        <w:rPr>
          <w:rFonts w:cs="David"/>
          <w:sz w:val="28"/>
          <w:szCs w:val="28"/>
          <w:rtl/>
        </w:rPr>
        <w:t xml:space="preserve">עבירות </w:t>
      </w:r>
      <w:r>
        <w:rPr>
          <w:rFonts w:cs="David" w:hint="cs"/>
          <w:sz w:val="28"/>
          <w:szCs w:val="28"/>
          <w:rtl/>
        </w:rPr>
        <w:t>מין מרחוק, הן לנוכח הקלות היחסית בביצוען</w:t>
      </w:r>
      <w:r w:rsidR="00B44DB6" w:rsidRPr="00B44DB6">
        <w:rPr>
          <w:rFonts w:cs="David"/>
          <w:sz w:val="28"/>
          <w:szCs w:val="28"/>
          <w:rtl/>
        </w:rPr>
        <w:t xml:space="preserve">, </w:t>
      </w:r>
      <w:r>
        <w:rPr>
          <w:rFonts w:cs="David" w:hint="cs"/>
          <w:sz w:val="28"/>
          <w:szCs w:val="28"/>
          <w:rtl/>
        </w:rPr>
        <w:t xml:space="preserve">והן </w:t>
      </w:r>
      <w:r w:rsidR="00A55206">
        <w:rPr>
          <w:rFonts w:cs="David" w:hint="cs"/>
          <w:sz w:val="28"/>
          <w:szCs w:val="28"/>
          <w:rtl/>
        </w:rPr>
        <w:t>-</w:t>
      </w:r>
      <w:r>
        <w:rPr>
          <w:rFonts w:cs="David" w:hint="cs"/>
          <w:sz w:val="28"/>
          <w:szCs w:val="28"/>
          <w:rtl/>
        </w:rPr>
        <w:t xml:space="preserve"> לנוכח </w:t>
      </w:r>
      <w:r w:rsidR="00B44DB6" w:rsidRPr="00B44DB6">
        <w:rPr>
          <w:rFonts w:cs="David"/>
          <w:sz w:val="28"/>
          <w:szCs w:val="28"/>
          <w:rtl/>
        </w:rPr>
        <w:t xml:space="preserve">הצורך להחמיר בענישה </w:t>
      </w:r>
      <w:r>
        <w:rPr>
          <w:rFonts w:cs="David" w:hint="cs"/>
          <w:sz w:val="28"/>
          <w:szCs w:val="28"/>
          <w:rtl/>
        </w:rPr>
        <w:t xml:space="preserve">במקרים דומים על מנת </w:t>
      </w:r>
      <w:r w:rsidR="00B44DB6" w:rsidRPr="00B44DB6">
        <w:rPr>
          <w:rFonts w:cs="David"/>
          <w:sz w:val="28"/>
          <w:szCs w:val="28"/>
          <w:rtl/>
        </w:rPr>
        <w:t xml:space="preserve">להגן על המשרתים בצה"ל מפני פגיעה בפרטיותם ובחופש הרצון שלהם. </w:t>
      </w:r>
    </w:p>
    <w:p w14:paraId="1197B029" w14:textId="75F837FB" w:rsidR="00B44DB6" w:rsidRPr="00B44DB6" w:rsidRDefault="00B44DB6" w:rsidP="001A563F">
      <w:pPr>
        <w:numPr>
          <w:ilvl w:val="0"/>
          <w:numId w:val="5"/>
        </w:numPr>
        <w:tabs>
          <w:tab w:val="left" w:pos="282"/>
        </w:tabs>
        <w:spacing w:line="360" w:lineRule="auto"/>
        <w:ind w:left="-1" w:firstLine="0"/>
        <w:jc w:val="both"/>
        <w:rPr>
          <w:rFonts w:cs="David"/>
          <w:sz w:val="28"/>
          <w:szCs w:val="28"/>
          <w:rtl/>
        </w:rPr>
      </w:pPr>
      <w:r w:rsidRPr="00B44DB6">
        <w:rPr>
          <w:rFonts w:cs="David"/>
          <w:sz w:val="28"/>
          <w:szCs w:val="28"/>
          <w:rtl/>
        </w:rPr>
        <w:t>לכך יש להוסיף את התנהלותו של המערער בחקירה ו</w:t>
      </w:r>
      <w:r w:rsidR="00451637">
        <w:rPr>
          <w:rFonts w:cs="David" w:hint="cs"/>
          <w:sz w:val="28"/>
          <w:szCs w:val="28"/>
          <w:rtl/>
        </w:rPr>
        <w:t>אף במהלך המשפט</w:t>
      </w:r>
      <w:r w:rsidRPr="00B44DB6">
        <w:rPr>
          <w:rFonts w:cs="David"/>
          <w:sz w:val="28"/>
          <w:szCs w:val="28"/>
          <w:rtl/>
        </w:rPr>
        <w:t>, כפי שנסקרו בהרחבה על ידי בית הדין קמא. בסעיף 40יא(6) סיפא לחוק העונשין נקבע</w:t>
      </w:r>
      <w:r w:rsidR="00CB639D">
        <w:rPr>
          <w:rFonts w:cs="David" w:hint="cs"/>
          <w:sz w:val="28"/>
          <w:szCs w:val="28"/>
          <w:rtl/>
        </w:rPr>
        <w:t>,</w:t>
      </w:r>
      <w:r w:rsidRPr="00B44DB6">
        <w:rPr>
          <w:rFonts w:cs="David"/>
          <w:sz w:val="28"/>
          <w:szCs w:val="28"/>
          <w:rtl/>
        </w:rPr>
        <w:t xml:space="preserve"> כי כפירה באשמה וניהול המשפט על ידי הנאשם לא ייזקפו לחובתו; אך לצד זאת נקבעו כנסיבות מקלות בעת קביעת העונש - שיתוף פעולה עם רשויות החוק (סעיף 40יא(6) רישא), נטילת אחריות של הנאשם על מעשיו ונ</w:t>
      </w:r>
      <w:r w:rsidR="00CB639D">
        <w:rPr>
          <w:rFonts w:cs="David" w:hint="cs"/>
          <w:sz w:val="28"/>
          <w:szCs w:val="28"/>
          <w:rtl/>
        </w:rPr>
        <w:t>י</w:t>
      </w:r>
      <w:r w:rsidRPr="00B44DB6">
        <w:rPr>
          <w:rFonts w:cs="David"/>
          <w:sz w:val="28"/>
          <w:szCs w:val="28"/>
          <w:rtl/>
        </w:rPr>
        <w:t>סיון לשוב למוטב (סעיף 40יא(4))</w:t>
      </w:r>
      <w:r w:rsidR="00CB639D">
        <w:rPr>
          <w:rFonts w:cs="David" w:hint="cs"/>
          <w:sz w:val="28"/>
          <w:szCs w:val="28"/>
          <w:rtl/>
        </w:rPr>
        <w:t>, וכן</w:t>
      </w:r>
      <w:r w:rsidRPr="00B44DB6">
        <w:rPr>
          <w:rFonts w:cs="David"/>
          <w:sz w:val="28"/>
          <w:szCs w:val="28"/>
          <w:rtl/>
        </w:rPr>
        <w:t xml:space="preserve"> מאמצי הנאשם לתיקון תוצאות העבירה ולנזקים שנגרמו בגינה (סעיף 40יא(5)). כל אלה לא התקיימו במערער</w:t>
      </w:r>
      <w:r w:rsidR="00451637">
        <w:rPr>
          <w:rFonts w:cs="David" w:hint="cs"/>
          <w:sz w:val="28"/>
          <w:szCs w:val="28"/>
          <w:rtl/>
        </w:rPr>
        <w:t xml:space="preserve"> עד לשלב המאוחר שלאחר הדיון בערעור. המערער הכחיש את מעורבותו ב</w:t>
      </w:r>
      <w:r w:rsidRPr="00B44DB6">
        <w:rPr>
          <w:rFonts w:cs="David"/>
          <w:sz w:val="28"/>
          <w:szCs w:val="28"/>
          <w:rtl/>
        </w:rPr>
        <w:t xml:space="preserve">אירוע באופן עקבי, סירב </w:t>
      </w:r>
      <w:r w:rsidR="009632C9">
        <w:rPr>
          <w:rFonts w:cs="David" w:hint="cs"/>
          <w:sz w:val="28"/>
          <w:szCs w:val="28"/>
          <w:rtl/>
        </w:rPr>
        <w:t xml:space="preserve"> עד לאחרונה </w:t>
      </w:r>
      <w:r w:rsidRPr="00B44DB6">
        <w:rPr>
          <w:rFonts w:cs="David"/>
          <w:sz w:val="28"/>
          <w:szCs w:val="28"/>
          <w:rtl/>
        </w:rPr>
        <w:t xml:space="preserve">לבקשת גורמי החקירה לאפשר להם גישה לתיקיית התמונות שלו, </w:t>
      </w:r>
      <w:r w:rsidR="00451637">
        <w:rPr>
          <w:rFonts w:cs="David" w:hint="cs"/>
          <w:sz w:val="28"/>
          <w:szCs w:val="28"/>
          <w:rtl/>
        </w:rPr>
        <w:t>ו</w:t>
      </w:r>
      <w:r w:rsidRPr="00B44DB6">
        <w:rPr>
          <w:rFonts w:cs="David"/>
          <w:sz w:val="28"/>
          <w:szCs w:val="28"/>
          <w:rtl/>
        </w:rPr>
        <w:t xml:space="preserve">הותיר את נפגעת העבירה בחרדה מתמשכת מפני האפשרות כי נותר בידיו </w:t>
      </w:r>
      <w:r w:rsidR="00CB639D">
        <w:rPr>
          <w:rFonts w:cs="David" w:hint="cs"/>
          <w:sz w:val="28"/>
          <w:szCs w:val="28"/>
          <w:rtl/>
        </w:rPr>
        <w:t xml:space="preserve">תיעוד </w:t>
      </w:r>
      <w:r w:rsidRPr="00B44DB6">
        <w:rPr>
          <w:rFonts w:cs="David"/>
          <w:sz w:val="28"/>
          <w:szCs w:val="28"/>
          <w:rtl/>
        </w:rPr>
        <w:t>אינטימי</w:t>
      </w:r>
      <w:r w:rsidR="00CB639D">
        <w:rPr>
          <w:rFonts w:cs="David" w:hint="cs"/>
          <w:sz w:val="28"/>
          <w:szCs w:val="28"/>
          <w:rtl/>
        </w:rPr>
        <w:t>,</w:t>
      </w:r>
      <w:r w:rsidRPr="00B44DB6">
        <w:rPr>
          <w:rFonts w:cs="David"/>
          <w:sz w:val="28"/>
          <w:szCs w:val="28"/>
          <w:rtl/>
        </w:rPr>
        <w:t xml:space="preserve"> </w:t>
      </w:r>
      <w:r w:rsidR="00CB639D">
        <w:rPr>
          <w:rFonts w:cs="David" w:hint="cs"/>
          <w:sz w:val="28"/>
          <w:szCs w:val="28"/>
          <w:rtl/>
        </w:rPr>
        <w:t>שאותו יפיץ עם שחרורו מן המאסר</w:t>
      </w:r>
      <w:r w:rsidRPr="00B44DB6">
        <w:rPr>
          <w:rFonts w:cs="David"/>
          <w:sz w:val="28"/>
          <w:szCs w:val="28"/>
          <w:rtl/>
        </w:rPr>
        <w:t xml:space="preserve">. לפיכך, בדין נקבע על ידי בית הדין קמא, כי המערער אינו זכאי ליהנות מההקלה </w:t>
      </w:r>
      <w:r w:rsidR="00CB639D">
        <w:rPr>
          <w:rFonts w:cs="David" w:hint="cs"/>
          <w:sz w:val="28"/>
          <w:szCs w:val="28"/>
          <w:rtl/>
        </w:rPr>
        <w:t>ה</w:t>
      </w:r>
      <w:r w:rsidR="00CB639D" w:rsidRPr="00B44DB6">
        <w:rPr>
          <w:rFonts w:cs="David"/>
          <w:sz w:val="28"/>
          <w:szCs w:val="28"/>
          <w:rtl/>
        </w:rPr>
        <w:t xml:space="preserve">ניתנת </w:t>
      </w:r>
      <w:r w:rsidRPr="00B44DB6">
        <w:rPr>
          <w:rFonts w:cs="David"/>
          <w:sz w:val="28"/>
          <w:szCs w:val="28"/>
          <w:rtl/>
        </w:rPr>
        <w:t xml:space="preserve">למי שהביע חרטה ונטל אחריות למעשיו (ע"פ </w:t>
      </w:r>
      <w:r w:rsidR="00EE3D55">
        <w:rPr>
          <w:rFonts w:cs="David" w:hint="cs"/>
          <w:sz w:val="28"/>
          <w:szCs w:val="28"/>
          <w:rtl/>
        </w:rPr>
        <w:t xml:space="preserve"> </w:t>
      </w:r>
      <w:r w:rsidRPr="00B44DB6">
        <w:rPr>
          <w:rFonts w:cs="David"/>
          <w:sz w:val="28"/>
          <w:szCs w:val="28"/>
          <w:rtl/>
        </w:rPr>
        <w:t xml:space="preserve">5927/15 </w:t>
      </w:r>
      <w:r w:rsidRPr="0073787A">
        <w:rPr>
          <w:rFonts w:cs="David"/>
          <w:b/>
          <w:bCs/>
          <w:sz w:val="28"/>
          <w:szCs w:val="28"/>
          <w:rtl/>
        </w:rPr>
        <w:t>פלוני נ' מדינת ישראל</w:t>
      </w:r>
      <w:r w:rsidR="00CB639D">
        <w:rPr>
          <w:rFonts w:cs="David" w:hint="cs"/>
          <w:sz w:val="28"/>
          <w:szCs w:val="28"/>
          <w:rtl/>
        </w:rPr>
        <w:t>,</w:t>
      </w:r>
      <w:r w:rsidR="00695D5D">
        <w:rPr>
          <w:rFonts w:cs="David"/>
          <w:sz w:val="28"/>
          <w:szCs w:val="28"/>
          <w:rtl/>
        </w:rPr>
        <w:t xml:space="preserve"> פסקה 11 (</w:t>
      </w:r>
      <w:r w:rsidR="0035073D">
        <w:rPr>
          <w:rFonts w:cs="David" w:hint="cs"/>
          <w:sz w:val="28"/>
          <w:szCs w:val="28"/>
          <w:rtl/>
        </w:rPr>
        <w:t xml:space="preserve">לא פורסם, </w:t>
      </w:r>
      <w:r w:rsidR="00695D5D">
        <w:rPr>
          <w:rFonts w:cs="David" w:hint="cs"/>
          <w:sz w:val="28"/>
          <w:szCs w:val="28"/>
          <w:rtl/>
        </w:rPr>
        <w:t>11.7.2016</w:t>
      </w:r>
      <w:r w:rsidRPr="00B44DB6">
        <w:rPr>
          <w:rFonts w:cs="David"/>
          <w:sz w:val="28"/>
          <w:szCs w:val="28"/>
          <w:rtl/>
        </w:rPr>
        <w:t xml:space="preserve">)). </w:t>
      </w:r>
    </w:p>
    <w:p w14:paraId="034DD51D" w14:textId="48C636C3" w:rsidR="00774653" w:rsidRDefault="00451637"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להתנהלותו של המערער בחקירה ובמשפט, כמו גם להתרשמותו של מעריך המסוכנות ולהתרשמותו של בית הדין המחוזי, חשיבות אף בכל הנוגע להערכת פוטנציאל השיקום. אכן, המערער חזר בו מן הערעור על הקביעות העובדתיות בהכרעת הדין המרשיעה בעניינו, הקדים ושילם את הפיצויים המירביים על פי חוק השיפוט הצבאי לנפגעת העבירה</w:t>
      </w:r>
      <w:r w:rsidR="00CB639D">
        <w:rPr>
          <w:rFonts w:cs="David" w:hint="cs"/>
          <w:sz w:val="28"/>
          <w:szCs w:val="28"/>
          <w:rtl/>
        </w:rPr>
        <w:t>, מעבר לסכום שנפסק,</w:t>
      </w:r>
      <w:r>
        <w:rPr>
          <w:rFonts w:cs="David" w:hint="cs"/>
          <w:sz w:val="28"/>
          <w:szCs w:val="28"/>
          <w:rtl/>
        </w:rPr>
        <w:t xml:space="preserve"> ואף נאות, בסופו של דבר</w:t>
      </w:r>
      <w:r w:rsidR="00CB639D">
        <w:rPr>
          <w:rFonts w:cs="David" w:hint="cs"/>
          <w:sz w:val="28"/>
          <w:szCs w:val="28"/>
          <w:rtl/>
        </w:rPr>
        <w:t>,</w:t>
      </w:r>
      <w:r>
        <w:rPr>
          <w:rFonts w:cs="David" w:hint="cs"/>
          <w:sz w:val="28"/>
          <w:szCs w:val="28"/>
          <w:rtl/>
        </w:rPr>
        <w:t xml:space="preserve"> להתיר גישה לתיקיית התמונות שלו ברשת, על מנת להקל מעט מחרדותיה ומסבלה של נפגעת העבירה; ועדיין </w:t>
      </w:r>
      <w:r w:rsidR="00A55206">
        <w:rPr>
          <w:rFonts w:cs="David" w:hint="cs"/>
          <w:sz w:val="28"/>
          <w:szCs w:val="28"/>
          <w:rtl/>
        </w:rPr>
        <w:t>-</w:t>
      </w:r>
      <w:r>
        <w:rPr>
          <w:rFonts w:cs="David" w:hint="cs"/>
          <w:sz w:val="28"/>
          <w:szCs w:val="28"/>
          <w:rtl/>
        </w:rPr>
        <w:t xml:space="preserve"> התמונה המלאה מעלה כי הוא אינו מפנים לחלוטין את מימדי כישלונו ואת ההשלכות מרחיקות הלכת של מעשיו. </w:t>
      </w:r>
      <w:r w:rsidR="00A55206">
        <w:rPr>
          <w:rFonts w:cs="David" w:hint="cs"/>
          <w:sz w:val="28"/>
          <w:szCs w:val="28"/>
          <w:rtl/>
        </w:rPr>
        <w:t>מכאן כי הד</w:t>
      </w:r>
      <w:r>
        <w:rPr>
          <w:rFonts w:cs="David" w:hint="cs"/>
          <w:sz w:val="28"/>
          <w:szCs w:val="28"/>
          <w:rtl/>
        </w:rPr>
        <w:t>רך לשיקומו עוד רחוקה וארוכה</w:t>
      </w:r>
      <w:r w:rsidR="00774653">
        <w:rPr>
          <w:rFonts w:cs="David" w:hint="cs"/>
          <w:sz w:val="28"/>
          <w:szCs w:val="28"/>
          <w:rtl/>
        </w:rPr>
        <w:t xml:space="preserve"> (ראו והשוו:</w:t>
      </w:r>
      <w:r w:rsidR="00774653" w:rsidRPr="00774653">
        <w:rPr>
          <w:rFonts w:cs="David"/>
          <w:sz w:val="28"/>
          <w:szCs w:val="28"/>
          <w:rtl/>
        </w:rPr>
        <w:t xml:space="preserve"> ע</w:t>
      </w:r>
      <w:r w:rsidR="00774653" w:rsidRPr="00774653">
        <w:rPr>
          <w:rFonts w:cs="David" w:hint="cs"/>
          <w:sz w:val="28"/>
          <w:szCs w:val="28"/>
          <w:rtl/>
        </w:rPr>
        <w:t>"</w:t>
      </w:r>
      <w:r w:rsidR="00774653" w:rsidRPr="00774653">
        <w:rPr>
          <w:rFonts w:cs="David"/>
          <w:sz w:val="28"/>
          <w:szCs w:val="28"/>
          <w:rtl/>
        </w:rPr>
        <w:t xml:space="preserve">פ 8377/18 </w:t>
      </w:r>
      <w:r w:rsidR="00774653" w:rsidRPr="00774653">
        <w:rPr>
          <w:rFonts w:cs="David"/>
          <w:b/>
          <w:bCs/>
          <w:sz w:val="28"/>
          <w:szCs w:val="28"/>
          <w:rtl/>
        </w:rPr>
        <w:t>פלוני נ' מדינת ישראל</w:t>
      </w:r>
      <w:r w:rsidR="00774653" w:rsidRPr="00774653">
        <w:rPr>
          <w:rFonts w:cs="David" w:hint="cs"/>
          <w:sz w:val="28"/>
          <w:szCs w:val="28"/>
          <w:rtl/>
        </w:rPr>
        <w:t>, פסקה 13 (</w:t>
      </w:r>
      <w:r w:rsidR="0035073D">
        <w:rPr>
          <w:rFonts w:cs="David" w:hint="cs"/>
          <w:sz w:val="28"/>
          <w:szCs w:val="28"/>
          <w:rtl/>
        </w:rPr>
        <w:t xml:space="preserve">לא פורסם, </w:t>
      </w:r>
      <w:r w:rsidR="00774653" w:rsidRPr="00774653">
        <w:rPr>
          <w:rFonts w:cs="David" w:hint="cs"/>
          <w:sz w:val="28"/>
          <w:szCs w:val="28"/>
          <w:rtl/>
        </w:rPr>
        <w:t>31.7.2019)</w:t>
      </w:r>
      <w:r w:rsidR="00774653">
        <w:rPr>
          <w:rFonts w:cs="David" w:hint="cs"/>
          <w:sz w:val="28"/>
          <w:szCs w:val="28"/>
          <w:rtl/>
        </w:rPr>
        <w:t xml:space="preserve">; </w:t>
      </w:r>
      <w:r w:rsidR="00774653" w:rsidRPr="00774653">
        <w:rPr>
          <w:rFonts w:cs="David"/>
          <w:sz w:val="28"/>
          <w:szCs w:val="28"/>
          <w:rtl/>
        </w:rPr>
        <w:t xml:space="preserve">ע"פ 6637/17 </w:t>
      </w:r>
      <w:r w:rsidR="00774653" w:rsidRPr="00774653">
        <w:rPr>
          <w:rFonts w:cs="David"/>
          <w:b/>
          <w:bCs/>
          <w:sz w:val="28"/>
          <w:szCs w:val="28"/>
          <w:rtl/>
        </w:rPr>
        <w:t>קרנדל נ' מדינת ישראל</w:t>
      </w:r>
      <w:r w:rsidR="00774653" w:rsidRPr="00774653">
        <w:rPr>
          <w:rFonts w:cs="David" w:hint="cs"/>
          <w:sz w:val="28"/>
          <w:szCs w:val="28"/>
          <w:rtl/>
        </w:rPr>
        <w:t xml:space="preserve">, </w:t>
      </w:r>
      <w:r w:rsidR="00774653" w:rsidRPr="00774653">
        <w:rPr>
          <w:rFonts w:cs="David"/>
          <w:sz w:val="28"/>
          <w:szCs w:val="28"/>
          <w:rtl/>
        </w:rPr>
        <w:t>פסקה 23 (</w:t>
      </w:r>
      <w:r w:rsidR="0035073D">
        <w:rPr>
          <w:rFonts w:cs="David" w:hint="cs"/>
          <w:sz w:val="28"/>
          <w:szCs w:val="28"/>
          <w:rtl/>
        </w:rPr>
        <w:t xml:space="preserve">לא פורסם, </w:t>
      </w:r>
      <w:r w:rsidR="00774653" w:rsidRPr="00774653">
        <w:rPr>
          <w:rFonts w:cs="David"/>
          <w:sz w:val="28"/>
          <w:szCs w:val="28"/>
          <w:rtl/>
        </w:rPr>
        <w:t>18.4.2018)</w:t>
      </w:r>
      <w:r w:rsidR="00774653">
        <w:rPr>
          <w:rFonts w:cs="David" w:hint="cs"/>
          <w:sz w:val="28"/>
          <w:szCs w:val="28"/>
          <w:rtl/>
        </w:rPr>
        <w:t>)</w:t>
      </w:r>
      <w:r w:rsidR="00CB639D">
        <w:rPr>
          <w:rFonts w:cs="David" w:hint="cs"/>
          <w:sz w:val="28"/>
          <w:szCs w:val="28"/>
          <w:rtl/>
        </w:rPr>
        <w:t>.</w:t>
      </w:r>
    </w:p>
    <w:p w14:paraId="5BF56032" w14:textId="1AE191EB" w:rsidR="00B44DB6" w:rsidRPr="00B44DB6" w:rsidRDefault="00451637"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 xml:space="preserve">שיקולי ההלימה וההרתעה במקרה דנן ופוטנציאל השיקום המצומצם של המערער, מצביעים על הצורך להחמיר בעונשו. אכן, </w:t>
      </w:r>
      <w:r w:rsidR="00774653">
        <w:rPr>
          <w:rFonts w:cs="David" w:hint="cs"/>
          <w:sz w:val="28"/>
          <w:szCs w:val="28"/>
          <w:rtl/>
        </w:rPr>
        <w:t xml:space="preserve">כטענת התביעה, </w:t>
      </w:r>
      <w:r>
        <w:rPr>
          <w:rFonts w:cs="David" w:hint="cs"/>
          <w:sz w:val="28"/>
          <w:szCs w:val="28"/>
          <w:rtl/>
        </w:rPr>
        <w:t>עונש הממוקם בחציו העליון של מתחם העונש ההולם מ</w:t>
      </w:r>
      <w:r w:rsidR="00774653">
        <w:rPr>
          <w:rFonts w:cs="David" w:hint="cs"/>
          <w:sz w:val="28"/>
          <w:szCs w:val="28"/>
          <w:rtl/>
        </w:rPr>
        <w:t>בטא</w:t>
      </w:r>
      <w:r>
        <w:rPr>
          <w:rFonts w:cs="David" w:hint="cs"/>
          <w:sz w:val="28"/>
          <w:szCs w:val="28"/>
          <w:rtl/>
        </w:rPr>
        <w:t xml:space="preserve"> את האיזון הראוי בין שיקולי הענישה </w:t>
      </w:r>
      <w:r>
        <w:rPr>
          <w:rFonts w:cs="David" w:hint="cs"/>
          <w:sz w:val="28"/>
          <w:szCs w:val="28"/>
          <w:rtl/>
        </w:rPr>
        <w:lastRenderedPageBreak/>
        <w:t xml:space="preserve">ומשקף את החומרה היתרה </w:t>
      </w:r>
      <w:r w:rsidR="00774653">
        <w:rPr>
          <w:rFonts w:cs="David" w:hint="cs"/>
          <w:sz w:val="28"/>
          <w:szCs w:val="28"/>
          <w:rtl/>
        </w:rPr>
        <w:t xml:space="preserve">הגלומה </w:t>
      </w:r>
      <w:r>
        <w:rPr>
          <w:rFonts w:cs="David" w:hint="cs"/>
          <w:sz w:val="28"/>
          <w:szCs w:val="28"/>
          <w:rtl/>
        </w:rPr>
        <w:t xml:space="preserve">במעשיו של המערער. עם זאת, לאחר שהמערער חזר בו מן הערעור על הקביעות העובדתיות בהכרעת הדין </w:t>
      </w:r>
      <w:r w:rsidR="00A55206">
        <w:rPr>
          <w:rFonts w:cs="David" w:hint="cs"/>
          <w:sz w:val="28"/>
          <w:szCs w:val="28"/>
          <w:rtl/>
        </w:rPr>
        <w:t xml:space="preserve"> </w:t>
      </w:r>
      <w:r>
        <w:rPr>
          <w:rFonts w:cs="David" w:hint="cs"/>
          <w:sz w:val="28"/>
          <w:szCs w:val="28"/>
          <w:rtl/>
        </w:rPr>
        <w:t>המרשיעה</w:t>
      </w:r>
      <w:r w:rsidR="00AD105D">
        <w:rPr>
          <w:rFonts w:cs="David" w:hint="cs"/>
          <w:sz w:val="28"/>
          <w:szCs w:val="28"/>
          <w:rtl/>
        </w:rPr>
        <w:t xml:space="preserve"> (</w:t>
      </w:r>
      <w:r w:rsidR="00AD105D" w:rsidRPr="00AD105D">
        <w:rPr>
          <w:rFonts w:cs="David"/>
          <w:sz w:val="28"/>
          <w:szCs w:val="28"/>
          <w:rtl/>
        </w:rPr>
        <w:t xml:space="preserve">אף כי אין הוא שקול לנאשם המודה כבר בתחילת הדרך (ע"פ 5927/15 </w:t>
      </w:r>
      <w:r w:rsidR="00AD105D" w:rsidRPr="00276B99">
        <w:rPr>
          <w:rFonts w:cs="David" w:hint="eastAsia"/>
          <w:b/>
          <w:bCs/>
          <w:sz w:val="28"/>
          <w:szCs w:val="28"/>
          <w:rtl/>
        </w:rPr>
        <w:t>פלוני</w:t>
      </w:r>
      <w:r w:rsidR="00AD105D">
        <w:rPr>
          <w:rFonts w:cs="David" w:hint="cs"/>
          <w:sz w:val="28"/>
          <w:szCs w:val="28"/>
          <w:rtl/>
        </w:rPr>
        <w:t xml:space="preserve"> לעיל, </w:t>
      </w:r>
      <w:r w:rsidR="00AD105D" w:rsidRPr="00AD105D">
        <w:rPr>
          <w:rFonts w:cs="David"/>
          <w:sz w:val="28"/>
          <w:szCs w:val="28"/>
          <w:rtl/>
        </w:rPr>
        <w:t>פסקה 11)</w:t>
      </w:r>
      <w:r w:rsidR="00AD105D">
        <w:rPr>
          <w:rFonts w:cs="David" w:hint="cs"/>
          <w:sz w:val="28"/>
          <w:szCs w:val="28"/>
          <w:rtl/>
        </w:rPr>
        <w:t>);</w:t>
      </w:r>
      <w:r w:rsidR="00AD105D" w:rsidRPr="00AD105D">
        <w:rPr>
          <w:rFonts w:cs="David"/>
          <w:sz w:val="28"/>
          <w:szCs w:val="28"/>
          <w:rtl/>
        </w:rPr>
        <w:t xml:space="preserve"> </w:t>
      </w:r>
      <w:r>
        <w:rPr>
          <w:rFonts w:cs="David" w:hint="cs"/>
          <w:sz w:val="28"/>
          <w:szCs w:val="28"/>
          <w:rtl/>
        </w:rPr>
        <w:t>מששילם מיוזמתו את הסכום המירבי לפיצויים</w:t>
      </w:r>
      <w:r w:rsidR="00AD105D">
        <w:rPr>
          <w:rFonts w:cs="David" w:hint="cs"/>
          <w:sz w:val="28"/>
          <w:szCs w:val="28"/>
          <w:rtl/>
        </w:rPr>
        <w:t>;</w:t>
      </w:r>
      <w:r>
        <w:rPr>
          <w:rFonts w:cs="David" w:hint="cs"/>
          <w:sz w:val="28"/>
          <w:szCs w:val="28"/>
          <w:rtl/>
        </w:rPr>
        <w:t xml:space="preserve"> לאחר שהביע דברי חרטה לפנינו</w:t>
      </w:r>
      <w:r w:rsidR="00AD105D">
        <w:rPr>
          <w:rFonts w:cs="David" w:hint="cs"/>
          <w:sz w:val="28"/>
          <w:szCs w:val="28"/>
          <w:rtl/>
        </w:rPr>
        <w:t>;</w:t>
      </w:r>
      <w:r>
        <w:rPr>
          <w:rFonts w:cs="David" w:hint="cs"/>
          <w:sz w:val="28"/>
          <w:szCs w:val="28"/>
          <w:rtl/>
        </w:rPr>
        <w:t xml:space="preserve"> לאחר שאפשר </w:t>
      </w:r>
      <w:r w:rsidR="00AD105D">
        <w:rPr>
          <w:rFonts w:cs="David" w:hint="cs"/>
          <w:sz w:val="28"/>
          <w:szCs w:val="28"/>
          <w:rtl/>
        </w:rPr>
        <w:t xml:space="preserve">לחוקרים </w:t>
      </w:r>
      <w:r>
        <w:rPr>
          <w:rFonts w:cs="David" w:hint="cs"/>
          <w:sz w:val="28"/>
          <w:szCs w:val="28"/>
          <w:rtl/>
        </w:rPr>
        <w:t>גישה לתיקיות התמונות שלו ברשת</w:t>
      </w:r>
      <w:r w:rsidR="00AD105D">
        <w:rPr>
          <w:rFonts w:cs="David" w:hint="cs"/>
          <w:sz w:val="28"/>
          <w:szCs w:val="28"/>
          <w:rtl/>
        </w:rPr>
        <w:t>;</w:t>
      </w:r>
      <w:r>
        <w:rPr>
          <w:rFonts w:cs="David" w:hint="cs"/>
          <w:sz w:val="28"/>
          <w:szCs w:val="28"/>
          <w:rtl/>
        </w:rPr>
        <w:t xml:space="preserve"> </w:t>
      </w:r>
      <w:r w:rsidR="00AD105D">
        <w:rPr>
          <w:rFonts w:cs="David" w:hint="cs"/>
          <w:sz w:val="28"/>
          <w:szCs w:val="28"/>
          <w:rtl/>
        </w:rPr>
        <w:t>ב</w:t>
      </w:r>
      <w:r w:rsidR="00AD105D" w:rsidRPr="00AD105D">
        <w:rPr>
          <w:rFonts w:cs="David"/>
          <w:sz w:val="28"/>
          <w:szCs w:val="28"/>
          <w:rtl/>
        </w:rPr>
        <w:t>התחשב ב</w:t>
      </w:r>
      <w:r w:rsidR="00AD105D">
        <w:rPr>
          <w:rFonts w:cs="David" w:hint="cs"/>
          <w:sz w:val="28"/>
          <w:szCs w:val="28"/>
          <w:rtl/>
        </w:rPr>
        <w:t xml:space="preserve">השלכות הקשות של מאסרו על </w:t>
      </w:r>
      <w:r w:rsidR="00AD105D" w:rsidRPr="00AD105D">
        <w:rPr>
          <w:rFonts w:cs="David"/>
          <w:sz w:val="28"/>
          <w:szCs w:val="28"/>
          <w:rtl/>
        </w:rPr>
        <w:t>משפחתו</w:t>
      </w:r>
      <w:r w:rsidR="00AD105D">
        <w:rPr>
          <w:rFonts w:cs="David" w:hint="cs"/>
          <w:sz w:val="28"/>
          <w:szCs w:val="28"/>
          <w:rtl/>
        </w:rPr>
        <w:t xml:space="preserve"> </w:t>
      </w:r>
      <w:r w:rsidR="00AD105D" w:rsidRPr="00AD105D">
        <w:rPr>
          <w:rFonts w:cs="David"/>
          <w:sz w:val="28"/>
          <w:szCs w:val="28"/>
          <w:rtl/>
        </w:rPr>
        <w:t>(סעיף 40יא(2) לחוק העונשין)</w:t>
      </w:r>
      <w:r w:rsidR="00AD105D">
        <w:rPr>
          <w:rFonts w:cs="David" w:hint="cs"/>
          <w:sz w:val="28"/>
          <w:szCs w:val="28"/>
          <w:rtl/>
        </w:rPr>
        <w:t>;</w:t>
      </w:r>
      <w:r w:rsidR="00AD105D" w:rsidRPr="00AD105D">
        <w:rPr>
          <w:rFonts w:cs="David" w:hint="cs"/>
          <w:sz w:val="28"/>
          <w:szCs w:val="28"/>
          <w:rtl/>
        </w:rPr>
        <w:t xml:space="preserve"> </w:t>
      </w:r>
      <w:r>
        <w:rPr>
          <w:rFonts w:cs="David" w:hint="cs"/>
          <w:sz w:val="28"/>
          <w:szCs w:val="28"/>
          <w:rtl/>
        </w:rPr>
        <w:t xml:space="preserve">ואף </w:t>
      </w:r>
      <w:r w:rsidR="00AD105D">
        <w:rPr>
          <w:rFonts w:cs="David" w:hint="cs"/>
          <w:sz w:val="28"/>
          <w:szCs w:val="28"/>
          <w:rtl/>
        </w:rPr>
        <w:t xml:space="preserve">לנוכח הכלל שלפיו </w:t>
      </w:r>
      <w:r>
        <w:rPr>
          <w:rFonts w:cs="David" w:hint="cs"/>
          <w:sz w:val="28"/>
          <w:szCs w:val="28"/>
          <w:rtl/>
        </w:rPr>
        <w:t xml:space="preserve">ערכאת הערעור אינה ממצה את הדין בקבלה את ערעור התביעה על קולת העונש </w:t>
      </w:r>
      <w:r w:rsidR="007F0611">
        <w:rPr>
          <w:rFonts w:cs="David" w:hint="cs"/>
          <w:sz w:val="28"/>
          <w:szCs w:val="28"/>
          <w:rtl/>
        </w:rPr>
        <w:t xml:space="preserve">(ע"פ 5476/16 </w:t>
      </w:r>
      <w:r w:rsidR="007F0611">
        <w:rPr>
          <w:rFonts w:cs="David" w:hint="cs"/>
          <w:b/>
          <w:bCs/>
          <w:sz w:val="28"/>
          <w:szCs w:val="28"/>
          <w:rtl/>
        </w:rPr>
        <w:t xml:space="preserve">מדינת ישראל נ' שוקאר אלהוזייל, </w:t>
      </w:r>
      <w:r w:rsidR="007F0611">
        <w:rPr>
          <w:rFonts w:cs="David" w:hint="cs"/>
          <w:sz w:val="28"/>
          <w:szCs w:val="28"/>
          <w:rtl/>
        </w:rPr>
        <w:t>פסקה 13 (</w:t>
      </w:r>
      <w:r w:rsidR="0035073D">
        <w:rPr>
          <w:rFonts w:cs="David" w:hint="cs"/>
          <w:sz w:val="28"/>
          <w:szCs w:val="28"/>
          <w:rtl/>
        </w:rPr>
        <w:t xml:space="preserve">לא פורסם, </w:t>
      </w:r>
      <w:r w:rsidR="007F0611">
        <w:rPr>
          <w:rFonts w:cs="David" w:hint="cs"/>
          <w:sz w:val="28"/>
          <w:szCs w:val="28"/>
          <w:rtl/>
        </w:rPr>
        <w:t>6.4.2017) -</w:t>
      </w:r>
      <w:r>
        <w:rPr>
          <w:rFonts w:cs="David" w:hint="cs"/>
          <w:sz w:val="28"/>
          <w:szCs w:val="28"/>
          <w:rtl/>
        </w:rPr>
        <w:t xml:space="preserve"> סברנו</w:t>
      </w:r>
      <w:r w:rsidR="00AD105D">
        <w:rPr>
          <w:rFonts w:cs="David" w:hint="cs"/>
          <w:sz w:val="28"/>
          <w:szCs w:val="28"/>
          <w:rtl/>
        </w:rPr>
        <w:t xml:space="preserve"> כי ראוי</w:t>
      </w:r>
      <w:r>
        <w:rPr>
          <w:rFonts w:cs="David" w:hint="cs"/>
          <w:sz w:val="28"/>
          <w:szCs w:val="28"/>
          <w:rtl/>
        </w:rPr>
        <w:t xml:space="preserve"> </w:t>
      </w:r>
      <w:r w:rsidRPr="00276B99">
        <w:rPr>
          <w:rFonts w:cs="David" w:hint="eastAsia"/>
          <w:b/>
          <w:bCs/>
          <w:sz w:val="28"/>
          <w:szCs w:val="28"/>
          <w:rtl/>
        </w:rPr>
        <w:t>למתן</w:t>
      </w:r>
      <w:r>
        <w:rPr>
          <w:rFonts w:cs="David" w:hint="cs"/>
          <w:sz w:val="28"/>
          <w:szCs w:val="28"/>
          <w:rtl/>
        </w:rPr>
        <w:t xml:space="preserve"> את ההחמרה הנדרשת בעונשו. </w:t>
      </w:r>
    </w:p>
    <w:p w14:paraId="6F7853E0" w14:textId="77777777" w:rsidR="0073787A" w:rsidRPr="00276B99" w:rsidRDefault="006F6A4A" w:rsidP="001A563F">
      <w:pPr>
        <w:numPr>
          <w:ilvl w:val="0"/>
          <w:numId w:val="5"/>
        </w:numPr>
        <w:tabs>
          <w:tab w:val="left" w:pos="282"/>
        </w:tabs>
        <w:spacing w:line="360" w:lineRule="auto"/>
        <w:ind w:left="-1" w:firstLine="0"/>
        <w:jc w:val="both"/>
        <w:rPr>
          <w:rFonts w:cs="David"/>
          <w:sz w:val="28"/>
          <w:szCs w:val="28"/>
          <w:rtl/>
        </w:rPr>
      </w:pPr>
      <w:r w:rsidRPr="00276B99">
        <w:rPr>
          <w:rFonts w:cs="David" w:hint="eastAsia"/>
          <w:b/>
          <w:bCs/>
          <w:sz w:val="28"/>
          <w:szCs w:val="28"/>
          <w:rtl/>
        </w:rPr>
        <w:t>בהתאם</w:t>
      </w:r>
      <w:r w:rsidRPr="00276B99">
        <w:rPr>
          <w:rFonts w:cs="David"/>
          <w:b/>
          <w:bCs/>
          <w:sz w:val="28"/>
          <w:szCs w:val="28"/>
          <w:rtl/>
        </w:rPr>
        <w:t xml:space="preserve">, מצאנו להעמיד את רכיב המאסר בפועל בעניינו של המערער על 42 חודשים. </w:t>
      </w:r>
    </w:p>
    <w:p w14:paraId="7636B6ED" w14:textId="77777777" w:rsidR="00276B99" w:rsidRDefault="00276B99" w:rsidP="00276B99">
      <w:pPr>
        <w:spacing w:line="360" w:lineRule="auto"/>
        <w:outlineLvl w:val="0"/>
        <w:rPr>
          <w:rFonts w:cs="David"/>
          <w:sz w:val="28"/>
          <w:szCs w:val="28"/>
          <w:u w:val="single"/>
          <w:rtl/>
        </w:rPr>
      </w:pPr>
    </w:p>
    <w:p w14:paraId="2D72836E" w14:textId="10776FE6" w:rsidR="00A55206" w:rsidRPr="00276B99" w:rsidRDefault="006F6A4A" w:rsidP="009E7CF6">
      <w:pPr>
        <w:spacing w:line="360" w:lineRule="auto"/>
        <w:outlineLvl w:val="0"/>
        <w:rPr>
          <w:rFonts w:cs="David"/>
          <w:sz w:val="28"/>
          <w:szCs w:val="28"/>
          <w:u w:val="single"/>
        </w:rPr>
      </w:pPr>
      <w:r w:rsidRPr="00276B99">
        <w:rPr>
          <w:rFonts w:cs="David" w:hint="eastAsia"/>
          <w:sz w:val="28"/>
          <w:szCs w:val="28"/>
          <w:u w:val="single"/>
          <w:rtl/>
        </w:rPr>
        <w:t>רכיב</w:t>
      </w:r>
      <w:r w:rsidRPr="00276B99">
        <w:rPr>
          <w:rFonts w:cs="David"/>
          <w:sz w:val="28"/>
          <w:szCs w:val="28"/>
          <w:u w:val="single"/>
          <w:rtl/>
        </w:rPr>
        <w:t xml:space="preserve"> </w:t>
      </w:r>
      <w:r w:rsidRPr="00276B99">
        <w:rPr>
          <w:rFonts w:cs="David" w:hint="eastAsia"/>
          <w:sz w:val="28"/>
          <w:szCs w:val="28"/>
          <w:u w:val="single"/>
          <w:rtl/>
        </w:rPr>
        <w:t>הפיצויים</w:t>
      </w:r>
    </w:p>
    <w:p w14:paraId="1D28DBCB" w14:textId="77777777" w:rsidR="006F6A4A" w:rsidRDefault="0073787A"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סעיף 35(א) לחוק השיפוט הצבאי מגביל את סכום הפיצוי שניתן להשית על נאשמים המורשעים בבתי דין צבאיים (בין אם הם חיילים בשירות חובה או בשירות קבע) לסכום שלא יעלה על עשרה שיעורים של שכר יסוד חודשי של טוראי בשירות חובה. מדובר בסכום נמוך באופן משמעותי מתקרת הפיצויים שנקבעה בסעיף 77 לחוק העונשין</w:t>
      </w:r>
      <w:r w:rsidR="006F6A4A">
        <w:rPr>
          <w:rFonts w:cs="David" w:hint="cs"/>
          <w:sz w:val="28"/>
          <w:szCs w:val="28"/>
          <w:rtl/>
        </w:rPr>
        <w:t>,</w:t>
      </w:r>
      <w:r w:rsidR="00A212AA">
        <w:rPr>
          <w:rFonts w:cs="David" w:hint="cs"/>
          <w:sz w:val="28"/>
          <w:szCs w:val="28"/>
          <w:rtl/>
        </w:rPr>
        <w:t xml:space="preserve"> אשר עומדת כיום על 258,000 ש"ח</w:t>
      </w:r>
      <w:r w:rsidR="006F6A4A">
        <w:rPr>
          <w:rFonts w:cs="David" w:hint="cs"/>
          <w:sz w:val="28"/>
          <w:szCs w:val="28"/>
          <w:rtl/>
        </w:rPr>
        <w:t>. עם זאת, הסעיף קובע כי "</w:t>
      </w:r>
      <w:r w:rsidR="006F6A4A" w:rsidRPr="006F6A4A">
        <w:rPr>
          <w:rFonts w:cs="David" w:hint="cs"/>
          <w:sz w:val="28"/>
          <w:szCs w:val="28"/>
          <w:rtl/>
        </w:rPr>
        <w:t>בית דין צבאי שהרשיע חייל רשאי לחייבו, בשל כל אחת מן העבירות שהורשע בהן, בנוסף על העונש</w:t>
      </w:r>
      <w:r w:rsidR="006F6A4A">
        <w:rPr>
          <w:rFonts w:cs="David" w:hint="cs"/>
          <w:sz w:val="28"/>
          <w:szCs w:val="28"/>
          <w:rtl/>
        </w:rPr>
        <w:t xml:space="preserve">" בסכום הפיצויים המירבי. </w:t>
      </w:r>
    </w:p>
    <w:p w14:paraId="4384C380" w14:textId="77777777" w:rsidR="002461C3" w:rsidRDefault="006F6A4A"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עולה מן האמור, כי במקרה דנן, </w:t>
      </w:r>
      <w:r w:rsidR="002461C3">
        <w:rPr>
          <w:rFonts w:cs="David" w:hint="cs"/>
          <w:sz w:val="28"/>
          <w:szCs w:val="28"/>
          <w:rtl/>
        </w:rPr>
        <w:t xml:space="preserve">משהורשע המערער בשלוש עבירות, </w:t>
      </w:r>
      <w:r>
        <w:rPr>
          <w:rFonts w:cs="David" w:hint="cs"/>
          <w:sz w:val="28"/>
          <w:szCs w:val="28"/>
          <w:rtl/>
        </w:rPr>
        <w:t xml:space="preserve">סכום הפיצויים המירבי על פי חוק השיפוט הצבאי, </w:t>
      </w:r>
      <w:r w:rsidR="002461C3">
        <w:rPr>
          <w:rFonts w:cs="David" w:hint="cs"/>
          <w:sz w:val="28"/>
          <w:szCs w:val="28"/>
          <w:rtl/>
        </w:rPr>
        <w:t xml:space="preserve">בעת מתן גזר הדין בעניינו, </w:t>
      </w:r>
      <w:r>
        <w:rPr>
          <w:rFonts w:cs="David" w:hint="cs"/>
          <w:sz w:val="28"/>
          <w:szCs w:val="28"/>
          <w:rtl/>
        </w:rPr>
        <w:t xml:space="preserve">עמד </w:t>
      </w:r>
      <w:r w:rsidR="002461C3">
        <w:rPr>
          <w:rFonts w:cs="David" w:hint="cs"/>
          <w:sz w:val="28"/>
          <w:szCs w:val="28"/>
          <w:rtl/>
        </w:rPr>
        <w:t xml:space="preserve">על 25,000 ש"ח לערך (לפי גובה שכר יסוד חודשי של טוראי באותה עת). בינתיים, </w:t>
      </w:r>
      <w:r w:rsidR="00D81574">
        <w:rPr>
          <w:rFonts w:cs="David" w:hint="cs"/>
          <w:sz w:val="28"/>
          <w:szCs w:val="28"/>
          <w:rtl/>
        </w:rPr>
        <w:t xml:space="preserve">עודכן </w:t>
      </w:r>
      <w:r w:rsidR="002461C3">
        <w:rPr>
          <w:rFonts w:cs="David" w:hint="cs"/>
          <w:sz w:val="28"/>
          <w:szCs w:val="28"/>
          <w:rtl/>
        </w:rPr>
        <w:t xml:space="preserve">שכר </w:t>
      </w:r>
      <w:r w:rsidR="00D81574">
        <w:rPr>
          <w:rFonts w:cs="David" w:hint="cs"/>
          <w:sz w:val="28"/>
          <w:szCs w:val="28"/>
          <w:rtl/>
        </w:rPr>
        <w:t>ה</w:t>
      </w:r>
      <w:r w:rsidR="002461C3">
        <w:rPr>
          <w:rFonts w:cs="David" w:hint="cs"/>
          <w:sz w:val="28"/>
          <w:szCs w:val="28"/>
          <w:rtl/>
        </w:rPr>
        <w:t xml:space="preserve">יסוד </w:t>
      </w:r>
      <w:r w:rsidR="00D81574">
        <w:rPr>
          <w:rFonts w:cs="David" w:hint="cs"/>
          <w:sz w:val="28"/>
          <w:szCs w:val="28"/>
          <w:rtl/>
        </w:rPr>
        <w:t>ה</w:t>
      </w:r>
      <w:r w:rsidR="002461C3">
        <w:rPr>
          <w:rFonts w:cs="David" w:hint="cs"/>
          <w:sz w:val="28"/>
          <w:szCs w:val="28"/>
          <w:rtl/>
        </w:rPr>
        <w:t xml:space="preserve">חודשי של </w:t>
      </w:r>
      <w:r w:rsidR="00D81574">
        <w:rPr>
          <w:rFonts w:cs="David" w:hint="cs"/>
          <w:sz w:val="28"/>
          <w:szCs w:val="28"/>
          <w:rtl/>
        </w:rPr>
        <w:t xml:space="preserve">חייל בדרגת </w:t>
      </w:r>
      <w:r w:rsidR="002461C3">
        <w:rPr>
          <w:rFonts w:cs="David" w:hint="cs"/>
          <w:sz w:val="28"/>
          <w:szCs w:val="28"/>
          <w:rtl/>
        </w:rPr>
        <w:t>טוראי, וסכום הפיצויים המירבי עומד על 36,000 ש"ח. עם זאת, משלא נערך דיון מעמיק בנושא</w:t>
      </w:r>
      <w:r w:rsidR="00D81574">
        <w:rPr>
          <w:rFonts w:cs="David" w:hint="cs"/>
          <w:sz w:val="28"/>
          <w:szCs w:val="28"/>
          <w:rtl/>
        </w:rPr>
        <w:t>,</w:t>
      </w:r>
      <w:r w:rsidR="002461C3">
        <w:rPr>
          <w:rFonts w:cs="David" w:hint="cs"/>
          <w:sz w:val="28"/>
          <w:szCs w:val="28"/>
          <w:rtl/>
        </w:rPr>
        <w:t xml:space="preserve"> והצדדים לא טענו לפנינו באופן מסודר בעניין האפשרות להחיל את גובה שכר היסוד המעודכן במסגרת חישוב הפיצויים על פי חוק, סברנו כי מן הראוי להימנע </w:t>
      </w:r>
      <w:r w:rsidR="00D81574">
        <w:rPr>
          <w:rFonts w:cs="David" w:hint="cs"/>
          <w:sz w:val="28"/>
          <w:szCs w:val="28"/>
          <w:rtl/>
        </w:rPr>
        <w:t>מלהתחשב בעדכון הסכום.</w:t>
      </w:r>
    </w:p>
    <w:p w14:paraId="574CEDA6" w14:textId="29C20FE3" w:rsidR="0073787A" w:rsidRPr="004B3E19" w:rsidRDefault="002461C3" w:rsidP="001A563F">
      <w:pPr>
        <w:numPr>
          <w:ilvl w:val="0"/>
          <w:numId w:val="5"/>
        </w:numPr>
        <w:tabs>
          <w:tab w:val="left" w:pos="282"/>
        </w:tabs>
        <w:spacing w:line="360" w:lineRule="auto"/>
        <w:ind w:left="-1" w:firstLine="0"/>
        <w:jc w:val="both"/>
        <w:rPr>
          <w:rFonts w:cs="David"/>
          <w:sz w:val="28"/>
          <w:szCs w:val="28"/>
        </w:rPr>
      </w:pPr>
      <w:r w:rsidRPr="004B3E19">
        <w:rPr>
          <w:rFonts w:cs="David" w:hint="cs"/>
          <w:sz w:val="28"/>
          <w:szCs w:val="28"/>
          <w:rtl/>
        </w:rPr>
        <w:t>סך של 25,000</w:t>
      </w:r>
      <w:r w:rsidR="00D81574">
        <w:rPr>
          <w:rFonts w:cs="David" w:hint="cs"/>
          <w:sz w:val="28"/>
          <w:szCs w:val="28"/>
          <w:rtl/>
        </w:rPr>
        <w:t xml:space="preserve"> </w:t>
      </w:r>
      <w:r w:rsidRPr="004B3E19">
        <w:rPr>
          <w:rFonts w:cs="David" w:hint="cs"/>
          <w:sz w:val="28"/>
          <w:szCs w:val="28"/>
          <w:rtl/>
        </w:rPr>
        <w:t>ש"ח אינו משקף את סבלה של נפגעת העבירה</w:t>
      </w:r>
      <w:r w:rsidR="00D81574">
        <w:rPr>
          <w:rFonts w:cs="David" w:hint="cs"/>
          <w:sz w:val="28"/>
          <w:szCs w:val="28"/>
          <w:rtl/>
        </w:rPr>
        <w:t>,</w:t>
      </w:r>
      <w:r w:rsidRPr="004B3E19">
        <w:rPr>
          <w:rFonts w:cs="David" w:hint="cs"/>
          <w:sz w:val="28"/>
          <w:szCs w:val="28"/>
          <w:rtl/>
        </w:rPr>
        <w:t xml:space="preserve"> ואינו מבטא את כאבה ואת הנזק שנגרם לה. </w:t>
      </w:r>
      <w:r w:rsidR="004B3E19">
        <w:rPr>
          <w:rFonts w:cs="David" w:hint="cs"/>
          <w:sz w:val="28"/>
          <w:szCs w:val="28"/>
          <w:rtl/>
        </w:rPr>
        <w:t xml:space="preserve">ואכן, </w:t>
      </w:r>
      <w:r w:rsidR="0073787A" w:rsidRPr="004B3E19">
        <w:rPr>
          <w:rFonts w:cs="David" w:hint="cs"/>
          <w:sz w:val="28"/>
          <w:szCs w:val="28"/>
          <w:rtl/>
        </w:rPr>
        <w:t>בית דין זה כבר העיר בעבר כי רא</w:t>
      </w:r>
      <w:r w:rsidR="00A16A65" w:rsidRPr="004B3E19">
        <w:rPr>
          <w:rFonts w:cs="David" w:hint="cs"/>
          <w:sz w:val="28"/>
          <w:szCs w:val="28"/>
          <w:rtl/>
        </w:rPr>
        <w:t xml:space="preserve">וי לשנות </w:t>
      </w:r>
      <w:r w:rsidR="004B3E19">
        <w:rPr>
          <w:rFonts w:cs="David" w:hint="cs"/>
          <w:sz w:val="28"/>
          <w:szCs w:val="28"/>
          <w:rtl/>
        </w:rPr>
        <w:t xml:space="preserve">את גובה הפיצויים </w:t>
      </w:r>
      <w:r w:rsidR="0093372F">
        <w:rPr>
          <w:rFonts w:cs="David" w:hint="cs"/>
          <w:sz w:val="28"/>
          <w:szCs w:val="28"/>
          <w:rtl/>
        </w:rPr>
        <w:t xml:space="preserve">המירבי </w:t>
      </w:r>
      <w:r w:rsidR="004B3E19">
        <w:rPr>
          <w:rFonts w:cs="David" w:hint="cs"/>
          <w:sz w:val="28"/>
          <w:szCs w:val="28"/>
          <w:rtl/>
        </w:rPr>
        <w:t xml:space="preserve">לפי חוק השיפוט הצבאי </w:t>
      </w:r>
      <w:r w:rsidR="00A16A65" w:rsidRPr="004B3E19">
        <w:rPr>
          <w:rFonts w:cs="David" w:hint="cs"/>
          <w:sz w:val="28"/>
          <w:szCs w:val="28"/>
          <w:rtl/>
        </w:rPr>
        <w:t xml:space="preserve">(ע/70/09 </w:t>
      </w:r>
      <w:r w:rsidR="00A16A65" w:rsidRPr="004B3E19">
        <w:rPr>
          <w:rFonts w:cs="David" w:hint="cs"/>
          <w:b/>
          <w:bCs/>
          <w:sz w:val="28"/>
          <w:szCs w:val="28"/>
          <w:rtl/>
        </w:rPr>
        <w:t xml:space="preserve">רס"ב פטרושקה נ' התובע הצבאי הראשי </w:t>
      </w:r>
      <w:r w:rsidR="00A16A65" w:rsidRPr="004B3E19">
        <w:rPr>
          <w:rFonts w:cs="David" w:hint="cs"/>
          <w:sz w:val="28"/>
          <w:szCs w:val="28"/>
          <w:rtl/>
        </w:rPr>
        <w:t xml:space="preserve">(2010); </w:t>
      </w:r>
      <w:r w:rsidR="00FF7C29" w:rsidRPr="004B3E19">
        <w:rPr>
          <w:rFonts w:cs="David" w:hint="cs"/>
          <w:sz w:val="28"/>
          <w:szCs w:val="28"/>
          <w:rtl/>
        </w:rPr>
        <w:t xml:space="preserve">ע/27,29/19 </w:t>
      </w:r>
      <w:r w:rsidR="00FF7C29" w:rsidRPr="004B3E19">
        <w:rPr>
          <w:rFonts w:cs="David" w:hint="cs"/>
          <w:b/>
          <w:bCs/>
          <w:sz w:val="28"/>
          <w:szCs w:val="28"/>
          <w:rtl/>
        </w:rPr>
        <w:t xml:space="preserve">רב"ט עלמו נ' התובע הצבאי הראשי </w:t>
      </w:r>
      <w:r w:rsidR="00FF7C29" w:rsidRPr="004B3E19">
        <w:rPr>
          <w:rFonts w:cs="David" w:hint="cs"/>
          <w:sz w:val="28"/>
          <w:szCs w:val="28"/>
          <w:rtl/>
        </w:rPr>
        <w:t xml:space="preserve">(2019); עניין </w:t>
      </w:r>
      <w:r w:rsidR="00FF7C29" w:rsidRPr="004B3E19">
        <w:rPr>
          <w:rFonts w:cs="David" w:hint="cs"/>
          <w:b/>
          <w:bCs/>
          <w:sz w:val="28"/>
          <w:szCs w:val="28"/>
          <w:rtl/>
        </w:rPr>
        <w:t xml:space="preserve">נהרי </w:t>
      </w:r>
      <w:r w:rsidR="00D81574">
        <w:rPr>
          <w:rFonts w:cs="David" w:hint="cs"/>
          <w:sz w:val="28"/>
          <w:szCs w:val="28"/>
          <w:rtl/>
        </w:rPr>
        <w:t>הנ"ל,</w:t>
      </w:r>
      <w:r w:rsidR="00FF7C29" w:rsidRPr="004B3E19">
        <w:rPr>
          <w:rFonts w:cs="David" w:hint="cs"/>
          <w:sz w:val="28"/>
          <w:szCs w:val="28"/>
          <w:rtl/>
        </w:rPr>
        <w:t xml:space="preserve"> בפסקה 29)). </w:t>
      </w:r>
      <w:r w:rsidR="004B3E19">
        <w:rPr>
          <w:rFonts w:cs="David" w:hint="cs"/>
          <w:sz w:val="28"/>
          <w:szCs w:val="28"/>
          <w:rtl/>
        </w:rPr>
        <w:t xml:space="preserve">נפנה בהקשר זה גם להלכה, שלפיה </w:t>
      </w:r>
      <w:r w:rsidR="004B3E19" w:rsidRPr="004B3E19">
        <w:rPr>
          <w:rFonts w:cs="David" w:hint="cs"/>
          <w:sz w:val="28"/>
          <w:szCs w:val="28"/>
          <w:rtl/>
        </w:rPr>
        <w:t xml:space="preserve">עם חקיקת חוק זכויות נפגעי עבירה, התחזקה התפיסה הרואה בדין הפלילי </w:t>
      </w:r>
      <w:r w:rsidR="00D81574">
        <w:rPr>
          <w:rFonts w:cs="David" w:hint="cs"/>
          <w:sz w:val="28"/>
          <w:szCs w:val="28"/>
          <w:rtl/>
        </w:rPr>
        <w:t>כמ</w:t>
      </w:r>
      <w:r w:rsidR="004B3E19" w:rsidRPr="004B3E19">
        <w:rPr>
          <w:rFonts w:cs="David" w:hint="cs"/>
          <w:sz w:val="28"/>
          <w:szCs w:val="28"/>
          <w:rtl/>
        </w:rPr>
        <w:t>גן לא רק על החברה בכללותה, אלא גם על היחידים בחברה</w:t>
      </w:r>
      <w:r w:rsidR="00D81574">
        <w:rPr>
          <w:rFonts w:cs="David" w:hint="cs"/>
          <w:sz w:val="28"/>
          <w:szCs w:val="28"/>
          <w:rtl/>
        </w:rPr>
        <w:t xml:space="preserve">. </w:t>
      </w:r>
      <w:r w:rsidR="004B3E19" w:rsidRPr="004B3E19">
        <w:rPr>
          <w:rFonts w:cs="David" w:hint="cs"/>
          <w:sz w:val="28"/>
          <w:szCs w:val="28"/>
          <w:rtl/>
        </w:rPr>
        <w:t xml:space="preserve">תפיסה </w:t>
      </w:r>
      <w:r w:rsidR="00D81574">
        <w:rPr>
          <w:rFonts w:cs="David" w:hint="cs"/>
          <w:sz w:val="28"/>
          <w:szCs w:val="28"/>
          <w:rtl/>
        </w:rPr>
        <w:t xml:space="preserve">זו </w:t>
      </w:r>
      <w:r w:rsidR="004B3E19" w:rsidRPr="004B3E19">
        <w:rPr>
          <w:rFonts w:cs="David" w:hint="cs"/>
          <w:sz w:val="28"/>
          <w:szCs w:val="28"/>
          <w:rtl/>
        </w:rPr>
        <w:t xml:space="preserve">באה לידי ביטוי גם בעידוד השימוש </w:t>
      </w:r>
      <w:r w:rsidR="004B3E19" w:rsidRPr="004B3E19">
        <w:rPr>
          <w:rFonts w:cs="David" w:hint="cs"/>
          <w:sz w:val="28"/>
          <w:szCs w:val="28"/>
          <w:rtl/>
        </w:rPr>
        <w:lastRenderedPageBreak/>
        <w:t xml:space="preserve">בכלי המאפשר </w:t>
      </w:r>
      <w:r w:rsidR="00D81574">
        <w:rPr>
          <w:rFonts w:cs="David" w:hint="cs"/>
          <w:sz w:val="28"/>
          <w:szCs w:val="28"/>
          <w:rtl/>
        </w:rPr>
        <w:t xml:space="preserve">פסיקת </w:t>
      </w:r>
      <w:r w:rsidR="004B3E19" w:rsidRPr="004B3E19">
        <w:rPr>
          <w:rFonts w:cs="David" w:hint="cs"/>
          <w:sz w:val="28"/>
          <w:szCs w:val="28"/>
          <w:rtl/>
        </w:rPr>
        <w:t xml:space="preserve">פיצויים, במטרה להעניק סעד מיידי לנפגע העבירה ולבטא הכרה חברתית בסבלו (ע"פ 5860/14 </w:t>
      </w:r>
      <w:r w:rsidR="004B3E19" w:rsidRPr="004B3E19">
        <w:rPr>
          <w:rFonts w:cs="David" w:hint="cs"/>
          <w:b/>
          <w:bCs/>
          <w:sz w:val="28"/>
          <w:szCs w:val="28"/>
          <w:rtl/>
        </w:rPr>
        <w:t xml:space="preserve">לביא נ' מדינת ישראל, </w:t>
      </w:r>
      <w:r w:rsidR="004B3E19" w:rsidRPr="004B3E19">
        <w:rPr>
          <w:rFonts w:cs="David" w:hint="cs"/>
          <w:sz w:val="28"/>
          <w:szCs w:val="28"/>
          <w:rtl/>
        </w:rPr>
        <w:t>פסקה 16 (</w:t>
      </w:r>
      <w:r w:rsidR="0035073D">
        <w:rPr>
          <w:rFonts w:cs="David" w:hint="cs"/>
          <w:sz w:val="28"/>
          <w:szCs w:val="28"/>
          <w:rtl/>
        </w:rPr>
        <w:t xml:space="preserve">לא פורסם, </w:t>
      </w:r>
      <w:r w:rsidR="004B3E19" w:rsidRPr="004B3E19">
        <w:rPr>
          <w:rFonts w:cs="David" w:hint="cs"/>
          <w:sz w:val="28"/>
          <w:szCs w:val="28"/>
          <w:rtl/>
        </w:rPr>
        <w:t>6.3.2016); ע/58/16, 56</w:t>
      </w:r>
      <w:r w:rsidR="00EE3D55">
        <w:rPr>
          <w:rFonts w:cs="David" w:hint="cs"/>
          <w:b/>
          <w:bCs/>
          <w:sz w:val="28"/>
          <w:szCs w:val="28"/>
          <w:rtl/>
        </w:rPr>
        <w:t xml:space="preserve"> </w:t>
      </w:r>
      <w:r w:rsidR="004B3E19" w:rsidRPr="004B3E19">
        <w:rPr>
          <w:rFonts w:cs="David" w:hint="cs"/>
          <w:b/>
          <w:bCs/>
          <w:sz w:val="28"/>
          <w:szCs w:val="28"/>
          <w:rtl/>
        </w:rPr>
        <w:t>סמל ימין נ' התובע הצבאי הראשי</w:t>
      </w:r>
      <w:r w:rsidR="00E46A56">
        <w:rPr>
          <w:rFonts w:cs="David" w:hint="cs"/>
          <w:b/>
          <w:bCs/>
          <w:sz w:val="28"/>
          <w:szCs w:val="28"/>
          <w:rtl/>
        </w:rPr>
        <w:t xml:space="preserve"> </w:t>
      </w:r>
      <w:r w:rsidR="004B3E19" w:rsidRPr="004B3E19">
        <w:rPr>
          <w:rFonts w:cs="David" w:hint="cs"/>
          <w:sz w:val="28"/>
          <w:szCs w:val="28"/>
          <w:rtl/>
        </w:rPr>
        <w:t>(2017)).</w:t>
      </w:r>
    </w:p>
    <w:p w14:paraId="3D45E594" w14:textId="77777777" w:rsidR="00D81574" w:rsidRDefault="004B3E19" w:rsidP="001A563F">
      <w:pPr>
        <w:numPr>
          <w:ilvl w:val="0"/>
          <w:numId w:val="5"/>
        </w:numPr>
        <w:tabs>
          <w:tab w:val="left" w:pos="282"/>
        </w:tabs>
        <w:spacing w:line="360" w:lineRule="auto"/>
        <w:ind w:left="-1" w:firstLine="0"/>
        <w:jc w:val="both"/>
        <w:rPr>
          <w:rFonts w:cs="David"/>
          <w:sz w:val="28"/>
          <w:szCs w:val="28"/>
        </w:rPr>
      </w:pPr>
      <w:r>
        <w:rPr>
          <w:rFonts w:cs="David" w:hint="cs"/>
          <w:sz w:val="28"/>
          <w:szCs w:val="28"/>
          <w:rtl/>
        </w:rPr>
        <w:t xml:space="preserve">מכל מקום, טוב עשה המערער </w:t>
      </w:r>
      <w:r w:rsidR="00D81574">
        <w:rPr>
          <w:rFonts w:cs="David" w:hint="cs"/>
          <w:sz w:val="28"/>
          <w:szCs w:val="28"/>
          <w:rtl/>
        </w:rPr>
        <w:t xml:space="preserve">בהעברת פיצוי </w:t>
      </w:r>
      <w:r>
        <w:rPr>
          <w:rFonts w:cs="David" w:hint="cs"/>
          <w:sz w:val="28"/>
          <w:szCs w:val="28"/>
          <w:rtl/>
        </w:rPr>
        <w:t>לנפגעת העבירה</w:t>
      </w:r>
      <w:r w:rsidR="00D81574">
        <w:rPr>
          <w:rFonts w:cs="David" w:hint="cs"/>
          <w:sz w:val="28"/>
          <w:szCs w:val="28"/>
          <w:rtl/>
        </w:rPr>
        <w:t>, העומד</w:t>
      </w:r>
      <w:r>
        <w:rPr>
          <w:rFonts w:cs="David" w:hint="cs"/>
          <w:sz w:val="28"/>
          <w:szCs w:val="28"/>
          <w:rtl/>
        </w:rPr>
        <w:t xml:space="preserve"> </w:t>
      </w:r>
      <w:r w:rsidR="00D81574">
        <w:rPr>
          <w:rFonts w:cs="David" w:hint="cs"/>
          <w:sz w:val="28"/>
          <w:szCs w:val="28"/>
          <w:rtl/>
        </w:rPr>
        <w:t xml:space="preserve">על </w:t>
      </w:r>
      <w:r>
        <w:rPr>
          <w:rFonts w:cs="David" w:hint="cs"/>
          <w:sz w:val="28"/>
          <w:szCs w:val="28"/>
          <w:rtl/>
        </w:rPr>
        <w:t xml:space="preserve">הסכום המירבי על פי חוק. לנוכח האמור, לא </w:t>
      </w:r>
      <w:r w:rsidR="00D81574">
        <w:rPr>
          <w:rFonts w:cs="David" w:hint="cs"/>
          <w:sz w:val="28"/>
          <w:szCs w:val="28"/>
          <w:rtl/>
        </w:rPr>
        <w:t xml:space="preserve">מצאנו כי נדרשת בעניין זה </w:t>
      </w:r>
      <w:r>
        <w:rPr>
          <w:rFonts w:cs="David" w:hint="cs"/>
          <w:sz w:val="28"/>
          <w:szCs w:val="28"/>
          <w:rtl/>
        </w:rPr>
        <w:t>הוראה נוספת בפסק הדין שבערעור.</w:t>
      </w:r>
    </w:p>
    <w:p w14:paraId="3D85244D" w14:textId="77777777" w:rsidR="00B44DB6" w:rsidRPr="00B44DB6" w:rsidRDefault="004B3E19" w:rsidP="001A563F">
      <w:pPr>
        <w:numPr>
          <w:ilvl w:val="0"/>
          <w:numId w:val="5"/>
        </w:numPr>
        <w:tabs>
          <w:tab w:val="left" w:pos="282"/>
        </w:tabs>
        <w:spacing w:line="360" w:lineRule="auto"/>
        <w:ind w:left="-1" w:firstLine="0"/>
        <w:jc w:val="both"/>
        <w:rPr>
          <w:rFonts w:cs="David"/>
          <w:sz w:val="28"/>
          <w:szCs w:val="28"/>
          <w:rtl/>
        </w:rPr>
      </w:pPr>
      <w:r>
        <w:rPr>
          <w:rFonts w:cs="David" w:hint="cs"/>
          <w:sz w:val="28"/>
          <w:szCs w:val="28"/>
          <w:rtl/>
        </w:rPr>
        <w:t>עולה, אפוא,  כי ערעור ההגנה על הכרעת הדין ועל חומרת העונש נדחה. ערעור התביעה על קולת העונש מתקבל</w:t>
      </w:r>
      <w:r w:rsidR="00D81574">
        <w:rPr>
          <w:rFonts w:cs="David" w:hint="cs"/>
          <w:sz w:val="28"/>
          <w:szCs w:val="28"/>
          <w:rtl/>
        </w:rPr>
        <w:t>.</w:t>
      </w:r>
      <w:r>
        <w:rPr>
          <w:rFonts w:cs="David" w:hint="cs"/>
          <w:sz w:val="28"/>
          <w:szCs w:val="28"/>
          <w:rtl/>
        </w:rPr>
        <w:t xml:space="preserve"> המערער יישא בעונש מאסר בפועל בן </w:t>
      </w:r>
      <w:r w:rsidR="00B44DB6" w:rsidRPr="00B44DB6">
        <w:rPr>
          <w:rFonts w:cs="David"/>
          <w:sz w:val="28"/>
          <w:szCs w:val="28"/>
          <w:rtl/>
        </w:rPr>
        <w:t>42</w:t>
      </w:r>
      <w:r w:rsidR="0073787A">
        <w:rPr>
          <w:rFonts w:cs="David" w:hint="cs"/>
          <w:sz w:val="28"/>
          <w:szCs w:val="28"/>
          <w:rtl/>
        </w:rPr>
        <w:t xml:space="preserve"> </w:t>
      </w:r>
      <w:r w:rsidR="00B44DB6" w:rsidRPr="00B44DB6">
        <w:rPr>
          <w:rFonts w:cs="David"/>
          <w:sz w:val="28"/>
          <w:szCs w:val="28"/>
          <w:rtl/>
        </w:rPr>
        <w:t>חודשי</w:t>
      </w:r>
      <w:r>
        <w:rPr>
          <w:rFonts w:cs="David" w:hint="cs"/>
          <w:sz w:val="28"/>
          <w:szCs w:val="28"/>
          <w:rtl/>
        </w:rPr>
        <w:t>ם</w:t>
      </w:r>
      <w:r w:rsidR="00D81574">
        <w:rPr>
          <w:rFonts w:cs="David" w:hint="cs"/>
          <w:sz w:val="28"/>
          <w:szCs w:val="28"/>
          <w:rtl/>
        </w:rPr>
        <w:t>, שמניינם מיום מעצרו</w:t>
      </w:r>
      <w:r>
        <w:rPr>
          <w:rFonts w:cs="David" w:hint="cs"/>
          <w:sz w:val="28"/>
          <w:szCs w:val="28"/>
          <w:rtl/>
        </w:rPr>
        <w:t xml:space="preserve">. </w:t>
      </w:r>
      <w:r w:rsidR="00B44DB6" w:rsidRPr="00B44DB6">
        <w:rPr>
          <w:rFonts w:cs="David"/>
          <w:sz w:val="28"/>
          <w:szCs w:val="28"/>
          <w:rtl/>
        </w:rPr>
        <w:t xml:space="preserve">אין שינוי ביתר רכיבי </w:t>
      </w:r>
      <w:r w:rsidR="00D81574">
        <w:rPr>
          <w:rFonts w:cs="David" w:hint="cs"/>
          <w:sz w:val="28"/>
          <w:szCs w:val="28"/>
          <w:rtl/>
        </w:rPr>
        <w:t>העונש</w:t>
      </w:r>
      <w:r>
        <w:rPr>
          <w:rFonts w:cs="David" w:hint="cs"/>
          <w:sz w:val="28"/>
          <w:szCs w:val="28"/>
          <w:rtl/>
        </w:rPr>
        <w:t xml:space="preserve">. </w:t>
      </w:r>
    </w:p>
    <w:p w14:paraId="37CE6707" w14:textId="77777777" w:rsidR="00247414" w:rsidRDefault="00247414" w:rsidP="00247414">
      <w:pPr>
        <w:spacing w:line="360" w:lineRule="auto"/>
        <w:ind w:left="-58"/>
        <w:jc w:val="both"/>
        <w:outlineLvl w:val="0"/>
        <w:rPr>
          <w:rFonts w:cs="David"/>
          <w:sz w:val="28"/>
          <w:szCs w:val="28"/>
          <w:rtl/>
        </w:rPr>
      </w:pPr>
    </w:p>
    <w:p w14:paraId="04535535" w14:textId="77777777" w:rsidR="00247414" w:rsidRPr="00247414" w:rsidRDefault="00247414" w:rsidP="00D81574">
      <w:pPr>
        <w:spacing w:line="360" w:lineRule="auto"/>
        <w:ind w:left="-58"/>
        <w:jc w:val="both"/>
        <w:outlineLvl w:val="0"/>
        <w:rPr>
          <w:rFonts w:cs="David"/>
          <w:b/>
          <w:bCs/>
          <w:sz w:val="28"/>
          <w:szCs w:val="28"/>
          <w:rtl/>
        </w:rPr>
      </w:pPr>
      <w:r>
        <w:rPr>
          <w:rFonts w:cs="David" w:hint="cs"/>
          <w:b/>
          <w:bCs/>
          <w:sz w:val="28"/>
          <w:szCs w:val="28"/>
          <w:rtl/>
        </w:rPr>
        <w:t xml:space="preserve">העתק מפסק </w:t>
      </w:r>
      <w:r w:rsidR="004B3E19">
        <w:rPr>
          <w:rFonts w:cs="David" w:hint="cs"/>
          <w:b/>
          <w:bCs/>
          <w:sz w:val="28"/>
          <w:szCs w:val="28"/>
          <w:rtl/>
        </w:rPr>
        <w:t>ה</w:t>
      </w:r>
      <w:r>
        <w:rPr>
          <w:rFonts w:cs="David" w:hint="cs"/>
          <w:b/>
          <w:bCs/>
          <w:sz w:val="28"/>
          <w:szCs w:val="28"/>
          <w:rtl/>
        </w:rPr>
        <w:t>די</w:t>
      </w:r>
      <w:r w:rsidR="004B3E19">
        <w:rPr>
          <w:rFonts w:cs="David" w:hint="cs"/>
          <w:b/>
          <w:bCs/>
          <w:sz w:val="28"/>
          <w:szCs w:val="28"/>
          <w:rtl/>
        </w:rPr>
        <w:t xml:space="preserve">ן </w:t>
      </w:r>
      <w:r>
        <w:rPr>
          <w:rFonts w:cs="David" w:hint="cs"/>
          <w:b/>
          <w:bCs/>
          <w:sz w:val="28"/>
          <w:szCs w:val="28"/>
          <w:rtl/>
        </w:rPr>
        <w:t xml:space="preserve">יועבר לפרקליטה הצבאית הראשית, בשים לב </w:t>
      </w:r>
      <w:r w:rsidR="00D81574">
        <w:rPr>
          <w:rFonts w:cs="David" w:hint="cs"/>
          <w:b/>
          <w:bCs/>
          <w:sz w:val="28"/>
          <w:szCs w:val="28"/>
          <w:rtl/>
        </w:rPr>
        <w:t>ל</w:t>
      </w:r>
      <w:r>
        <w:rPr>
          <w:rFonts w:cs="David" w:hint="cs"/>
          <w:b/>
          <w:bCs/>
          <w:sz w:val="28"/>
          <w:szCs w:val="28"/>
          <w:rtl/>
        </w:rPr>
        <w:t>צורך</w:t>
      </w:r>
      <w:r w:rsidR="00D81574">
        <w:rPr>
          <w:rFonts w:cs="David" w:hint="cs"/>
          <w:b/>
          <w:bCs/>
          <w:sz w:val="28"/>
          <w:szCs w:val="28"/>
          <w:rtl/>
        </w:rPr>
        <w:t>, החוזר ונשנה בפסיקת בית דין זה,</w:t>
      </w:r>
      <w:r>
        <w:rPr>
          <w:rFonts w:cs="David" w:hint="cs"/>
          <w:b/>
          <w:bCs/>
          <w:sz w:val="28"/>
          <w:szCs w:val="28"/>
          <w:rtl/>
        </w:rPr>
        <w:t xml:space="preserve"> ב</w:t>
      </w:r>
      <w:r w:rsidR="004B3E19">
        <w:rPr>
          <w:rFonts w:cs="David" w:hint="cs"/>
          <w:b/>
          <w:bCs/>
          <w:sz w:val="28"/>
          <w:szCs w:val="28"/>
          <w:rtl/>
        </w:rPr>
        <w:t xml:space="preserve">תיקון </w:t>
      </w:r>
      <w:r w:rsidR="00D81574">
        <w:rPr>
          <w:rFonts w:cs="David" w:hint="cs"/>
          <w:b/>
          <w:bCs/>
          <w:sz w:val="28"/>
          <w:szCs w:val="28"/>
          <w:rtl/>
        </w:rPr>
        <w:t>ה</w:t>
      </w:r>
      <w:r w:rsidR="004B3E19">
        <w:rPr>
          <w:rFonts w:cs="David" w:hint="cs"/>
          <w:b/>
          <w:bCs/>
          <w:sz w:val="28"/>
          <w:szCs w:val="28"/>
          <w:rtl/>
        </w:rPr>
        <w:t xml:space="preserve">חקיקה </w:t>
      </w:r>
      <w:r w:rsidR="00D81574">
        <w:rPr>
          <w:rFonts w:cs="David" w:hint="cs"/>
          <w:b/>
          <w:bCs/>
          <w:sz w:val="28"/>
          <w:szCs w:val="28"/>
          <w:rtl/>
        </w:rPr>
        <w:t xml:space="preserve">לגבי </w:t>
      </w:r>
      <w:r>
        <w:rPr>
          <w:rFonts w:cs="David" w:hint="cs"/>
          <w:b/>
          <w:bCs/>
          <w:sz w:val="28"/>
          <w:szCs w:val="28"/>
          <w:rtl/>
        </w:rPr>
        <w:t xml:space="preserve">סכום הפיצויים </w:t>
      </w:r>
      <w:r w:rsidR="00D81574">
        <w:rPr>
          <w:rFonts w:cs="David" w:hint="cs"/>
          <w:b/>
          <w:bCs/>
          <w:sz w:val="28"/>
          <w:szCs w:val="28"/>
          <w:rtl/>
        </w:rPr>
        <w:t xml:space="preserve">המירבי לפי </w:t>
      </w:r>
      <w:r w:rsidR="004B3E19">
        <w:rPr>
          <w:rFonts w:cs="David" w:hint="cs"/>
          <w:b/>
          <w:bCs/>
          <w:sz w:val="28"/>
          <w:szCs w:val="28"/>
          <w:rtl/>
        </w:rPr>
        <w:t>חוק השיפוט הצבאי</w:t>
      </w:r>
      <w:r w:rsidR="00D81574">
        <w:rPr>
          <w:rFonts w:cs="David" w:hint="cs"/>
          <w:b/>
          <w:bCs/>
          <w:sz w:val="28"/>
          <w:szCs w:val="28"/>
          <w:rtl/>
        </w:rPr>
        <w:t>.</w:t>
      </w:r>
    </w:p>
    <w:p w14:paraId="0BF887AE" w14:textId="77777777" w:rsidR="00D52B24" w:rsidRDefault="00D52B24" w:rsidP="00D52B24">
      <w:pPr>
        <w:spacing w:line="360" w:lineRule="auto"/>
        <w:ind w:right="-142"/>
        <w:outlineLvl w:val="0"/>
        <w:rPr>
          <w:rFonts w:cs="David"/>
          <w:sz w:val="28"/>
          <w:szCs w:val="28"/>
          <w:rtl/>
        </w:rPr>
      </w:pPr>
    </w:p>
    <w:p w14:paraId="682ECB83" w14:textId="66425EB1" w:rsidR="00BA6258" w:rsidRPr="00D52B24" w:rsidRDefault="00B44DB6" w:rsidP="00BA6258">
      <w:pPr>
        <w:spacing w:line="360" w:lineRule="auto"/>
        <w:ind w:left="-58"/>
        <w:jc w:val="both"/>
        <w:outlineLvl w:val="0"/>
        <w:rPr>
          <w:rFonts w:cs="David"/>
          <w:sz w:val="28"/>
          <w:szCs w:val="28"/>
          <w:rtl/>
        </w:rPr>
      </w:pPr>
      <w:r w:rsidRPr="00D52B24">
        <w:rPr>
          <w:rFonts w:cs="David"/>
          <w:sz w:val="28"/>
          <w:szCs w:val="28"/>
          <w:rtl/>
        </w:rPr>
        <w:t>ניתן והודע היום, ט"</w:t>
      </w:r>
      <w:r w:rsidR="00232DBD" w:rsidRPr="00D52B24">
        <w:rPr>
          <w:rFonts w:cs="David" w:hint="cs"/>
          <w:sz w:val="28"/>
          <w:szCs w:val="28"/>
          <w:rtl/>
        </w:rPr>
        <w:t>ז</w:t>
      </w:r>
      <w:r w:rsidRPr="00D52B24">
        <w:rPr>
          <w:rFonts w:cs="David"/>
          <w:sz w:val="28"/>
          <w:szCs w:val="28"/>
          <w:rtl/>
        </w:rPr>
        <w:t xml:space="preserve"> באדר א' התשפ"ב, </w:t>
      </w:r>
      <w:r w:rsidR="00232DBD" w:rsidRPr="00D52B24">
        <w:rPr>
          <w:rFonts w:cs="David" w:hint="cs"/>
          <w:sz w:val="28"/>
          <w:szCs w:val="28"/>
          <w:rtl/>
        </w:rPr>
        <w:t xml:space="preserve">17 </w:t>
      </w:r>
      <w:r w:rsidRPr="00D52B24">
        <w:rPr>
          <w:rFonts w:cs="David"/>
          <w:sz w:val="28"/>
          <w:szCs w:val="28"/>
          <w:rtl/>
        </w:rPr>
        <w:t xml:space="preserve">בפברואר 2022, בפומבי ובמעמד הצדדים. </w:t>
      </w:r>
    </w:p>
    <w:p w14:paraId="2F21E2B2" w14:textId="77777777" w:rsidR="00B44DB6" w:rsidRPr="00B44DB6" w:rsidRDefault="00B44DB6" w:rsidP="00B44DB6">
      <w:pPr>
        <w:spacing w:line="360" w:lineRule="auto"/>
        <w:outlineLvl w:val="0"/>
        <w:rPr>
          <w:rFonts w:cs="David"/>
          <w:sz w:val="28"/>
          <w:szCs w:val="28"/>
          <w:rtl/>
        </w:rPr>
      </w:pPr>
      <w:r w:rsidRPr="00B44DB6">
        <w:rPr>
          <w:rFonts w:cs="David"/>
          <w:sz w:val="28"/>
          <w:szCs w:val="28"/>
          <w:rtl/>
        </w:rPr>
        <w:tab/>
        <w:t>______________</w:t>
      </w:r>
      <w:r w:rsidRPr="00B44DB6">
        <w:rPr>
          <w:rFonts w:cs="David"/>
          <w:sz w:val="28"/>
          <w:szCs w:val="28"/>
          <w:rtl/>
        </w:rPr>
        <w:tab/>
      </w:r>
      <w:r w:rsidR="005B3BCC">
        <w:rPr>
          <w:rFonts w:cs="David" w:hint="cs"/>
          <w:sz w:val="28"/>
          <w:szCs w:val="28"/>
          <w:rtl/>
        </w:rPr>
        <w:t xml:space="preserve">   </w:t>
      </w:r>
      <w:r w:rsidRPr="00B44DB6">
        <w:rPr>
          <w:rFonts w:cs="David"/>
          <w:sz w:val="28"/>
          <w:szCs w:val="28"/>
          <w:rtl/>
        </w:rPr>
        <w:t>______________</w:t>
      </w:r>
      <w:r w:rsidRPr="00B44DB6">
        <w:rPr>
          <w:rFonts w:cs="David"/>
          <w:sz w:val="28"/>
          <w:szCs w:val="28"/>
          <w:rtl/>
        </w:rPr>
        <w:tab/>
        <w:t>______________</w:t>
      </w:r>
    </w:p>
    <w:p w14:paraId="42028B86" w14:textId="412C4CF7" w:rsidR="00B44DB6" w:rsidRDefault="00B44DB6" w:rsidP="00232DBD">
      <w:pPr>
        <w:spacing w:line="360" w:lineRule="auto"/>
        <w:outlineLvl w:val="0"/>
        <w:rPr>
          <w:rFonts w:cs="David"/>
          <w:sz w:val="28"/>
          <w:szCs w:val="28"/>
          <w:rtl/>
        </w:rPr>
      </w:pPr>
      <w:r w:rsidRPr="00B44DB6">
        <w:rPr>
          <w:rFonts w:cs="David"/>
          <w:sz w:val="28"/>
          <w:szCs w:val="28"/>
          <w:rtl/>
        </w:rPr>
        <w:tab/>
      </w:r>
      <w:r w:rsidR="005B3BCC">
        <w:rPr>
          <w:rFonts w:cs="David" w:hint="cs"/>
          <w:sz w:val="28"/>
          <w:szCs w:val="28"/>
          <w:rtl/>
        </w:rPr>
        <w:t xml:space="preserve">      </w:t>
      </w:r>
      <w:r w:rsidR="00232DBD">
        <w:rPr>
          <w:rFonts w:cs="David" w:hint="cs"/>
          <w:sz w:val="28"/>
          <w:szCs w:val="28"/>
          <w:rtl/>
        </w:rPr>
        <w:t xml:space="preserve"> </w:t>
      </w:r>
      <w:r w:rsidRPr="00B44DB6">
        <w:rPr>
          <w:rFonts w:cs="David"/>
          <w:sz w:val="28"/>
          <w:szCs w:val="28"/>
          <w:rtl/>
        </w:rPr>
        <w:t xml:space="preserve"> הנשיאה</w:t>
      </w:r>
      <w:r w:rsidRPr="00B44DB6">
        <w:rPr>
          <w:rFonts w:cs="David"/>
          <w:sz w:val="28"/>
          <w:szCs w:val="28"/>
          <w:rtl/>
        </w:rPr>
        <w:tab/>
      </w:r>
      <w:r w:rsidR="00232DBD">
        <w:rPr>
          <w:rFonts w:cs="David" w:hint="cs"/>
          <w:sz w:val="28"/>
          <w:szCs w:val="28"/>
          <w:rtl/>
        </w:rPr>
        <w:t xml:space="preserve">                    </w:t>
      </w:r>
      <w:r w:rsidR="005B3BCC">
        <w:rPr>
          <w:rFonts w:cs="David" w:hint="cs"/>
          <w:sz w:val="28"/>
          <w:szCs w:val="28"/>
          <w:rtl/>
        </w:rPr>
        <w:t xml:space="preserve">    </w:t>
      </w:r>
      <w:r w:rsidRPr="00B44DB6">
        <w:rPr>
          <w:rFonts w:cs="David"/>
          <w:sz w:val="28"/>
          <w:szCs w:val="28"/>
          <w:rtl/>
        </w:rPr>
        <w:t xml:space="preserve">שופט  </w:t>
      </w:r>
      <w:r w:rsidRPr="00B44DB6">
        <w:rPr>
          <w:rFonts w:cs="David"/>
          <w:sz w:val="28"/>
          <w:szCs w:val="28"/>
          <w:rtl/>
        </w:rPr>
        <w:tab/>
      </w:r>
      <w:r w:rsidR="00232DBD">
        <w:rPr>
          <w:rFonts w:cs="David" w:hint="cs"/>
          <w:sz w:val="28"/>
          <w:szCs w:val="28"/>
          <w:rtl/>
        </w:rPr>
        <w:t xml:space="preserve">              </w:t>
      </w:r>
      <w:r w:rsidR="005B3BCC">
        <w:rPr>
          <w:rFonts w:cs="David" w:hint="cs"/>
          <w:sz w:val="28"/>
          <w:szCs w:val="28"/>
          <w:rtl/>
        </w:rPr>
        <w:t xml:space="preserve">             </w:t>
      </w:r>
      <w:r w:rsidR="00232DBD">
        <w:rPr>
          <w:rFonts w:cs="David" w:hint="cs"/>
          <w:sz w:val="28"/>
          <w:szCs w:val="28"/>
          <w:rtl/>
        </w:rPr>
        <w:t xml:space="preserve">    </w:t>
      </w:r>
      <w:r w:rsidRPr="00B44DB6">
        <w:rPr>
          <w:rFonts w:cs="David"/>
          <w:sz w:val="28"/>
          <w:szCs w:val="28"/>
          <w:rtl/>
        </w:rPr>
        <w:t>שופט</w:t>
      </w:r>
      <w:r w:rsidR="005B3BCC">
        <w:rPr>
          <w:rFonts w:cs="David" w:hint="cs"/>
          <w:sz w:val="28"/>
          <w:szCs w:val="28"/>
          <w:rtl/>
        </w:rPr>
        <w:t>ת</w:t>
      </w:r>
    </w:p>
    <w:p w14:paraId="5B918615" w14:textId="77777777" w:rsidR="00BA6258" w:rsidRPr="00B44DB6" w:rsidRDefault="00BA6258" w:rsidP="00232DBD">
      <w:pPr>
        <w:spacing w:line="360" w:lineRule="auto"/>
        <w:outlineLvl w:val="0"/>
        <w:rPr>
          <w:rFonts w:cs="David"/>
          <w:sz w:val="28"/>
          <w:szCs w:val="28"/>
          <w:rtl/>
        </w:rPr>
      </w:pPr>
    </w:p>
    <w:p w14:paraId="687A6D6B" w14:textId="78D1B21C" w:rsidR="00B44DB6" w:rsidRDefault="00B44DB6" w:rsidP="00D52B24">
      <w:pPr>
        <w:spacing w:line="360" w:lineRule="auto"/>
        <w:outlineLvl w:val="0"/>
        <w:rPr>
          <w:rFonts w:cs="David"/>
          <w:sz w:val="28"/>
          <w:szCs w:val="28"/>
          <w:rtl/>
        </w:rPr>
      </w:pPr>
    </w:p>
    <w:p w14:paraId="1FAADE40" w14:textId="77777777" w:rsidR="00BA6258" w:rsidRDefault="00BA6258" w:rsidP="00D52B24">
      <w:pPr>
        <w:spacing w:line="360" w:lineRule="auto"/>
        <w:outlineLvl w:val="0"/>
        <w:rPr>
          <w:rFonts w:cs="David"/>
          <w:sz w:val="28"/>
          <w:szCs w:val="28"/>
          <w:rtl/>
        </w:rPr>
      </w:pPr>
    </w:p>
    <w:p w14:paraId="3C999A81" w14:textId="77777777" w:rsidR="00BA6258" w:rsidRPr="00BA6258" w:rsidRDefault="00BA6258" w:rsidP="00BA6258">
      <w:pPr>
        <w:spacing w:line="360" w:lineRule="auto"/>
        <w:outlineLvl w:val="0"/>
        <w:rPr>
          <w:rFonts w:cs="David"/>
          <w:b/>
          <w:bCs/>
          <w:sz w:val="28"/>
          <w:szCs w:val="28"/>
          <w:rtl/>
        </w:rPr>
      </w:pPr>
      <w:r w:rsidRPr="00BA6258">
        <w:rPr>
          <w:rFonts w:cs="David"/>
          <w:b/>
          <w:bCs/>
          <w:sz w:val="28"/>
          <w:szCs w:val="28"/>
          <w:rtl/>
        </w:rPr>
        <w:t xml:space="preserve">   חתימת המגיה: _________________</w:t>
      </w:r>
      <w:r w:rsidRPr="00BA6258">
        <w:rPr>
          <w:rFonts w:cs="David"/>
          <w:b/>
          <w:bCs/>
          <w:sz w:val="28"/>
          <w:szCs w:val="28"/>
          <w:rtl/>
        </w:rPr>
        <w:tab/>
        <w:t xml:space="preserve">          העתק             נאמן            למקור                                                          </w:t>
      </w:r>
    </w:p>
    <w:p w14:paraId="6BC90BB8" w14:textId="77777777" w:rsidR="00BA6258" w:rsidRPr="00BA6258" w:rsidRDefault="00BA6258" w:rsidP="00BA6258">
      <w:pPr>
        <w:spacing w:line="360" w:lineRule="auto"/>
        <w:outlineLvl w:val="0"/>
        <w:rPr>
          <w:rFonts w:cs="David"/>
          <w:b/>
          <w:bCs/>
          <w:sz w:val="28"/>
          <w:szCs w:val="28"/>
          <w:rtl/>
        </w:rPr>
      </w:pPr>
      <w:r w:rsidRPr="00BA6258">
        <w:rPr>
          <w:rFonts w:cs="David"/>
          <w:b/>
          <w:bCs/>
          <w:sz w:val="28"/>
          <w:szCs w:val="28"/>
          <w:rtl/>
        </w:rPr>
        <w:tab/>
        <w:t xml:space="preserve">                                                                    רס"ל               עדי                לביא</w:t>
      </w:r>
    </w:p>
    <w:p w14:paraId="3B17FF8D" w14:textId="1AD38F47" w:rsidR="00BA6258" w:rsidRPr="00BA6258" w:rsidRDefault="00BA6258" w:rsidP="00BA6258">
      <w:pPr>
        <w:spacing w:line="360" w:lineRule="auto"/>
        <w:outlineLvl w:val="0"/>
        <w:rPr>
          <w:rFonts w:cs="David"/>
          <w:b/>
          <w:bCs/>
          <w:sz w:val="28"/>
          <w:szCs w:val="28"/>
          <w:rtl/>
        </w:rPr>
      </w:pPr>
      <w:r w:rsidRPr="00BA6258">
        <w:rPr>
          <w:rFonts w:cs="David"/>
          <w:b/>
          <w:bCs/>
          <w:sz w:val="28"/>
          <w:szCs w:val="28"/>
          <w:rtl/>
        </w:rPr>
        <w:t xml:space="preserve">   תאריך: ______________________</w:t>
      </w:r>
      <w:r w:rsidRPr="00BA6258">
        <w:rPr>
          <w:rFonts w:cs="David"/>
          <w:b/>
          <w:bCs/>
          <w:sz w:val="28"/>
          <w:szCs w:val="28"/>
          <w:rtl/>
        </w:rPr>
        <w:tab/>
        <w:t xml:space="preserve">         קצינת              בית                הדין</w:t>
      </w:r>
    </w:p>
    <w:sectPr w:rsidR="00BA6258" w:rsidRPr="00BA6258" w:rsidSect="0077265D">
      <w:headerReference w:type="even" r:id="rId12"/>
      <w:headerReference w:type="default" r:id="rId13"/>
      <w:footerReference w:type="even" r:id="rId14"/>
      <w:footerReference w:type="default" r:id="rId15"/>
      <w:headerReference w:type="first" r:id="rId16"/>
      <w:pgSz w:w="11906" w:h="16838"/>
      <w:pgMar w:top="1103" w:right="1800" w:bottom="1440" w:left="1800" w:header="426"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CF460" w14:textId="77777777" w:rsidR="0077265D" w:rsidRDefault="0077265D">
      <w:r>
        <w:separator/>
      </w:r>
    </w:p>
  </w:endnote>
  <w:endnote w:type="continuationSeparator" w:id="0">
    <w:p w14:paraId="7214ACCE" w14:textId="77777777" w:rsidR="0077265D" w:rsidRDefault="0077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TUR">
    <w:panose1 w:val="00000000000000000000"/>
    <w:charset w:val="00"/>
    <w:family w:val="swiss"/>
    <w:notTrueType/>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1C6A" w14:textId="77777777" w:rsidR="00E77C4C" w:rsidRDefault="00E77C4C" w:rsidP="00A53D04">
    <w:pPr>
      <w:pStyle w:val="Footer"/>
      <w:framePr w:wrap="around" w:vAnchor="text" w:hAnchor="text" w:xAlign="center" w:y="1"/>
      <w:rPr>
        <w:rStyle w:val="PageNumber"/>
      </w:rPr>
    </w:pPr>
    <w:r>
      <w:rPr>
        <w:rStyle w:val="PageNumber"/>
        <w:rtl/>
      </w:rPr>
      <w:fldChar w:fldCharType="begin"/>
    </w:r>
    <w:r>
      <w:rPr>
        <w:rStyle w:val="PageNumber"/>
      </w:rPr>
      <w:instrText>PAGE</w:instrText>
    </w:r>
    <w:r>
      <w:rPr>
        <w:rStyle w:val="PageNumber"/>
        <w:rtl/>
      </w:rPr>
      <w:fldChar w:fldCharType="end"/>
    </w:r>
  </w:p>
  <w:p w14:paraId="35ABE26E" w14:textId="77777777" w:rsidR="00E77C4C" w:rsidRDefault="00E77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0263" w14:textId="77777777" w:rsidR="00E77C4C" w:rsidRPr="001A563F" w:rsidRDefault="00E77C4C" w:rsidP="00A53D04">
    <w:pPr>
      <w:pStyle w:val="Footer"/>
      <w:framePr w:wrap="around" w:vAnchor="text" w:hAnchor="text" w:xAlign="center" w:y="1"/>
      <w:rPr>
        <w:rStyle w:val="PageNumber"/>
        <w:rFonts w:ascii="David" w:hAnsi="David" w:cs="David"/>
        <w:sz w:val="28"/>
        <w:szCs w:val="28"/>
      </w:rPr>
    </w:pPr>
    <w:r w:rsidRPr="001A563F">
      <w:rPr>
        <w:rStyle w:val="PageNumber"/>
        <w:rFonts w:ascii="David" w:hAnsi="David" w:cs="David"/>
        <w:sz w:val="28"/>
        <w:szCs w:val="28"/>
        <w:rtl/>
      </w:rPr>
      <w:fldChar w:fldCharType="begin"/>
    </w:r>
    <w:r w:rsidRPr="001A563F">
      <w:rPr>
        <w:rStyle w:val="PageNumber"/>
        <w:rFonts w:ascii="David" w:hAnsi="David" w:cs="David"/>
        <w:sz w:val="28"/>
        <w:szCs w:val="28"/>
      </w:rPr>
      <w:instrText>PAGE</w:instrText>
    </w:r>
    <w:r w:rsidRPr="001A563F">
      <w:rPr>
        <w:rStyle w:val="PageNumber"/>
        <w:rFonts w:ascii="David" w:hAnsi="David" w:cs="David"/>
        <w:sz w:val="28"/>
        <w:szCs w:val="28"/>
        <w:rtl/>
      </w:rPr>
      <w:fldChar w:fldCharType="separate"/>
    </w:r>
    <w:r w:rsidR="00AA56E4" w:rsidRPr="001A563F">
      <w:rPr>
        <w:rStyle w:val="PageNumber"/>
        <w:rFonts w:ascii="David" w:hAnsi="David" w:cs="David"/>
        <w:noProof/>
        <w:sz w:val="28"/>
        <w:szCs w:val="28"/>
        <w:rtl/>
      </w:rPr>
      <w:t>33</w:t>
    </w:r>
    <w:r w:rsidRPr="001A563F">
      <w:rPr>
        <w:rStyle w:val="PageNumber"/>
        <w:rFonts w:ascii="David" w:hAnsi="David" w:cs="David"/>
        <w:sz w:val="28"/>
        <w:szCs w:val="28"/>
        <w:rtl/>
      </w:rPr>
      <w:fldChar w:fldCharType="end"/>
    </w:r>
  </w:p>
  <w:p w14:paraId="58DC8D52" w14:textId="77777777" w:rsidR="00E77C4C" w:rsidRPr="00FE1151" w:rsidRDefault="00E77C4C">
    <w:pPr>
      <w:pStyle w:val="Footer"/>
      <w:rPr>
        <w:rFonts w:cs="Davi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6B933" w14:textId="77777777" w:rsidR="0077265D" w:rsidRDefault="0077265D">
      <w:r>
        <w:separator/>
      </w:r>
    </w:p>
  </w:footnote>
  <w:footnote w:type="continuationSeparator" w:id="0">
    <w:p w14:paraId="41B42599" w14:textId="77777777" w:rsidR="0077265D" w:rsidRDefault="00772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8820" w14:textId="25C5AAF3" w:rsidR="00E77C4C" w:rsidRDefault="00FA4D71">
    <w:pPr>
      <w:pStyle w:val="Header"/>
    </w:pPr>
    <w:r>
      <w:rPr>
        <w:noProof/>
      </w:rPr>
      <mc:AlternateContent>
        <mc:Choice Requires="wps">
          <w:drawing>
            <wp:anchor distT="0" distB="0" distL="0" distR="0" simplePos="0" relativeHeight="251659776" behindDoc="0" locked="0" layoutInCell="1" allowOverlap="1" wp14:anchorId="2B3C054B" wp14:editId="331C32DF">
              <wp:simplePos x="635" y="635"/>
              <wp:positionH relativeFrom="page">
                <wp:align>center</wp:align>
              </wp:positionH>
              <wp:positionV relativeFrom="page">
                <wp:align>top</wp:align>
              </wp:positionV>
              <wp:extent cx="443865" cy="443865"/>
              <wp:effectExtent l="0" t="0" r="6985" b="16510"/>
              <wp:wrapNone/>
              <wp:docPr id="359162910" name="Text Box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9357F4" w14:textId="6CA21E22" w:rsidR="00FA4D71" w:rsidRPr="00FA4D71" w:rsidRDefault="00FA4D71" w:rsidP="00FA4D71">
                          <w:pPr>
                            <w:rPr>
                              <w:rFonts w:ascii="Calibri" w:eastAsia="Calibri" w:hAnsi="Calibri" w:cs="Calibri"/>
                              <w:noProof/>
                              <w:color w:val="000000"/>
                              <w:sz w:val="20"/>
                              <w:szCs w:val="20"/>
                            </w:rPr>
                          </w:pPr>
                          <w:r w:rsidRPr="00FA4D71">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3C054B" id="_x0000_t202" coordsize="21600,21600" o:spt="202" path="m,l,21600r21600,l21600,xe">
              <v:stroke joinstyle="miter"/>
              <v:path gradientshapeok="t" o:connecttype="rect"/>
            </v:shapetype>
            <v:shape id="Text Box 2" o:spid="_x0000_s1026" type="#_x0000_t202" alt="- בלמ&quot;ס -" style="position:absolute;left:0;text-align:left;margin-left:0;margin-top:0;width:34.95pt;height:34.95pt;z-index:251659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19357F4" w14:textId="6CA21E22" w:rsidR="00FA4D71" w:rsidRPr="00FA4D71" w:rsidRDefault="00FA4D71" w:rsidP="00FA4D71">
                    <w:pPr>
                      <w:rPr>
                        <w:rFonts w:ascii="Calibri" w:eastAsia="Calibri" w:hAnsi="Calibri" w:cs="Calibri"/>
                        <w:noProof/>
                        <w:color w:val="000000"/>
                        <w:sz w:val="20"/>
                        <w:szCs w:val="20"/>
                      </w:rPr>
                    </w:pPr>
                    <w:r w:rsidRPr="00FA4D71">
                      <w:rPr>
                        <w:rFonts w:ascii="Calibri" w:eastAsia="Calibri" w:hAnsi="Calibri" w:cs="Calibri"/>
                        <w:noProof/>
                        <w:color w:val="000000"/>
                        <w:sz w:val="20"/>
                        <w:szCs w:val="20"/>
                        <w:rtl/>
                      </w:rPr>
                      <w:t>- בלמ"ס -</w:t>
                    </w:r>
                  </w:p>
                </w:txbxContent>
              </v:textbox>
              <w10:wrap anchorx="page" anchory="page"/>
            </v:shape>
          </w:pict>
        </mc:Fallback>
      </mc:AlternateContent>
    </w:r>
    <w:r w:rsidR="00D42E43">
      <w:rPr>
        <w:noProof/>
      </w:rPr>
      <mc:AlternateContent>
        <mc:Choice Requires="wps">
          <w:drawing>
            <wp:anchor distT="0" distB="0" distL="0" distR="0" simplePos="0" relativeHeight="251657728" behindDoc="0" locked="0" layoutInCell="1" allowOverlap="1" wp14:anchorId="0712AB37" wp14:editId="4749C490">
              <wp:simplePos x="0" y="0"/>
              <wp:positionH relativeFrom="column">
                <wp:align>center</wp:align>
              </wp:positionH>
              <wp:positionV relativeFrom="paragraph">
                <wp:posOffset>635</wp:posOffset>
              </wp:positionV>
              <wp:extent cx="443865" cy="443865"/>
              <wp:effectExtent l="0" t="635" r="3810" b="3175"/>
              <wp:wrapSquare wrapText="bothSides"/>
              <wp:docPr id="3" name="Text Box 2"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C9405" w14:textId="77777777" w:rsidR="00E77C4C" w:rsidRPr="0089642B" w:rsidRDefault="00E77C4C">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12AB37" id="_x0000_t202" coordsize="21600,21600" o:spt="202" path="m,l,21600r21600,l21600,xe">
              <v:stroke joinstyle="miter"/>
              <v:path gradientshapeok="t" o:connecttype="rect"/>
            </v:shapetype>
            <v:shape id="Text Box 2" o:spid="_x0000_s1026" type="#_x0000_t202" alt="- בלמ&quot;ס -" style="position:absolute;left:0;text-align:left;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vPJvKgECAADOAwAADgAAAAAAAAAAAAAAAAAu&#10;AgAAZHJzL2Uyb0RvYy54bWxQSwECLQAUAAYACAAAACEAhLDTKNYAAAADAQAADwAAAAAAAAAAAAAA&#10;AABbBAAAZHJzL2Rvd25yZXYueG1sUEsFBgAAAAAEAAQA8wAAAF4FAAAAAA==&#10;" filled="f" stroked="f">
              <v:textbox style="mso-fit-shape-to-text:t" inset="0,0,0,0">
                <w:txbxContent>
                  <w:p w14:paraId="4FCC9405" w14:textId="77777777" w:rsidR="00E77C4C" w:rsidRPr="0089642B" w:rsidRDefault="00E77C4C">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D796" w14:textId="17EDE0B5" w:rsidR="00A4276F" w:rsidRPr="001A563F" w:rsidRDefault="00FA4D71" w:rsidP="001A563F">
    <w:pPr>
      <w:pStyle w:val="Header"/>
      <w:rPr>
        <w:rFonts w:cs="David"/>
        <w:sz w:val="28"/>
        <w:szCs w:val="28"/>
        <w:rtl/>
      </w:rPr>
    </w:pPr>
    <w:r>
      <w:rPr>
        <w:rFonts w:cs="David"/>
        <w:noProof/>
        <w:sz w:val="28"/>
        <w:szCs w:val="28"/>
        <w:rtl/>
        <w:lang w:val="he-IL"/>
      </w:rPr>
      <mc:AlternateContent>
        <mc:Choice Requires="wps">
          <w:drawing>
            <wp:anchor distT="0" distB="0" distL="0" distR="0" simplePos="0" relativeHeight="251660800" behindDoc="0" locked="0" layoutInCell="1" allowOverlap="1" wp14:anchorId="1BD245BD" wp14:editId="3713EF4C">
              <wp:simplePos x="635" y="635"/>
              <wp:positionH relativeFrom="page">
                <wp:align>center</wp:align>
              </wp:positionH>
              <wp:positionV relativeFrom="page">
                <wp:align>top</wp:align>
              </wp:positionV>
              <wp:extent cx="443865" cy="443865"/>
              <wp:effectExtent l="0" t="0" r="6985" b="16510"/>
              <wp:wrapNone/>
              <wp:docPr id="1486182226" name="Text Box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90B5D6" w14:textId="5B9CAB02" w:rsidR="00FA4D71" w:rsidRPr="00FA4D71" w:rsidRDefault="00FA4D71" w:rsidP="00FA4D71">
                          <w:pPr>
                            <w:rPr>
                              <w:rFonts w:ascii="Calibri" w:eastAsia="Calibri" w:hAnsi="Calibri" w:cs="Calibri"/>
                              <w:noProof/>
                              <w:color w:val="000000"/>
                              <w:sz w:val="20"/>
                              <w:szCs w:val="20"/>
                            </w:rPr>
                          </w:pPr>
                          <w:r w:rsidRPr="00FA4D71">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D245BD" id="_x0000_t202" coordsize="21600,21600" o:spt="202" path="m,l,21600r21600,l21600,xe">
              <v:stroke joinstyle="miter"/>
              <v:path gradientshapeok="t" o:connecttype="rect"/>
            </v:shapetype>
            <v:shape id="Text Box 3" o:spid="_x0000_s1028" type="#_x0000_t202" alt="- בלמ&quot;ס -"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590B5D6" w14:textId="5B9CAB02" w:rsidR="00FA4D71" w:rsidRPr="00FA4D71" w:rsidRDefault="00FA4D71" w:rsidP="00FA4D71">
                    <w:pPr>
                      <w:rPr>
                        <w:rFonts w:ascii="Calibri" w:eastAsia="Calibri" w:hAnsi="Calibri" w:cs="Calibri"/>
                        <w:noProof/>
                        <w:color w:val="000000"/>
                        <w:sz w:val="20"/>
                        <w:szCs w:val="20"/>
                      </w:rPr>
                    </w:pPr>
                    <w:r w:rsidRPr="00FA4D71">
                      <w:rPr>
                        <w:rFonts w:ascii="Calibri" w:eastAsia="Calibri" w:hAnsi="Calibri" w:cs="Calibri"/>
                        <w:noProof/>
                        <w:color w:val="000000"/>
                        <w:sz w:val="20"/>
                        <w:szCs w:val="20"/>
                        <w:rtl/>
                      </w:rPr>
                      <w:t>- בלמ"ס -</w:t>
                    </w:r>
                  </w:p>
                </w:txbxContent>
              </v:textbox>
              <w10:wrap anchorx="page" anchory="page"/>
            </v:shape>
          </w:pict>
        </mc:Fallback>
      </mc:AlternateContent>
    </w:r>
    <w:r w:rsidR="001A563F">
      <w:rPr>
        <w:rFonts w:cs="David"/>
        <w:sz w:val="28"/>
        <w:szCs w:val="28"/>
        <w:rtl/>
      </w:rPr>
      <w:tab/>
    </w:r>
    <w:r w:rsidR="00A6611E">
      <w:rPr>
        <w:rFonts w:cs="David" w:hint="cs"/>
        <w:sz w:val="28"/>
        <w:szCs w:val="28"/>
        <w:rtl/>
      </w:rPr>
      <w:t xml:space="preserve">ב ל מ " ס </w:t>
    </w:r>
    <w:r w:rsidR="001A563F">
      <w:rPr>
        <w:rFonts w:cs="David"/>
        <w:sz w:val="28"/>
        <w:szCs w:val="28"/>
        <w:rtl/>
      </w:rPr>
      <w:tab/>
    </w:r>
    <w:r w:rsidR="008B5968">
      <w:rPr>
        <w:rFonts w:cs="David" w:hint="cs"/>
        <w:sz w:val="28"/>
        <w:szCs w:val="28"/>
        <w:rtl/>
      </w:rPr>
      <w:t>ע'/32,33/21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A5A8" w14:textId="27460EFF" w:rsidR="00E77C4C" w:rsidRDefault="00FA4D71">
    <w:pPr>
      <w:pStyle w:val="Header"/>
    </w:pPr>
    <w:r>
      <w:rPr>
        <w:noProof/>
      </w:rPr>
      <mc:AlternateContent>
        <mc:Choice Requires="wps">
          <w:drawing>
            <wp:anchor distT="0" distB="0" distL="0" distR="0" simplePos="0" relativeHeight="251658752" behindDoc="0" locked="0" layoutInCell="1" allowOverlap="1" wp14:anchorId="45BA158B" wp14:editId="1B9E4D7D">
              <wp:simplePos x="635" y="635"/>
              <wp:positionH relativeFrom="page">
                <wp:align>center</wp:align>
              </wp:positionH>
              <wp:positionV relativeFrom="page">
                <wp:align>top</wp:align>
              </wp:positionV>
              <wp:extent cx="443865" cy="443865"/>
              <wp:effectExtent l="0" t="0" r="6985" b="16510"/>
              <wp:wrapNone/>
              <wp:docPr id="1684443873" name="Text Box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E7E29" w14:textId="150AACE9" w:rsidR="00FA4D71" w:rsidRPr="00FA4D71" w:rsidRDefault="00FA4D71" w:rsidP="00FA4D71">
                          <w:pPr>
                            <w:rPr>
                              <w:rFonts w:ascii="Calibri" w:eastAsia="Calibri" w:hAnsi="Calibri" w:cs="Calibri"/>
                              <w:noProof/>
                              <w:color w:val="000000"/>
                              <w:sz w:val="20"/>
                              <w:szCs w:val="20"/>
                            </w:rPr>
                          </w:pPr>
                          <w:r w:rsidRPr="00FA4D71">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BA158B" id="_x0000_t202" coordsize="21600,21600" o:spt="202" path="m,l,21600r21600,l21600,xe">
              <v:stroke joinstyle="miter"/>
              <v:path gradientshapeok="t" o:connecttype="rect"/>
            </v:shapetype>
            <v:shape id="Text Box 1" o:spid="_x0000_s1029" type="#_x0000_t202" alt="- בלמ&quot;ס -"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60E7E29" w14:textId="150AACE9" w:rsidR="00FA4D71" w:rsidRPr="00FA4D71" w:rsidRDefault="00FA4D71" w:rsidP="00FA4D71">
                    <w:pPr>
                      <w:rPr>
                        <w:rFonts w:ascii="Calibri" w:eastAsia="Calibri" w:hAnsi="Calibri" w:cs="Calibri"/>
                        <w:noProof/>
                        <w:color w:val="000000"/>
                        <w:sz w:val="20"/>
                        <w:szCs w:val="20"/>
                      </w:rPr>
                    </w:pPr>
                    <w:r w:rsidRPr="00FA4D71">
                      <w:rPr>
                        <w:rFonts w:ascii="Calibri" w:eastAsia="Calibri" w:hAnsi="Calibri" w:cs="Calibri"/>
                        <w:noProof/>
                        <w:color w:val="000000"/>
                        <w:sz w:val="20"/>
                        <w:szCs w:val="20"/>
                        <w:rtl/>
                      </w:rPr>
                      <w:t>- בלמ"ס -</w:t>
                    </w:r>
                  </w:p>
                </w:txbxContent>
              </v:textbox>
              <w10:wrap anchorx="page" anchory="page"/>
            </v:shape>
          </w:pict>
        </mc:Fallback>
      </mc:AlternateContent>
    </w:r>
    <w:r w:rsidR="00D42E43">
      <w:rPr>
        <w:noProof/>
      </w:rPr>
      <mc:AlternateContent>
        <mc:Choice Requires="wps">
          <w:drawing>
            <wp:anchor distT="0" distB="0" distL="0" distR="0" simplePos="0" relativeHeight="251656704" behindDoc="0" locked="0" layoutInCell="1" allowOverlap="1" wp14:anchorId="7AA6104F" wp14:editId="5BBEC7C5">
              <wp:simplePos x="0" y="0"/>
              <wp:positionH relativeFrom="column">
                <wp:align>center</wp:align>
              </wp:positionH>
              <wp:positionV relativeFrom="paragraph">
                <wp:posOffset>635</wp:posOffset>
              </wp:positionV>
              <wp:extent cx="443865" cy="443865"/>
              <wp:effectExtent l="0" t="635" r="3810" b="3175"/>
              <wp:wrapSquare wrapText="bothSides"/>
              <wp:docPr id="1" name="Text Box 1"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D913F" w14:textId="77777777" w:rsidR="00E77C4C" w:rsidRPr="0089642B" w:rsidRDefault="00E77C4C">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A6104F" id="_x0000_t202" coordsize="21600,21600" o:spt="202" path="m,l,21600r21600,l21600,xe">
              <v:stroke joinstyle="miter"/>
              <v:path gradientshapeok="t" o:connecttype="rect"/>
            </v:shapetype>
            <v:shape id="Text Box 1" o:spid="_x0000_s1027" type="#_x0000_t202" alt="- בלמ&quot;ס -"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YAOfLQECAADVAwAADgAAAAAAAAAAAAAAAAAu&#10;AgAAZHJzL2Uyb0RvYy54bWxQSwECLQAUAAYACAAAACEAhLDTKNYAAAADAQAADwAAAAAAAAAAAAAA&#10;AABbBAAAZHJzL2Rvd25yZXYueG1sUEsFBgAAAAAEAAQA8wAAAF4FAAAAAA==&#10;" filled="f" stroked="f">
              <v:textbox style="mso-fit-shape-to-text:t" inset="0,0,0,0">
                <w:txbxContent>
                  <w:p w14:paraId="12ED913F" w14:textId="77777777" w:rsidR="00E77C4C" w:rsidRPr="0089642B" w:rsidRDefault="00E77C4C">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483"/>
    <w:multiLevelType w:val="hybridMultilevel"/>
    <w:tmpl w:val="3D8A6C36"/>
    <w:lvl w:ilvl="0" w:tplc="F52C1F04">
      <w:start w:val="1"/>
      <w:numFmt w:val="decimal"/>
      <w:suff w:val="space"/>
      <w:lvlText w:val="%1."/>
      <w:lvlJc w:val="left"/>
      <w:pPr>
        <w:ind w:left="4472" w:hanging="360"/>
      </w:pPr>
      <w:rPr>
        <w:rFonts w:hint="default"/>
        <w:lang w:bidi="he-IL"/>
      </w:rPr>
    </w:lvl>
    <w:lvl w:ilvl="1" w:tplc="A85C57B6" w:tentative="1">
      <w:start w:val="1"/>
      <w:numFmt w:val="lowerLetter"/>
      <w:lvlText w:val="%2."/>
      <w:lvlJc w:val="left"/>
      <w:pPr>
        <w:ind w:left="1441" w:hanging="360"/>
      </w:pPr>
    </w:lvl>
    <w:lvl w:ilvl="2" w:tplc="518CEF42" w:tentative="1">
      <w:start w:val="1"/>
      <w:numFmt w:val="lowerRoman"/>
      <w:lvlText w:val="%3."/>
      <w:lvlJc w:val="right"/>
      <w:pPr>
        <w:ind w:left="2161" w:hanging="180"/>
      </w:pPr>
    </w:lvl>
    <w:lvl w:ilvl="3" w:tplc="3A064544" w:tentative="1">
      <w:start w:val="1"/>
      <w:numFmt w:val="decimal"/>
      <w:lvlText w:val="%4."/>
      <w:lvlJc w:val="left"/>
      <w:pPr>
        <w:ind w:left="2881" w:hanging="360"/>
      </w:pPr>
    </w:lvl>
    <w:lvl w:ilvl="4" w:tplc="C5E80FEC" w:tentative="1">
      <w:start w:val="1"/>
      <w:numFmt w:val="lowerLetter"/>
      <w:lvlText w:val="%5."/>
      <w:lvlJc w:val="left"/>
      <w:pPr>
        <w:ind w:left="3601" w:hanging="360"/>
      </w:pPr>
    </w:lvl>
    <w:lvl w:ilvl="5" w:tplc="1892DEBC" w:tentative="1">
      <w:start w:val="1"/>
      <w:numFmt w:val="lowerRoman"/>
      <w:lvlText w:val="%6."/>
      <w:lvlJc w:val="right"/>
      <w:pPr>
        <w:ind w:left="4321" w:hanging="180"/>
      </w:pPr>
    </w:lvl>
    <w:lvl w:ilvl="6" w:tplc="72140AAE" w:tentative="1">
      <w:start w:val="1"/>
      <w:numFmt w:val="decimal"/>
      <w:lvlText w:val="%7."/>
      <w:lvlJc w:val="left"/>
      <w:pPr>
        <w:ind w:left="5041" w:hanging="360"/>
      </w:pPr>
    </w:lvl>
    <w:lvl w:ilvl="7" w:tplc="145EB048" w:tentative="1">
      <w:start w:val="1"/>
      <w:numFmt w:val="lowerLetter"/>
      <w:lvlText w:val="%8."/>
      <w:lvlJc w:val="left"/>
      <w:pPr>
        <w:ind w:left="5761" w:hanging="360"/>
      </w:pPr>
    </w:lvl>
    <w:lvl w:ilvl="8" w:tplc="5C909DA4" w:tentative="1">
      <w:start w:val="1"/>
      <w:numFmt w:val="lowerRoman"/>
      <w:lvlText w:val="%9."/>
      <w:lvlJc w:val="right"/>
      <w:pPr>
        <w:ind w:left="6481" w:hanging="180"/>
      </w:pPr>
    </w:lvl>
  </w:abstractNum>
  <w:abstractNum w:abstractNumId="1" w15:restartNumberingAfterBreak="0">
    <w:nsid w:val="08A6001B"/>
    <w:multiLevelType w:val="hybridMultilevel"/>
    <w:tmpl w:val="B2C4B5E4"/>
    <w:lvl w:ilvl="0" w:tplc="0C1E15DA">
      <w:start w:val="1"/>
      <w:numFmt w:val="decimal"/>
      <w:pStyle w:val="Ruller4"/>
      <w:lvlText w:val="%1."/>
      <w:lvlJc w:val="left"/>
      <w:pPr>
        <w:tabs>
          <w:tab w:val="num" w:pos="907"/>
        </w:tabs>
        <w:ind w:left="0" w:firstLine="0"/>
      </w:pPr>
    </w:lvl>
    <w:lvl w:ilvl="1" w:tplc="A48E5E54">
      <w:start w:val="1"/>
      <w:numFmt w:val="decimal"/>
      <w:lvlText w:val="%2."/>
      <w:lvlJc w:val="left"/>
      <w:pPr>
        <w:tabs>
          <w:tab w:val="num" w:pos="1440"/>
        </w:tabs>
        <w:ind w:left="1440" w:hanging="360"/>
      </w:pPr>
    </w:lvl>
    <w:lvl w:ilvl="2" w:tplc="41327DD8">
      <w:start w:val="1"/>
      <w:numFmt w:val="decimal"/>
      <w:lvlText w:val="%3."/>
      <w:lvlJc w:val="left"/>
      <w:pPr>
        <w:tabs>
          <w:tab w:val="num" w:pos="2160"/>
        </w:tabs>
        <w:ind w:left="2160" w:hanging="360"/>
      </w:pPr>
    </w:lvl>
    <w:lvl w:ilvl="3" w:tplc="4476E4D2">
      <w:start w:val="1"/>
      <w:numFmt w:val="decimal"/>
      <w:lvlText w:val="%4."/>
      <w:lvlJc w:val="left"/>
      <w:pPr>
        <w:tabs>
          <w:tab w:val="num" w:pos="2880"/>
        </w:tabs>
        <w:ind w:left="2880" w:hanging="360"/>
      </w:pPr>
    </w:lvl>
    <w:lvl w:ilvl="4" w:tplc="E9F2AC88">
      <w:start w:val="1"/>
      <w:numFmt w:val="decimal"/>
      <w:lvlText w:val="%5."/>
      <w:lvlJc w:val="left"/>
      <w:pPr>
        <w:tabs>
          <w:tab w:val="num" w:pos="3600"/>
        </w:tabs>
        <w:ind w:left="3600" w:hanging="360"/>
      </w:pPr>
    </w:lvl>
    <w:lvl w:ilvl="5" w:tplc="725CA6E8">
      <w:start w:val="1"/>
      <w:numFmt w:val="decimal"/>
      <w:lvlText w:val="%6."/>
      <w:lvlJc w:val="left"/>
      <w:pPr>
        <w:tabs>
          <w:tab w:val="num" w:pos="4320"/>
        </w:tabs>
        <w:ind w:left="4320" w:hanging="360"/>
      </w:pPr>
    </w:lvl>
    <w:lvl w:ilvl="6" w:tplc="B588AFC0">
      <w:start w:val="1"/>
      <w:numFmt w:val="decimal"/>
      <w:lvlText w:val="%7."/>
      <w:lvlJc w:val="left"/>
      <w:pPr>
        <w:tabs>
          <w:tab w:val="num" w:pos="5040"/>
        </w:tabs>
        <w:ind w:left="5040" w:hanging="360"/>
      </w:pPr>
    </w:lvl>
    <w:lvl w:ilvl="7" w:tplc="DD12A7AA">
      <w:start w:val="1"/>
      <w:numFmt w:val="decimal"/>
      <w:lvlText w:val="%8."/>
      <w:lvlJc w:val="left"/>
      <w:pPr>
        <w:tabs>
          <w:tab w:val="num" w:pos="5760"/>
        </w:tabs>
        <w:ind w:left="5760" w:hanging="360"/>
      </w:pPr>
    </w:lvl>
    <w:lvl w:ilvl="8" w:tplc="BE068D68">
      <w:start w:val="1"/>
      <w:numFmt w:val="decimal"/>
      <w:lvlText w:val="%9."/>
      <w:lvlJc w:val="left"/>
      <w:pPr>
        <w:tabs>
          <w:tab w:val="num" w:pos="6480"/>
        </w:tabs>
        <w:ind w:left="6480" w:hanging="360"/>
      </w:pPr>
    </w:lvl>
  </w:abstractNum>
  <w:abstractNum w:abstractNumId="2" w15:restartNumberingAfterBreak="0">
    <w:nsid w:val="0B166F09"/>
    <w:multiLevelType w:val="hybridMultilevel"/>
    <w:tmpl w:val="1D0CC434"/>
    <w:lvl w:ilvl="0" w:tplc="8C82D0F2">
      <w:start w:val="1"/>
      <w:numFmt w:val="decimal"/>
      <w:pStyle w:val="a"/>
      <w:lvlText w:val="%1."/>
      <w:lvlJc w:val="left"/>
      <w:pPr>
        <w:ind w:left="360" w:hanging="360"/>
      </w:pPr>
      <w:rPr>
        <w:b/>
        <w:bCs w:val="0"/>
        <w:strike w:val="0"/>
        <w:dstrike w:val="0"/>
        <w:u w:val="none"/>
        <w:effect w:val="none"/>
      </w:rPr>
    </w:lvl>
    <w:lvl w:ilvl="1" w:tplc="6D385B16">
      <w:start w:val="1"/>
      <w:numFmt w:val="lowerLetter"/>
      <w:lvlText w:val="%2."/>
      <w:lvlJc w:val="left"/>
      <w:pPr>
        <w:ind w:left="1440" w:hanging="360"/>
      </w:pPr>
    </w:lvl>
    <w:lvl w:ilvl="2" w:tplc="CD20C29E">
      <w:start w:val="1"/>
      <w:numFmt w:val="lowerRoman"/>
      <w:lvlText w:val="%3."/>
      <w:lvlJc w:val="right"/>
      <w:pPr>
        <w:ind w:left="2160" w:hanging="180"/>
      </w:pPr>
    </w:lvl>
    <w:lvl w:ilvl="3" w:tplc="A6302822">
      <w:start w:val="1"/>
      <w:numFmt w:val="decimal"/>
      <w:lvlText w:val="%4."/>
      <w:lvlJc w:val="left"/>
      <w:pPr>
        <w:tabs>
          <w:tab w:val="num" w:pos="2880"/>
        </w:tabs>
        <w:ind w:left="2880" w:hanging="360"/>
      </w:pPr>
    </w:lvl>
    <w:lvl w:ilvl="4" w:tplc="065EA16C">
      <w:start w:val="1"/>
      <w:numFmt w:val="decimal"/>
      <w:lvlText w:val="%5."/>
      <w:lvlJc w:val="left"/>
      <w:pPr>
        <w:tabs>
          <w:tab w:val="num" w:pos="3600"/>
        </w:tabs>
        <w:ind w:left="3600" w:hanging="360"/>
      </w:pPr>
    </w:lvl>
    <w:lvl w:ilvl="5" w:tplc="3E92EB92">
      <w:start w:val="1"/>
      <w:numFmt w:val="decimal"/>
      <w:lvlText w:val="%6."/>
      <w:lvlJc w:val="left"/>
      <w:pPr>
        <w:tabs>
          <w:tab w:val="num" w:pos="4320"/>
        </w:tabs>
        <w:ind w:left="4320" w:hanging="360"/>
      </w:pPr>
    </w:lvl>
    <w:lvl w:ilvl="6" w:tplc="EFEE2EC6">
      <w:start w:val="1"/>
      <w:numFmt w:val="decimal"/>
      <w:lvlText w:val="%7."/>
      <w:lvlJc w:val="left"/>
      <w:pPr>
        <w:tabs>
          <w:tab w:val="num" w:pos="5040"/>
        </w:tabs>
        <w:ind w:left="5040" w:hanging="360"/>
      </w:pPr>
    </w:lvl>
    <w:lvl w:ilvl="7" w:tplc="DF0A462A">
      <w:start w:val="1"/>
      <w:numFmt w:val="decimal"/>
      <w:lvlText w:val="%8."/>
      <w:lvlJc w:val="left"/>
      <w:pPr>
        <w:tabs>
          <w:tab w:val="num" w:pos="5760"/>
        </w:tabs>
        <w:ind w:left="5760" w:hanging="360"/>
      </w:pPr>
    </w:lvl>
    <w:lvl w:ilvl="8" w:tplc="31529E50">
      <w:start w:val="1"/>
      <w:numFmt w:val="decimal"/>
      <w:lvlText w:val="%9."/>
      <w:lvlJc w:val="left"/>
      <w:pPr>
        <w:tabs>
          <w:tab w:val="num" w:pos="6480"/>
        </w:tabs>
        <w:ind w:left="6480" w:hanging="360"/>
      </w:pPr>
    </w:lvl>
  </w:abstractNum>
  <w:abstractNum w:abstractNumId="3" w15:restartNumberingAfterBreak="0">
    <w:nsid w:val="1E055268"/>
    <w:multiLevelType w:val="hybridMultilevel"/>
    <w:tmpl w:val="9570815C"/>
    <w:lvl w:ilvl="0" w:tplc="4176D1DA">
      <w:start w:val="1"/>
      <w:numFmt w:val="hebrew1"/>
      <w:pStyle w:val="2"/>
      <w:lvlText w:val="%1."/>
      <w:lvlJc w:val="center"/>
      <w:pPr>
        <w:ind w:left="720" w:hanging="360"/>
      </w:pPr>
      <w:rPr>
        <w:b/>
        <w:bCs w:val="0"/>
      </w:rPr>
    </w:lvl>
    <w:lvl w:ilvl="1" w:tplc="5120C476">
      <w:start w:val="1"/>
      <w:numFmt w:val="lowerLetter"/>
      <w:lvlText w:val="%2."/>
      <w:lvlJc w:val="left"/>
      <w:pPr>
        <w:ind w:left="1440" w:hanging="360"/>
      </w:pPr>
    </w:lvl>
    <w:lvl w:ilvl="2" w:tplc="8F3A4408">
      <w:start w:val="1"/>
      <w:numFmt w:val="lowerRoman"/>
      <w:lvlText w:val="%3."/>
      <w:lvlJc w:val="right"/>
      <w:pPr>
        <w:ind w:left="2160" w:hanging="180"/>
      </w:pPr>
    </w:lvl>
    <w:lvl w:ilvl="3" w:tplc="67105096">
      <w:start w:val="1"/>
      <w:numFmt w:val="decimal"/>
      <w:lvlText w:val="%4."/>
      <w:lvlJc w:val="left"/>
      <w:pPr>
        <w:ind w:left="2880" w:hanging="360"/>
      </w:pPr>
    </w:lvl>
    <w:lvl w:ilvl="4" w:tplc="1696D836">
      <w:start w:val="1"/>
      <w:numFmt w:val="lowerLetter"/>
      <w:lvlText w:val="%5."/>
      <w:lvlJc w:val="left"/>
      <w:pPr>
        <w:ind w:left="3600" w:hanging="360"/>
      </w:pPr>
    </w:lvl>
    <w:lvl w:ilvl="5" w:tplc="273C9BAA">
      <w:start w:val="1"/>
      <w:numFmt w:val="lowerRoman"/>
      <w:lvlText w:val="%6."/>
      <w:lvlJc w:val="right"/>
      <w:pPr>
        <w:ind w:left="4320" w:hanging="180"/>
      </w:pPr>
    </w:lvl>
    <w:lvl w:ilvl="6" w:tplc="38300EAE">
      <w:start w:val="1"/>
      <w:numFmt w:val="decimal"/>
      <w:lvlText w:val="%7."/>
      <w:lvlJc w:val="left"/>
      <w:pPr>
        <w:ind w:left="5040" w:hanging="360"/>
      </w:pPr>
    </w:lvl>
    <w:lvl w:ilvl="7" w:tplc="8DA22820">
      <w:start w:val="1"/>
      <w:numFmt w:val="lowerLetter"/>
      <w:lvlText w:val="%8."/>
      <w:lvlJc w:val="left"/>
      <w:pPr>
        <w:ind w:left="5760" w:hanging="360"/>
      </w:pPr>
    </w:lvl>
    <w:lvl w:ilvl="8" w:tplc="AF90AF32">
      <w:start w:val="1"/>
      <w:numFmt w:val="lowerRoman"/>
      <w:lvlText w:val="%9."/>
      <w:lvlJc w:val="right"/>
      <w:pPr>
        <w:ind w:left="6480" w:hanging="180"/>
      </w:pPr>
    </w:lvl>
  </w:abstractNum>
  <w:abstractNum w:abstractNumId="4" w15:restartNumberingAfterBreak="0">
    <w:nsid w:val="41AC1B78"/>
    <w:multiLevelType w:val="multilevel"/>
    <w:tmpl w:val="4C76CDD0"/>
    <w:lvl w:ilvl="0">
      <w:start w:val="1"/>
      <w:numFmt w:val="decimal"/>
      <w:pStyle w:val="1"/>
      <w:lvlText w:val="%1."/>
      <w:lvlJc w:val="left"/>
      <w:pPr>
        <w:ind w:left="567" w:hanging="567"/>
      </w:pPr>
      <w:rPr>
        <w:b/>
        <w:bCs w:val="0"/>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5" w15:restartNumberingAfterBreak="0">
    <w:nsid w:val="785521A7"/>
    <w:multiLevelType w:val="hybridMultilevel"/>
    <w:tmpl w:val="55C24D46"/>
    <w:lvl w:ilvl="0" w:tplc="5734BC74">
      <w:start w:val="1"/>
      <w:numFmt w:val="hebrew1"/>
      <w:lvlText w:val="%1."/>
      <w:lvlJc w:val="left"/>
      <w:pPr>
        <w:ind w:left="728" w:hanging="360"/>
      </w:pPr>
      <w:rPr>
        <w:rFonts w:hint="default"/>
      </w:rPr>
    </w:lvl>
    <w:lvl w:ilvl="1" w:tplc="2CA41060" w:tentative="1">
      <w:start w:val="1"/>
      <w:numFmt w:val="lowerLetter"/>
      <w:lvlText w:val="%2."/>
      <w:lvlJc w:val="left"/>
      <w:pPr>
        <w:ind w:left="1448" w:hanging="360"/>
      </w:pPr>
    </w:lvl>
    <w:lvl w:ilvl="2" w:tplc="7CD6ADF8" w:tentative="1">
      <w:start w:val="1"/>
      <w:numFmt w:val="lowerRoman"/>
      <w:lvlText w:val="%3."/>
      <w:lvlJc w:val="right"/>
      <w:pPr>
        <w:ind w:left="2168" w:hanging="180"/>
      </w:pPr>
    </w:lvl>
    <w:lvl w:ilvl="3" w:tplc="8466B386" w:tentative="1">
      <w:start w:val="1"/>
      <w:numFmt w:val="decimal"/>
      <w:lvlText w:val="%4."/>
      <w:lvlJc w:val="left"/>
      <w:pPr>
        <w:ind w:left="2888" w:hanging="360"/>
      </w:pPr>
    </w:lvl>
    <w:lvl w:ilvl="4" w:tplc="BA06249C" w:tentative="1">
      <w:start w:val="1"/>
      <w:numFmt w:val="lowerLetter"/>
      <w:lvlText w:val="%5."/>
      <w:lvlJc w:val="left"/>
      <w:pPr>
        <w:ind w:left="3608" w:hanging="360"/>
      </w:pPr>
    </w:lvl>
    <w:lvl w:ilvl="5" w:tplc="C7302956" w:tentative="1">
      <w:start w:val="1"/>
      <w:numFmt w:val="lowerRoman"/>
      <w:lvlText w:val="%6."/>
      <w:lvlJc w:val="right"/>
      <w:pPr>
        <w:ind w:left="4328" w:hanging="180"/>
      </w:pPr>
    </w:lvl>
    <w:lvl w:ilvl="6" w:tplc="2DF2EA94" w:tentative="1">
      <w:start w:val="1"/>
      <w:numFmt w:val="decimal"/>
      <w:lvlText w:val="%7."/>
      <w:lvlJc w:val="left"/>
      <w:pPr>
        <w:ind w:left="5048" w:hanging="360"/>
      </w:pPr>
    </w:lvl>
    <w:lvl w:ilvl="7" w:tplc="D68093EC" w:tentative="1">
      <w:start w:val="1"/>
      <w:numFmt w:val="lowerLetter"/>
      <w:lvlText w:val="%8."/>
      <w:lvlJc w:val="left"/>
      <w:pPr>
        <w:ind w:left="5768" w:hanging="360"/>
      </w:pPr>
    </w:lvl>
    <w:lvl w:ilvl="8" w:tplc="48AEAEAC" w:tentative="1">
      <w:start w:val="1"/>
      <w:numFmt w:val="lowerRoman"/>
      <w:lvlText w:val="%9."/>
      <w:lvlJc w:val="right"/>
      <w:pPr>
        <w:ind w:left="6488" w:hanging="180"/>
      </w:pPr>
    </w:lvl>
  </w:abstractNum>
  <w:num w:numId="1" w16cid:durableId="1757550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6386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181008">
    <w:abstractNumId w:val="3"/>
  </w:num>
  <w:num w:numId="4" w16cid:durableId="2029600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94871">
    <w:abstractNumId w:val="0"/>
  </w:num>
  <w:num w:numId="6" w16cid:durableId="1325358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5B"/>
    <w:rsid w:val="0000370D"/>
    <w:rsid w:val="00003F4D"/>
    <w:rsid w:val="000047AF"/>
    <w:rsid w:val="00004ACD"/>
    <w:rsid w:val="00011302"/>
    <w:rsid w:val="00012175"/>
    <w:rsid w:val="0001240F"/>
    <w:rsid w:val="000137B9"/>
    <w:rsid w:val="00014F6B"/>
    <w:rsid w:val="0001572C"/>
    <w:rsid w:val="00016FF7"/>
    <w:rsid w:val="00017029"/>
    <w:rsid w:val="0002009F"/>
    <w:rsid w:val="000222F6"/>
    <w:rsid w:val="000228D7"/>
    <w:rsid w:val="0002348E"/>
    <w:rsid w:val="00026A59"/>
    <w:rsid w:val="000318BB"/>
    <w:rsid w:val="000350E6"/>
    <w:rsid w:val="0003527A"/>
    <w:rsid w:val="000357CB"/>
    <w:rsid w:val="000378CC"/>
    <w:rsid w:val="0004010A"/>
    <w:rsid w:val="000403A6"/>
    <w:rsid w:val="00040783"/>
    <w:rsid w:val="0004279A"/>
    <w:rsid w:val="00042CF6"/>
    <w:rsid w:val="00042F83"/>
    <w:rsid w:val="000431B3"/>
    <w:rsid w:val="00043B66"/>
    <w:rsid w:val="00046E22"/>
    <w:rsid w:val="00052894"/>
    <w:rsid w:val="00052944"/>
    <w:rsid w:val="0005309C"/>
    <w:rsid w:val="0005526C"/>
    <w:rsid w:val="000660C4"/>
    <w:rsid w:val="00066C2B"/>
    <w:rsid w:val="00070E19"/>
    <w:rsid w:val="00073BFC"/>
    <w:rsid w:val="00076DCF"/>
    <w:rsid w:val="00081CCA"/>
    <w:rsid w:val="000824F2"/>
    <w:rsid w:val="0008306B"/>
    <w:rsid w:val="0008428C"/>
    <w:rsid w:val="00084A0D"/>
    <w:rsid w:val="0008574B"/>
    <w:rsid w:val="000861CE"/>
    <w:rsid w:val="00086437"/>
    <w:rsid w:val="0008657D"/>
    <w:rsid w:val="000867C3"/>
    <w:rsid w:val="00087851"/>
    <w:rsid w:val="000878C7"/>
    <w:rsid w:val="00093089"/>
    <w:rsid w:val="000957DA"/>
    <w:rsid w:val="000973D7"/>
    <w:rsid w:val="000A231F"/>
    <w:rsid w:val="000A2D0F"/>
    <w:rsid w:val="000A38FE"/>
    <w:rsid w:val="000A4072"/>
    <w:rsid w:val="000A4C38"/>
    <w:rsid w:val="000B13EB"/>
    <w:rsid w:val="000B4FAE"/>
    <w:rsid w:val="000B5946"/>
    <w:rsid w:val="000B5E3F"/>
    <w:rsid w:val="000B5E9C"/>
    <w:rsid w:val="000B6B92"/>
    <w:rsid w:val="000C0D13"/>
    <w:rsid w:val="000C1673"/>
    <w:rsid w:val="000C1EDA"/>
    <w:rsid w:val="000C21E9"/>
    <w:rsid w:val="000C5BBE"/>
    <w:rsid w:val="000D1B61"/>
    <w:rsid w:val="000D1E8C"/>
    <w:rsid w:val="000D489F"/>
    <w:rsid w:val="000D5F6E"/>
    <w:rsid w:val="000D6CA9"/>
    <w:rsid w:val="000E2E8F"/>
    <w:rsid w:val="000E3BAD"/>
    <w:rsid w:val="000E427D"/>
    <w:rsid w:val="000E495B"/>
    <w:rsid w:val="000E5CFF"/>
    <w:rsid w:val="000F069E"/>
    <w:rsid w:val="000F1031"/>
    <w:rsid w:val="000F19CD"/>
    <w:rsid w:val="000F1A03"/>
    <w:rsid w:val="000F369C"/>
    <w:rsid w:val="000F4E08"/>
    <w:rsid w:val="000F57B7"/>
    <w:rsid w:val="000F5ADD"/>
    <w:rsid w:val="000F75CD"/>
    <w:rsid w:val="000F7609"/>
    <w:rsid w:val="00102744"/>
    <w:rsid w:val="0010507E"/>
    <w:rsid w:val="001051C9"/>
    <w:rsid w:val="001104A2"/>
    <w:rsid w:val="0011086D"/>
    <w:rsid w:val="00112CD9"/>
    <w:rsid w:val="00112D0B"/>
    <w:rsid w:val="00113C37"/>
    <w:rsid w:val="00114CD6"/>
    <w:rsid w:val="001155C4"/>
    <w:rsid w:val="0011712F"/>
    <w:rsid w:val="00120F62"/>
    <w:rsid w:val="00121E49"/>
    <w:rsid w:val="0012351E"/>
    <w:rsid w:val="00124FB5"/>
    <w:rsid w:val="00130201"/>
    <w:rsid w:val="0013033B"/>
    <w:rsid w:val="001309E0"/>
    <w:rsid w:val="00133722"/>
    <w:rsid w:val="0013403F"/>
    <w:rsid w:val="00134BFB"/>
    <w:rsid w:val="00134C3D"/>
    <w:rsid w:val="001357B4"/>
    <w:rsid w:val="0014174C"/>
    <w:rsid w:val="00143006"/>
    <w:rsid w:val="0014335A"/>
    <w:rsid w:val="00143D6A"/>
    <w:rsid w:val="001461C9"/>
    <w:rsid w:val="00146657"/>
    <w:rsid w:val="00146C0F"/>
    <w:rsid w:val="00146F1E"/>
    <w:rsid w:val="00147CB6"/>
    <w:rsid w:val="001506A5"/>
    <w:rsid w:val="00151001"/>
    <w:rsid w:val="00154E6B"/>
    <w:rsid w:val="00155AA5"/>
    <w:rsid w:val="00156203"/>
    <w:rsid w:val="00156B54"/>
    <w:rsid w:val="00160BD7"/>
    <w:rsid w:val="00161AD0"/>
    <w:rsid w:val="00163883"/>
    <w:rsid w:val="00164EB1"/>
    <w:rsid w:val="00167543"/>
    <w:rsid w:val="0017057B"/>
    <w:rsid w:val="00170883"/>
    <w:rsid w:val="001711FA"/>
    <w:rsid w:val="00171AF7"/>
    <w:rsid w:val="00173396"/>
    <w:rsid w:val="00174D07"/>
    <w:rsid w:val="00174F6E"/>
    <w:rsid w:val="00177D73"/>
    <w:rsid w:val="0018032B"/>
    <w:rsid w:val="001830AD"/>
    <w:rsid w:val="00184CEC"/>
    <w:rsid w:val="00187AED"/>
    <w:rsid w:val="00187BF0"/>
    <w:rsid w:val="00190295"/>
    <w:rsid w:val="001936B4"/>
    <w:rsid w:val="00193BA7"/>
    <w:rsid w:val="0019586B"/>
    <w:rsid w:val="00197FC9"/>
    <w:rsid w:val="001A016E"/>
    <w:rsid w:val="001A1199"/>
    <w:rsid w:val="001A22C9"/>
    <w:rsid w:val="001A2612"/>
    <w:rsid w:val="001A2D18"/>
    <w:rsid w:val="001A3C78"/>
    <w:rsid w:val="001A563F"/>
    <w:rsid w:val="001A6966"/>
    <w:rsid w:val="001B1987"/>
    <w:rsid w:val="001B76EE"/>
    <w:rsid w:val="001C0A4D"/>
    <w:rsid w:val="001C23B7"/>
    <w:rsid w:val="001C330C"/>
    <w:rsid w:val="001C3D79"/>
    <w:rsid w:val="001C4511"/>
    <w:rsid w:val="001C4824"/>
    <w:rsid w:val="001C4BC4"/>
    <w:rsid w:val="001C5447"/>
    <w:rsid w:val="001D1362"/>
    <w:rsid w:val="001D7CBD"/>
    <w:rsid w:val="001E0431"/>
    <w:rsid w:val="001E09CE"/>
    <w:rsid w:val="001E341D"/>
    <w:rsid w:val="001E5202"/>
    <w:rsid w:val="001E62AC"/>
    <w:rsid w:val="001E6DB7"/>
    <w:rsid w:val="001F4A37"/>
    <w:rsid w:val="001F4C22"/>
    <w:rsid w:val="001F6B37"/>
    <w:rsid w:val="001F7A65"/>
    <w:rsid w:val="00202C3A"/>
    <w:rsid w:val="00202E64"/>
    <w:rsid w:val="002032BF"/>
    <w:rsid w:val="00203E64"/>
    <w:rsid w:val="00204542"/>
    <w:rsid w:val="002063D1"/>
    <w:rsid w:val="00207E96"/>
    <w:rsid w:val="002119A7"/>
    <w:rsid w:val="00216B6E"/>
    <w:rsid w:val="00217E1F"/>
    <w:rsid w:val="00217E5F"/>
    <w:rsid w:val="00221656"/>
    <w:rsid w:val="00223C61"/>
    <w:rsid w:val="00225A3F"/>
    <w:rsid w:val="00227C17"/>
    <w:rsid w:val="00230C75"/>
    <w:rsid w:val="0023104C"/>
    <w:rsid w:val="00231218"/>
    <w:rsid w:val="00232498"/>
    <w:rsid w:val="00232DBD"/>
    <w:rsid w:val="00234657"/>
    <w:rsid w:val="00234FFE"/>
    <w:rsid w:val="002461C3"/>
    <w:rsid w:val="0024672B"/>
    <w:rsid w:val="00246C77"/>
    <w:rsid w:val="00246CA1"/>
    <w:rsid w:val="00247414"/>
    <w:rsid w:val="0024745D"/>
    <w:rsid w:val="00247B62"/>
    <w:rsid w:val="0025133F"/>
    <w:rsid w:val="00251726"/>
    <w:rsid w:val="00252017"/>
    <w:rsid w:val="002531D8"/>
    <w:rsid w:val="0025719D"/>
    <w:rsid w:val="00261BBB"/>
    <w:rsid w:val="002636F9"/>
    <w:rsid w:val="00265160"/>
    <w:rsid w:val="002657B1"/>
    <w:rsid w:val="00266522"/>
    <w:rsid w:val="00266835"/>
    <w:rsid w:val="00272CD8"/>
    <w:rsid w:val="00273A01"/>
    <w:rsid w:val="00274B32"/>
    <w:rsid w:val="002753BA"/>
    <w:rsid w:val="0027570E"/>
    <w:rsid w:val="00276B99"/>
    <w:rsid w:val="00281B27"/>
    <w:rsid w:val="00282BF0"/>
    <w:rsid w:val="0028520D"/>
    <w:rsid w:val="002853A6"/>
    <w:rsid w:val="00287496"/>
    <w:rsid w:val="0029109F"/>
    <w:rsid w:val="00292420"/>
    <w:rsid w:val="00292479"/>
    <w:rsid w:val="00292781"/>
    <w:rsid w:val="00293DD6"/>
    <w:rsid w:val="0029661C"/>
    <w:rsid w:val="002A3A97"/>
    <w:rsid w:val="002A50D5"/>
    <w:rsid w:val="002B073E"/>
    <w:rsid w:val="002B0AF5"/>
    <w:rsid w:val="002B2C0E"/>
    <w:rsid w:val="002B34A0"/>
    <w:rsid w:val="002B47F8"/>
    <w:rsid w:val="002B579D"/>
    <w:rsid w:val="002B6746"/>
    <w:rsid w:val="002B7004"/>
    <w:rsid w:val="002C1CE9"/>
    <w:rsid w:val="002C1FAB"/>
    <w:rsid w:val="002C217A"/>
    <w:rsid w:val="002C60EB"/>
    <w:rsid w:val="002D0EF5"/>
    <w:rsid w:val="002D2544"/>
    <w:rsid w:val="002D3B65"/>
    <w:rsid w:val="002D7E77"/>
    <w:rsid w:val="002E1370"/>
    <w:rsid w:val="002E1EE5"/>
    <w:rsid w:val="002E3C71"/>
    <w:rsid w:val="002E56FA"/>
    <w:rsid w:val="002E60E7"/>
    <w:rsid w:val="002E62FC"/>
    <w:rsid w:val="002F1D5B"/>
    <w:rsid w:val="002F3798"/>
    <w:rsid w:val="002F57E2"/>
    <w:rsid w:val="002F75B3"/>
    <w:rsid w:val="00301D5B"/>
    <w:rsid w:val="00302F80"/>
    <w:rsid w:val="003038CB"/>
    <w:rsid w:val="00305E5C"/>
    <w:rsid w:val="00305F8C"/>
    <w:rsid w:val="003073EC"/>
    <w:rsid w:val="00307C80"/>
    <w:rsid w:val="00311DB2"/>
    <w:rsid w:val="00314578"/>
    <w:rsid w:val="00316697"/>
    <w:rsid w:val="00316A0B"/>
    <w:rsid w:val="00316D68"/>
    <w:rsid w:val="0031733B"/>
    <w:rsid w:val="003201D0"/>
    <w:rsid w:val="00320994"/>
    <w:rsid w:val="00323A27"/>
    <w:rsid w:val="0032490C"/>
    <w:rsid w:val="00325050"/>
    <w:rsid w:val="003269C3"/>
    <w:rsid w:val="0032723B"/>
    <w:rsid w:val="00327654"/>
    <w:rsid w:val="00330198"/>
    <w:rsid w:val="003308E8"/>
    <w:rsid w:val="003317DF"/>
    <w:rsid w:val="00332D86"/>
    <w:rsid w:val="00333D54"/>
    <w:rsid w:val="00334C3A"/>
    <w:rsid w:val="00335290"/>
    <w:rsid w:val="00335B17"/>
    <w:rsid w:val="00341BE0"/>
    <w:rsid w:val="0034254A"/>
    <w:rsid w:val="00342A9E"/>
    <w:rsid w:val="00343082"/>
    <w:rsid w:val="003436A4"/>
    <w:rsid w:val="00343ACA"/>
    <w:rsid w:val="00344246"/>
    <w:rsid w:val="00345099"/>
    <w:rsid w:val="00345547"/>
    <w:rsid w:val="003467CD"/>
    <w:rsid w:val="0035073D"/>
    <w:rsid w:val="00350E0E"/>
    <w:rsid w:val="00351688"/>
    <w:rsid w:val="003516BE"/>
    <w:rsid w:val="00353ACE"/>
    <w:rsid w:val="003557B8"/>
    <w:rsid w:val="0035689A"/>
    <w:rsid w:val="00356DA7"/>
    <w:rsid w:val="00357818"/>
    <w:rsid w:val="00362B9A"/>
    <w:rsid w:val="0036395F"/>
    <w:rsid w:val="00363A88"/>
    <w:rsid w:val="003652D0"/>
    <w:rsid w:val="003672B5"/>
    <w:rsid w:val="00370777"/>
    <w:rsid w:val="00372E67"/>
    <w:rsid w:val="00380099"/>
    <w:rsid w:val="0038082F"/>
    <w:rsid w:val="003815E0"/>
    <w:rsid w:val="00382291"/>
    <w:rsid w:val="003829E7"/>
    <w:rsid w:val="003836D7"/>
    <w:rsid w:val="0038415B"/>
    <w:rsid w:val="003879D9"/>
    <w:rsid w:val="00387BCF"/>
    <w:rsid w:val="00387EFB"/>
    <w:rsid w:val="003911C1"/>
    <w:rsid w:val="00391FA3"/>
    <w:rsid w:val="00393436"/>
    <w:rsid w:val="003934AC"/>
    <w:rsid w:val="003941D1"/>
    <w:rsid w:val="00395E9E"/>
    <w:rsid w:val="003A1BA9"/>
    <w:rsid w:val="003A458E"/>
    <w:rsid w:val="003A4956"/>
    <w:rsid w:val="003A4AD1"/>
    <w:rsid w:val="003A4E40"/>
    <w:rsid w:val="003A59E0"/>
    <w:rsid w:val="003A6467"/>
    <w:rsid w:val="003A74C3"/>
    <w:rsid w:val="003B14C3"/>
    <w:rsid w:val="003B302E"/>
    <w:rsid w:val="003B3A9F"/>
    <w:rsid w:val="003B57DA"/>
    <w:rsid w:val="003B5B99"/>
    <w:rsid w:val="003B623E"/>
    <w:rsid w:val="003B697F"/>
    <w:rsid w:val="003C1841"/>
    <w:rsid w:val="003C52BE"/>
    <w:rsid w:val="003C62E5"/>
    <w:rsid w:val="003D45D1"/>
    <w:rsid w:val="003D555F"/>
    <w:rsid w:val="003D7BED"/>
    <w:rsid w:val="003D7F81"/>
    <w:rsid w:val="003E0413"/>
    <w:rsid w:val="003E0D96"/>
    <w:rsid w:val="003E1C42"/>
    <w:rsid w:val="003E5702"/>
    <w:rsid w:val="003E5D05"/>
    <w:rsid w:val="003E6702"/>
    <w:rsid w:val="003E787B"/>
    <w:rsid w:val="003F1ED7"/>
    <w:rsid w:val="003F2E92"/>
    <w:rsid w:val="003F3C27"/>
    <w:rsid w:val="003F5358"/>
    <w:rsid w:val="004018D2"/>
    <w:rsid w:val="00403F9A"/>
    <w:rsid w:val="00404E36"/>
    <w:rsid w:val="00405102"/>
    <w:rsid w:val="004058F6"/>
    <w:rsid w:val="00406128"/>
    <w:rsid w:val="004068AD"/>
    <w:rsid w:val="00406978"/>
    <w:rsid w:val="0040741D"/>
    <w:rsid w:val="0041335F"/>
    <w:rsid w:val="0041569B"/>
    <w:rsid w:val="00415FF9"/>
    <w:rsid w:val="00420FFA"/>
    <w:rsid w:val="00421101"/>
    <w:rsid w:val="00421401"/>
    <w:rsid w:val="004222AF"/>
    <w:rsid w:val="00422CD0"/>
    <w:rsid w:val="004249E7"/>
    <w:rsid w:val="00425676"/>
    <w:rsid w:val="00426E62"/>
    <w:rsid w:val="00427D4C"/>
    <w:rsid w:val="004303F1"/>
    <w:rsid w:val="00435768"/>
    <w:rsid w:val="00436702"/>
    <w:rsid w:val="00436B28"/>
    <w:rsid w:val="00437F1F"/>
    <w:rsid w:val="00440A2F"/>
    <w:rsid w:val="00441639"/>
    <w:rsid w:val="00442351"/>
    <w:rsid w:val="00443153"/>
    <w:rsid w:val="00446A4B"/>
    <w:rsid w:val="004503B5"/>
    <w:rsid w:val="00451637"/>
    <w:rsid w:val="00453A8B"/>
    <w:rsid w:val="00453B93"/>
    <w:rsid w:val="00454AEB"/>
    <w:rsid w:val="00455D20"/>
    <w:rsid w:val="004561F5"/>
    <w:rsid w:val="00457471"/>
    <w:rsid w:val="00457985"/>
    <w:rsid w:val="004603BC"/>
    <w:rsid w:val="00462339"/>
    <w:rsid w:val="00463F0E"/>
    <w:rsid w:val="00464899"/>
    <w:rsid w:val="004668E8"/>
    <w:rsid w:val="00466E91"/>
    <w:rsid w:val="004675E2"/>
    <w:rsid w:val="00467911"/>
    <w:rsid w:val="004708F2"/>
    <w:rsid w:val="00471895"/>
    <w:rsid w:val="0047292D"/>
    <w:rsid w:val="004729D4"/>
    <w:rsid w:val="004804BE"/>
    <w:rsid w:val="00480F77"/>
    <w:rsid w:val="00481F13"/>
    <w:rsid w:val="0048257D"/>
    <w:rsid w:val="00483E4D"/>
    <w:rsid w:val="004850A0"/>
    <w:rsid w:val="0049220F"/>
    <w:rsid w:val="004931C9"/>
    <w:rsid w:val="0049438C"/>
    <w:rsid w:val="004946E9"/>
    <w:rsid w:val="00496C81"/>
    <w:rsid w:val="00496D9D"/>
    <w:rsid w:val="00497B41"/>
    <w:rsid w:val="004A0AEE"/>
    <w:rsid w:val="004A20BB"/>
    <w:rsid w:val="004A6864"/>
    <w:rsid w:val="004A68BD"/>
    <w:rsid w:val="004A6947"/>
    <w:rsid w:val="004A773C"/>
    <w:rsid w:val="004A7BA0"/>
    <w:rsid w:val="004B075B"/>
    <w:rsid w:val="004B0FE4"/>
    <w:rsid w:val="004B1309"/>
    <w:rsid w:val="004B14B7"/>
    <w:rsid w:val="004B206F"/>
    <w:rsid w:val="004B3E19"/>
    <w:rsid w:val="004B434F"/>
    <w:rsid w:val="004B5CAD"/>
    <w:rsid w:val="004C0C84"/>
    <w:rsid w:val="004C15AE"/>
    <w:rsid w:val="004C1971"/>
    <w:rsid w:val="004C1D9A"/>
    <w:rsid w:val="004C2004"/>
    <w:rsid w:val="004C2B81"/>
    <w:rsid w:val="004C4577"/>
    <w:rsid w:val="004C46D7"/>
    <w:rsid w:val="004C4818"/>
    <w:rsid w:val="004C4EA7"/>
    <w:rsid w:val="004C75D2"/>
    <w:rsid w:val="004D1D35"/>
    <w:rsid w:val="004D2FCD"/>
    <w:rsid w:val="004D3613"/>
    <w:rsid w:val="004D36C4"/>
    <w:rsid w:val="004D3A41"/>
    <w:rsid w:val="004D4727"/>
    <w:rsid w:val="004D5703"/>
    <w:rsid w:val="004D7E9E"/>
    <w:rsid w:val="004E0947"/>
    <w:rsid w:val="004E2B0E"/>
    <w:rsid w:val="004E33BA"/>
    <w:rsid w:val="004E783F"/>
    <w:rsid w:val="004F07A6"/>
    <w:rsid w:val="004F17EE"/>
    <w:rsid w:val="004F4187"/>
    <w:rsid w:val="004F5482"/>
    <w:rsid w:val="004F693D"/>
    <w:rsid w:val="0050158D"/>
    <w:rsid w:val="005020E6"/>
    <w:rsid w:val="00502AFF"/>
    <w:rsid w:val="005032E5"/>
    <w:rsid w:val="00506D17"/>
    <w:rsid w:val="00506E0A"/>
    <w:rsid w:val="00512968"/>
    <w:rsid w:val="005148DA"/>
    <w:rsid w:val="0051726E"/>
    <w:rsid w:val="005250BB"/>
    <w:rsid w:val="00530765"/>
    <w:rsid w:val="00533B75"/>
    <w:rsid w:val="00534FCF"/>
    <w:rsid w:val="00537453"/>
    <w:rsid w:val="00537E5E"/>
    <w:rsid w:val="00540E5E"/>
    <w:rsid w:val="005435FE"/>
    <w:rsid w:val="00544E6B"/>
    <w:rsid w:val="00547E7B"/>
    <w:rsid w:val="00547F20"/>
    <w:rsid w:val="00552944"/>
    <w:rsid w:val="00552CB7"/>
    <w:rsid w:val="00552E87"/>
    <w:rsid w:val="00553772"/>
    <w:rsid w:val="00555CE3"/>
    <w:rsid w:val="0055685A"/>
    <w:rsid w:val="0055701F"/>
    <w:rsid w:val="00557BDE"/>
    <w:rsid w:val="0056125B"/>
    <w:rsid w:val="00562690"/>
    <w:rsid w:val="00564E3A"/>
    <w:rsid w:val="00564EEF"/>
    <w:rsid w:val="0057270B"/>
    <w:rsid w:val="00577268"/>
    <w:rsid w:val="0057771A"/>
    <w:rsid w:val="00581087"/>
    <w:rsid w:val="00581B1D"/>
    <w:rsid w:val="0058220C"/>
    <w:rsid w:val="0058393A"/>
    <w:rsid w:val="00585A79"/>
    <w:rsid w:val="0058611D"/>
    <w:rsid w:val="005863B4"/>
    <w:rsid w:val="00591776"/>
    <w:rsid w:val="005977DA"/>
    <w:rsid w:val="005A0F34"/>
    <w:rsid w:val="005A0F9C"/>
    <w:rsid w:val="005A2C22"/>
    <w:rsid w:val="005A4E47"/>
    <w:rsid w:val="005A6485"/>
    <w:rsid w:val="005A6998"/>
    <w:rsid w:val="005B0062"/>
    <w:rsid w:val="005B09A0"/>
    <w:rsid w:val="005B2B69"/>
    <w:rsid w:val="005B3BCC"/>
    <w:rsid w:val="005B5228"/>
    <w:rsid w:val="005B5425"/>
    <w:rsid w:val="005B6A43"/>
    <w:rsid w:val="005B6B0D"/>
    <w:rsid w:val="005B6F70"/>
    <w:rsid w:val="005B7590"/>
    <w:rsid w:val="005C305F"/>
    <w:rsid w:val="005C50AA"/>
    <w:rsid w:val="005C6015"/>
    <w:rsid w:val="005C6C83"/>
    <w:rsid w:val="005C6D0C"/>
    <w:rsid w:val="005C7F14"/>
    <w:rsid w:val="005D1F7A"/>
    <w:rsid w:val="005D1FB4"/>
    <w:rsid w:val="005D222A"/>
    <w:rsid w:val="005D333B"/>
    <w:rsid w:val="005D51F2"/>
    <w:rsid w:val="005D647B"/>
    <w:rsid w:val="005E3778"/>
    <w:rsid w:val="005E4591"/>
    <w:rsid w:val="005E55F8"/>
    <w:rsid w:val="005E6094"/>
    <w:rsid w:val="005E63CB"/>
    <w:rsid w:val="005F008A"/>
    <w:rsid w:val="005F656F"/>
    <w:rsid w:val="005F6F57"/>
    <w:rsid w:val="00601553"/>
    <w:rsid w:val="00603478"/>
    <w:rsid w:val="00604036"/>
    <w:rsid w:val="00607C24"/>
    <w:rsid w:val="00612680"/>
    <w:rsid w:val="00613549"/>
    <w:rsid w:val="00613F5B"/>
    <w:rsid w:val="00614C49"/>
    <w:rsid w:val="006163D3"/>
    <w:rsid w:val="006207F4"/>
    <w:rsid w:val="00620A0C"/>
    <w:rsid w:val="00620E03"/>
    <w:rsid w:val="006234E3"/>
    <w:rsid w:val="006246DD"/>
    <w:rsid w:val="006303FD"/>
    <w:rsid w:val="00631CD8"/>
    <w:rsid w:val="0063327C"/>
    <w:rsid w:val="006340A7"/>
    <w:rsid w:val="00634C13"/>
    <w:rsid w:val="00635496"/>
    <w:rsid w:val="0063570F"/>
    <w:rsid w:val="00636423"/>
    <w:rsid w:val="00636D06"/>
    <w:rsid w:val="00636FAC"/>
    <w:rsid w:val="0064046B"/>
    <w:rsid w:val="00641A85"/>
    <w:rsid w:val="0064279F"/>
    <w:rsid w:val="00643C1D"/>
    <w:rsid w:val="00644C56"/>
    <w:rsid w:val="006462EA"/>
    <w:rsid w:val="006469DD"/>
    <w:rsid w:val="00647142"/>
    <w:rsid w:val="006472B3"/>
    <w:rsid w:val="00647448"/>
    <w:rsid w:val="00651CDC"/>
    <w:rsid w:val="006523F4"/>
    <w:rsid w:val="006531D1"/>
    <w:rsid w:val="00653E6F"/>
    <w:rsid w:val="006552A1"/>
    <w:rsid w:val="00655A7C"/>
    <w:rsid w:val="00655E78"/>
    <w:rsid w:val="00656753"/>
    <w:rsid w:val="00656C42"/>
    <w:rsid w:val="0066362F"/>
    <w:rsid w:val="0066387B"/>
    <w:rsid w:val="00663E7D"/>
    <w:rsid w:val="00666ABF"/>
    <w:rsid w:val="006676C0"/>
    <w:rsid w:val="00674E0C"/>
    <w:rsid w:val="0067506D"/>
    <w:rsid w:val="006760B4"/>
    <w:rsid w:val="006773F0"/>
    <w:rsid w:val="006824FD"/>
    <w:rsid w:val="0068298C"/>
    <w:rsid w:val="00683E23"/>
    <w:rsid w:val="0068543E"/>
    <w:rsid w:val="00687E62"/>
    <w:rsid w:val="00691012"/>
    <w:rsid w:val="00692F04"/>
    <w:rsid w:val="00695D5D"/>
    <w:rsid w:val="00697A7C"/>
    <w:rsid w:val="00697D67"/>
    <w:rsid w:val="006A045F"/>
    <w:rsid w:val="006A0739"/>
    <w:rsid w:val="006A2088"/>
    <w:rsid w:val="006A2CEA"/>
    <w:rsid w:val="006A329A"/>
    <w:rsid w:val="006A62B1"/>
    <w:rsid w:val="006A6ECC"/>
    <w:rsid w:val="006B2F29"/>
    <w:rsid w:val="006B3489"/>
    <w:rsid w:val="006B4B61"/>
    <w:rsid w:val="006B52F1"/>
    <w:rsid w:val="006B6D52"/>
    <w:rsid w:val="006B734E"/>
    <w:rsid w:val="006B73D8"/>
    <w:rsid w:val="006B74FD"/>
    <w:rsid w:val="006C18CA"/>
    <w:rsid w:val="006C57F3"/>
    <w:rsid w:val="006C7158"/>
    <w:rsid w:val="006C75C3"/>
    <w:rsid w:val="006D0472"/>
    <w:rsid w:val="006D0912"/>
    <w:rsid w:val="006D0937"/>
    <w:rsid w:val="006D1DE1"/>
    <w:rsid w:val="006D2370"/>
    <w:rsid w:val="006D2D84"/>
    <w:rsid w:val="006D3A29"/>
    <w:rsid w:val="006D799E"/>
    <w:rsid w:val="006D7F33"/>
    <w:rsid w:val="006E022F"/>
    <w:rsid w:val="006E2B60"/>
    <w:rsid w:val="006E42B7"/>
    <w:rsid w:val="006E6D9E"/>
    <w:rsid w:val="006E7290"/>
    <w:rsid w:val="006F1C1A"/>
    <w:rsid w:val="006F1F43"/>
    <w:rsid w:val="006F4804"/>
    <w:rsid w:val="006F58D3"/>
    <w:rsid w:val="006F6A4A"/>
    <w:rsid w:val="006F6C8B"/>
    <w:rsid w:val="006F7E31"/>
    <w:rsid w:val="00700B59"/>
    <w:rsid w:val="00701F3F"/>
    <w:rsid w:val="007024C9"/>
    <w:rsid w:val="00703764"/>
    <w:rsid w:val="00703823"/>
    <w:rsid w:val="0070423F"/>
    <w:rsid w:val="00705F03"/>
    <w:rsid w:val="00707237"/>
    <w:rsid w:val="00707594"/>
    <w:rsid w:val="0071169A"/>
    <w:rsid w:val="00712723"/>
    <w:rsid w:val="0071519E"/>
    <w:rsid w:val="00715FE7"/>
    <w:rsid w:val="0071724F"/>
    <w:rsid w:val="007207A1"/>
    <w:rsid w:val="00723F78"/>
    <w:rsid w:val="0072495C"/>
    <w:rsid w:val="007275B8"/>
    <w:rsid w:val="00730033"/>
    <w:rsid w:val="007339EB"/>
    <w:rsid w:val="007344FA"/>
    <w:rsid w:val="0073478E"/>
    <w:rsid w:val="00734E74"/>
    <w:rsid w:val="00735280"/>
    <w:rsid w:val="00735CB5"/>
    <w:rsid w:val="0073787A"/>
    <w:rsid w:val="00740B74"/>
    <w:rsid w:val="00744AA2"/>
    <w:rsid w:val="00750615"/>
    <w:rsid w:val="00751997"/>
    <w:rsid w:val="0075201C"/>
    <w:rsid w:val="00756063"/>
    <w:rsid w:val="0075625D"/>
    <w:rsid w:val="0076200A"/>
    <w:rsid w:val="00765331"/>
    <w:rsid w:val="00765F38"/>
    <w:rsid w:val="007673E9"/>
    <w:rsid w:val="00771531"/>
    <w:rsid w:val="0077182F"/>
    <w:rsid w:val="0077265D"/>
    <w:rsid w:val="00774653"/>
    <w:rsid w:val="00782099"/>
    <w:rsid w:val="007838D3"/>
    <w:rsid w:val="00786B30"/>
    <w:rsid w:val="00790B14"/>
    <w:rsid w:val="00790EF0"/>
    <w:rsid w:val="00792D0D"/>
    <w:rsid w:val="00793247"/>
    <w:rsid w:val="007938B1"/>
    <w:rsid w:val="00794155"/>
    <w:rsid w:val="00795F07"/>
    <w:rsid w:val="00795F2B"/>
    <w:rsid w:val="007A1A4D"/>
    <w:rsid w:val="007A2930"/>
    <w:rsid w:val="007A2D25"/>
    <w:rsid w:val="007A31E5"/>
    <w:rsid w:val="007A589C"/>
    <w:rsid w:val="007B2042"/>
    <w:rsid w:val="007B3C61"/>
    <w:rsid w:val="007B5A1C"/>
    <w:rsid w:val="007B672E"/>
    <w:rsid w:val="007B7A44"/>
    <w:rsid w:val="007C0838"/>
    <w:rsid w:val="007C2381"/>
    <w:rsid w:val="007C33A1"/>
    <w:rsid w:val="007C3A7C"/>
    <w:rsid w:val="007C7714"/>
    <w:rsid w:val="007D05BB"/>
    <w:rsid w:val="007D20BC"/>
    <w:rsid w:val="007D30E4"/>
    <w:rsid w:val="007D32F8"/>
    <w:rsid w:val="007D4E3B"/>
    <w:rsid w:val="007D7CC1"/>
    <w:rsid w:val="007E14BA"/>
    <w:rsid w:val="007E258A"/>
    <w:rsid w:val="007E6DB1"/>
    <w:rsid w:val="007E7900"/>
    <w:rsid w:val="007F0611"/>
    <w:rsid w:val="007F15DB"/>
    <w:rsid w:val="007F169B"/>
    <w:rsid w:val="007F4ABE"/>
    <w:rsid w:val="007F4EF7"/>
    <w:rsid w:val="007F5875"/>
    <w:rsid w:val="007F664E"/>
    <w:rsid w:val="00801F2D"/>
    <w:rsid w:val="00802030"/>
    <w:rsid w:val="00803681"/>
    <w:rsid w:val="00803FC2"/>
    <w:rsid w:val="00804C75"/>
    <w:rsid w:val="008115D1"/>
    <w:rsid w:val="00812BF3"/>
    <w:rsid w:val="00814853"/>
    <w:rsid w:val="0081515A"/>
    <w:rsid w:val="008167C6"/>
    <w:rsid w:val="00817C7A"/>
    <w:rsid w:val="0082157E"/>
    <w:rsid w:val="00823BF2"/>
    <w:rsid w:val="00824395"/>
    <w:rsid w:val="008302CF"/>
    <w:rsid w:val="00830E63"/>
    <w:rsid w:val="008314EA"/>
    <w:rsid w:val="00833933"/>
    <w:rsid w:val="00835616"/>
    <w:rsid w:val="00835F3C"/>
    <w:rsid w:val="0084245F"/>
    <w:rsid w:val="0084324E"/>
    <w:rsid w:val="00843FCA"/>
    <w:rsid w:val="0084597A"/>
    <w:rsid w:val="00845CAF"/>
    <w:rsid w:val="0084602A"/>
    <w:rsid w:val="0084744D"/>
    <w:rsid w:val="008475F0"/>
    <w:rsid w:val="00851891"/>
    <w:rsid w:val="008540C8"/>
    <w:rsid w:val="008550F7"/>
    <w:rsid w:val="00855215"/>
    <w:rsid w:val="00855EEB"/>
    <w:rsid w:val="008579FC"/>
    <w:rsid w:val="00860FA5"/>
    <w:rsid w:val="00863E3B"/>
    <w:rsid w:val="00864368"/>
    <w:rsid w:val="00864D1E"/>
    <w:rsid w:val="00867CB8"/>
    <w:rsid w:val="00870C06"/>
    <w:rsid w:val="00871F0C"/>
    <w:rsid w:val="00872491"/>
    <w:rsid w:val="00877437"/>
    <w:rsid w:val="0088118A"/>
    <w:rsid w:val="0088154D"/>
    <w:rsid w:val="00882241"/>
    <w:rsid w:val="00883CB5"/>
    <w:rsid w:val="00884CAF"/>
    <w:rsid w:val="00887AFB"/>
    <w:rsid w:val="00887B9D"/>
    <w:rsid w:val="008942E4"/>
    <w:rsid w:val="0089445A"/>
    <w:rsid w:val="0089476B"/>
    <w:rsid w:val="00895802"/>
    <w:rsid w:val="0089642B"/>
    <w:rsid w:val="00896F76"/>
    <w:rsid w:val="008A0D5D"/>
    <w:rsid w:val="008A174A"/>
    <w:rsid w:val="008A2E2F"/>
    <w:rsid w:val="008A3C54"/>
    <w:rsid w:val="008A4D9B"/>
    <w:rsid w:val="008A5ECE"/>
    <w:rsid w:val="008B3999"/>
    <w:rsid w:val="008B3AE7"/>
    <w:rsid w:val="008B50BA"/>
    <w:rsid w:val="008B513B"/>
    <w:rsid w:val="008B5968"/>
    <w:rsid w:val="008B77E7"/>
    <w:rsid w:val="008C28F0"/>
    <w:rsid w:val="008D02A2"/>
    <w:rsid w:val="008D3B64"/>
    <w:rsid w:val="008D4757"/>
    <w:rsid w:val="008D4AFF"/>
    <w:rsid w:val="008D53D0"/>
    <w:rsid w:val="008D5563"/>
    <w:rsid w:val="008D581F"/>
    <w:rsid w:val="008D6257"/>
    <w:rsid w:val="008D77B3"/>
    <w:rsid w:val="008D7D3C"/>
    <w:rsid w:val="008E5488"/>
    <w:rsid w:val="008E7C0D"/>
    <w:rsid w:val="008F0973"/>
    <w:rsid w:val="008F0A4C"/>
    <w:rsid w:val="008F0B92"/>
    <w:rsid w:val="008F12B8"/>
    <w:rsid w:val="008F4D54"/>
    <w:rsid w:val="008F7816"/>
    <w:rsid w:val="008F7DA4"/>
    <w:rsid w:val="00900B18"/>
    <w:rsid w:val="00902FA4"/>
    <w:rsid w:val="009040E4"/>
    <w:rsid w:val="009043F2"/>
    <w:rsid w:val="00905D4C"/>
    <w:rsid w:val="00907E9F"/>
    <w:rsid w:val="0091122C"/>
    <w:rsid w:val="0091325C"/>
    <w:rsid w:val="009159C1"/>
    <w:rsid w:val="009165B2"/>
    <w:rsid w:val="00920C60"/>
    <w:rsid w:val="0092159E"/>
    <w:rsid w:val="00925A3C"/>
    <w:rsid w:val="00927C27"/>
    <w:rsid w:val="00927C9A"/>
    <w:rsid w:val="00931FB3"/>
    <w:rsid w:val="0093372F"/>
    <w:rsid w:val="00933CA6"/>
    <w:rsid w:val="00934307"/>
    <w:rsid w:val="009359D7"/>
    <w:rsid w:val="00936694"/>
    <w:rsid w:val="00940D09"/>
    <w:rsid w:val="009423FB"/>
    <w:rsid w:val="009453C7"/>
    <w:rsid w:val="00945678"/>
    <w:rsid w:val="00945C29"/>
    <w:rsid w:val="009479F9"/>
    <w:rsid w:val="00950801"/>
    <w:rsid w:val="00950C84"/>
    <w:rsid w:val="00952004"/>
    <w:rsid w:val="009531F3"/>
    <w:rsid w:val="00953763"/>
    <w:rsid w:val="00955EFB"/>
    <w:rsid w:val="009578E3"/>
    <w:rsid w:val="00957935"/>
    <w:rsid w:val="0095795D"/>
    <w:rsid w:val="0096293B"/>
    <w:rsid w:val="009632C9"/>
    <w:rsid w:val="009633F7"/>
    <w:rsid w:val="0096449D"/>
    <w:rsid w:val="009655E4"/>
    <w:rsid w:val="00967448"/>
    <w:rsid w:val="00970538"/>
    <w:rsid w:val="00972A35"/>
    <w:rsid w:val="00973A50"/>
    <w:rsid w:val="00974110"/>
    <w:rsid w:val="00975A78"/>
    <w:rsid w:val="00976ECE"/>
    <w:rsid w:val="00977656"/>
    <w:rsid w:val="009841D7"/>
    <w:rsid w:val="009851B9"/>
    <w:rsid w:val="00985239"/>
    <w:rsid w:val="00987DDF"/>
    <w:rsid w:val="009903CD"/>
    <w:rsid w:val="009913B3"/>
    <w:rsid w:val="00993E74"/>
    <w:rsid w:val="00994097"/>
    <w:rsid w:val="00994478"/>
    <w:rsid w:val="009978EE"/>
    <w:rsid w:val="009978FC"/>
    <w:rsid w:val="009A0539"/>
    <w:rsid w:val="009A1E4A"/>
    <w:rsid w:val="009A20ED"/>
    <w:rsid w:val="009A448F"/>
    <w:rsid w:val="009A7B93"/>
    <w:rsid w:val="009B117D"/>
    <w:rsid w:val="009B148D"/>
    <w:rsid w:val="009B2D83"/>
    <w:rsid w:val="009B3C6A"/>
    <w:rsid w:val="009B449E"/>
    <w:rsid w:val="009B5B58"/>
    <w:rsid w:val="009B5FC4"/>
    <w:rsid w:val="009C05E6"/>
    <w:rsid w:val="009C1D5C"/>
    <w:rsid w:val="009C2037"/>
    <w:rsid w:val="009C6677"/>
    <w:rsid w:val="009D256F"/>
    <w:rsid w:val="009D60F2"/>
    <w:rsid w:val="009D6B85"/>
    <w:rsid w:val="009E1E4B"/>
    <w:rsid w:val="009E389B"/>
    <w:rsid w:val="009E3FA5"/>
    <w:rsid w:val="009E5F88"/>
    <w:rsid w:val="009E606F"/>
    <w:rsid w:val="009E7CF6"/>
    <w:rsid w:val="009F26DF"/>
    <w:rsid w:val="009F2CBA"/>
    <w:rsid w:val="00A0036C"/>
    <w:rsid w:val="00A00A7A"/>
    <w:rsid w:val="00A00CCE"/>
    <w:rsid w:val="00A02447"/>
    <w:rsid w:val="00A0323A"/>
    <w:rsid w:val="00A03FDB"/>
    <w:rsid w:val="00A040AF"/>
    <w:rsid w:val="00A051FA"/>
    <w:rsid w:val="00A10A6F"/>
    <w:rsid w:val="00A12DCA"/>
    <w:rsid w:val="00A1501D"/>
    <w:rsid w:val="00A16A65"/>
    <w:rsid w:val="00A17330"/>
    <w:rsid w:val="00A17F87"/>
    <w:rsid w:val="00A20C18"/>
    <w:rsid w:val="00A212AA"/>
    <w:rsid w:val="00A23B23"/>
    <w:rsid w:val="00A23CB0"/>
    <w:rsid w:val="00A2448F"/>
    <w:rsid w:val="00A25C03"/>
    <w:rsid w:val="00A25DE0"/>
    <w:rsid w:val="00A27FF5"/>
    <w:rsid w:val="00A3103B"/>
    <w:rsid w:val="00A3171F"/>
    <w:rsid w:val="00A31981"/>
    <w:rsid w:val="00A3301C"/>
    <w:rsid w:val="00A34AB8"/>
    <w:rsid w:val="00A37B7C"/>
    <w:rsid w:val="00A40DCC"/>
    <w:rsid w:val="00A416A7"/>
    <w:rsid w:val="00A4276F"/>
    <w:rsid w:val="00A43C63"/>
    <w:rsid w:val="00A44FB5"/>
    <w:rsid w:val="00A45699"/>
    <w:rsid w:val="00A46B53"/>
    <w:rsid w:val="00A50AC8"/>
    <w:rsid w:val="00A5357E"/>
    <w:rsid w:val="00A53D04"/>
    <w:rsid w:val="00A54454"/>
    <w:rsid w:val="00A54772"/>
    <w:rsid w:val="00A55206"/>
    <w:rsid w:val="00A55A88"/>
    <w:rsid w:val="00A60E54"/>
    <w:rsid w:val="00A620EF"/>
    <w:rsid w:val="00A64DCA"/>
    <w:rsid w:val="00A657C0"/>
    <w:rsid w:val="00A65F7D"/>
    <w:rsid w:val="00A6611E"/>
    <w:rsid w:val="00A67FCC"/>
    <w:rsid w:val="00A704E9"/>
    <w:rsid w:val="00A71B16"/>
    <w:rsid w:val="00A734FA"/>
    <w:rsid w:val="00A741BC"/>
    <w:rsid w:val="00A76722"/>
    <w:rsid w:val="00A81060"/>
    <w:rsid w:val="00A811D4"/>
    <w:rsid w:val="00A829E8"/>
    <w:rsid w:val="00A849F8"/>
    <w:rsid w:val="00A85050"/>
    <w:rsid w:val="00A85D8A"/>
    <w:rsid w:val="00A8790F"/>
    <w:rsid w:val="00A93A40"/>
    <w:rsid w:val="00A964D0"/>
    <w:rsid w:val="00A9768F"/>
    <w:rsid w:val="00A976B2"/>
    <w:rsid w:val="00A97E40"/>
    <w:rsid w:val="00AA2D81"/>
    <w:rsid w:val="00AA4295"/>
    <w:rsid w:val="00AA493B"/>
    <w:rsid w:val="00AA53B5"/>
    <w:rsid w:val="00AA56E4"/>
    <w:rsid w:val="00AA57B8"/>
    <w:rsid w:val="00AA57C7"/>
    <w:rsid w:val="00AA700D"/>
    <w:rsid w:val="00AB2AA7"/>
    <w:rsid w:val="00AB3CA1"/>
    <w:rsid w:val="00AB3D1F"/>
    <w:rsid w:val="00AB7342"/>
    <w:rsid w:val="00AC107F"/>
    <w:rsid w:val="00AC1468"/>
    <w:rsid w:val="00AC4F98"/>
    <w:rsid w:val="00AC536B"/>
    <w:rsid w:val="00AC68DE"/>
    <w:rsid w:val="00AC6EB6"/>
    <w:rsid w:val="00AC7751"/>
    <w:rsid w:val="00AD0B08"/>
    <w:rsid w:val="00AD105D"/>
    <w:rsid w:val="00AD31EB"/>
    <w:rsid w:val="00AD42B5"/>
    <w:rsid w:val="00AE1727"/>
    <w:rsid w:val="00AE2730"/>
    <w:rsid w:val="00AE4682"/>
    <w:rsid w:val="00AE4A54"/>
    <w:rsid w:val="00AE4AEA"/>
    <w:rsid w:val="00AE6243"/>
    <w:rsid w:val="00AF059D"/>
    <w:rsid w:val="00AF0CB3"/>
    <w:rsid w:val="00AF15CA"/>
    <w:rsid w:val="00AF27A1"/>
    <w:rsid w:val="00AF3BF3"/>
    <w:rsid w:val="00AF5F6E"/>
    <w:rsid w:val="00AF6670"/>
    <w:rsid w:val="00AF7B4B"/>
    <w:rsid w:val="00B0211B"/>
    <w:rsid w:val="00B0635F"/>
    <w:rsid w:val="00B11934"/>
    <w:rsid w:val="00B13433"/>
    <w:rsid w:val="00B165CE"/>
    <w:rsid w:val="00B205F9"/>
    <w:rsid w:val="00B2220C"/>
    <w:rsid w:val="00B22CEB"/>
    <w:rsid w:val="00B24A7D"/>
    <w:rsid w:val="00B259A5"/>
    <w:rsid w:val="00B259C5"/>
    <w:rsid w:val="00B3092F"/>
    <w:rsid w:val="00B33B77"/>
    <w:rsid w:val="00B34529"/>
    <w:rsid w:val="00B36C8F"/>
    <w:rsid w:val="00B37528"/>
    <w:rsid w:val="00B37BD0"/>
    <w:rsid w:val="00B40261"/>
    <w:rsid w:val="00B40A5E"/>
    <w:rsid w:val="00B4124B"/>
    <w:rsid w:val="00B42C3B"/>
    <w:rsid w:val="00B44DB6"/>
    <w:rsid w:val="00B45E61"/>
    <w:rsid w:val="00B506A2"/>
    <w:rsid w:val="00B53B0F"/>
    <w:rsid w:val="00B5529F"/>
    <w:rsid w:val="00B6104F"/>
    <w:rsid w:val="00B62820"/>
    <w:rsid w:val="00B6352C"/>
    <w:rsid w:val="00B646F2"/>
    <w:rsid w:val="00B64BA1"/>
    <w:rsid w:val="00B64C0D"/>
    <w:rsid w:val="00B64DB6"/>
    <w:rsid w:val="00B65EEA"/>
    <w:rsid w:val="00B70AB0"/>
    <w:rsid w:val="00B71984"/>
    <w:rsid w:val="00B72973"/>
    <w:rsid w:val="00B72E6F"/>
    <w:rsid w:val="00B731E3"/>
    <w:rsid w:val="00B73D77"/>
    <w:rsid w:val="00B75880"/>
    <w:rsid w:val="00B82F14"/>
    <w:rsid w:val="00B83228"/>
    <w:rsid w:val="00B83406"/>
    <w:rsid w:val="00B835B4"/>
    <w:rsid w:val="00B841F3"/>
    <w:rsid w:val="00B848D1"/>
    <w:rsid w:val="00B85275"/>
    <w:rsid w:val="00B85687"/>
    <w:rsid w:val="00B8743C"/>
    <w:rsid w:val="00B8749C"/>
    <w:rsid w:val="00B90905"/>
    <w:rsid w:val="00B91EB1"/>
    <w:rsid w:val="00B95573"/>
    <w:rsid w:val="00B960D6"/>
    <w:rsid w:val="00BA0B57"/>
    <w:rsid w:val="00BA15B0"/>
    <w:rsid w:val="00BA28D6"/>
    <w:rsid w:val="00BA3500"/>
    <w:rsid w:val="00BA6258"/>
    <w:rsid w:val="00BA67B6"/>
    <w:rsid w:val="00BA682C"/>
    <w:rsid w:val="00BA773B"/>
    <w:rsid w:val="00BB2558"/>
    <w:rsid w:val="00BB31C4"/>
    <w:rsid w:val="00BB3794"/>
    <w:rsid w:val="00BB7FBF"/>
    <w:rsid w:val="00BC0A57"/>
    <w:rsid w:val="00BC0F1D"/>
    <w:rsid w:val="00BC24F8"/>
    <w:rsid w:val="00BC2DBD"/>
    <w:rsid w:val="00BC352A"/>
    <w:rsid w:val="00BC3D34"/>
    <w:rsid w:val="00BC6E51"/>
    <w:rsid w:val="00BD0354"/>
    <w:rsid w:val="00BD1EAB"/>
    <w:rsid w:val="00BD7C3C"/>
    <w:rsid w:val="00BE0677"/>
    <w:rsid w:val="00BE213A"/>
    <w:rsid w:val="00BE2CA9"/>
    <w:rsid w:val="00BE4814"/>
    <w:rsid w:val="00BE4AD6"/>
    <w:rsid w:val="00BF0148"/>
    <w:rsid w:val="00BF059E"/>
    <w:rsid w:val="00BF2252"/>
    <w:rsid w:val="00BF2B2C"/>
    <w:rsid w:val="00BF2D42"/>
    <w:rsid w:val="00C0168C"/>
    <w:rsid w:val="00C02B5C"/>
    <w:rsid w:val="00C03F2C"/>
    <w:rsid w:val="00C04F92"/>
    <w:rsid w:val="00C05DA5"/>
    <w:rsid w:val="00C05E1A"/>
    <w:rsid w:val="00C06012"/>
    <w:rsid w:val="00C06E8A"/>
    <w:rsid w:val="00C07C08"/>
    <w:rsid w:val="00C1057A"/>
    <w:rsid w:val="00C11125"/>
    <w:rsid w:val="00C11811"/>
    <w:rsid w:val="00C12C79"/>
    <w:rsid w:val="00C132F6"/>
    <w:rsid w:val="00C14EA6"/>
    <w:rsid w:val="00C1715C"/>
    <w:rsid w:val="00C2074E"/>
    <w:rsid w:val="00C21A5F"/>
    <w:rsid w:val="00C2393D"/>
    <w:rsid w:val="00C25F25"/>
    <w:rsid w:val="00C3000D"/>
    <w:rsid w:val="00C30203"/>
    <w:rsid w:val="00C305F8"/>
    <w:rsid w:val="00C31949"/>
    <w:rsid w:val="00C31B2D"/>
    <w:rsid w:val="00C32A22"/>
    <w:rsid w:val="00C3361B"/>
    <w:rsid w:val="00C41FED"/>
    <w:rsid w:val="00C420A8"/>
    <w:rsid w:val="00C4262B"/>
    <w:rsid w:val="00C43B97"/>
    <w:rsid w:val="00C44D7C"/>
    <w:rsid w:val="00C45512"/>
    <w:rsid w:val="00C46EAE"/>
    <w:rsid w:val="00C4740C"/>
    <w:rsid w:val="00C47687"/>
    <w:rsid w:val="00C509F4"/>
    <w:rsid w:val="00C511AC"/>
    <w:rsid w:val="00C5169D"/>
    <w:rsid w:val="00C53152"/>
    <w:rsid w:val="00C53D37"/>
    <w:rsid w:val="00C54BF2"/>
    <w:rsid w:val="00C54E8C"/>
    <w:rsid w:val="00C54EB3"/>
    <w:rsid w:val="00C560F4"/>
    <w:rsid w:val="00C563E0"/>
    <w:rsid w:val="00C568C2"/>
    <w:rsid w:val="00C573C5"/>
    <w:rsid w:val="00C62BA0"/>
    <w:rsid w:val="00C63465"/>
    <w:rsid w:val="00C670C5"/>
    <w:rsid w:val="00C7170D"/>
    <w:rsid w:val="00C72788"/>
    <w:rsid w:val="00C73126"/>
    <w:rsid w:val="00C7317A"/>
    <w:rsid w:val="00C74E8E"/>
    <w:rsid w:val="00C80649"/>
    <w:rsid w:val="00C81F0F"/>
    <w:rsid w:val="00C82D0B"/>
    <w:rsid w:val="00C839F2"/>
    <w:rsid w:val="00C8443C"/>
    <w:rsid w:val="00C84BA8"/>
    <w:rsid w:val="00C85923"/>
    <w:rsid w:val="00C861C2"/>
    <w:rsid w:val="00C866B2"/>
    <w:rsid w:val="00C91025"/>
    <w:rsid w:val="00C91403"/>
    <w:rsid w:val="00C91A96"/>
    <w:rsid w:val="00C92110"/>
    <w:rsid w:val="00C92FF5"/>
    <w:rsid w:val="00C936E1"/>
    <w:rsid w:val="00CA5B02"/>
    <w:rsid w:val="00CB2011"/>
    <w:rsid w:val="00CB22A4"/>
    <w:rsid w:val="00CB2C4C"/>
    <w:rsid w:val="00CB340B"/>
    <w:rsid w:val="00CB409C"/>
    <w:rsid w:val="00CB4F53"/>
    <w:rsid w:val="00CB5137"/>
    <w:rsid w:val="00CB639D"/>
    <w:rsid w:val="00CC07CA"/>
    <w:rsid w:val="00CC0EC8"/>
    <w:rsid w:val="00CC1710"/>
    <w:rsid w:val="00CC6FA2"/>
    <w:rsid w:val="00CC78FD"/>
    <w:rsid w:val="00CC7ADA"/>
    <w:rsid w:val="00CD0B72"/>
    <w:rsid w:val="00CD66FA"/>
    <w:rsid w:val="00CD7092"/>
    <w:rsid w:val="00CD7477"/>
    <w:rsid w:val="00CD74FE"/>
    <w:rsid w:val="00CE0128"/>
    <w:rsid w:val="00CE1D9A"/>
    <w:rsid w:val="00CE20C5"/>
    <w:rsid w:val="00CE26B3"/>
    <w:rsid w:val="00CE4459"/>
    <w:rsid w:val="00CE7B2C"/>
    <w:rsid w:val="00CF3737"/>
    <w:rsid w:val="00CF6034"/>
    <w:rsid w:val="00D00474"/>
    <w:rsid w:val="00D00886"/>
    <w:rsid w:val="00D02C6D"/>
    <w:rsid w:val="00D04CB4"/>
    <w:rsid w:val="00D04E08"/>
    <w:rsid w:val="00D06153"/>
    <w:rsid w:val="00D10251"/>
    <w:rsid w:val="00D11129"/>
    <w:rsid w:val="00D12303"/>
    <w:rsid w:val="00D13356"/>
    <w:rsid w:val="00D146AF"/>
    <w:rsid w:val="00D152CA"/>
    <w:rsid w:val="00D158E2"/>
    <w:rsid w:val="00D171B8"/>
    <w:rsid w:val="00D175B5"/>
    <w:rsid w:val="00D17894"/>
    <w:rsid w:val="00D211BC"/>
    <w:rsid w:val="00D212B9"/>
    <w:rsid w:val="00D21CCA"/>
    <w:rsid w:val="00D221BC"/>
    <w:rsid w:val="00D2225B"/>
    <w:rsid w:val="00D23917"/>
    <w:rsid w:val="00D25D66"/>
    <w:rsid w:val="00D31546"/>
    <w:rsid w:val="00D3240B"/>
    <w:rsid w:val="00D33CA8"/>
    <w:rsid w:val="00D37CD2"/>
    <w:rsid w:val="00D40DFD"/>
    <w:rsid w:val="00D411DB"/>
    <w:rsid w:val="00D41969"/>
    <w:rsid w:val="00D42E43"/>
    <w:rsid w:val="00D43BD8"/>
    <w:rsid w:val="00D450E1"/>
    <w:rsid w:val="00D5247F"/>
    <w:rsid w:val="00D52A71"/>
    <w:rsid w:val="00D52B24"/>
    <w:rsid w:val="00D546EB"/>
    <w:rsid w:val="00D6001F"/>
    <w:rsid w:val="00D608B7"/>
    <w:rsid w:val="00D61726"/>
    <w:rsid w:val="00D63147"/>
    <w:rsid w:val="00D63389"/>
    <w:rsid w:val="00D64359"/>
    <w:rsid w:val="00D65792"/>
    <w:rsid w:val="00D659B0"/>
    <w:rsid w:val="00D66989"/>
    <w:rsid w:val="00D71F77"/>
    <w:rsid w:val="00D74079"/>
    <w:rsid w:val="00D7646A"/>
    <w:rsid w:val="00D771BC"/>
    <w:rsid w:val="00D81574"/>
    <w:rsid w:val="00D91251"/>
    <w:rsid w:val="00D92370"/>
    <w:rsid w:val="00D923A4"/>
    <w:rsid w:val="00D9419F"/>
    <w:rsid w:val="00D9535C"/>
    <w:rsid w:val="00D96FAD"/>
    <w:rsid w:val="00D97915"/>
    <w:rsid w:val="00D979D3"/>
    <w:rsid w:val="00DA18C6"/>
    <w:rsid w:val="00DA2AC1"/>
    <w:rsid w:val="00DA3672"/>
    <w:rsid w:val="00DB476C"/>
    <w:rsid w:val="00DB5465"/>
    <w:rsid w:val="00DB7D73"/>
    <w:rsid w:val="00DC1D7F"/>
    <w:rsid w:val="00DC3DCE"/>
    <w:rsid w:val="00DC5A95"/>
    <w:rsid w:val="00DC7568"/>
    <w:rsid w:val="00DD0DDA"/>
    <w:rsid w:val="00DE10CE"/>
    <w:rsid w:val="00DE32EA"/>
    <w:rsid w:val="00DE3577"/>
    <w:rsid w:val="00DE4488"/>
    <w:rsid w:val="00DE4B55"/>
    <w:rsid w:val="00DE6CCA"/>
    <w:rsid w:val="00DF005E"/>
    <w:rsid w:val="00DF0BB4"/>
    <w:rsid w:val="00DF400D"/>
    <w:rsid w:val="00DF43DF"/>
    <w:rsid w:val="00DF57AC"/>
    <w:rsid w:val="00DF6CAB"/>
    <w:rsid w:val="00E04832"/>
    <w:rsid w:val="00E05FD8"/>
    <w:rsid w:val="00E06BEF"/>
    <w:rsid w:val="00E1228E"/>
    <w:rsid w:val="00E13466"/>
    <w:rsid w:val="00E13E75"/>
    <w:rsid w:val="00E15518"/>
    <w:rsid w:val="00E15CF6"/>
    <w:rsid w:val="00E164E8"/>
    <w:rsid w:val="00E17AB1"/>
    <w:rsid w:val="00E17BFA"/>
    <w:rsid w:val="00E223FA"/>
    <w:rsid w:val="00E25C04"/>
    <w:rsid w:val="00E2676D"/>
    <w:rsid w:val="00E32F0F"/>
    <w:rsid w:val="00E330F9"/>
    <w:rsid w:val="00E34EFD"/>
    <w:rsid w:val="00E356D4"/>
    <w:rsid w:val="00E41AE6"/>
    <w:rsid w:val="00E44082"/>
    <w:rsid w:val="00E44906"/>
    <w:rsid w:val="00E45F0C"/>
    <w:rsid w:val="00E46A56"/>
    <w:rsid w:val="00E500BC"/>
    <w:rsid w:val="00E501FC"/>
    <w:rsid w:val="00E506B8"/>
    <w:rsid w:val="00E52D77"/>
    <w:rsid w:val="00E57143"/>
    <w:rsid w:val="00E5727A"/>
    <w:rsid w:val="00E61840"/>
    <w:rsid w:val="00E625A4"/>
    <w:rsid w:val="00E642B9"/>
    <w:rsid w:val="00E659DB"/>
    <w:rsid w:val="00E66356"/>
    <w:rsid w:val="00E6738A"/>
    <w:rsid w:val="00E679D7"/>
    <w:rsid w:val="00E72462"/>
    <w:rsid w:val="00E77C4C"/>
    <w:rsid w:val="00E81B4B"/>
    <w:rsid w:val="00E81D6C"/>
    <w:rsid w:val="00E86996"/>
    <w:rsid w:val="00E91B0D"/>
    <w:rsid w:val="00E91D8C"/>
    <w:rsid w:val="00E92E09"/>
    <w:rsid w:val="00E949AF"/>
    <w:rsid w:val="00E96311"/>
    <w:rsid w:val="00E97B48"/>
    <w:rsid w:val="00EA3134"/>
    <w:rsid w:val="00EA585A"/>
    <w:rsid w:val="00EB3099"/>
    <w:rsid w:val="00EB4EFE"/>
    <w:rsid w:val="00EC0588"/>
    <w:rsid w:val="00EC200E"/>
    <w:rsid w:val="00EC48BD"/>
    <w:rsid w:val="00EC6349"/>
    <w:rsid w:val="00EC7283"/>
    <w:rsid w:val="00ED05DD"/>
    <w:rsid w:val="00ED29CB"/>
    <w:rsid w:val="00ED3D66"/>
    <w:rsid w:val="00ED59AE"/>
    <w:rsid w:val="00ED701C"/>
    <w:rsid w:val="00EE082F"/>
    <w:rsid w:val="00EE0D6E"/>
    <w:rsid w:val="00EE3D55"/>
    <w:rsid w:val="00EE4F0E"/>
    <w:rsid w:val="00EE7ACA"/>
    <w:rsid w:val="00EE7E9A"/>
    <w:rsid w:val="00EF0023"/>
    <w:rsid w:val="00EF0489"/>
    <w:rsid w:val="00EF1514"/>
    <w:rsid w:val="00EF237B"/>
    <w:rsid w:val="00EF61CD"/>
    <w:rsid w:val="00EF7D05"/>
    <w:rsid w:val="00EF7EA6"/>
    <w:rsid w:val="00F00D61"/>
    <w:rsid w:val="00F028E9"/>
    <w:rsid w:val="00F05236"/>
    <w:rsid w:val="00F12131"/>
    <w:rsid w:val="00F15FD3"/>
    <w:rsid w:val="00F17097"/>
    <w:rsid w:val="00F2276A"/>
    <w:rsid w:val="00F22C29"/>
    <w:rsid w:val="00F23F91"/>
    <w:rsid w:val="00F2571F"/>
    <w:rsid w:val="00F267B6"/>
    <w:rsid w:val="00F3025A"/>
    <w:rsid w:val="00F3137F"/>
    <w:rsid w:val="00F323D2"/>
    <w:rsid w:val="00F32944"/>
    <w:rsid w:val="00F33E96"/>
    <w:rsid w:val="00F35BD4"/>
    <w:rsid w:val="00F4127C"/>
    <w:rsid w:val="00F42E1C"/>
    <w:rsid w:val="00F440B9"/>
    <w:rsid w:val="00F4450C"/>
    <w:rsid w:val="00F4454B"/>
    <w:rsid w:val="00F447B0"/>
    <w:rsid w:val="00F50FD3"/>
    <w:rsid w:val="00F52BC3"/>
    <w:rsid w:val="00F56FB7"/>
    <w:rsid w:val="00F62B6D"/>
    <w:rsid w:val="00F72FEA"/>
    <w:rsid w:val="00F73F24"/>
    <w:rsid w:val="00F73FD3"/>
    <w:rsid w:val="00F74200"/>
    <w:rsid w:val="00F77559"/>
    <w:rsid w:val="00F806C8"/>
    <w:rsid w:val="00F807E0"/>
    <w:rsid w:val="00F82C88"/>
    <w:rsid w:val="00F82E1B"/>
    <w:rsid w:val="00F83E03"/>
    <w:rsid w:val="00F84B88"/>
    <w:rsid w:val="00F85D24"/>
    <w:rsid w:val="00F86604"/>
    <w:rsid w:val="00F87BE9"/>
    <w:rsid w:val="00F90B25"/>
    <w:rsid w:val="00F91366"/>
    <w:rsid w:val="00F95C3D"/>
    <w:rsid w:val="00F96412"/>
    <w:rsid w:val="00F96790"/>
    <w:rsid w:val="00F96927"/>
    <w:rsid w:val="00F977C5"/>
    <w:rsid w:val="00FA00D3"/>
    <w:rsid w:val="00FA0D51"/>
    <w:rsid w:val="00FA157F"/>
    <w:rsid w:val="00FA4D71"/>
    <w:rsid w:val="00FA4DD0"/>
    <w:rsid w:val="00FA549E"/>
    <w:rsid w:val="00FB0CA3"/>
    <w:rsid w:val="00FB1331"/>
    <w:rsid w:val="00FB2D20"/>
    <w:rsid w:val="00FB4C76"/>
    <w:rsid w:val="00FB4D93"/>
    <w:rsid w:val="00FB5AE5"/>
    <w:rsid w:val="00FB7608"/>
    <w:rsid w:val="00FC116C"/>
    <w:rsid w:val="00FC1B0F"/>
    <w:rsid w:val="00FC1CB4"/>
    <w:rsid w:val="00FC3B6C"/>
    <w:rsid w:val="00FC3C71"/>
    <w:rsid w:val="00FC565F"/>
    <w:rsid w:val="00FC597B"/>
    <w:rsid w:val="00FC6EEB"/>
    <w:rsid w:val="00FD4B73"/>
    <w:rsid w:val="00FD5535"/>
    <w:rsid w:val="00FD6FEF"/>
    <w:rsid w:val="00FD7522"/>
    <w:rsid w:val="00FD7E8D"/>
    <w:rsid w:val="00FE02CD"/>
    <w:rsid w:val="00FE085C"/>
    <w:rsid w:val="00FE106B"/>
    <w:rsid w:val="00FE1151"/>
    <w:rsid w:val="00FE1288"/>
    <w:rsid w:val="00FE6571"/>
    <w:rsid w:val="00FF3E54"/>
    <w:rsid w:val="00FF596B"/>
    <w:rsid w:val="00FF6F31"/>
    <w:rsid w:val="00FF7C29"/>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BA163"/>
  <w15:docId w15:val="{93E409D1-3D96-4C1F-BBB4-616AB6B1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25B"/>
    <w:pPr>
      <w:tabs>
        <w:tab w:val="center" w:pos="4153"/>
        <w:tab w:val="right" w:pos="8306"/>
      </w:tabs>
    </w:pPr>
  </w:style>
  <w:style w:type="paragraph" w:styleId="Footer">
    <w:name w:val="footer"/>
    <w:basedOn w:val="Normal"/>
    <w:link w:val="FooterChar"/>
    <w:uiPriority w:val="99"/>
    <w:rsid w:val="0056125B"/>
    <w:pPr>
      <w:tabs>
        <w:tab w:val="center" w:pos="4153"/>
        <w:tab w:val="right" w:pos="8306"/>
      </w:tabs>
    </w:pPr>
  </w:style>
  <w:style w:type="character" w:styleId="PageNumber">
    <w:name w:val="page number"/>
    <w:basedOn w:val="DefaultParagraphFont"/>
    <w:rsid w:val="00FE1151"/>
  </w:style>
  <w:style w:type="character" w:customStyle="1" w:styleId="ListParagraphChar">
    <w:name w:val="List Paragraph Char"/>
    <w:link w:val="ListParagraph"/>
    <w:uiPriority w:val="34"/>
    <w:locked/>
    <w:rsid w:val="00877437"/>
    <w:rPr>
      <w:rFonts w:cs="David"/>
      <w:sz w:val="24"/>
      <w:szCs w:val="24"/>
    </w:rPr>
  </w:style>
  <w:style w:type="paragraph" w:styleId="ListParagraph">
    <w:name w:val="List Paragraph"/>
    <w:basedOn w:val="Normal"/>
    <w:link w:val="ListParagraphChar"/>
    <w:uiPriority w:val="34"/>
    <w:qFormat/>
    <w:rsid w:val="00877437"/>
    <w:pPr>
      <w:ind w:left="720"/>
      <w:contextualSpacing/>
      <w:jc w:val="both"/>
    </w:pPr>
    <w:rPr>
      <w:rFonts w:cs="David"/>
    </w:rPr>
  </w:style>
  <w:style w:type="character" w:customStyle="1" w:styleId="10">
    <w:name w:val="מספור 1 תו"/>
    <w:link w:val="1"/>
    <w:locked/>
    <w:rsid w:val="00436702"/>
    <w:rPr>
      <w:rFonts w:ascii="Arial" w:hAnsi="Arial" w:cs="Arial"/>
      <w:sz w:val="24"/>
      <w:szCs w:val="24"/>
    </w:rPr>
  </w:style>
  <w:style w:type="paragraph" w:customStyle="1" w:styleId="1">
    <w:name w:val="מספור 1"/>
    <w:basedOn w:val="Normal"/>
    <w:link w:val="10"/>
    <w:qFormat/>
    <w:rsid w:val="00436702"/>
    <w:pPr>
      <w:widowControl w:val="0"/>
      <w:numPr>
        <w:numId w:val="1"/>
      </w:numPr>
      <w:spacing w:before="120" w:after="120" w:line="360" w:lineRule="auto"/>
      <w:jc w:val="both"/>
    </w:pPr>
    <w:rPr>
      <w:rFonts w:ascii="Arial" w:hAnsi="Arial" w:cs="Arial"/>
    </w:rPr>
  </w:style>
  <w:style w:type="character" w:customStyle="1" w:styleId="HeaderChar">
    <w:name w:val="Header Char"/>
    <w:link w:val="Header"/>
    <w:uiPriority w:val="99"/>
    <w:rsid w:val="00C82D0B"/>
    <w:rPr>
      <w:sz w:val="24"/>
      <w:szCs w:val="24"/>
    </w:rPr>
  </w:style>
  <w:style w:type="character" w:customStyle="1" w:styleId="FooterChar">
    <w:name w:val="Footer Char"/>
    <w:link w:val="Footer"/>
    <w:uiPriority w:val="99"/>
    <w:rsid w:val="00C82D0B"/>
    <w:rPr>
      <w:sz w:val="24"/>
      <w:szCs w:val="24"/>
    </w:rPr>
  </w:style>
  <w:style w:type="paragraph" w:customStyle="1" w:styleId="a0">
    <w:name w:val="כללי"/>
    <w:basedOn w:val="Normal"/>
    <w:rsid w:val="00C82D0B"/>
    <w:pPr>
      <w:overflowPunct w:val="0"/>
      <w:autoSpaceDE w:val="0"/>
      <w:autoSpaceDN w:val="0"/>
      <w:adjustRightInd w:val="0"/>
      <w:spacing w:after="240" w:line="274" w:lineRule="exact"/>
      <w:ind w:firstLine="284"/>
      <w:jc w:val="both"/>
      <w:textAlignment w:val="baseline"/>
    </w:pPr>
    <w:rPr>
      <w:rFonts w:cs="FrankRuehl"/>
      <w:sz w:val="20"/>
      <w:lang w:eastAsia="he-IL"/>
    </w:rPr>
  </w:style>
  <w:style w:type="paragraph" w:customStyle="1" w:styleId="11">
    <w:name w:val="פיסקת רשימה1"/>
    <w:basedOn w:val="Normal"/>
    <w:uiPriority w:val="34"/>
    <w:qFormat/>
    <w:rsid w:val="00C82D0B"/>
    <w:pPr>
      <w:spacing w:after="200" w:line="276" w:lineRule="auto"/>
      <w:ind w:left="720"/>
      <w:contextualSpacing/>
    </w:pPr>
    <w:rPr>
      <w:rFonts w:ascii="Calibri" w:eastAsia="Calibri" w:hAnsi="Calibri" w:cs="Arial"/>
      <w:sz w:val="22"/>
      <w:szCs w:val="22"/>
    </w:rPr>
  </w:style>
  <w:style w:type="paragraph" w:customStyle="1" w:styleId="Ruller40">
    <w:name w:val="Ruller4"/>
    <w:basedOn w:val="Normal"/>
    <w:link w:val="Ruller41"/>
    <w:rsid w:val="00C82D0B"/>
    <w:pPr>
      <w:tabs>
        <w:tab w:val="left" w:pos="800"/>
      </w:tabs>
      <w:overflowPunct w:val="0"/>
      <w:autoSpaceDE w:val="0"/>
      <w:autoSpaceDN w:val="0"/>
      <w:adjustRightInd w:val="0"/>
      <w:spacing w:line="360" w:lineRule="auto"/>
      <w:jc w:val="both"/>
      <w:textAlignment w:val="baseline"/>
    </w:pPr>
    <w:rPr>
      <w:rFonts w:ascii="Arial TUR" w:hAnsi="Arial TUR"/>
      <w:spacing w:val="10"/>
      <w:sz w:val="22"/>
      <w:szCs w:val="28"/>
      <w:lang w:val="x-none" w:eastAsia="x-none"/>
    </w:rPr>
  </w:style>
  <w:style w:type="character" w:customStyle="1" w:styleId="Ruller41">
    <w:name w:val="Ruller4 תו"/>
    <w:link w:val="Ruller40"/>
    <w:locked/>
    <w:rsid w:val="00C82D0B"/>
    <w:rPr>
      <w:rFonts w:ascii="Arial TUR" w:hAnsi="Arial TUR"/>
      <w:spacing w:val="10"/>
      <w:sz w:val="22"/>
      <w:szCs w:val="28"/>
      <w:lang w:val="x-none" w:eastAsia="x-none"/>
    </w:rPr>
  </w:style>
  <w:style w:type="paragraph" w:customStyle="1" w:styleId="Ruller4">
    <w:name w:val="Ruller 4 ממוספר"/>
    <w:basedOn w:val="Ruller40"/>
    <w:rsid w:val="00C82D0B"/>
    <w:pPr>
      <w:numPr>
        <w:numId w:val="2"/>
      </w:numPr>
      <w:tabs>
        <w:tab w:val="clear" w:pos="907"/>
      </w:tabs>
      <w:ind w:left="720" w:hanging="360"/>
      <w:textAlignment w:val="auto"/>
    </w:pPr>
    <w:rPr>
      <w:rFonts w:ascii="Garamond" w:hAnsi="Garamond" w:cs="FrankRuehl"/>
      <w:sz w:val="24"/>
      <w:lang w:val="en-US" w:eastAsia="en-US"/>
    </w:rPr>
  </w:style>
  <w:style w:type="paragraph" w:customStyle="1" w:styleId="2">
    <w:name w:val="סגנון2"/>
    <w:basedOn w:val="11"/>
    <w:link w:val="20"/>
    <w:qFormat/>
    <w:rsid w:val="00C82D0B"/>
    <w:pPr>
      <w:numPr>
        <w:numId w:val="3"/>
      </w:numPr>
      <w:spacing w:after="0" w:line="360" w:lineRule="auto"/>
      <w:jc w:val="both"/>
    </w:pPr>
    <w:rPr>
      <w:rFonts w:ascii="Times New Roman" w:eastAsia="Times New Roman" w:hAnsi="Times New Roman" w:cs="Times New Roman"/>
      <w:sz w:val="28"/>
      <w:szCs w:val="28"/>
      <w:lang w:val="x-none" w:eastAsia="x-none"/>
    </w:rPr>
  </w:style>
  <w:style w:type="character" w:customStyle="1" w:styleId="20">
    <w:name w:val="סגנון2 תו"/>
    <w:link w:val="2"/>
    <w:rsid w:val="00C82D0B"/>
    <w:rPr>
      <w:sz w:val="28"/>
      <w:szCs w:val="28"/>
      <w:lang w:val="x-none" w:eastAsia="x-none"/>
    </w:rPr>
  </w:style>
  <w:style w:type="character" w:customStyle="1" w:styleId="a1">
    <w:name w:val="טקסט תו"/>
    <w:link w:val="a"/>
    <w:locked/>
    <w:rsid w:val="007D4E3B"/>
    <w:rPr>
      <w:rFonts w:cs="David"/>
      <w:sz w:val="28"/>
      <w:szCs w:val="28"/>
    </w:rPr>
  </w:style>
  <w:style w:type="paragraph" w:customStyle="1" w:styleId="a">
    <w:name w:val="טקסט"/>
    <w:basedOn w:val="ListParagraph"/>
    <w:link w:val="a1"/>
    <w:qFormat/>
    <w:rsid w:val="007D4E3B"/>
    <w:pPr>
      <w:numPr>
        <w:numId w:val="4"/>
      </w:numPr>
      <w:spacing w:after="120" w:line="360" w:lineRule="auto"/>
      <w:ind w:left="0"/>
      <w:contextualSpacing w:val="0"/>
      <w:outlineLvl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7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extraLst0">
        <a:dk1>
          <a:srgbClr val="D00642"/>
        </a:dk1>
        <a:lt1>
          <a:srgbClr val="8AFAE7"/>
        </a:lt1>
        <a:dk2>
          <a:srgbClr val="30741E"/>
        </a:dk2>
        <a:lt2>
          <a:srgbClr val="EAAA44"/>
        </a:lt2>
        <a:accent1>
          <a:srgbClr val="118280"/>
        </a:accent1>
        <a:accent2>
          <a:srgbClr val="5D0643"/>
        </a:accent2>
        <a:accent3>
          <a:srgbClr val="11D808"/>
        </a:accent3>
        <a:accent4>
          <a:srgbClr val="9CB4BB"/>
        </a:accent4>
        <a:accent5>
          <a:srgbClr val="10367A"/>
        </a:accent5>
        <a:accent6>
          <a:srgbClr val="14D54D"/>
        </a:accent6>
        <a:hlink>
          <a:srgbClr val="6552EB"/>
        </a:hlink>
        <a:folHlink>
          <a:srgbClr val="4CD5F7"/>
        </a:folHlink>
      </a:clrScheme>
    </a:extraClrScheme>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092A5-6E44-4C54-8F2D-2FD63C77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9425</Words>
  <Characters>53724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63023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יבד"ץ 205/בית הדין הצבאי לערעורים/שופטת/מאיה גולדשמידט</dc:creator>
  <cp:lastModifiedBy>דניאל אוזן</cp:lastModifiedBy>
  <cp:revision>5</cp:revision>
  <dcterms:created xsi:type="dcterms:W3CDTF">2024-03-10T09:50:00Z</dcterms:created>
  <dcterms:modified xsi:type="dcterms:W3CDTF">2024-03-18T12:06:00Z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646692e1,1568641e,58955752</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2024-03-18T12:05:10Z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44a6dba0-601f-44d6-8660-cf7c36f6d6e8</vt:lpwstr>
  </property>
  <property fmtid="{D5CDD505-2E9C-101B-9397-08002B2CF9AE}" pid="11" name="MSIP_Label_701b9bfc-c426-492e-a46c-1a922d5fe54b_ContentBits">
    <vt:lpwstr>1</vt:lpwstr>
  </property>
</Properties>
</file>