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1 -->
  <w:body>
    <w:p>
      <w:pPr>
        <w:bidi/>
        <w:spacing w:before="0" w:after="0"/>
        <w:jc w:val="right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דרום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</w:t>
      </w:r>
      <w:r>
        <w:rPr>
          <w:rFonts w:ascii="David" w:eastAsia="David" w:hAnsi="David" w:cs="David"/>
          <w:sz w:val="28"/>
          <w:szCs w:val="28"/>
          <w:rtl/>
        </w:rPr>
        <w:t>מחוזי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>487/19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David" w:eastAsia="David" w:hAnsi="David" w:cs="David"/>
          <w:sz w:val="28"/>
          <w:szCs w:val="28"/>
          <w:rtl/>
        </w:rPr>
        <w:t>בלמ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</w:p>
    <w:p>
      <w:pPr>
        <w:bidi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after="0" w:line="360" w:lineRule="auto"/>
        <w:jc w:val="both"/>
        <w:rPr>
          <w:rFonts w:ascii="Tahoma" w:eastAsia="Tahoma" w:hAnsi="Tahoma" w:cs="Tahoma"/>
          <w:b/>
          <w:bCs/>
          <w:sz w:val="28"/>
          <w:szCs w:val="28"/>
        </w:rPr>
      </w:pPr>
      <w:r>
        <w:rPr>
          <w:strike w:val="0"/>
          <w:sz w:val="28"/>
          <w:szCs w:val="28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838450" cy="828675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4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sz w:val="28"/>
          <w:szCs w:val="28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</w:rPr>
      </w:pPr>
      <w:r>
        <w:rPr>
          <w:rFonts w:ascii="Tahoma" w:eastAsia="Tahoma" w:hAnsi="Tahoma" w:cs="Tahoma"/>
          <w:b/>
          <w:bCs/>
          <w:sz w:val="28"/>
          <w:szCs w:val="28"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בית הדין הצבאי המחוזי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מחוז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      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שיפוטי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     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דרום </w:t>
      </w:r>
    </w:p>
    <w:tbl>
      <w:tblPr>
        <w:bidiVisual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122"/>
        <w:gridCol w:w="3630"/>
        <w:gridCol w:w="2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בפני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סא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ל רונן שור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אב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ד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רס</w:t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"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ן רותם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ולצמן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</w:tc>
      </w:tr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9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3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סרן שלמה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גולשטיין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</w:rPr>
              <w:br/>
            </w: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2841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</w:tcPr>
          <w:p>
            <w:pPr>
              <w:bidi/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</w:pPr>
            <w:r>
              <w:rPr>
                <w:rFonts w:ascii="Tahoma" w:eastAsia="Tahoma" w:hAnsi="Tahoma" w:cs="Tahoma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 xml:space="preserve">- </w:t>
            </w:r>
            <w:r>
              <w:rPr>
                <w:rFonts w:ascii="David" w:eastAsia="David" w:hAnsi="David" w:cs="David"/>
                <w:b/>
                <w:bCs/>
                <w:i w:val="0"/>
                <w:iCs w:val="0"/>
                <w:smallCaps w:val="0"/>
                <w:color w:val="000000"/>
                <w:sz w:val="28"/>
                <w:szCs w:val="28"/>
                <w:rtl/>
              </w:rPr>
              <w:t>שופט</w:t>
            </w:r>
          </w:p>
        </w:tc>
      </w:tr>
    </w:tbl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בעניין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: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התובע הצבאי</w:t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David" w:eastAsia="David" w:hAnsi="David" w:cs="David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סרן אמיר גונמן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)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נגד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b/>
          <w:bCs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ח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XXX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טוראי ג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ד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'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ab/>
      </w:r>
      <w:r>
        <w:rPr>
          <w:rFonts w:ascii="Tahoma" w:eastAsia="Tahoma" w:hAnsi="Tahoma" w:cs="Tahoma"/>
          <w:b/>
          <w:bCs/>
          <w:sz w:val="28"/>
          <w:szCs w:val="28"/>
          <w:rtl/>
        </w:rPr>
        <w:t>(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ע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י ב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ahoma" w:eastAsia="Tahoma" w:hAnsi="Tahoma" w:cs="Tahoma"/>
          <w:b/>
          <w:bCs/>
          <w:sz w:val="28"/>
          <w:szCs w:val="28"/>
          <w:rtl/>
        </w:rPr>
        <w:t>,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סרן עידן בטונר</w:t>
      </w:r>
      <w:r>
        <w:rPr>
          <w:rFonts w:ascii="Tahoma" w:eastAsia="Tahoma" w:hAnsi="Tahoma" w:cs="Tahoma"/>
          <w:sz w:val="28"/>
          <w:szCs w:val="28"/>
          <w:rtl/>
        </w:rPr>
        <w:t>)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 xml:space="preserve">הכרעת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rtl/>
        </w:rPr>
        <w:t xml:space="preserve">-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דין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על פי הודאתו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מורשע הנאשם בעבירה של הוצאת רכוש משרות הצבא בצוותא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לפי סעיף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77(</w:t>
      </w:r>
      <w:r>
        <w:rPr>
          <w:rFonts w:ascii="David" w:eastAsia="David" w:hAnsi="David" w:cs="David"/>
          <w:sz w:val="28"/>
          <w:szCs w:val="28"/>
          <w:rtl/>
        </w:rPr>
        <w:t>א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)(1) </w:t>
      </w:r>
      <w:r>
        <w:rPr>
          <w:rFonts w:ascii="David" w:eastAsia="David" w:hAnsi="David" w:cs="David"/>
          <w:sz w:val="28"/>
          <w:szCs w:val="28"/>
          <w:rtl/>
        </w:rPr>
        <w:t>לחוק השיפוט הצבאי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התשט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ו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1955 + </w:t>
      </w:r>
      <w:r>
        <w:rPr>
          <w:rFonts w:ascii="David" w:eastAsia="David" w:hAnsi="David" w:cs="David"/>
          <w:sz w:val="28"/>
          <w:szCs w:val="28"/>
          <w:rtl/>
        </w:rPr>
        <w:t xml:space="preserve">סעיף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29(</w:t>
      </w:r>
      <w:r>
        <w:rPr>
          <w:rFonts w:ascii="David" w:eastAsia="David" w:hAnsi="David" w:cs="David"/>
          <w:sz w:val="28"/>
          <w:szCs w:val="28"/>
          <w:rtl/>
        </w:rPr>
        <w:t>ב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) </w:t>
      </w:r>
      <w:r>
        <w:rPr>
          <w:rFonts w:ascii="David" w:eastAsia="David" w:hAnsi="David" w:cs="David"/>
          <w:sz w:val="28"/>
          <w:szCs w:val="28"/>
          <w:rtl/>
        </w:rPr>
        <w:t>לחוק העונשין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התשל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ז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1977, </w:t>
      </w:r>
      <w:r>
        <w:rPr>
          <w:rFonts w:ascii="David" w:eastAsia="David" w:hAnsi="David" w:cs="David"/>
          <w:sz w:val="28"/>
          <w:szCs w:val="28"/>
          <w:rtl/>
        </w:rPr>
        <w:t>בהתאם לכתב האישום ולפרטים הנוספים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bidi/>
        <w:spacing w:before="0" w:after="0" w:line="360" w:lineRule="auto"/>
        <w:rPr>
          <w:sz w:val="28"/>
          <w:szCs w:val="28"/>
          <w:rtl/>
          <w:lang w:bidi="he-I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 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ניתנה היום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 בסיון תש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פ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he-IL"/>
        </w:rPr>
        <w:t>17/06/2020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והודעה בפומבי ובמעמד הצדדים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 xml:space="preserve">_____( - )_____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שופט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אב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שופט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 xml:space="preserve">גזר </w:t>
      </w:r>
      <w:r>
        <w:rPr>
          <w:rFonts w:ascii="Tahoma" w:eastAsia="Tahoma" w:hAnsi="Tahoma" w:cs="Tahoma"/>
          <w:b/>
          <w:bCs/>
          <w:sz w:val="28"/>
          <w:szCs w:val="28"/>
          <w:u w:val="single"/>
          <w:rtl/>
        </w:rPr>
        <w:t xml:space="preserve">-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דין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הנאשם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טוראי </w:t>
      </w:r>
      <w:r>
        <w:rPr>
          <w:rFonts w:ascii="David" w:eastAsia="David" w:hAnsi="David" w:cs="David"/>
          <w:sz w:val="28"/>
          <w:szCs w:val="28"/>
          <w:rtl/>
        </w:rPr>
        <w:t>ג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' </w:t>
      </w:r>
      <w:r>
        <w:rPr>
          <w:rFonts w:ascii="David" w:eastAsia="David" w:hAnsi="David" w:cs="David"/>
          <w:sz w:val="28"/>
          <w:szCs w:val="28"/>
          <w:rtl/>
        </w:rPr>
        <w:t>ד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'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הורשע על פי הודאתו בעבירה של הוצאת רכוש מרשות הצבא בצוותא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 xml:space="preserve">מדובר באירוע שהתרחש בחודש אוקטובר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2018, </w:t>
      </w:r>
      <w:r>
        <w:rPr>
          <w:rFonts w:ascii="David" w:eastAsia="David" w:hAnsi="David" w:cs="David"/>
          <w:sz w:val="28"/>
          <w:szCs w:val="28"/>
          <w:rtl/>
        </w:rPr>
        <w:t>כאשר הנאשם ואדם נוסף הוציאו מרשות היחידה מוצרי מזון ורכוש צבאיים בשווי של למעלה מ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2000 ₪. </w:t>
      </w:r>
      <w:r>
        <w:rPr>
          <w:rFonts w:ascii="David" w:eastAsia="David" w:hAnsi="David" w:cs="David"/>
          <w:sz w:val="28"/>
          <w:szCs w:val="28"/>
          <w:rtl/>
        </w:rPr>
        <w:t>אין ספק כי מדובר במעשה מתוכנן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כאשר הנאשם שלח ידו ברכוש הצבא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וזאת תוך ניצול נגישותו למחסן המזון ביחידה נוכח תפקידו הצבאי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עוד יש לציין לחובת הנאשם את עברו בבית הדין הצבאיים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 xml:space="preserve">כאשר נשפט בגין עבירות של היעדרות מן השירות שלא </w:t>
      </w:r>
      <w:r>
        <w:rPr>
          <w:rFonts w:ascii="David" w:eastAsia="David" w:hAnsi="David" w:cs="David"/>
          <w:sz w:val="28"/>
          <w:szCs w:val="28"/>
          <w:rtl/>
        </w:rPr>
        <w:t>ברשות והתנהגות מבישה על רקע דומה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מנגד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הנאשם הודה וחסך בזמן שיפוטי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השתחרר לא מכבר מן השירות הצבאי והביע חרטה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>
      <w:pPr>
        <w:bidi/>
        <w:spacing w:before="0" w:after="0" w:line="360" w:lineRule="auto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בנסיבות אלה מצאנו לכבד את עתירתם המשותפת של הצדדים ולאמץ את הסדר הטיעון שהוצג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</w:p>
    <w:p>
      <w:pPr>
        <w:bidi/>
        <w:spacing w:before="0" w:after="0" w:line="360" w:lineRule="auto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על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הנאשם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נגזרים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אפוא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העונשים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הבאים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:</w:t>
      </w:r>
    </w:p>
    <w:p>
      <w:pPr>
        <w:numPr>
          <w:ilvl w:val="0"/>
          <w:numId w:val="1"/>
        </w:numPr>
        <w:pBdr>
          <w:right w:val="none" w:sz="0" w:space="2" w:color="auto"/>
        </w:pBdr>
        <w:bidi/>
        <w:spacing w:before="0" w:line="360" w:lineRule="auto"/>
        <w:ind w:left="1080" w:right="0" w:hanging="360"/>
        <w:jc w:val="both"/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ארבעים וחמישה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(45)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ימי מאסר לריצוי בפועל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בניכוי יום אחד של מעצר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 xml:space="preserve">הנאשם יתייצב </w:t>
      </w:r>
      <w:r>
        <w:rPr>
          <w:rFonts w:ascii="David" w:eastAsia="David" w:hAnsi="David" w:cs="David"/>
          <w:sz w:val="28"/>
          <w:szCs w:val="28"/>
          <w:rtl/>
        </w:rPr>
        <w:t>בבס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כ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394 </w:t>
      </w:r>
      <w:r>
        <w:rPr>
          <w:rFonts w:ascii="David" w:eastAsia="David" w:hAnsi="David" w:cs="David"/>
          <w:sz w:val="28"/>
          <w:szCs w:val="28"/>
          <w:rtl/>
        </w:rPr>
        <w:t xml:space="preserve">לתחילת ריצוי העונש ביום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he-IL"/>
        </w:rPr>
        <w:t>21/06/2020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 xml:space="preserve">עד השעה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10:00. </w:t>
      </w:r>
    </w:p>
    <w:p>
      <w:pPr>
        <w:numPr>
          <w:ilvl w:val="0"/>
          <w:numId w:val="1"/>
        </w:numPr>
        <w:pBdr>
          <w:right w:val="none" w:sz="0" w:space="2" w:color="auto"/>
        </w:pBdr>
        <w:bidi/>
        <w:spacing w:line="360" w:lineRule="auto"/>
        <w:ind w:left="1080" w:right="0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עונש מאסר מותנה בן </w:t>
      </w:r>
      <w:r>
        <w:rPr>
          <w:rFonts w:ascii="David" w:eastAsia="David" w:hAnsi="David" w:cs="David"/>
          <w:sz w:val="28"/>
          <w:szCs w:val="28"/>
          <w:rtl/>
        </w:rPr>
        <w:t xml:space="preserve">שישים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(60)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ימים למשך שלוש</w:t>
      </w:r>
      <w:r>
        <w:rPr>
          <w:rFonts w:ascii="David" w:eastAsia="David" w:hAnsi="David" w:cs="David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(3)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sz w:val="28"/>
          <w:szCs w:val="28"/>
          <w:rtl/>
        </w:rPr>
        <w:t>שנים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לבל יעבור עבירה שיש בה יסוד של שליחת יד ברכוש הזולת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numPr>
          <w:ilvl w:val="0"/>
          <w:numId w:val="1"/>
        </w:numPr>
        <w:pBdr>
          <w:right w:val="none" w:sz="0" w:space="2" w:color="auto"/>
        </w:pBdr>
        <w:bidi/>
        <w:spacing w:after="0" w:line="360" w:lineRule="auto"/>
        <w:ind w:left="1080" w:right="0" w:hanging="360"/>
        <w:jc w:val="both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פיצויים בסך </w:t>
      </w:r>
      <w:r>
        <w:rPr>
          <w:rFonts w:ascii="David" w:eastAsia="David" w:hAnsi="David" w:cs="David"/>
          <w:sz w:val="28"/>
          <w:szCs w:val="28"/>
          <w:rtl/>
        </w:rPr>
        <w:t xml:space="preserve">אלפיים מאה ושבע עשרה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(2117)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₪ </w:t>
      </w:r>
      <w:r>
        <w:rPr>
          <w:rFonts w:ascii="David" w:eastAsia="David" w:hAnsi="David" w:cs="David"/>
          <w:sz w:val="28"/>
          <w:szCs w:val="28"/>
          <w:rtl/>
        </w:rPr>
        <w:t>שישולמו לטובת צה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ל עוד היום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.</w:t>
      </w:r>
    </w:p>
    <w:p>
      <w:pPr>
        <w:bidi/>
        <w:spacing w:before="0" w:after="0" w:line="360" w:lineRule="auto"/>
        <w:rPr>
          <w:sz w:val="28"/>
          <w:szCs w:val="28"/>
          <w:rtl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זכות ערעור כחוק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 w:line="360" w:lineRule="auto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נית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ן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היום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ה בסיון תש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"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פ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he-IL"/>
        </w:rPr>
        <w:t>17/06/2020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והודע</w:t>
      </w:r>
      <w:r>
        <w:rPr>
          <w:rFonts w:ascii="David" w:eastAsia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David" w:hAnsi="David" w:cs="David"/>
          <w:b/>
          <w:bCs/>
          <w:sz w:val="28"/>
          <w:szCs w:val="28"/>
          <w:rtl/>
        </w:rPr>
        <w:t>בפומבי ובמעמד הצדדים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>.</w:t>
      </w:r>
    </w:p>
    <w:p>
      <w:pPr>
        <w:bidi/>
        <w:spacing w:before="0" w:after="0"/>
        <w:jc w:val="center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  <w:r>
        <w:rPr>
          <w:rFonts w:ascii="Tahoma" w:eastAsia="Tahoma" w:hAnsi="Tahoma" w:cs="Tahoma"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 xml:space="preserve">_____( - )_____ </w:t>
      </w:r>
      <w:r>
        <w:rPr>
          <w:rFonts w:ascii="Tahoma" w:eastAsia="Tahoma" w:hAnsi="Tahoma" w:cs="Tahoma"/>
          <w:sz w:val="28"/>
          <w:szCs w:val="28"/>
          <w:rtl/>
        </w:rPr>
        <w:t xml:space="preserve">            </w:t>
      </w:r>
      <w:r>
        <w:rPr>
          <w:rFonts w:ascii="Tahoma" w:eastAsia="Tahoma" w:hAnsi="Tahoma" w:cs="Tahoma"/>
          <w:sz w:val="28"/>
          <w:szCs w:val="28"/>
          <w:u w:val="single"/>
          <w:rtl/>
        </w:rPr>
        <w:t>_____( - )_____</w:t>
      </w:r>
    </w:p>
    <w:p>
      <w:pPr>
        <w:bidi/>
        <w:spacing w:before="0" w:after="0" w:line="360" w:lineRule="auto"/>
        <w:jc w:val="center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שופט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אב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"</w:t>
      </w:r>
      <w:r>
        <w:rPr>
          <w:rFonts w:ascii="David" w:eastAsia="David" w:hAnsi="David" w:cs="David"/>
          <w:sz w:val="28"/>
          <w:szCs w:val="28"/>
          <w:rtl/>
        </w:rPr>
        <w:t>ד</w:t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 </w:t>
      </w:r>
      <w:r>
        <w:rPr>
          <w:rFonts w:ascii="David" w:eastAsia="David" w:hAnsi="David" w:cs="David"/>
          <w:sz w:val="28"/>
          <w:szCs w:val="28"/>
          <w:rtl/>
        </w:rPr>
        <w:t>שופט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העתק נכון מן המקור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ליבי יעקובי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, </w:t>
      </w:r>
      <w:r>
        <w:rPr>
          <w:rFonts w:ascii="David" w:eastAsia="David" w:hAnsi="David" w:cs="David"/>
          <w:sz w:val="28"/>
          <w:szCs w:val="28"/>
          <w:rtl/>
        </w:rPr>
        <w:t>סרן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>ע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. </w:t>
      </w:r>
      <w:r>
        <w:rPr>
          <w:rFonts w:ascii="David" w:eastAsia="David" w:hAnsi="David" w:cs="David"/>
          <w:sz w:val="28"/>
          <w:szCs w:val="28"/>
          <w:rtl/>
        </w:rPr>
        <w:t>משפטית לנשיאת בית הדין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rPr>
          <w:sz w:val="28"/>
          <w:szCs w:val="28"/>
          <w:rtl/>
        </w:rPr>
      </w:pPr>
      <w:r>
        <w:rPr>
          <w:rFonts w:ascii="David" w:eastAsia="David" w:hAnsi="David" w:cs="David"/>
          <w:sz w:val="28"/>
          <w:szCs w:val="28"/>
          <w:rtl/>
        </w:rPr>
        <w:t xml:space="preserve">חתימת המגיה </w:t>
      </w:r>
      <w:r>
        <w:rPr>
          <w:rFonts w:ascii="David" w:eastAsia="David" w:hAnsi="David" w:cs="David"/>
          <w:sz w:val="28"/>
          <w:szCs w:val="28"/>
        </w:rPr>
        <w:br/>
      </w:r>
      <w:r>
        <w:rPr>
          <w:rFonts w:ascii="David" w:eastAsia="David" w:hAnsi="David" w:cs="David"/>
          <w:sz w:val="28"/>
          <w:szCs w:val="28"/>
          <w:rtl/>
        </w:rPr>
        <w:t>נערך על ידי י</w:t>
      </w:r>
      <w:r>
        <w:rPr>
          <w:rFonts w:ascii="Tahoma" w:eastAsia="Tahoma" w:hAnsi="Tahoma" w:cs="Tahoma"/>
          <w:sz w:val="28"/>
          <w:szCs w:val="28"/>
          <w:rtl/>
        </w:rPr>
        <w:t>.</w:t>
      </w:r>
      <w:r>
        <w:rPr>
          <w:rFonts w:ascii="David" w:eastAsia="David" w:hAnsi="David" w:cs="David"/>
          <w:sz w:val="28"/>
          <w:szCs w:val="28"/>
          <w:rtl/>
        </w:rPr>
        <w:t>ק</w:t>
      </w:r>
      <w:r>
        <w:rPr>
          <w:rFonts w:ascii="David" w:eastAsia="David" w:hAnsi="David" w:cs="David"/>
          <w:sz w:val="28"/>
          <w:szCs w:val="28"/>
        </w:rPr>
        <w:br/>
      </w:r>
      <w:r>
        <w:rPr>
          <w:rFonts w:ascii="David" w:eastAsia="David" w:hAnsi="David" w:cs="David"/>
          <w:sz w:val="28"/>
          <w:szCs w:val="28"/>
          <w:rtl/>
        </w:rPr>
        <w:t xml:space="preserve">                                                                                                   </w:t>
      </w:r>
    </w:p>
    <w:p>
      <w:pPr>
        <w:bidi/>
        <w:spacing w:before="0" w:after="0"/>
        <w:jc w:val="right"/>
        <w:rPr>
          <w:sz w:val="28"/>
          <w:szCs w:val="28"/>
          <w:rtl/>
          <w:lang w:bidi="he-IL"/>
        </w:rPr>
      </w:pPr>
      <w:r>
        <w:rPr>
          <w:rFonts w:ascii="David" w:eastAsia="David" w:hAnsi="David" w:cs="David"/>
          <w:sz w:val="28"/>
          <w:szCs w:val="28"/>
          <w:rtl/>
        </w:rPr>
        <w:t>תאריך הדפסה</w:t>
      </w:r>
      <w:r>
        <w:rPr>
          <w:rFonts w:ascii="Tahoma" w:eastAsia="Tahoma" w:hAnsi="Tahoma" w:cs="Tahoma"/>
          <w:sz w:val="28"/>
          <w:szCs w:val="28"/>
          <w:rtl/>
        </w:rPr>
        <w:t xml:space="preserve">: </w:t>
      </w:r>
      <w:r>
        <w:rPr>
          <w:rFonts w:ascii="Tahoma" w:eastAsia="Tahoma" w:hAnsi="Tahoma" w:cs="Tahoma"/>
          <w:sz w:val="28"/>
          <w:szCs w:val="28"/>
          <w:rtl/>
          <w:lang w:bidi="he-IL"/>
        </w:rPr>
        <w:t>17/06/2020</w:t>
      </w:r>
    </w:p>
    <w:p>
      <w:pPr>
        <w:bidi/>
        <w:spacing w:before="0" w:after="0"/>
        <w:jc w:val="both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 </w:t>
      </w:r>
    </w:p>
    <w:p>
      <w:pPr>
        <w:bidi/>
        <w:spacing w:before="0" w:after="0"/>
        <w:jc w:val="both"/>
        <w:rPr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> </w:t>
      </w:r>
    </w:p>
    <w:p>
      <w:pPr>
        <w:bidi/>
        <w:spacing w:before="0" w:after="0"/>
        <w:jc w:val="both"/>
        <w:rPr>
          <w:sz w:val="28"/>
          <w:szCs w:val="28"/>
          <w:rtl/>
        </w:rPr>
      </w:pPr>
      <w:r>
        <w:rPr>
          <w:rFonts w:ascii="Tahoma" w:eastAsia="Tahoma" w:hAnsi="Tahoma" w:cs="Tahoma"/>
          <w:sz w:val="28"/>
          <w:szCs w:val="28"/>
          <w:rtl/>
        </w:rPr>
        <w:t> </w:t>
      </w:r>
    </w:p>
    <w:p>
      <w:pPr>
        <w:bidi/>
        <w:spacing w:before="0" w:after="0"/>
        <w:jc w:val="both"/>
      </w:pPr>
      <w:r>
        <w:rPr>
          <w:rFonts w:ascii="Tahoma" w:eastAsia="Tahoma" w:hAnsi="Tahoma" w:cs="Tahoma"/>
        </w:rPr>
        <w:t> </w:t>
      </w:r>
    </w:p>
    <w:p>
      <w:pPr>
        <w:bidi/>
        <w:spacing w:before="0" w:after="0"/>
        <w:jc w:val="both"/>
        <w:rPr>
          <w:rtl/>
        </w:rPr>
      </w:pPr>
      <w:r>
        <w:rPr>
          <w:rFonts w:ascii="Times New Roman" w:eastAsia="Times New Roman" w:hAnsi="Times New Roman" w:cs="Times New Roman"/>
          <w:rtl/>
        </w:rPr>
        <w:t> </w:t>
      </w:r>
    </w:p>
    <w:p>
      <w:pPr>
        <w:bidi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bidi/>
        <w:spacing w:before="0" w:after="0"/>
        <w:jc w:val="both"/>
        <w:rPr>
          <w:rtl/>
        </w:rPr>
      </w:pPr>
      <w:r>
        <w:rPr>
          <w:rFonts w:ascii="Times New Roman" w:eastAsia="Times New Roman" w:hAnsi="Times New Roman" w:cs="Times New Roman"/>
          <w:rtl/>
        </w:rPr>
        <w:t> </w:t>
      </w:r>
    </w:p>
    <w:p>
      <w:pPr>
        <w:bidi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bidi/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