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72D62" w14:textId="77777777" w:rsidR="00050445" w:rsidRPr="00126E94" w:rsidRDefault="00050445" w:rsidP="00050445">
      <w:pPr>
        <w:tabs>
          <w:tab w:val="right" w:pos="6328"/>
        </w:tabs>
        <w:spacing w:line="480" w:lineRule="auto"/>
        <w:ind w:left="1985" w:right="1985"/>
        <w:rPr>
          <w:rtl/>
        </w:rPr>
      </w:pPr>
      <w:bookmarkStart w:id="0" w:name="_Hlk149821736"/>
      <w:bookmarkStart w:id="1" w:name="_Hlk149824479"/>
      <w:r w:rsidRPr="00164FD0">
        <w:rPr>
          <w:noProof/>
        </w:rPr>
        <w:drawing>
          <wp:inline distT="0" distB="0" distL="0" distR="0" wp14:anchorId="08368B3D" wp14:editId="2F886865">
            <wp:extent cx="866775" cy="790575"/>
            <wp:effectExtent l="0" t="0" r="9525" b="9525"/>
            <wp:docPr id="1" name="Picture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1F19BE3D" wp14:editId="39A3F1F1">
            <wp:extent cx="581025" cy="790575"/>
            <wp:effectExtent l="0" t="0" r="9525" b="9525"/>
            <wp:docPr id="2" name="Picture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5C54BE79" w14:textId="77777777" w:rsidR="00050445" w:rsidRPr="00FD2DDA" w:rsidRDefault="00050445" w:rsidP="00050445">
      <w:pPr>
        <w:bidi w:val="0"/>
        <w:spacing w:line="48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3A1C18CD" w14:textId="77777777" w:rsidR="00050445" w:rsidRPr="00FD2DDA" w:rsidRDefault="00050445" w:rsidP="00050445">
      <w:pPr>
        <w:spacing w:before="120" w:after="0" w:line="480" w:lineRule="auto"/>
        <w:rPr>
          <w:rFonts w:ascii="David" w:hAnsi="David" w:cs="David"/>
          <w:sz w:val="28"/>
          <w:szCs w:val="28"/>
          <w:rtl/>
        </w:rPr>
      </w:pPr>
      <w:r w:rsidRPr="00FD2DDA">
        <w:rPr>
          <w:rFonts w:ascii="David" w:hAnsi="David" w:cs="David" w:hint="cs"/>
          <w:sz w:val="28"/>
          <w:szCs w:val="28"/>
          <w:rtl/>
        </w:rPr>
        <w:t>בפני:</w:t>
      </w:r>
    </w:p>
    <w:p w14:paraId="62F03914" w14:textId="71E0A9F5" w:rsidR="00050445" w:rsidRPr="00BB5867" w:rsidRDefault="0024284D" w:rsidP="00050445">
      <w:pPr>
        <w:spacing w:line="240" w:lineRule="auto"/>
        <w:jc w:val="center"/>
        <w:rPr>
          <w:rFonts w:cs="David"/>
          <w:sz w:val="28"/>
          <w:szCs w:val="28"/>
          <w:rtl/>
        </w:rPr>
      </w:pPr>
      <w:r>
        <w:rPr>
          <w:rFonts w:cs="David" w:hint="cs"/>
          <w:b/>
          <w:bCs/>
          <w:sz w:val="28"/>
          <w:szCs w:val="28"/>
          <w:rtl/>
        </w:rPr>
        <w:t xml:space="preserve">אלופה אורלי מרקמן </w:t>
      </w:r>
      <w:r w:rsidR="00BA05F6" w:rsidRPr="00FD2DDA">
        <w:rPr>
          <w:rFonts w:ascii="David" w:hAnsi="David" w:cs="David" w:hint="cs"/>
          <w:b/>
          <w:bCs/>
          <w:sz w:val="28"/>
          <w:szCs w:val="28"/>
          <w:rtl/>
        </w:rPr>
        <w:t>–</w:t>
      </w:r>
      <w:r>
        <w:rPr>
          <w:rFonts w:cs="David" w:hint="cs"/>
          <w:b/>
          <w:bCs/>
          <w:sz w:val="28"/>
          <w:szCs w:val="28"/>
          <w:rtl/>
        </w:rPr>
        <w:t xml:space="preserve"> נשיאה</w:t>
      </w:r>
    </w:p>
    <w:p w14:paraId="241CA443" w14:textId="77777777" w:rsidR="00056575" w:rsidRDefault="00056575" w:rsidP="00050445">
      <w:pPr>
        <w:rPr>
          <w:rFonts w:ascii="David" w:hAnsi="David" w:cs="David"/>
          <w:sz w:val="28"/>
          <w:szCs w:val="28"/>
          <w:rtl/>
        </w:rPr>
      </w:pPr>
    </w:p>
    <w:p w14:paraId="34CA8E7B" w14:textId="33BAE62A" w:rsidR="00050445" w:rsidRPr="00FD2DDA" w:rsidRDefault="00050445" w:rsidP="00050445">
      <w:pPr>
        <w:rPr>
          <w:rFonts w:ascii="David" w:hAnsi="David" w:cs="David"/>
          <w:sz w:val="28"/>
          <w:szCs w:val="28"/>
          <w:rtl/>
        </w:rPr>
      </w:pPr>
      <w:r w:rsidRPr="00FD2DDA">
        <w:rPr>
          <w:rFonts w:ascii="David" w:hAnsi="David" w:cs="David" w:hint="cs"/>
          <w:sz w:val="28"/>
          <w:szCs w:val="28"/>
          <w:rtl/>
        </w:rPr>
        <w:t>בעניין:</w:t>
      </w:r>
    </w:p>
    <w:p w14:paraId="59C8D2D5" w14:textId="2207AE76" w:rsidR="00050445" w:rsidRPr="00FD2DDA" w:rsidRDefault="0024284D" w:rsidP="00050445">
      <w:pPr>
        <w:bidi w:val="0"/>
        <w:jc w:val="center"/>
        <w:rPr>
          <w:rFonts w:ascii="David" w:hAnsi="David" w:cs="David"/>
          <w:sz w:val="28"/>
          <w:szCs w:val="28"/>
          <w:rtl/>
        </w:rPr>
      </w:pPr>
      <w:r>
        <w:rPr>
          <w:rFonts w:ascii="David" w:hAnsi="David" w:cs="David" w:hint="cs"/>
          <w:b/>
          <w:bCs/>
          <w:sz w:val="28"/>
          <w:szCs w:val="28"/>
          <w:rtl/>
        </w:rPr>
        <w:t xml:space="preserve">גלעד </w:t>
      </w:r>
      <w:proofErr w:type="spellStart"/>
      <w:r>
        <w:rPr>
          <w:rFonts w:ascii="David" w:hAnsi="David" w:cs="David" w:hint="cs"/>
          <w:b/>
          <w:bCs/>
          <w:sz w:val="28"/>
          <w:szCs w:val="28"/>
          <w:rtl/>
        </w:rPr>
        <w:t>צוויק</w:t>
      </w:r>
      <w:proofErr w:type="spellEnd"/>
      <w:r>
        <w:rPr>
          <w:rFonts w:ascii="David" w:hAnsi="David" w:cs="David" w:hint="cs"/>
          <w:b/>
          <w:bCs/>
          <w:sz w:val="28"/>
          <w:szCs w:val="28"/>
          <w:rtl/>
        </w:rPr>
        <w:t xml:space="preserve"> </w:t>
      </w:r>
      <w:r w:rsidR="00050445" w:rsidRPr="00FD2DDA">
        <w:rPr>
          <w:rFonts w:ascii="David" w:hAnsi="David" w:cs="David" w:hint="cs"/>
          <w:b/>
          <w:bCs/>
          <w:sz w:val="28"/>
          <w:szCs w:val="28"/>
          <w:rtl/>
        </w:rPr>
        <w:t>–</w:t>
      </w:r>
      <w:r w:rsidR="00050445" w:rsidRPr="00FD2DDA">
        <w:rPr>
          <w:rFonts w:ascii="David" w:hAnsi="David" w:cs="David" w:hint="cs"/>
          <w:sz w:val="28"/>
          <w:szCs w:val="28"/>
          <w:rtl/>
        </w:rPr>
        <w:t xml:space="preserve"> המ</w:t>
      </w:r>
      <w:r>
        <w:rPr>
          <w:rFonts w:ascii="David" w:hAnsi="David" w:cs="David" w:hint="cs"/>
          <w:sz w:val="28"/>
          <w:szCs w:val="28"/>
          <w:rtl/>
        </w:rPr>
        <w:t>בקש</w:t>
      </w:r>
      <w:r w:rsidR="00050445" w:rsidRPr="00FD2DDA">
        <w:rPr>
          <w:rFonts w:ascii="David" w:hAnsi="David" w:cs="David" w:hint="cs"/>
          <w:sz w:val="28"/>
          <w:szCs w:val="28"/>
          <w:rtl/>
        </w:rPr>
        <w:t xml:space="preserve"> (ע"י ב"כ,</w:t>
      </w:r>
      <w:r>
        <w:rPr>
          <w:rFonts w:ascii="David" w:hAnsi="David" w:cs="David" w:hint="cs"/>
          <w:sz w:val="28"/>
          <w:szCs w:val="28"/>
          <w:rtl/>
        </w:rPr>
        <w:t xml:space="preserve"> עו"ד עדי בן חור</w:t>
      </w:r>
      <w:r w:rsidR="00050445" w:rsidRPr="00FD2DDA">
        <w:rPr>
          <w:rFonts w:ascii="David" w:hAnsi="David" w:cs="David" w:hint="cs"/>
          <w:sz w:val="28"/>
          <w:szCs w:val="28"/>
          <w:rtl/>
        </w:rPr>
        <w:t>)</w:t>
      </w:r>
    </w:p>
    <w:p w14:paraId="084D2088" w14:textId="77777777" w:rsidR="00050445" w:rsidRPr="00056575" w:rsidRDefault="00050445" w:rsidP="00050445">
      <w:pPr>
        <w:jc w:val="center"/>
        <w:rPr>
          <w:rFonts w:ascii="David" w:hAnsi="David" w:cs="David"/>
          <w:sz w:val="28"/>
          <w:szCs w:val="28"/>
          <w:rtl/>
        </w:rPr>
      </w:pPr>
    </w:p>
    <w:p w14:paraId="11E5AB25" w14:textId="01651A07" w:rsidR="00050445" w:rsidRDefault="00050445" w:rsidP="00050445">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1EA43CBC" w14:textId="77777777" w:rsidR="00056575" w:rsidRPr="00056575" w:rsidRDefault="00056575" w:rsidP="00050445">
      <w:pPr>
        <w:spacing w:after="360"/>
        <w:jc w:val="center"/>
        <w:rPr>
          <w:rFonts w:ascii="David" w:hAnsi="David" w:cs="David"/>
          <w:b/>
          <w:bCs/>
          <w:sz w:val="2"/>
          <w:szCs w:val="2"/>
          <w:rtl/>
        </w:rPr>
      </w:pPr>
    </w:p>
    <w:p w14:paraId="5896A688" w14:textId="5C4BBC10" w:rsidR="00050445" w:rsidRDefault="0024284D" w:rsidP="00056575">
      <w:pPr>
        <w:spacing w:after="120"/>
        <w:jc w:val="center"/>
        <w:rPr>
          <w:rFonts w:ascii="David" w:hAnsi="David" w:cs="David"/>
          <w:sz w:val="28"/>
          <w:szCs w:val="28"/>
          <w:rtl/>
        </w:rPr>
      </w:pPr>
      <w:r>
        <w:rPr>
          <w:rFonts w:ascii="Times New Roman" w:eastAsia="Times New Roman" w:hAnsi="Times New Roman" w:cs="David" w:hint="cs"/>
          <w:b/>
          <w:bCs/>
          <w:sz w:val="32"/>
          <w:szCs w:val="28"/>
          <w:rtl/>
        </w:rPr>
        <w:t>התובע הצבאי הראשי</w:t>
      </w:r>
      <w:r w:rsidR="00050445" w:rsidRPr="00FD2DDA">
        <w:rPr>
          <w:rFonts w:ascii="David" w:hAnsi="David" w:cs="David" w:hint="cs"/>
          <w:b/>
          <w:bCs/>
          <w:sz w:val="28"/>
          <w:szCs w:val="28"/>
          <w:rtl/>
        </w:rPr>
        <w:t xml:space="preserve"> –</w:t>
      </w:r>
      <w:r w:rsidR="00050445" w:rsidRPr="00FD2DDA">
        <w:rPr>
          <w:rFonts w:ascii="David" w:hAnsi="David" w:cs="David" w:hint="cs"/>
          <w:sz w:val="28"/>
          <w:szCs w:val="28"/>
          <w:rtl/>
        </w:rPr>
        <w:t xml:space="preserve"> המשיב (ע"י ב"כ,</w:t>
      </w:r>
      <w:r w:rsidR="00050445">
        <w:rPr>
          <w:rFonts w:ascii="David" w:hAnsi="David" w:cs="David" w:hint="cs"/>
          <w:sz w:val="28"/>
          <w:szCs w:val="28"/>
          <w:rtl/>
        </w:rPr>
        <w:t xml:space="preserve"> עו"ד</w:t>
      </w:r>
      <w:r w:rsidR="00056575">
        <w:rPr>
          <w:rFonts w:ascii="David" w:hAnsi="David" w:cs="David" w:hint="cs"/>
          <w:sz w:val="28"/>
          <w:szCs w:val="28"/>
          <w:rtl/>
        </w:rPr>
        <w:t xml:space="preserve"> רס"ן אוהד מנור; סרן תכלת </w:t>
      </w:r>
      <w:proofErr w:type="spellStart"/>
      <w:r w:rsidR="00056575">
        <w:rPr>
          <w:rFonts w:ascii="David" w:hAnsi="David" w:cs="David" w:hint="cs"/>
          <w:sz w:val="28"/>
          <w:szCs w:val="28"/>
          <w:rtl/>
        </w:rPr>
        <w:t>פייגנסון</w:t>
      </w:r>
      <w:proofErr w:type="spellEnd"/>
      <w:r w:rsidR="00050445" w:rsidRPr="00FD2DDA">
        <w:rPr>
          <w:rFonts w:ascii="David" w:hAnsi="David" w:cs="David" w:hint="cs"/>
          <w:sz w:val="28"/>
          <w:szCs w:val="28"/>
          <w:rtl/>
        </w:rPr>
        <w:t>)</w:t>
      </w:r>
    </w:p>
    <w:p w14:paraId="45217400" w14:textId="77777777" w:rsidR="00056575" w:rsidRPr="00056575" w:rsidRDefault="00056575" w:rsidP="00056575">
      <w:pPr>
        <w:spacing w:after="120"/>
        <w:jc w:val="center"/>
        <w:rPr>
          <w:rFonts w:ascii="David" w:hAnsi="David" w:cs="David"/>
          <w:sz w:val="28"/>
          <w:szCs w:val="28"/>
          <w:rtl/>
        </w:rPr>
      </w:pPr>
    </w:p>
    <w:bookmarkEnd w:id="0"/>
    <w:bookmarkEnd w:id="1"/>
    <w:p w14:paraId="267F99A8" w14:textId="28D11476" w:rsidR="00050445" w:rsidRPr="00EE22D0" w:rsidRDefault="00BA05F6" w:rsidP="00050445">
      <w:pPr>
        <w:spacing w:after="360" w:line="360" w:lineRule="auto"/>
        <w:jc w:val="both"/>
        <w:rPr>
          <w:rFonts w:ascii="David" w:hAnsi="David" w:cs="David"/>
          <w:sz w:val="28"/>
          <w:szCs w:val="28"/>
          <w:rtl/>
        </w:rPr>
      </w:pPr>
      <w:r>
        <w:rPr>
          <w:rFonts w:ascii="David" w:hAnsi="David" w:cs="David" w:hint="cs"/>
          <w:sz w:val="28"/>
          <w:szCs w:val="28"/>
          <w:rtl/>
        </w:rPr>
        <w:t>בקשה לעיון בתיק בית דין. הבקשה התקבלה</w:t>
      </w:r>
      <w:r w:rsidR="002457D7">
        <w:rPr>
          <w:rFonts w:ascii="David" w:hAnsi="David" w:cs="David" w:hint="cs"/>
          <w:sz w:val="28"/>
          <w:szCs w:val="28"/>
          <w:rtl/>
        </w:rPr>
        <w:t xml:space="preserve"> חלקית.</w:t>
      </w:r>
    </w:p>
    <w:p w14:paraId="0C8281B3" w14:textId="0BE71E58" w:rsidR="00DE47CD" w:rsidRPr="00E23CD5" w:rsidRDefault="00DE47CD" w:rsidP="00E23CD5">
      <w:pPr>
        <w:pStyle w:val="a0"/>
        <w:jc w:val="center"/>
        <w:rPr>
          <w:b/>
          <w:bCs/>
          <w:u w:val="single"/>
          <w:rtl/>
        </w:rPr>
      </w:pPr>
      <w:r w:rsidRPr="00E23CD5">
        <w:rPr>
          <w:rFonts w:hint="cs"/>
          <w:b/>
          <w:bCs/>
          <w:u w:val="single"/>
          <w:rtl/>
        </w:rPr>
        <w:t>ה ח ל ט ה</w:t>
      </w:r>
    </w:p>
    <w:p w14:paraId="3A21B2E2" w14:textId="77777777" w:rsidR="00BA05F6" w:rsidRDefault="00BA05F6" w:rsidP="00E23CD5">
      <w:pPr>
        <w:pStyle w:val="a0"/>
        <w:ind w:left="-58"/>
        <w:rPr>
          <w:b/>
          <w:bCs/>
          <w:rtl/>
        </w:rPr>
      </w:pPr>
    </w:p>
    <w:p w14:paraId="05B65558" w14:textId="52E519F5" w:rsidR="00DE47CD" w:rsidRPr="00E23CD5" w:rsidRDefault="00DE47CD" w:rsidP="00E23CD5">
      <w:pPr>
        <w:pStyle w:val="a0"/>
        <w:ind w:left="-58"/>
        <w:rPr>
          <w:b/>
          <w:bCs/>
          <w:rtl/>
        </w:rPr>
      </w:pPr>
      <w:r w:rsidRPr="00E23CD5">
        <w:rPr>
          <w:rFonts w:hint="cs"/>
          <w:b/>
          <w:bCs/>
          <w:rtl/>
        </w:rPr>
        <w:t>רקע</w:t>
      </w:r>
    </w:p>
    <w:p w14:paraId="3EF4D5FA" w14:textId="7EF3BE89" w:rsidR="00DD6B24" w:rsidRDefault="00DD6B24" w:rsidP="00E23CD5">
      <w:pPr>
        <w:pStyle w:val="a0"/>
        <w:numPr>
          <w:ilvl w:val="0"/>
          <w:numId w:val="16"/>
        </w:numPr>
        <w:ind w:left="-58"/>
      </w:pPr>
      <w:r>
        <w:rPr>
          <w:rFonts w:hint="cs"/>
          <w:rtl/>
        </w:rPr>
        <w:t>עניינה של החלטה זו בבקש</w:t>
      </w:r>
      <w:r w:rsidR="009627B6">
        <w:rPr>
          <w:rFonts w:hint="cs"/>
          <w:rtl/>
        </w:rPr>
        <w:t xml:space="preserve">תו של מר גלעד </w:t>
      </w:r>
      <w:proofErr w:type="spellStart"/>
      <w:r w:rsidR="009627B6">
        <w:rPr>
          <w:rFonts w:hint="cs"/>
          <w:rtl/>
        </w:rPr>
        <w:t>צוויק</w:t>
      </w:r>
      <w:proofErr w:type="spellEnd"/>
      <w:r w:rsidR="009627B6">
        <w:rPr>
          <w:rFonts w:hint="cs"/>
          <w:rtl/>
        </w:rPr>
        <w:t xml:space="preserve">, </w:t>
      </w:r>
      <w:r>
        <w:rPr>
          <w:rFonts w:hint="cs"/>
          <w:rtl/>
        </w:rPr>
        <w:t>ל</w:t>
      </w:r>
      <w:r w:rsidR="009627B6">
        <w:rPr>
          <w:rFonts w:hint="cs"/>
          <w:rtl/>
        </w:rPr>
        <w:t>עיין ב</w:t>
      </w:r>
      <w:r w:rsidR="000D6931">
        <w:rPr>
          <w:rFonts w:hint="cs"/>
          <w:rtl/>
        </w:rPr>
        <w:t>פרוטוקולים</w:t>
      </w:r>
      <w:r>
        <w:rPr>
          <w:rFonts w:hint="cs"/>
          <w:rtl/>
        </w:rPr>
        <w:t xml:space="preserve"> </w:t>
      </w:r>
      <w:r w:rsidR="00D845B7">
        <w:rPr>
          <w:rFonts w:hint="cs"/>
          <w:rtl/>
        </w:rPr>
        <w:t xml:space="preserve">של </w:t>
      </w:r>
      <w:r w:rsidR="000D6931">
        <w:rPr>
          <w:rFonts w:hint="cs"/>
          <w:rtl/>
        </w:rPr>
        <w:t>דיונים שהתנהלו</w:t>
      </w:r>
      <w:r w:rsidR="009627B6">
        <w:rPr>
          <w:rFonts w:hint="cs"/>
          <w:rtl/>
        </w:rPr>
        <w:t>,</w:t>
      </w:r>
      <w:r w:rsidR="000D6931">
        <w:rPr>
          <w:rFonts w:hint="cs"/>
          <w:rtl/>
        </w:rPr>
        <w:t xml:space="preserve"> בין היתר בדלתיים סגורות</w:t>
      </w:r>
      <w:r w:rsidR="009627B6">
        <w:rPr>
          <w:rFonts w:hint="cs"/>
          <w:rtl/>
        </w:rPr>
        <w:t>,</w:t>
      </w:r>
      <w:r w:rsidR="000D6931">
        <w:rPr>
          <w:rFonts w:hint="cs"/>
          <w:rtl/>
        </w:rPr>
        <w:t xml:space="preserve"> ב</w:t>
      </w:r>
      <w:r w:rsidR="009627B6">
        <w:rPr>
          <w:rFonts w:hint="cs"/>
          <w:rtl/>
        </w:rPr>
        <w:t xml:space="preserve">תיק </w:t>
      </w:r>
      <w:r w:rsidR="000D6931">
        <w:rPr>
          <w:rFonts w:hint="cs"/>
          <w:rtl/>
        </w:rPr>
        <w:t xml:space="preserve">מרכז (מחוזי) 182/16 </w:t>
      </w:r>
      <w:r w:rsidR="000D6931" w:rsidRPr="000D6931">
        <w:rPr>
          <w:rFonts w:hint="cs"/>
          <w:b/>
          <w:bCs/>
          <w:rtl/>
        </w:rPr>
        <w:t>התובע הצבאי הראשי נ' סמל אזריה</w:t>
      </w:r>
      <w:r w:rsidR="000D6931">
        <w:rPr>
          <w:rFonts w:hint="cs"/>
          <w:rtl/>
        </w:rPr>
        <w:t xml:space="preserve"> (2016)</w:t>
      </w:r>
      <w:r w:rsidR="009627B6">
        <w:rPr>
          <w:rFonts w:hint="cs"/>
          <w:rtl/>
        </w:rPr>
        <w:t xml:space="preserve">. </w:t>
      </w:r>
    </w:p>
    <w:p w14:paraId="1B6DD98E" w14:textId="4AE582FE" w:rsidR="004A070E" w:rsidRPr="004A070E" w:rsidRDefault="000D6931" w:rsidP="004A070E">
      <w:pPr>
        <w:pStyle w:val="a0"/>
        <w:numPr>
          <w:ilvl w:val="0"/>
          <w:numId w:val="16"/>
        </w:numPr>
        <w:ind w:left="-58"/>
      </w:pPr>
      <w:r>
        <w:rPr>
          <w:rFonts w:hint="cs"/>
          <w:rtl/>
        </w:rPr>
        <w:t>סמל אזריה</w:t>
      </w:r>
      <w:r w:rsidR="00DE47CD" w:rsidRPr="00DE47CD">
        <w:rPr>
          <w:rFonts w:hint="cs"/>
          <w:rtl/>
        </w:rPr>
        <w:t xml:space="preserve"> הו</w:t>
      </w:r>
      <w:r w:rsidR="00EC3B46">
        <w:rPr>
          <w:rFonts w:hint="cs"/>
          <w:rtl/>
        </w:rPr>
        <w:t>רשע</w:t>
      </w:r>
      <w:r w:rsidR="00DE47CD" w:rsidRPr="00DE47CD">
        <w:rPr>
          <w:rFonts w:hint="cs"/>
          <w:rtl/>
        </w:rPr>
        <w:t xml:space="preserve"> </w:t>
      </w:r>
      <w:r w:rsidR="004A070E" w:rsidRPr="004A070E">
        <w:rPr>
          <w:rFonts w:hint="cs"/>
          <w:rtl/>
        </w:rPr>
        <w:t xml:space="preserve">ביום </w:t>
      </w:r>
      <w:r w:rsidR="004A070E">
        <w:rPr>
          <w:rFonts w:hint="cs"/>
          <w:rtl/>
        </w:rPr>
        <w:t xml:space="preserve">4 בינואר 2017, </w:t>
      </w:r>
      <w:r w:rsidR="004A070E" w:rsidRPr="004A070E">
        <w:rPr>
          <w:rFonts w:hint="cs"/>
          <w:rtl/>
        </w:rPr>
        <w:t xml:space="preserve">בבית הדין המחוזי, בעבירת הריגה, לפי סעיף 298 לחוק העונשין, התשל"ז-1977 ובעבירה נלווית של התנהגות שאינה הולמת, לפי סעיף 130 לחוק השיפוט הצבאי, התשט"ו-1955. בגין הרשעתו בדין הוטל עליו, בדעת רוב השופטים, עונש של 18 חודשי מאסר בפועל, לצד מאסר מותנה והורדה לדרגת טוראי. ערעור שהגיש נגד הכרעת הדין המרשיעה ונגד חומרת עונשו, וכן ערעור שהגישה התביעה נגד קולת העונש, נדחו על-ידי בית הדין הצבאי לערעורים ביום </w:t>
      </w:r>
      <w:r w:rsidR="004A070E">
        <w:rPr>
          <w:rFonts w:hint="cs"/>
          <w:rtl/>
        </w:rPr>
        <w:t xml:space="preserve">30 ביולי 2017 </w:t>
      </w:r>
      <w:r w:rsidR="004A070E" w:rsidRPr="004A070E">
        <w:rPr>
          <w:rFonts w:hint="cs"/>
          <w:rtl/>
        </w:rPr>
        <w:t xml:space="preserve">(ע/18,21/17 </w:t>
      </w:r>
      <w:r w:rsidR="004A070E" w:rsidRPr="004A070E">
        <w:rPr>
          <w:rFonts w:hint="cs"/>
          <w:b/>
          <w:bCs/>
          <w:rtl/>
        </w:rPr>
        <w:t>סמל אזריה נ' התובע הצבאי הראשי</w:t>
      </w:r>
      <w:r w:rsidR="004A070E" w:rsidRPr="004A070E">
        <w:rPr>
          <w:rFonts w:hint="cs"/>
          <w:rtl/>
        </w:rPr>
        <w:t xml:space="preserve"> (2017)).</w:t>
      </w:r>
    </w:p>
    <w:p w14:paraId="039B6AA4" w14:textId="61DF284F" w:rsidR="00E23CD5" w:rsidRPr="00ED3A24" w:rsidRDefault="00D845B7" w:rsidP="00ED3A24">
      <w:pPr>
        <w:pStyle w:val="a0"/>
        <w:numPr>
          <w:ilvl w:val="0"/>
          <w:numId w:val="16"/>
        </w:numPr>
        <w:rPr>
          <w:rFonts w:ascii="Times New Roman" w:hAnsi="Times New Roman"/>
        </w:rPr>
      </w:pPr>
      <w:r>
        <w:rPr>
          <w:rFonts w:hint="cs"/>
          <w:rtl/>
        </w:rPr>
        <w:lastRenderedPageBreak/>
        <w:t>ה</w:t>
      </w:r>
      <w:r w:rsidR="004A070E" w:rsidRPr="004A070E">
        <w:rPr>
          <w:rFonts w:hint="cs"/>
          <w:rtl/>
        </w:rPr>
        <w:t>משפט</w:t>
      </w:r>
      <w:r w:rsidR="004A070E">
        <w:rPr>
          <w:rFonts w:hint="cs"/>
          <w:rtl/>
        </w:rPr>
        <w:t xml:space="preserve"> </w:t>
      </w:r>
      <w:r w:rsidR="004A070E" w:rsidRPr="004A070E">
        <w:rPr>
          <w:rFonts w:hint="cs"/>
          <w:rtl/>
        </w:rPr>
        <w:t xml:space="preserve">עורר עניין </w:t>
      </w:r>
      <w:r w:rsidR="004A070E">
        <w:rPr>
          <w:rFonts w:hint="cs"/>
          <w:rtl/>
        </w:rPr>
        <w:t>רב</w:t>
      </w:r>
      <w:r w:rsidR="004A070E" w:rsidRPr="004A070E">
        <w:rPr>
          <w:rFonts w:hint="cs"/>
          <w:rtl/>
        </w:rPr>
        <w:t xml:space="preserve"> בציבור בישראל ואף מחוצה לה, והפרשה סוקרה בהרחבה באמצעי תקשורת רבים (ראו פסקה 130 לפסק הדין בערעור)</w:t>
      </w:r>
      <w:r w:rsidR="004A070E">
        <w:rPr>
          <w:rFonts w:hint="cs"/>
          <w:rtl/>
        </w:rPr>
        <w:t xml:space="preserve">. ההליך נוהל </w:t>
      </w:r>
      <w:r w:rsidR="00273054">
        <w:rPr>
          <w:rFonts w:hint="cs"/>
          <w:rtl/>
        </w:rPr>
        <w:t xml:space="preserve">ברובו </w:t>
      </w:r>
      <w:r w:rsidR="004A070E">
        <w:rPr>
          <w:rFonts w:hint="cs"/>
          <w:rtl/>
        </w:rPr>
        <w:t>בפומבי אך ב</w:t>
      </w:r>
      <w:r w:rsidR="00202E1D">
        <w:rPr>
          <w:rFonts w:hint="cs"/>
          <w:rtl/>
        </w:rPr>
        <w:t xml:space="preserve">חלק מן </w:t>
      </w:r>
      <w:r w:rsidR="00DE47CD" w:rsidRPr="00DE47CD">
        <w:rPr>
          <w:rFonts w:hint="cs"/>
          <w:rtl/>
        </w:rPr>
        <w:t>הדיונים</w:t>
      </w:r>
      <w:r w:rsidR="004A070E">
        <w:rPr>
          <w:rFonts w:hint="cs"/>
          <w:rtl/>
        </w:rPr>
        <w:t>, במהלך שמיעת העדים, הורה בית הדין המחוזי על סגירת ה</w:t>
      </w:r>
      <w:r w:rsidR="00DE47CD" w:rsidRPr="00DE47CD">
        <w:rPr>
          <w:rFonts w:hint="cs"/>
          <w:rtl/>
        </w:rPr>
        <w:t>דלתיים</w:t>
      </w:r>
      <w:r w:rsidR="00273054">
        <w:rPr>
          <w:rFonts w:hint="cs"/>
          <w:rtl/>
        </w:rPr>
        <w:t>,</w:t>
      </w:r>
      <w:r w:rsidR="00DE47CD" w:rsidRPr="00DE47CD">
        <w:rPr>
          <w:rFonts w:hint="cs"/>
          <w:rtl/>
        </w:rPr>
        <w:t xml:space="preserve"> </w:t>
      </w:r>
      <w:r w:rsidR="00ED3A24">
        <w:rPr>
          <w:rFonts w:hint="cs"/>
          <w:rtl/>
        </w:rPr>
        <w:t>מן הטעם של "</w:t>
      </w:r>
      <w:r w:rsidR="00ED3A24">
        <w:rPr>
          <w:rtl/>
        </w:rPr>
        <w:t>שמירה על בטחון המדינה</w:t>
      </w:r>
      <w:r w:rsidR="00ED3A24">
        <w:rPr>
          <w:rFonts w:hint="cs"/>
          <w:rtl/>
        </w:rPr>
        <w:t xml:space="preserve">" (לפי סעיף 324(ג)(1) לחוק השיפוט הצבאי). </w:t>
      </w:r>
    </w:p>
    <w:p w14:paraId="7AA31135" w14:textId="77777777" w:rsidR="00202E1D" w:rsidRPr="00E23CD5" w:rsidRDefault="00202E1D" w:rsidP="00202E1D">
      <w:pPr>
        <w:pStyle w:val="a0"/>
        <w:ind w:left="-58"/>
        <w:rPr>
          <w:rFonts w:ascii="Times New Roman" w:hAnsi="Times New Roman"/>
          <w:rtl/>
        </w:rPr>
      </w:pPr>
    </w:p>
    <w:p w14:paraId="076D9CDE" w14:textId="7D369E74" w:rsidR="00A1453E" w:rsidRPr="00E23CD5" w:rsidRDefault="00E4678F" w:rsidP="00E23CD5">
      <w:pPr>
        <w:pStyle w:val="a0"/>
        <w:ind w:left="-58"/>
        <w:rPr>
          <w:b/>
          <w:bCs/>
        </w:rPr>
      </w:pPr>
      <w:r>
        <w:rPr>
          <w:rFonts w:hint="cs"/>
          <w:b/>
          <w:bCs/>
          <w:rtl/>
        </w:rPr>
        <w:t>ה</w:t>
      </w:r>
      <w:r w:rsidR="00E23CD5" w:rsidRPr="00E23CD5">
        <w:rPr>
          <w:rFonts w:hint="cs"/>
          <w:b/>
          <w:bCs/>
          <w:rtl/>
        </w:rPr>
        <w:t>בקש</w:t>
      </w:r>
      <w:r>
        <w:rPr>
          <w:rFonts w:hint="cs"/>
          <w:b/>
          <w:bCs/>
          <w:rtl/>
        </w:rPr>
        <w:t>ה</w:t>
      </w:r>
    </w:p>
    <w:p w14:paraId="4CA280E7" w14:textId="0DBB7A86" w:rsidR="00885116" w:rsidRPr="00885116" w:rsidRDefault="00F00D77" w:rsidP="00885116">
      <w:pPr>
        <w:pStyle w:val="a0"/>
        <w:numPr>
          <w:ilvl w:val="0"/>
          <w:numId w:val="16"/>
        </w:numPr>
        <w:rPr>
          <w:rtl/>
        </w:rPr>
      </w:pPr>
      <w:r>
        <w:rPr>
          <w:rFonts w:hint="cs"/>
          <w:rtl/>
        </w:rPr>
        <w:t>המבקש</w:t>
      </w:r>
      <w:r w:rsidR="00D845B7">
        <w:rPr>
          <w:rFonts w:hint="cs"/>
          <w:rtl/>
        </w:rPr>
        <w:t xml:space="preserve"> הוא</w:t>
      </w:r>
      <w:r w:rsidR="00D21A1C">
        <w:rPr>
          <w:rFonts w:hint="cs"/>
          <w:rtl/>
        </w:rPr>
        <w:t xml:space="preserve"> עיתונאי </w:t>
      </w:r>
      <w:r w:rsidR="00D845B7" w:rsidRPr="00D845B7">
        <w:rPr>
          <w:rFonts w:hint="cs"/>
          <w:rtl/>
        </w:rPr>
        <w:t xml:space="preserve">וחוקר, </w:t>
      </w:r>
      <w:r w:rsidR="00D845B7">
        <w:rPr>
          <w:rFonts w:hint="cs"/>
          <w:rtl/>
        </w:rPr>
        <w:t xml:space="preserve">ובימים אלה </w:t>
      </w:r>
      <w:r w:rsidR="00273054">
        <w:rPr>
          <w:rFonts w:hint="cs"/>
          <w:rtl/>
        </w:rPr>
        <w:t xml:space="preserve">הוא </w:t>
      </w:r>
      <w:r w:rsidR="00D845B7">
        <w:rPr>
          <w:rFonts w:hint="cs"/>
          <w:rtl/>
        </w:rPr>
        <w:t xml:space="preserve">עמל על כתיבת ספר העוסק בפרשה. </w:t>
      </w:r>
      <w:r w:rsidR="00885116">
        <w:rPr>
          <w:rFonts w:hint="cs"/>
          <w:rtl/>
        </w:rPr>
        <w:t xml:space="preserve">המבקש עמד על </w:t>
      </w:r>
      <w:r w:rsidR="0065295E">
        <w:rPr>
          <w:rFonts w:hint="cs"/>
          <w:rtl/>
        </w:rPr>
        <w:t>העניין הרב ב</w:t>
      </w:r>
      <w:r w:rsidR="00885116">
        <w:rPr>
          <w:rFonts w:hint="cs"/>
          <w:rtl/>
        </w:rPr>
        <w:t>פרשה ונימק את בקשתו לעיין בכלל ה</w:t>
      </w:r>
      <w:r w:rsidR="00885116" w:rsidRPr="00885116">
        <w:rPr>
          <w:rtl/>
        </w:rPr>
        <w:t>פרוטוקולים</w:t>
      </w:r>
      <w:r w:rsidR="00885116">
        <w:rPr>
          <w:rFonts w:hint="cs"/>
          <w:rtl/>
        </w:rPr>
        <w:t xml:space="preserve"> בחשיבות</w:t>
      </w:r>
      <w:r w:rsidR="0065295E">
        <w:rPr>
          <w:rFonts w:hint="cs"/>
          <w:rtl/>
        </w:rPr>
        <w:t xml:space="preserve"> </w:t>
      </w:r>
      <w:r w:rsidR="00885116" w:rsidRPr="00885116">
        <w:rPr>
          <w:rtl/>
        </w:rPr>
        <w:t>סיפור</w:t>
      </w:r>
      <w:r w:rsidR="00273054">
        <w:rPr>
          <w:rFonts w:hint="cs"/>
          <w:rtl/>
        </w:rPr>
        <w:t>ה של</w:t>
      </w:r>
      <w:r w:rsidR="00885116" w:rsidRPr="00885116">
        <w:rPr>
          <w:rtl/>
        </w:rPr>
        <w:t xml:space="preserve"> </w:t>
      </w:r>
      <w:r w:rsidR="0065295E">
        <w:rPr>
          <w:rFonts w:hint="cs"/>
          <w:rtl/>
        </w:rPr>
        <w:t>הפרשה במלואה</w:t>
      </w:r>
      <w:r w:rsidR="00885116" w:rsidRPr="00885116">
        <w:rPr>
          <w:rtl/>
        </w:rPr>
        <w:t>.</w:t>
      </w:r>
    </w:p>
    <w:p w14:paraId="14ACA88E" w14:textId="0C57920A" w:rsidR="0065295E" w:rsidRDefault="00885116" w:rsidP="00E23CD5">
      <w:pPr>
        <w:pStyle w:val="a0"/>
        <w:numPr>
          <w:ilvl w:val="0"/>
          <w:numId w:val="16"/>
        </w:numPr>
        <w:ind w:left="-58"/>
      </w:pPr>
      <w:r>
        <w:rPr>
          <w:rFonts w:hint="cs"/>
          <w:rtl/>
        </w:rPr>
        <w:t xml:space="preserve">ב"כ המבקש, עו"ד עדי בן חור, הדגיש בטיעוניו בעל-פה ובכתב את מעמדו הרם של </w:t>
      </w:r>
      <w:r w:rsidR="00F00D77">
        <w:rPr>
          <w:rFonts w:hint="cs"/>
          <w:rtl/>
        </w:rPr>
        <w:t>עקרון פומביות הדיון</w:t>
      </w:r>
      <w:r>
        <w:rPr>
          <w:rFonts w:hint="cs"/>
          <w:rtl/>
        </w:rPr>
        <w:t>, כ</w:t>
      </w:r>
      <w:r w:rsidR="00F00D77">
        <w:rPr>
          <w:rFonts w:hint="cs"/>
          <w:rtl/>
        </w:rPr>
        <w:t>עקרון יסוד חוקתי במשפט הישראלי</w:t>
      </w:r>
      <w:r w:rsidR="0065295E">
        <w:rPr>
          <w:rFonts w:hint="cs"/>
          <w:rtl/>
        </w:rPr>
        <w:t xml:space="preserve">. נטען עוד, כי לנוכח מרכזיותה של הפרשה בעניין הציבורי והשיח הרב שנלווה אליה, </w:t>
      </w:r>
      <w:r w:rsidR="00273054">
        <w:rPr>
          <w:rFonts w:hint="cs"/>
          <w:rtl/>
        </w:rPr>
        <w:t xml:space="preserve">גם </w:t>
      </w:r>
      <w:r w:rsidR="0065295E">
        <w:rPr>
          <w:rFonts w:hint="cs"/>
          <w:rtl/>
        </w:rPr>
        <w:t>לס</w:t>
      </w:r>
      <w:r w:rsidR="00CC7336">
        <w:rPr>
          <w:rFonts w:ascii="David" w:hAnsi="David"/>
          <w:rtl/>
        </w:rPr>
        <w:t>ֵ</w:t>
      </w:r>
      <w:r w:rsidR="0065295E">
        <w:rPr>
          <w:rFonts w:hint="cs"/>
          <w:rtl/>
        </w:rPr>
        <w:t>פ</w:t>
      </w:r>
      <w:r w:rsidR="00CC7336">
        <w:rPr>
          <w:rFonts w:ascii="David" w:hAnsi="David"/>
          <w:rtl/>
        </w:rPr>
        <w:t>ֶ</w:t>
      </w:r>
      <w:r w:rsidR="0065295E">
        <w:rPr>
          <w:rFonts w:hint="cs"/>
          <w:rtl/>
        </w:rPr>
        <w:t xml:space="preserve">ר שכותב המבקש </w:t>
      </w:r>
      <w:r w:rsidR="00273054">
        <w:rPr>
          <w:rFonts w:hint="cs"/>
          <w:rtl/>
        </w:rPr>
        <w:t xml:space="preserve">נודעת </w:t>
      </w:r>
      <w:r w:rsidR="0065295E">
        <w:rPr>
          <w:rFonts w:hint="cs"/>
          <w:rtl/>
        </w:rPr>
        <w:t>חשיבות רבה</w:t>
      </w:r>
      <w:r w:rsidR="00273054">
        <w:rPr>
          <w:rFonts w:hint="cs"/>
          <w:rtl/>
        </w:rPr>
        <w:t>,</w:t>
      </w:r>
      <w:r w:rsidR="0065295E">
        <w:rPr>
          <w:rFonts w:hint="cs"/>
          <w:rtl/>
        </w:rPr>
        <w:t xml:space="preserve"> ו</w:t>
      </w:r>
      <w:r w:rsidR="00273054">
        <w:rPr>
          <w:rFonts w:hint="cs"/>
          <w:rtl/>
        </w:rPr>
        <w:t>מכאן הצורך ב</w:t>
      </w:r>
      <w:r w:rsidR="0065295E">
        <w:rPr>
          <w:rFonts w:hint="cs"/>
          <w:rtl/>
        </w:rPr>
        <w:t>עיון ב</w:t>
      </w:r>
      <w:r w:rsidR="00D21A1C">
        <w:rPr>
          <w:rFonts w:hint="cs"/>
          <w:rtl/>
        </w:rPr>
        <w:t>פרוטוקול</w:t>
      </w:r>
      <w:r w:rsidR="0065295E">
        <w:rPr>
          <w:rFonts w:hint="cs"/>
          <w:rtl/>
        </w:rPr>
        <w:t xml:space="preserve"> הדיונים המלא</w:t>
      </w:r>
      <w:r w:rsidR="00273054">
        <w:rPr>
          <w:rFonts w:hint="cs"/>
          <w:rtl/>
        </w:rPr>
        <w:t xml:space="preserve"> והמדויק</w:t>
      </w:r>
      <w:r w:rsidR="0065295E">
        <w:rPr>
          <w:rFonts w:hint="cs"/>
          <w:rtl/>
        </w:rPr>
        <w:t xml:space="preserve">. </w:t>
      </w:r>
    </w:p>
    <w:p w14:paraId="7420822A" w14:textId="11DDF4AF" w:rsidR="00EA03FB" w:rsidRDefault="0065295E" w:rsidP="00EA03FB">
      <w:pPr>
        <w:pStyle w:val="a0"/>
        <w:numPr>
          <w:ilvl w:val="0"/>
          <w:numId w:val="16"/>
        </w:numPr>
        <w:ind w:left="-58"/>
      </w:pPr>
      <w:r>
        <w:rPr>
          <w:rFonts w:hint="cs"/>
          <w:rtl/>
        </w:rPr>
        <w:t xml:space="preserve">הוטעם </w:t>
      </w:r>
      <w:r w:rsidR="00EA03FB">
        <w:rPr>
          <w:rFonts w:hint="cs"/>
          <w:rtl/>
        </w:rPr>
        <w:t>כ</w:t>
      </w:r>
      <w:r>
        <w:rPr>
          <w:rFonts w:hint="cs"/>
          <w:rtl/>
        </w:rPr>
        <w:t xml:space="preserve">י </w:t>
      </w:r>
      <w:r w:rsidR="00D21A1C">
        <w:rPr>
          <w:rFonts w:hint="cs"/>
          <w:rtl/>
        </w:rPr>
        <w:t>מרבית ה</w:t>
      </w:r>
      <w:r>
        <w:rPr>
          <w:rFonts w:hint="cs"/>
          <w:rtl/>
        </w:rPr>
        <w:t xml:space="preserve">ישיבות בהליך </w:t>
      </w:r>
      <w:r w:rsidR="00D21A1C">
        <w:rPr>
          <w:rFonts w:hint="cs"/>
          <w:rtl/>
        </w:rPr>
        <w:t>התנהל</w:t>
      </w:r>
      <w:r>
        <w:rPr>
          <w:rFonts w:hint="cs"/>
          <w:rtl/>
        </w:rPr>
        <w:t xml:space="preserve">ו </w:t>
      </w:r>
      <w:r w:rsidR="00D21A1C">
        <w:rPr>
          <w:rFonts w:hint="cs"/>
          <w:rtl/>
        </w:rPr>
        <w:t xml:space="preserve">בפומבי </w:t>
      </w:r>
      <w:r>
        <w:rPr>
          <w:rFonts w:hint="cs"/>
          <w:rtl/>
        </w:rPr>
        <w:t xml:space="preserve">וחלקים נרחבים מן הפרוטוקול הגלוי פורסמו ממילא. אשר לפרוטוקול העדויות שנשמעו בדלתיים סגורות, </w:t>
      </w:r>
      <w:r w:rsidR="00EA03FB">
        <w:rPr>
          <w:rFonts w:hint="cs"/>
          <w:rtl/>
        </w:rPr>
        <w:t xml:space="preserve">נטען כי עם חלוף הזמן, קהה הסיכון לביטחון המדינה הנלווה לחשיפתו. בהקשר זה, צוין גם כי </w:t>
      </w:r>
      <w:r w:rsidR="00476484">
        <w:rPr>
          <w:rFonts w:hint="cs"/>
          <w:rtl/>
        </w:rPr>
        <w:t xml:space="preserve">בנסיבות העניין, </w:t>
      </w:r>
      <w:r w:rsidR="00EA03FB">
        <w:rPr>
          <w:rFonts w:hint="cs"/>
          <w:rtl/>
        </w:rPr>
        <w:t xml:space="preserve">אף הטעם </w:t>
      </w:r>
      <w:r w:rsidR="00273054">
        <w:rPr>
          <w:rFonts w:hint="cs"/>
          <w:rtl/>
        </w:rPr>
        <w:t>שהעלתה התביעה</w:t>
      </w:r>
      <w:r w:rsidR="00473847">
        <w:rPr>
          <w:rFonts w:hint="cs"/>
          <w:rtl/>
        </w:rPr>
        <w:t xml:space="preserve"> בתשובתה הראשונה</w:t>
      </w:r>
      <w:r w:rsidR="00273054">
        <w:rPr>
          <w:rFonts w:hint="cs"/>
          <w:rtl/>
        </w:rPr>
        <w:t xml:space="preserve">, </w:t>
      </w:r>
      <w:r w:rsidR="00EA03FB">
        <w:rPr>
          <w:rFonts w:hint="cs"/>
          <w:rtl/>
        </w:rPr>
        <w:t>של "מניעת פגיעה ביחסי החוץ של המדינה" (סעיף 324(ג)(2) לחוק השיפוט הצבאי)</w:t>
      </w:r>
      <w:r w:rsidR="00E02D79">
        <w:rPr>
          <w:rFonts w:hint="cs"/>
          <w:rtl/>
        </w:rPr>
        <w:t xml:space="preserve">, </w:t>
      </w:r>
      <w:r w:rsidR="00EA03FB">
        <w:rPr>
          <w:rFonts w:hint="cs"/>
          <w:rtl/>
        </w:rPr>
        <w:t xml:space="preserve">אינו יכול להצדיק את מניעת העיון בו. </w:t>
      </w:r>
    </w:p>
    <w:p w14:paraId="615DFB4E" w14:textId="6695A81E" w:rsidR="00885116" w:rsidRPr="00885116" w:rsidRDefault="00885116" w:rsidP="006B60D9">
      <w:pPr>
        <w:pStyle w:val="a0"/>
        <w:numPr>
          <w:ilvl w:val="0"/>
          <w:numId w:val="16"/>
        </w:numPr>
        <w:ind w:left="-58"/>
        <w:rPr>
          <w:rtl/>
        </w:rPr>
      </w:pPr>
      <w:r w:rsidRPr="00885116">
        <w:rPr>
          <w:rtl/>
        </w:rPr>
        <w:t>לפיכך, בהתאם ל</w:t>
      </w:r>
      <w:r w:rsidR="006B60D9">
        <w:rPr>
          <w:rFonts w:hint="cs"/>
          <w:rtl/>
        </w:rPr>
        <w:t xml:space="preserve">הוראת </w:t>
      </w:r>
      <w:r w:rsidRPr="00885116">
        <w:rPr>
          <w:rtl/>
        </w:rPr>
        <w:t>סעיף 325(ב) לחוק השיפוט הצבאי</w:t>
      </w:r>
      <w:r w:rsidR="006B60D9" w:rsidRPr="006B60D9">
        <w:rPr>
          <w:rFonts w:hint="cs"/>
          <w:rtl/>
        </w:rPr>
        <w:t xml:space="preserve"> ותקנות בתי המשפט ובתי הדין לעבודה (עיון בתיקים), התשס"ג-2003</w:t>
      </w:r>
      <w:r w:rsidR="006B60D9">
        <w:rPr>
          <w:rFonts w:hint="cs"/>
          <w:rtl/>
        </w:rPr>
        <w:t xml:space="preserve">, עתר ב"כ המבקש להתיר </w:t>
      </w:r>
      <w:r w:rsidR="00081EF2">
        <w:rPr>
          <w:rFonts w:hint="cs"/>
          <w:rtl/>
        </w:rPr>
        <w:t>עיון ב</w:t>
      </w:r>
      <w:r w:rsidR="005417D0">
        <w:rPr>
          <w:rFonts w:hint="cs"/>
          <w:rtl/>
        </w:rPr>
        <w:t>כלל ה</w:t>
      </w:r>
      <w:r w:rsidR="00081EF2">
        <w:rPr>
          <w:rFonts w:hint="cs"/>
          <w:rtl/>
        </w:rPr>
        <w:t>פרוטוקול</w:t>
      </w:r>
      <w:r w:rsidR="005417D0">
        <w:rPr>
          <w:rFonts w:hint="cs"/>
          <w:rtl/>
        </w:rPr>
        <w:t xml:space="preserve">ים של </w:t>
      </w:r>
      <w:r w:rsidR="00081EF2">
        <w:rPr>
          <w:rFonts w:hint="cs"/>
          <w:rtl/>
        </w:rPr>
        <w:t xml:space="preserve">הדיונים בתיק, לרבות באלו שהתנהלו בדלתיים סגורות. </w:t>
      </w:r>
    </w:p>
    <w:p w14:paraId="66518465" w14:textId="77777777" w:rsidR="00885116" w:rsidRPr="006B040E" w:rsidRDefault="00885116" w:rsidP="00081EF2">
      <w:pPr>
        <w:pStyle w:val="a0"/>
        <w:ind w:left="-58"/>
        <w:rPr>
          <w:rFonts w:ascii="Times New Roman" w:eastAsia="Times New Roman" w:hAnsi="Times New Roman"/>
        </w:rPr>
      </w:pPr>
    </w:p>
    <w:p w14:paraId="3D138957" w14:textId="3369CFFD" w:rsidR="007D28D8" w:rsidRPr="00E23CD5" w:rsidRDefault="007D28D8" w:rsidP="00E23CD5">
      <w:pPr>
        <w:pStyle w:val="a0"/>
        <w:ind w:left="-58"/>
        <w:rPr>
          <w:rFonts w:ascii="Times New Roman" w:eastAsia="Times New Roman" w:hAnsi="Times New Roman"/>
          <w:b/>
          <w:bCs/>
        </w:rPr>
      </w:pPr>
      <w:r w:rsidRPr="00E23CD5">
        <w:rPr>
          <w:rFonts w:ascii="Times New Roman" w:eastAsia="Times New Roman" w:hAnsi="Times New Roman" w:hint="cs"/>
          <w:b/>
          <w:bCs/>
          <w:rtl/>
        </w:rPr>
        <w:t>התייחסות התביעה הצבאית</w:t>
      </w:r>
    </w:p>
    <w:p w14:paraId="3188A200" w14:textId="53FC08D1" w:rsidR="006F33FB" w:rsidRDefault="00E4678F" w:rsidP="00E23CD5">
      <w:pPr>
        <w:pStyle w:val="a0"/>
        <w:numPr>
          <w:ilvl w:val="0"/>
          <w:numId w:val="16"/>
        </w:numPr>
        <w:ind w:left="-58"/>
        <w:rPr>
          <w:rFonts w:ascii="Times New Roman" w:eastAsia="Times New Roman" w:hAnsi="Times New Roman"/>
        </w:rPr>
      </w:pPr>
      <w:r>
        <w:rPr>
          <w:rFonts w:ascii="Times New Roman" w:eastAsia="Times New Roman" w:hAnsi="Times New Roman" w:hint="cs"/>
          <w:rtl/>
        </w:rPr>
        <w:t>תחילה, התנגד</w:t>
      </w:r>
      <w:r w:rsidR="00E40C34">
        <w:rPr>
          <w:rFonts w:ascii="Times New Roman" w:eastAsia="Times New Roman" w:hAnsi="Times New Roman" w:hint="cs"/>
          <w:rtl/>
        </w:rPr>
        <w:t>ה</w:t>
      </w:r>
      <w:r w:rsidR="003F4B07">
        <w:rPr>
          <w:rFonts w:ascii="Times New Roman" w:eastAsia="Times New Roman" w:hAnsi="Times New Roman" w:hint="cs"/>
          <w:rtl/>
        </w:rPr>
        <w:t xml:space="preserve"> </w:t>
      </w:r>
      <w:r w:rsidR="007D28D8">
        <w:rPr>
          <w:rFonts w:ascii="Times New Roman" w:eastAsia="Times New Roman" w:hAnsi="Times New Roman" w:hint="cs"/>
          <w:rtl/>
        </w:rPr>
        <w:t xml:space="preserve">התביעה </w:t>
      </w:r>
      <w:r w:rsidR="005E2A91">
        <w:rPr>
          <w:rFonts w:ascii="Times New Roman" w:eastAsia="Times New Roman" w:hAnsi="Times New Roman" w:hint="cs"/>
          <w:rtl/>
        </w:rPr>
        <w:t>הצבאית</w:t>
      </w:r>
      <w:r w:rsidR="00E118E2">
        <w:rPr>
          <w:rFonts w:ascii="Times New Roman" w:eastAsia="Times New Roman" w:hAnsi="Times New Roman" w:hint="cs"/>
          <w:rtl/>
        </w:rPr>
        <w:t xml:space="preserve"> לבקשה</w:t>
      </w:r>
      <w:r>
        <w:rPr>
          <w:rFonts w:ascii="Times New Roman" w:eastAsia="Times New Roman" w:hAnsi="Times New Roman" w:hint="cs"/>
          <w:rtl/>
        </w:rPr>
        <w:t xml:space="preserve"> ועתר</w:t>
      </w:r>
      <w:r w:rsidR="00E40C34">
        <w:rPr>
          <w:rFonts w:ascii="Times New Roman" w:eastAsia="Times New Roman" w:hAnsi="Times New Roman" w:hint="cs"/>
          <w:rtl/>
        </w:rPr>
        <w:t>ה</w:t>
      </w:r>
      <w:r>
        <w:rPr>
          <w:rFonts w:ascii="Times New Roman" w:eastAsia="Times New Roman" w:hAnsi="Times New Roman" w:hint="cs"/>
          <w:rtl/>
        </w:rPr>
        <w:t xml:space="preserve"> לדחותה. נטען כי בעת הזו, לנוכח מצבה הבטחוני של מדינת ישראל אשר לו </w:t>
      </w:r>
      <w:r w:rsidR="00365543">
        <w:rPr>
          <w:rFonts w:ascii="Times New Roman" w:eastAsia="Times New Roman" w:hAnsi="Times New Roman" w:hint="cs"/>
          <w:rtl/>
        </w:rPr>
        <w:t xml:space="preserve">השלכות </w:t>
      </w:r>
      <w:r>
        <w:rPr>
          <w:rFonts w:ascii="Times New Roman" w:eastAsia="Times New Roman" w:hAnsi="Times New Roman" w:hint="cs"/>
          <w:rtl/>
        </w:rPr>
        <w:t xml:space="preserve">רחבות גם </w:t>
      </w:r>
      <w:r w:rsidR="00365543">
        <w:rPr>
          <w:rFonts w:ascii="Times New Roman" w:eastAsia="Times New Roman" w:hAnsi="Times New Roman" w:hint="cs"/>
          <w:rtl/>
        </w:rPr>
        <w:t>במישור המדיני</w:t>
      </w:r>
      <w:r w:rsidR="004D0CD8">
        <w:rPr>
          <w:rFonts w:ascii="Times New Roman" w:eastAsia="Times New Roman" w:hAnsi="Times New Roman" w:hint="cs"/>
          <w:rtl/>
        </w:rPr>
        <w:t xml:space="preserve">, </w:t>
      </w:r>
      <w:r>
        <w:rPr>
          <w:rFonts w:ascii="Times New Roman" w:eastAsia="Times New Roman" w:hAnsi="Times New Roman" w:hint="cs"/>
          <w:rtl/>
        </w:rPr>
        <w:t>עיון בפרוטוקולים המבוקשים ו</w:t>
      </w:r>
      <w:r w:rsidR="004D0CD8">
        <w:rPr>
          <w:rFonts w:ascii="Times New Roman" w:eastAsia="Times New Roman" w:hAnsi="Times New Roman" w:hint="cs"/>
          <w:rtl/>
        </w:rPr>
        <w:t xml:space="preserve">פרסום </w:t>
      </w:r>
      <w:r>
        <w:rPr>
          <w:rFonts w:ascii="Times New Roman" w:eastAsia="Times New Roman" w:hAnsi="Times New Roman" w:hint="cs"/>
          <w:rtl/>
        </w:rPr>
        <w:t xml:space="preserve">תוכנם עלול </w:t>
      </w:r>
      <w:r w:rsidR="004D0CD8">
        <w:rPr>
          <w:rFonts w:ascii="Times New Roman" w:eastAsia="Times New Roman" w:hAnsi="Times New Roman" w:hint="cs"/>
          <w:rtl/>
        </w:rPr>
        <w:t xml:space="preserve">לפגוע ביחסי החוץ </w:t>
      </w:r>
      <w:r>
        <w:rPr>
          <w:rFonts w:ascii="Times New Roman" w:eastAsia="Times New Roman" w:hAnsi="Times New Roman" w:hint="cs"/>
          <w:rtl/>
        </w:rPr>
        <w:t>של המדינה וב</w:t>
      </w:r>
      <w:r w:rsidR="004D0CD8">
        <w:rPr>
          <w:rFonts w:ascii="Times New Roman" w:eastAsia="Times New Roman" w:hAnsi="Times New Roman" w:hint="cs"/>
          <w:rtl/>
        </w:rPr>
        <w:t>ביטחו</w:t>
      </w:r>
      <w:r>
        <w:rPr>
          <w:rFonts w:ascii="Times New Roman" w:eastAsia="Times New Roman" w:hAnsi="Times New Roman" w:hint="cs"/>
          <w:rtl/>
        </w:rPr>
        <w:t xml:space="preserve">נה. התביעה ציינה כי </w:t>
      </w:r>
      <w:r w:rsidR="004D0CD8">
        <w:rPr>
          <w:rFonts w:ascii="Times New Roman" w:eastAsia="Times New Roman" w:hAnsi="Times New Roman" w:hint="cs"/>
          <w:rtl/>
        </w:rPr>
        <w:t>גורמי ביטחון מידע בצ</w:t>
      </w:r>
      <w:r w:rsidR="005417D0">
        <w:rPr>
          <w:rFonts w:ascii="Times New Roman" w:eastAsia="Times New Roman" w:hAnsi="Times New Roman" w:hint="cs"/>
          <w:rtl/>
        </w:rPr>
        <w:t>ה"ל</w:t>
      </w:r>
      <w:r w:rsidR="004D0CD8">
        <w:rPr>
          <w:rFonts w:ascii="Times New Roman" w:eastAsia="Times New Roman" w:hAnsi="Times New Roman" w:hint="cs"/>
          <w:rtl/>
        </w:rPr>
        <w:t xml:space="preserve"> ו</w:t>
      </w:r>
      <w:r>
        <w:rPr>
          <w:rFonts w:ascii="Times New Roman" w:eastAsia="Times New Roman" w:hAnsi="Times New Roman" w:hint="cs"/>
          <w:rtl/>
        </w:rPr>
        <w:t xml:space="preserve">נציגי </w:t>
      </w:r>
      <w:r w:rsidR="004D0CD8">
        <w:rPr>
          <w:rFonts w:ascii="Times New Roman" w:eastAsia="Times New Roman" w:hAnsi="Times New Roman" w:hint="cs"/>
          <w:rtl/>
        </w:rPr>
        <w:t>משרד החוץ ש</w:t>
      </w:r>
      <w:r>
        <w:rPr>
          <w:rFonts w:ascii="Times New Roman" w:eastAsia="Times New Roman" w:hAnsi="Times New Roman" w:hint="cs"/>
          <w:rtl/>
        </w:rPr>
        <w:t xml:space="preserve">בהם נועצה, </w:t>
      </w:r>
      <w:r w:rsidR="004D0CD8">
        <w:rPr>
          <w:rFonts w:ascii="Times New Roman" w:eastAsia="Times New Roman" w:hAnsi="Times New Roman" w:hint="cs"/>
          <w:rtl/>
        </w:rPr>
        <w:t>ה</w:t>
      </w:r>
      <w:r w:rsidR="005417D0">
        <w:rPr>
          <w:rFonts w:ascii="Times New Roman" w:eastAsia="Times New Roman" w:hAnsi="Times New Roman" w:hint="cs"/>
          <w:rtl/>
        </w:rPr>
        <w:t xml:space="preserve">מליצו </w:t>
      </w:r>
      <w:r w:rsidR="004D0CD8">
        <w:rPr>
          <w:rFonts w:ascii="Times New Roman" w:eastAsia="Times New Roman" w:hAnsi="Times New Roman" w:hint="cs"/>
          <w:rtl/>
        </w:rPr>
        <w:t>לבחון את הבקשה בשנית</w:t>
      </w:r>
      <w:r>
        <w:rPr>
          <w:rFonts w:ascii="Times New Roman" w:eastAsia="Times New Roman" w:hAnsi="Times New Roman" w:hint="cs"/>
          <w:rtl/>
        </w:rPr>
        <w:t>,</w:t>
      </w:r>
      <w:r w:rsidR="004D0CD8">
        <w:rPr>
          <w:rFonts w:ascii="Times New Roman" w:eastAsia="Times New Roman" w:hAnsi="Times New Roman" w:hint="cs"/>
          <w:rtl/>
        </w:rPr>
        <w:t xml:space="preserve"> בחלוף שנה. </w:t>
      </w:r>
    </w:p>
    <w:p w14:paraId="61BBBA35" w14:textId="3281F130" w:rsidR="007D28D8" w:rsidRDefault="00E4678F" w:rsidP="00E23CD5">
      <w:pPr>
        <w:pStyle w:val="a0"/>
        <w:numPr>
          <w:ilvl w:val="0"/>
          <w:numId w:val="16"/>
        </w:numPr>
        <w:ind w:left="-58"/>
        <w:rPr>
          <w:rFonts w:ascii="Times New Roman" w:eastAsia="Times New Roman" w:hAnsi="Times New Roman"/>
        </w:rPr>
      </w:pPr>
      <w:r>
        <w:rPr>
          <w:rFonts w:ascii="Times New Roman" w:eastAsia="Times New Roman" w:hAnsi="Times New Roman" w:hint="cs"/>
          <w:rtl/>
        </w:rPr>
        <w:t xml:space="preserve">בהמשך, בעקבות הערותיי </w:t>
      </w:r>
      <w:r w:rsidR="0047150A">
        <w:rPr>
          <w:rFonts w:ascii="Times New Roman" w:eastAsia="Times New Roman" w:hAnsi="Times New Roman" w:hint="cs"/>
          <w:rtl/>
        </w:rPr>
        <w:t>ב</w:t>
      </w:r>
      <w:r w:rsidR="004D0CD8">
        <w:rPr>
          <w:rFonts w:ascii="Times New Roman" w:eastAsia="Times New Roman" w:hAnsi="Times New Roman" w:hint="cs"/>
          <w:rtl/>
        </w:rPr>
        <w:t>דיון</w:t>
      </w:r>
      <w:r>
        <w:rPr>
          <w:rFonts w:ascii="Times New Roman" w:eastAsia="Times New Roman" w:hAnsi="Times New Roman" w:hint="cs"/>
          <w:rtl/>
        </w:rPr>
        <w:t xml:space="preserve">, שבה ופנתה </w:t>
      </w:r>
      <w:r w:rsidR="0047150A">
        <w:rPr>
          <w:rFonts w:ascii="Times New Roman" w:eastAsia="Times New Roman" w:hAnsi="Times New Roman" w:hint="cs"/>
          <w:rtl/>
        </w:rPr>
        <w:t xml:space="preserve">התביעה </w:t>
      </w:r>
      <w:r>
        <w:rPr>
          <w:rFonts w:ascii="Times New Roman" w:eastAsia="Times New Roman" w:hAnsi="Times New Roman" w:hint="cs"/>
          <w:rtl/>
        </w:rPr>
        <w:t xml:space="preserve">הצבאית אל </w:t>
      </w:r>
      <w:r w:rsidR="0047150A">
        <w:rPr>
          <w:rFonts w:ascii="Times New Roman" w:eastAsia="Times New Roman" w:hAnsi="Times New Roman" w:hint="cs"/>
          <w:rtl/>
        </w:rPr>
        <w:t xml:space="preserve">הגורמים הרלוונטיים </w:t>
      </w:r>
      <w:r>
        <w:rPr>
          <w:rFonts w:ascii="Times New Roman" w:eastAsia="Times New Roman" w:hAnsi="Times New Roman" w:hint="cs"/>
          <w:rtl/>
        </w:rPr>
        <w:t xml:space="preserve">לבחינת עמדתם בנושא. ואכן, בהתייחסות מעודכנת, </w:t>
      </w:r>
      <w:r w:rsidR="00273054">
        <w:rPr>
          <w:rFonts w:ascii="Times New Roman" w:eastAsia="Times New Roman" w:hAnsi="Times New Roman" w:hint="cs"/>
          <w:rtl/>
        </w:rPr>
        <w:t xml:space="preserve">צמצמו </w:t>
      </w:r>
      <w:r>
        <w:rPr>
          <w:rFonts w:ascii="Times New Roman" w:eastAsia="Times New Roman" w:hAnsi="Times New Roman" w:hint="cs"/>
          <w:rtl/>
        </w:rPr>
        <w:t>ה</w:t>
      </w:r>
      <w:r w:rsidR="007E444D">
        <w:rPr>
          <w:rFonts w:ascii="Times New Roman" w:eastAsia="Times New Roman" w:hAnsi="Times New Roman" w:hint="cs"/>
          <w:rtl/>
        </w:rPr>
        <w:t>גורמי</w:t>
      </w:r>
      <w:r>
        <w:rPr>
          <w:rFonts w:ascii="Times New Roman" w:eastAsia="Times New Roman" w:hAnsi="Times New Roman" w:hint="cs"/>
          <w:rtl/>
        </w:rPr>
        <w:t>ם</w:t>
      </w:r>
      <w:r w:rsidR="007E444D">
        <w:rPr>
          <w:rFonts w:ascii="Times New Roman" w:eastAsia="Times New Roman" w:hAnsi="Times New Roman" w:hint="cs"/>
          <w:rtl/>
        </w:rPr>
        <w:t xml:space="preserve"> </w:t>
      </w:r>
      <w:r>
        <w:rPr>
          <w:rFonts w:ascii="Times New Roman" w:eastAsia="Times New Roman" w:hAnsi="Times New Roman" w:hint="cs"/>
          <w:rtl/>
        </w:rPr>
        <w:t>במחלקת ב</w:t>
      </w:r>
      <w:r w:rsidR="007E444D">
        <w:rPr>
          <w:rFonts w:ascii="Times New Roman" w:eastAsia="Times New Roman" w:hAnsi="Times New Roman" w:hint="cs"/>
          <w:rtl/>
        </w:rPr>
        <w:t xml:space="preserve">יטחון מידע </w:t>
      </w:r>
      <w:r>
        <w:rPr>
          <w:rFonts w:ascii="Times New Roman" w:eastAsia="Times New Roman" w:hAnsi="Times New Roman" w:hint="cs"/>
          <w:rtl/>
        </w:rPr>
        <w:t xml:space="preserve">בצה"ל </w:t>
      </w:r>
      <w:r w:rsidR="005417D0">
        <w:rPr>
          <w:rFonts w:ascii="Times New Roman" w:eastAsia="Times New Roman" w:hAnsi="Times New Roman" w:hint="cs"/>
          <w:rtl/>
        </w:rPr>
        <w:t xml:space="preserve">באופן </w:t>
      </w:r>
      <w:r w:rsidRPr="005417D0">
        <w:rPr>
          <w:rFonts w:ascii="Times New Roman" w:eastAsia="Times New Roman" w:hAnsi="Times New Roman" w:hint="cs"/>
          <w:b/>
          <w:bCs/>
          <w:rtl/>
        </w:rPr>
        <w:t>ניכר</w:t>
      </w:r>
      <w:r>
        <w:rPr>
          <w:rFonts w:ascii="Times New Roman" w:eastAsia="Times New Roman" w:hAnsi="Times New Roman" w:hint="cs"/>
          <w:rtl/>
        </w:rPr>
        <w:t xml:space="preserve"> את </w:t>
      </w:r>
      <w:r w:rsidR="005417D0">
        <w:rPr>
          <w:rFonts w:ascii="Times New Roman" w:eastAsia="Times New Roman" w:hAnsi="Times New Roman" w:hint="cs"/>
          <w:rtl/>
        </w:rPr>
        <w:t xml:space="preserve">רשימת </w:t>
      </w:r>
      <w:r>
        <w:rPr>
          <w:rFonts w:ascii="Times New Roman" w:eastAsia="Times New Roman" w:hAnsi="Times New Roman" w:hint="cs"/>
          <w:rtl/>
        </w:rPr>
        <w:t xml:space="preserve">הפרטים מתוך העדויות שנשמעו בדלתיים סגורות, שלהערכתם </w:t>
      </w:r>
      <w:r w:rsidR="00273054">
        <w:rPr>
          <w:rFonts w:ascii="Times New Roman" w:eastAsia="Times New Roman" w:hAnsi="Times New Roman" w:hint="cs"/>
          <w:rtl/>
        </w:rPr>
        <w:t xml:space="preserve">עלולה חשיפתם להקים </w:t>
      </w:r>
      <w:r w:rsidRPr="00E4678F">
        <w:rPr>
          <w:rFonts w:ascii="Times New Roman" w:eastAsia="Times New Roman" w:hAnsi="Times New Roman" w:hint="cs"/>
          <w:b/>
          <w:bCs/>
          <w:rtl/>
        </w:rPr>
        <w:t>עדיין</w:t>
      </w:r>
      <w:r>
        <w:rPr>
          <w:rFonts w:ascii="Times New Roman" w:eastAsia="Times New Roman" w:hAnsi="Times New Roman" w:hint="cs"/>
          <w:rtl/>
        </w:rPr>
        <w:t xml:space="preserve"> סיכון לביטחון המדינה. לצד האמור, לא הוצגה התנגדות לעיון </w:t>
      </w:r>
      <w:r>
        <w:rPr>
          <w:rFonts w:ascii="Times New Roman" w:eastAsia="Times New Roman" w:hAnsi="Times New Roman" w:hint="cs"/>
          <w:rtl/>
        </w:rPr>
        <w:lastRenderedPageBreak/>
        <w:t xml:space="preserve">בשאר חלקי הפרוטוקול, הפומבי והחסוי, גם לא מצד </w:t>
      </w:r>
      <w:r w:rsidR="007E444D">
        <w:rPr>
          <w:rFonts w:ascii="Times New Roman" w:eastAsia="Times New Roman" w:hAnsi="Times New Roman" w:hint="cs"/>
          <w:rtl/>
        </w:rPr>
        <w:t>גורמי משרד החוץ</w:t>
      </w:r>
      <w:r>
        <w:rPr>
          <w:rFonts w:ascii="Times New Roman" w:eastAsia="Times New Roman" w:hAnsi="Times New Roman" w:hint="cs"/>
          <w:rtl/>
        </w:rPr>
        <w:t xml:space="preserve">. </w:t>
      </w:r>
      <w:r w:rsidR="007E444D">
        <w:rPr>
          <w:rFonts w:ascii="Times New Roman" w:eastAsia="Times New Roman" w:hAnsi="Times New Roman" w:hint="cs"/>
          <w:rtl/>
        </w:rPr>
        <w:t xml:space="preserve">לפיכך, </w:t>
      </w:r>
      <w:r>
        <w:rPr>
          <w:rFonts w:ascii="Times New Roman" w:eastAsia="Times New Roman" w:hAnsi="Times New Roman" w:hint="cs"/>
          <w:rtl/>
        </w:rPr>
        <w:t xml:space="preserve">עמדתה העדכנית של </w:t>
      </w:r>
      <w:r w:rsidR="007E444D">
        <w:rPr>
          <w:rFonts w:ascii="Times New Roman" w:eastAsia="Times New Roman" w:hAnsi="Times New Roman" w:hint="cs"/>
          <w:rtl/>
        </w:rPr>
        <w:t xml:space="preserve">התביעה הצבאית </w:t>
      </w:r>
      <w:r>
        <w:rPr>
          <w:rFonts w:ascii="Times New Roman" w:eastAsia="Times New Roman" w:hAnsi="Times New Roman" w:hint="cs"/>
          <w:rtl/>
        </w:rPr>
        <w:t>היא כי אין ל</w:t>
      </w:r>
      <w:r w:rsidR="007E444D">
        <w:rPr>
          <w:rFonts w:ascii="Times New Roman" w:eastAsia="Times New Roman" w:hAnsi="Times New Roman" w:hint="cs"/>
          <w:rtl/>
        </w:rPr>
        <w:t>התנגד לבקש</w:t>
      </w:r>
      <w:r>
        <w:rPr>
          <w:rFonts w:ascii="Times New Roman" w:eastAsia="Times New Roman" w:hAnsi="Times New Roman" w:hint="cs"/>
          <w:rtl/>
        </w:rPr>
        <w:t>ה</w:t>
      </w:r>
      <w:r w:rsidR="007E444D">
        <w:rPr>
          <w:rFonts w:ascii="Times New Roman" w:eastAsia="Times New Roman" w:hAnsi="Times New Roman" w:hint="cs"/>
          <w:rtl/>
        </w:rPr>
        <w:t xml:space="preserve">, בכפוף להשחרת </w:t>
      </w:r>
      <w:r w:rsidR="005417D0">
        <w:rPr>
          <w:rFonts w:ascii="Times New Roman" w:eastAsia="Times New Roman" w:hAnsi="Times New Roman" w:hint="cs"/>
          <w:rtl/>
        </w:rPr>
        <w:t xml:space="preserve">מספר מצומצם של </w:t>
      </w:r>
      <w:r w:rsidR="007E444D">
        <w:rPr>
          <w:rFonts w:ascii="Times New Roman" w:eastAsia="Times New Roman" w:hAnsi="Times New Roman" w:hint="cs"/>
          <w:rtl/>
        </w:rPr>
        <w:t>פרטים</w:t>
      </w:r>
      <w:r w:rsidR="005417D0">
        <w:rPr>
          <w:rFonts w:ascii="Times New Roman" w:eastAsia="Times New Roman" w:hAnsi="Times New Roman" w:hint="cs"/>
          <w:rtl/>
        </w:rPr>
        <w:t xml:space="preserve">, כמפורט </w:t>
      </w:r>
      <w:r w:rsidR="007E444D">
        <w:rPr>
          <w:rFonts w:ascii="Times New Roman" w:eastAsia="Times New Roman" w:hAnsi="Times New Roman" w:hint="cs"/>
          <w:rtl/>
        </w:rPr>
        <w:t xml:space="preserve">בחוות הדעת </w:t>
      </w:r>
      <w:r w:rsidR="00511B5A">
        <w:rPr>
          <w:rFonts w:ascii="Times New Roman" w:eastAsia="Times New Roman" w:hAnsi="Times New Roman" w:hint="cs"/>
          <w:rtl/>
        </w:rPr>
        <w:t xml:space="preserve">האחרונה </w:t>
      </w:r>
      <w:r w:rsidR="007E444D">
        <w:rPr>
          <w:rFonts w:ascii="Times New Roman" w:eastAsia="Times New Roman" w:hAnsi="Times New Roman" w:hint="cs"/>
          <w:rtl/>
        </w:rPr>
        <w:t xml:space="preserve">של מחלקת ביטחון המידע. </w:t>
      </w:r>
    </w:p>
    <w:p w14:paraId="426647CA" w14:textId="77777777" w:rsidR="003A4E77" w:rsidRPr="007E444D" w:rsidRDefault="003A4E77" w:rsidP="00E23CD5">
      <w:pPr>
        <w:pStyle w:val="a0"/>
        <w:ind w:left="-58"/>
        <w:rPr>
          <w:rFonts w:ascii="Times New Roman" w:eastAsia="Times New Roman" w:hAnsi="Times New Roman"/>
          <w:rtl/>
        </w:rPr>
      </w:pPr>
    </w:p>
    <w:p w14:paraId="68DCF47C" w14:textId="6930C52F" w:rsidR="005D691C" w:rsidRPr="00E23CD5" w:rsidRDefault="00E40C34" w:rsidP="00E23CD5">
      <w:pPr>
        <w:pStyle w:val="a0"/>
        <w:ind w:left="-58"/>
        <w:rPr>
          <w:rFonts w:ascii="Times New Roman" w:eastAsia="Times New Roman" w:hAnsi="Times New Roman"/>
          <w:b/>
          <w:bCs/>
          <w:rtl/>
        </w:rPr>
      </w:pPr>
      <w:r>
        <w:rPr>
          <w:rFonts w:ascii="Times New Roman" w:eastAsia="Times New Roman" w:hAnsi="Times New Roman" w:hint="cs"/>
          <w:b/>
          <w:bCs/>
          <w:rtl/>
        </w:rPr>
        <w:t>בחינת הדברים</w:t>
      </w:r>
    </w:p>
    <w:p w14:paraId="64D372C7" w14:textId="6DB9E255" w:rsidR="00D63957" w:rsidRPr="00D63957" w:rsidRDefault="004F5F0E" w:rsidP="00D63957">
      <w:pPr>
        <w:pStyle w:val="a0"/>
        <w:ind w:left="-58"/>
        <w:rPr>
          <w:rFonts w:ascii="Times New Roman" w:eastAsia="Times New Roman" w:hAnsi="Times New Roman"/>
          <w:u w:val="single"/>
        </w:rPr>
      </w:pPr>
      <w:r w:rsidRPr="00E23CD5">
        <w:rPr>
          <w:rFonts w:ascii="Times New Roman" w:eastAsia="Times New Roman" w:hAnsi="Times New Roman" w:hint="cs"/>
          <w:u w:val="single"/>
          <w:rtl/>
        </w:rPr>
        <w:t>המסגרת</w:t>
      </w:r>
      <w:r w:rsidR="00E23CD5">
        <w:rPr>
          <w:rFonts w:ascii="Times New Roman" w:eastAsia="Times New Roman" w:hAnsi="Times New Roman" w:hint="cs"/>
          <w:u w:val="single"/>
          <w:rtl/>
        </w:rPr>
        <w:t xml:space="preserve"> </w:t>
      </w:r>
      <w:r w:rsidRPr="00E23CD5">
        <w:rPr>
          <w:rFonts w:ascii="Times New Roman" w:eastAsia="Times New Roman" w:hAnsi="Times New Roman" w:hint="cs"/>
          <w:u w:val="single"/>
          <w:rtl/>
        </w:rPr>
        <w:t>הנורמטיבית</w:t>
      </w:r>
    </w:p>
    <w:p w14:paraId="3BE5D331" w14:textId="32F71FE6" w:rsidR="00117F5C" w:rsidRDefault="00B31B65" w:rsidP="00D63957">
      <w:pPr>
        <w:pStyle w:val="a0"/>
        <w:numPr>
          <w:ilvl w:val="0"/>
          <w:numId w:val="16"/>
        </w:numPr>
        <w:ind w:left="-58"/>
      </w:pPr>
      <w:r w:rsidRPr="00BC4DB9">
        <w:rPr>
          <w:rFonts w:hint="cs"/>
          <w:rtl/>
        </w:rPr>
        <w:t>סעיף 3 לחוק יסוד: השפיטה</w:t>
      </w:r>
      <w:r w:rsidR="00D63957">
        <w:rPr>
          <w:rFonts w:hint="cs"/>
          <w:rtl/>
        </w:rPr>
        <w:t xml:space="preserve">, סעיף 68(א) </w:t>
      </w:r>
      <w:r w:rsidR="00D63957" w:rsidRPr="00BC4DB9">
        <w:rPr>
          <w:rFonts w:hint="cs"/>
          <w:rtl/>
        </w:rPr>
        <w:t>לחוק בתי המשפט [נוסח משולב], התשמ"ד-1984</w:t>
      </w:r>
      <w:r w:rsidR="00D63957">
        <w:rPr>
          <w:rFonts w:hint="cs"/>
          <w:rtl/>
        </w:rPr>
        <w:t xml:space="preserve"> </w:t>
      </w:r>
      <w:r w:rsidR="0007030B">
        <w:rPr>
          <w:rFonts w:hint="cs"/>
          <w:rtl/>
        </w:rPr>
        <w:t>ו</w:t>
      </w:r>
      <w:r w:rsidR="0007030B" w:rsidRPr="00BC4DB9">
        <w:rPr>
          <w:rFonts w:hint="cs"/>
          <w:rtl/>
        </w:rPr>
        <w:t>סעיף 324 לחוק השיפוט הצבאי</w:t>
      </w:r>
      <w:r w:rsidR="00D63957">
        <w:rPr>
          <w:rFonts w:hint="cs"/>
          <w:rtl/>
        </w:rPr>
        <w:t xml:space="preserve">, </w:t>
      </w:r>
      <w:r w:rsidR="00117F5C">
        <w:rPr>
          <w:rFonts w:hint="cs"/>
          <w:rtl/>
        </w:rPr>
        <w:t xml:space="preserve">מעגנים </w:t>
      </w:r>
      <w:r w:rsidRPr="00BC4DB9">
        <w:rPr>
          <w:rFonts w:hint="cs"/>
          <w:rtl/>
        </w:rPr>
        <w:t xml:space="preserve">את </w:t>
      </w:r>
      <w:r w:rsidR="00117F5C">
        <w:rPr>
          <w:rFonts w:hint="cs"/>
          <w:rtl/>
        </w:rPr>
        <w:t xml:space="preserve">מעמדו הרם של </w:t>
      </w:r>
      <w:r w:rsidRPr="00BC4DB9">
        <w:rPr>
          <w:rFonts w:hint="cs"/>
          <w:rtl/>
        </w:rPr>
        <w:t xml:space="preserve">עקרון פומביות </w:t>
      </w:r>
      <w:r w:rsidR="00604B10">
        <w:rPr>
          <w:rFonts w:hint="cs"/>
          <w:rtl/>
        </w:rPr>
        <w:t xml:space="preserve">הדיון </w:t>
      </w:r>
      <w:r w:rsidR="00397C76">
        <w:rPr>
          <w:rFonts w:hint="cs"/>
          <w:rtl/>
        </w:rPr>
        <w:t>ב</w:t>
      </w:r>
      <w:r w:rsidRPr="00BC4DB9">
        <w:rPr>
          <w:rFonts w:hint="cs"/>
          <w:rtl/>
        </w:rPr>
        <w:t>שיטתנו המשפטית</w:t>
      </w:r>
      <w:r w:rsidR="00D63957">
        <w:rPr>
          <w:rFonts w:hint="cs"/>
          <w:rtl/>
        </w:rPr>
        <w:t>.</w:t>
      </w:r>
      <w:r w:rsidRPr="00BC4DB9">
        <w:rPr>
          <w:rFonts w:hint="cs"/>
          <w:rtl/>
        </w:rPr>
        <w:t xml:space="preserve"> </w:t>
      </w:r>
      <w:r w:rsidR="00D63957">
        <w:rPr>
          <w:rFonts w:hint="cs"/>
          <w:rtl/>
        </w:rPr>
        <w:t xml:space="preserve">בהתאם, </w:t>
      </w:r>
      <w:r w:rsidR="00D63957" w:rsidRPr="00D63957">
        <w:rPr>
          <w:rtl/>
        </w:rPr>
        <w:t xml:space="preserve">ככלל, </w:t>
      </w:r>
      <w:r w:rsidR="00117F5C">
        <w:rPr>
          <w:rFonts w:hint="cs"/>
          <w:rtl/>
        </w:rPr>
        <w:t>ה</w:t>
      </w:r>
      <w:r w:rsidR="00D63957" w:rsidRPr="00D63957">
        <w:rPr>
          <w:rtl/>
        </w:rPr>
        <w:t xml:space="preserve">הליכים </w:t>
      </w:r>
      <w:r w:rsidR="00117F5C">
        <w:rPr>
          <w:rFonts w:hint="cs"/>
          <w:rtl/>
        </w:rPr>
        <w:t>ה</w:t>
      </w:r>
      <w:r w:rsidR="00D63957" w:rsidRPr="00D63957">
        <w:rPr>
          <w:rtl/>
        </w:rPr>
        <w:t xml:space="preserve">משפטיים </w:t>
      </w:r>
      <w:r w:rsidR="00117F5C">
        <w:rPr>
          <w:rFonts w:hint="cs"/>
          <w:rtl/>
        </w:rPr>
        <w:t xml:space="preserve">בבתי הדין הצבאיים, בדומה לבתי המשפט במערכת הכללית </w:t>
      </w:r>
      <w:r w:rsidR="00E40C34">
        <w:rPr>
          <w:rtl/>
        </w:rPr>
        <w:t>–</w:t>
      </w:r>
      <w:r w:rsidR="00117F5C">
        <w:rPr>
          <w:rFonts w:hint="cs"/>
          <w:rtl/>
        </w:rPr>
        <w:t xml:space="preserve"> </w:t>
      </w:r>
      <w:r w:rsidR="00E40C34">
        <w:rPr>
          <w:rFonts w:hint="cs"/>
          <w:rtl/>
        </w:rPr>
        <w:t xml:space="preserve">מתנהלים </w:t>
      </w:r>
      <w:r w:rsidR="00D63957" w:rsidRPr="00D63957">
        <w:rPr>
          <w:rtl/>
        </w:rPr>
        <w:t>בפומבי</w:t>
      </w:r>
      <w:r w:rsidRPr="00BC4DB9">
        <w:rPr>
          <w:rtl/>
        </w:rPr>
        <w:t>.</w:t>
      </w:r>
      <w:r w:rsidRPr="00BC4DB9">
        <w:rPr>
          <w:rFonts w:hint="cs"/>
          <w:rtl/>
        </w:rPr>
        <w:t xml:space="preserve"> </w:t>
      </w:r>
    </w:p>
    <w:p w14:paraId="256A33A7" w14:textId="5746382C" w:rsidR="004F5F0E" w:rsidRDefault="004F5F0E" w:rsidP="00D63957">
      <w:pPr>
        <w:pStyle w:val="a0"/>
        <w:numPr>
          <w:ilvl w:val="0"/>
          <w:numId w:val="16"/>
        </w:numPr>
        <w:ind w:left="-58"/>
      </w:pPr>
      <w:r w:rsidRPr="004F5F0E">
        <w:rPr>
          <w:rFonts w:hint="cs"/>
          <w:rtl/>
        </w:rPr>
        <w:t>הוטעם בפסיקה, כי:</w:t>
      </w:r>
    </w:p>
    <w:p w14:paraId="764C42A4" w14:textId="63CEA705" w:rsidR="004F5F0E" w:rsidRDefault="00403DFB" w:rsidP="00C35FF0">
      <w:pPr>
        <w:pStyle w:val="a0"/>
        <w:spacing w:line="240" w:lineRule="auto"/>
        <w:ind w:left="706" w:right="709"/>
        <w:rPr>
          <w:rFonts w:ascii="Times New Roman" w:hAnsi="Times New Roman"/>
          <w:rtl/>
        </w:rPr>
      </w:pPr>
      <w:r w:rsidRPr="00403DFB">
        <w:rPr>
          <w:rFonts w:hint="cs"/>
          <w:rtl/>
        </w:rPr>
        <w:t>"עקרון פומביות הדיון הינו ערך חוקתי, המשתלב בתפיסה הכללית הרואה בחופש הביטוי ובזכות הציבור לדעת הנגזרת מחופש זה בבחינת עקרונות-על המאפיינים את בסיס המשטר בחברה דמוקרטית. חופש הביטוי וזכות הציבור לדעת ככלל, ותחולתם על ההליך השיפוטי בפרט, מבטיחים קיומם של שקיפות ומנגנוני בקרה ציבוריים על התנהלות ההליך השיפוטי, אשר חיוניותם מהווה ערובה לרמה, לענייניות, ולטוהר ההליך השיפוטי"</w:t>
      </w:r>
      <w:r w:rsidR="004F5F0E" w:rsidRPr="004F5F0E">
        <w:rPr>
          <w:rFonts w:ascii="Times New Roman" w:hAnsi="Times New Roman" w:hint="cs"/>
          <w:rtl/>
        </w:rPr>
        <w:t xml:space="preserve"> (</w:t>
      </w:r>
      <w:proofErr w:type="spellStart"/>
      <w:r w:rsidRPr="00403DFB">
        <w:rPr>
          <w:rtl/>
        </w:rPr>
        <w:t>בש"פ</w:t>
      </w:r>
      <w:proofErr w:type="spellEnd"/>
      <w:r w:rsidRPr="00403DFB">
        <w:rPr>
          <w:rtl/>
        </w:rPr>
        <w:t xml:space="preserve"> 1071/10  </w:t>
      </w:r>
      <w:r w:rsidRPr="00D63957">
        <w:rPr>
          <w:b/>
          <w:bCs/>
          <w:rtl/>
        </w:rPr>
        <w:t>משה ואח' נ' מדינת ישראל</w:t>
      </w:r>
      <w:r w:rsidR="007E444D" w:rsidRPr="007E444D">
        <w:rPr>
          <w:rFonts w:ascii="David" w:hAnsi="David" w:hint="cs"/>
          <w:rtl/>
        </w:rPr>
        <w:t>, פסקה 7</w:t>
      </w:r>
      <w:r>
        <w:rPr>
          <w:rFonts w:cs="Arial"/>
          <w:rtl/>
        </w:rPr>
        <w:t xml:space="preserve"> </w:t>
      </w:r>
      <w:r>
        <w:rPr>
          <w:rFonts w:ascii="Times New Roman" w:hAnsi="Times New Roman" w:hint="cs"/>
          <w:rtl/>
        </w:rPr>
        <w:t>(25.2.2010)</w:t>
      </w:r>
      <w:r w:rsidR="004F5F0E" w:rsidRPr="004F5F0E">
        <w:rPr>
          <w:rFonts w:ascii="Times New Roman" w:hAnsi="Times New Roman" w:hint="cs"/>
          <w:rtl/>
        </w:rPr>
        <w:t xml:space="preserve">; </w:t>
      </w:r>
      <w:r w:rsidR="00117F5C">
        <w:rPr>
          <w:rFonts w:ascii="Times New Roman" w:hAnsi="Times New Roman" w:hint="cs"/>
          <w:rtl/>
        </w:rPr>
        <w:t>ו</w:t>
      </w:r>
      <w:r w:rsidR="00012A40" w:rsidRPr="00012A40">
        <w:rPr>
          <w:rFonts w:ascii="Times New Roman" w:hAnsi="Times New Roman" w:hint="cs"/>
          <w:rtl/>
        </w:rPr>
        <w:t xml:space="preserve">ראו </w:t>
      </w:r>
      <w:r w:rsidR="00117F5C">
        <w:rPr>
          <w:rFonts w:ascii="Times New Roman" w:hAnsi="Times New Roman" w:hint="cs"/>
          <w:rtl/>
        </w:rPr>
        <w:t>גם</w:t>
      </w:r>
      <w:r w:rsidR="00012A40" w:rsidRPr="00012A40">
        <w:rPr>
          <w:rFonts w:ascii="Times New Roman" w:hAnsi="Times New Roman" w:hint="cs"/>
          <w:rtl/>
        </w:rPr>
        <w:t xml:space="preserve">: </w:t>
      </w:r>
      <w:proofErr w:type="spellStart"/>
      <w:r w:rsidR="00012A40" w:rsidRPr="00D63957">
        <w:rPr>
          <w:rFonts w:ascii="Times New Roman" w:hAnsi="Times New Roman"/>
          <w:rtl/>
        </w:rPr>
        <w:t>בש"פ</w:t>
      </w:r>
      <w:proofErr w:type="spellEnd"/>
      <w:r w:rsidR="00012A40" w:rsidRPr="00D63957">
        <w:rPr>
          <w:rFonts w:ascii="Times New Roman" w:hAnsi="Times New Roman" w:hint="cs"/>
          <w:rtl/>
        </w:rPr>
        <w:t xml:space="preserve"> </w:t>
      </w:r>
      <w:r w:rsidR="00012A40" w:rsidRPr="00D63957">
        <w:rPr>
          <w:rFonts w:ascii="Times New Roman" w:hAnsi="Times New Roman"/>
          <w:rtl/>
        </w:rPr>
        <w:t xml:space="preserve">2322/13 </w:t>
      </w:r>
      <w:r w:rsidR="00012A40" w:rsidRPr="00D63957">
        <w:rPr>
          <w:rFonts w:ascii="Times New Roman" w:hAnsi="Times New Roman"/>
          <w:b/>
          <w:bCs/>
          <w:rtl/>
        </w:rPr>
        <w:t>אברהם נ' מדינת ישראל</w:t>
      </w:r>
      <w:r w:rsidR="00003060" w:rsidRPr="00003060">
        <w:rPr>
          <w:rFonts w:ascii="Times New Roman" w:hAnsi="Times New Roman" w:hint="cs"/>
          <w:rtl/>
        </w:rPr>
        <w:t xml:space="preserve">, עמודים </w:t>
      </w:r>
      <w:r w:rsidR="00117F5C">
        <w:rPr>
          <w:rFonts w:ascii="Times New Roman" w:hAnsi="Times New Roman" w:hint="cs"/>
          <w:rtl/>
        </w:rPr>
        <w:t>3</w:t>
      </w:r>
      <w:r w:rsidR="00003060" w:rsidRPr="00003060">
        <w:rPr>
          <w:rFonts w:ascii="Times New Roman" w:hAnsi="Times New Roman" w:hint="cs"/>
          <w:rtl/>
        </w:rPr>
        <w:t>-</w:t>
      </w:r>
      <w:r w:rsidR="00117F5C">
        <w:rPr>
          <w:rFonts w:ascii="Times New Roman" w:hAnsi="Times New Roman" w:hint="cs"/>
          <w:rtl/>
        </w:rPr>
        <w:t>2</w:t>
      </w:r>
      <w:r w:rsidR="00012A40" w:rsidRPr="00D63957">
        <w:rPr>
          <w:rFonts w:ascii="Times New Roman" w:hAnsi="Times New Roman"/>
          <w:b/>
          <w:bCs/>
          <w:rtl/>
        </w:rPr>
        <w:t xml:space="preserve"> </w:t>
      </w:r>
      <w:r w:rsidR="00012A40" w:rsidRPr="00D63957">
        <w:rPr>
          <w:rFonts w:ascii="Times New Roman" w:hAnsi="Times New Roman"/>
          <w:rtl/>
        </w:rPr>
        <w:t>(1.5.2013)</w:t>
      </w:r>
      <w:r w:rsidR="00012A40" w:rsidRPr="00012A40">
        <w:rPr>
          <w:rFonts w:ascii="Times New Roman" w:hAnsi="Times New Roman" w:hint="cs"/>
          <w:rtl/>
        </w:rPr>
        <w:t xml:space="preserve">; </w:t>
      </w:r>
      <w:proofErr w:type="spellStart"/>
      <w:r w:rsidRPr="00012A40">
        <w:rPr>
          <w:rFonts w:ascii="Times New Roman" w:hAnsi="Times New Roman" w:hint="cs"/>
          <w:rtl/>
        </w:rPr>
        <w:t>בש"פ</w:t>
      </w:r>
      <w:proofErr w:type="spellEnd"/>
      <w:r w:rsidRPr="00012A40">
        <w:rPr>
          <w:rFonts w:ascii="Times New Roman" w:hAnsi="Times New Roman" w:hint="cs"/>
          <w:rtl/>
        </w:rPr>
        <w:t xml:space="preserve"> 5759/04 </w:t>
      </w:r>
      <w:r w:rsidRPr="00012A40">
        <w:rPr>
          <w:rFonts w:ascii="Times New Roman" w:hAnsi="Times New Roman" w:hint="cs"/>
          <w:b/>
          <w:bCs/>
          <w:rtl/>
        </w:rPr>
        <w:t>תורג'מן נ' מדינת ישראל</w:t>
      </w:r>
      <w:r w:rsidR="00003060">
        <w:rPr>
          <w:rFonts w:ascii="Times New Roman" w:hAnsi="Times New Roman" w:hint="cs"/>
          <w:rtl/>
        </w:rPr>
        <w:t>, פסקה 4</w:t>
      </w:r>
      <w:r w:rsidRPr="00012A40">
        <w:rPr>
          <w:rFonts w:ascii="Times New Roman" w:hAnsi="Times New Roman" w:hint="cs"/>
          <w:rtl/>
        </w:rPr>
        <w:t xml:space="preserve"> (1.8.2004)</w:t>
      </w:r>
      <w:r w:rsidR="008C64F1" w:rsidRPr="00012A40">
        <w:rPr>
          <w:rFonts w:ascii="Times New Roman" w:hAnsi="Times New Roman" w:hint="cs"/>
          <w:rtl/>
        </w:rPr>
        <w:t xml:space="preserve">; </w:t>
      </w:r>
      <w:proofErr w:type="spellStart"/>
      <w:r w:rsidR="008C64F1" w:rsidRPr="00012A40">
        <w:rPr>
          <w:rFonts w:hint="cs"/>
          <w:rtl/>
        </w:rPr>
        <w:t>עלב"ש</w:t>
      </w:r>
      <w:proofErr w:type="spellEnd"/>
      <w:r w:rsidR="008C64F1" w:rsidRPr="00012A40">
        <w:rPr>
          <w:rFonts w:hint="cs"/>
          <w:rtl/>
        </w:rPr>
        <w:t xml:space="preserve">/1,2/19 </w:t>
      </w:r>
      <w:r w:rsidR="008C64F1" w:rsidRPr="00012A40">
        <w:rPr>
          <w:rFonts w:hint="cs"/>
          <w:b/>
          <w:bCs/>
          <w:rtl/>
        </w:rPr>
        <w:t>רב"ט י' א' נ' התובע הצבאי הראשי</w:t>
      </w:r>
      <w:r w:rsidR="00003060">
        <w:rPr>
          <w:rFonts w:hint="cs"/>
          <w:rtl/>
        </w:rPr>
        <w:t xml:space="preserve">, פסקה 36 </w:t>
      </w:r>
      <w:r w:rsidR="008C64F1" w:rsidRPr="00012A40">
        <w:rPr>
          <w:rFonts w:hint="cs"/>
          <w:rtl/>
        </w:rPr>
        <w:t>(2019)</w:t>
      </w:r>
      <w:r w:rsidR="00D63957" w:rsidRPr="00012A40">
        <w:rPr>
          <w:rFonts w:ascii="Times New Roman" w:hAnsi="Times New Roman" w:hint="cs"/>
          <w:rtl/>
        </w:rPr>
        <w:t>;</w:t>
      </w:r>
      <w:r w:rsidR="00D63957" w:rsidRPr="00D63957">
        <w:rPr>
          <w:rFonts w:ascii="Times New Roman" w:hAnsi="Times New Roman"/>
          <w:rtl/>
        </w:rPr>
        <w:t xml:space="preserve"> ב"ש</w:t>
      </w:r>
      <w:r w:rsidR="00D63957" w:rsidRPr="00D63957">
        <w:rPr>
          <w:rFonts w:ascii="Times New Roman" w:hAnsi="Times New Roman" w:hint="cs"/>
          <w:rtl/>
        </w:rPr>
        <w:t xml:space="preserve"> </w:t>
      </w:r>
      <w:r w:rsidR="00D63957" w:rsidRPr="00D63957">
        <w:rPr>
          <w:rFonts w:ascii="Times New Roman" w:hAnsi="Times New Roman"/>
          <w:rtl/>
        </w:rPr>
        <w:t xml:space="preserve">56,57/21 </w:t>
      </w:r>
      <w:r w:rsidR="00D63957" w:rsidRPr="00D63957">
        <w:rPr>
          <w:rFonts w:ascii="Times New Roman" w:hAnsi="Times New Roman"/>
          <w:b/>
          <w:bCs/>
          <w:rtl/>
        </w:rPr>
        <w:t>ידיעות אינטרנט נ' התובע הצבאי הראשי</w:t>
      </w:r>
      <w:r w:rsidR="00003060" w:rsidRPr="00003060">
        <w:rPr>
          <w:rFonts w:ascii="Times New Roman" w:hAnsi="Times New Roman" w:hint="cs"/>
          <w:rtl/>
        </w:rPr>
        <w:t>, פסקה 32</w:t>
      </w:r>
      <w:r w:rsidR="00D63957" w:rsidRPr="00D63957">
        <w:rPr>
          <w:rFonts w:ascii="Times New Roman" w:hAnsi="Times New Roman"/>
          <w:b/>
          <w:bCs/>
          <w:rtl/>
        </w:rPr>
        <w:t xml:space="preserve"> </w:t>
      </w:r>
      <w:r w:rsidR="00D63957" w:rsidRPr="00D63957">
        <w:rPr>
          <w:rFonts w:ascii="Times New Roman" w:hAnsi="Times New Roman"/>
          <w:rtl/>
        </w:rPr>
        <w:t>(2021)</w:t>
      </w:r>
      <w:r w:rsidRPr="00012A40">
        <w:rPr>
          <w:rFonts w:ascii="Times New Roman" w:hAnsi="Times New Roman" w:hint="cs"/>
          <w:rtl/>
        </w:rPr>
        <w:t>).</w:t>
      </w:r>
      <w:r w:rsidR="004F5F0E" w:rsidRPr="004F5F0E">
        <w:rPr>
          <w:rFonts w:ascii="Times New Roman" w:hAnsi="Times New Roman" w:hint="cs"/>
          <w:rtl/>
        </w:rPr>
        <w:t xml:space="preserve"> </w:t>
      </w:r>
    </w:p>
    <w:p w14:paraId="505976DB" w14:textId="77777777" w:rsidR="00555711" w:rsidRPr="00555711" w:rsidRDefault="00555711" w:rsidP="00C35FF0">
      <w:pPr>
        <w:pStyle w:val="a0"/>
        <w:spacing w:line="240" w:lineRule="auto"/>
        <w:ind w:left="706" w:right="709"/>
        <w:rPr>
          <w:rFonts w:ascii="Times New Roman" w:hAnsi="Times New Roman"/>
          <w:sz w:val="16"/>
          <w:szCs w:val="20"/>
          <w:rtl/>
        </w:rPr>
      </w:pPr>
    </w:p>
    <w:p w14:paraId="1A898EFD" w14:textId="6C10B19A" w:rsidR="00D63957" w:rsidRPr="00C23AB2" w:rsidRDefault="00273054" w:rsidP="00E40C34">
      <w:pPr>
        <w:pStyle w:val="a0"/>
        <w:rPr>
          <w:rFonts w:asciiTheme="minorHAnsi" w:eastAsiaTheme="minorHAnsi" w:hAnsiTheme="minorHAnsi"/>
          <w:rtl/>
        </w:rPr>
      </w:pPr>
      <w:r>
        <w:rPr>
          <w:rFonts w:ascii="Times New Roman" w:eastAsia="Times New Roman" w:hAnsi="Times New Roman" w:hint="cs"/>
          <w:rtl/>
        </w:rPr>
        <w:t>כפי ש</w:t>
      </w:r>
      <w:r w:rsidRPr="00117F5C">
        <w:rPr>
          <w:rFonts w:ascii="Times New Roman" w:eastAsia="Times New Roman" w:hAnsi="Times New Roman" w:hint="cs"/>
          <w:rtl/>
        </w:rPr>
        <w:t>בואר</w:t>
      </w:r>
      <w:r>
        <w:rPr>
          <w:rFonts w:ascii="Times New Roman" w:eastAsia="Times New Roman" w:hAnsi="Times New Roman" w:hint="cs"/>
          <w:rtl/>
        </w:rPr>
        <w:t xml:space="preserve">, </w:t>
      </w:r>
      <w:r w:rsidR="00117F5C" w:rsidRPr="00117F5C">
        <w:rPr>
          <w:rFonts w:ascii="Times New Roman" w:eastAsia="Times New Roman" w:hAnsi="Times New Roman" w:hint="cs"/>
          <w:rtl/>
        </w:rPr>
        <w:t>"זכותו הבסיסית של כל אזרח לדעת, ללמוד ולחקור את המתרחש בתוך אולם בית המשפט, בטרקלין בו דנים על החטא ועונשו כמו גם את זהות השופט היושב בדין, את זהות בעלי הדין ואת טיבה של ההכרעה השיפוטית" (</w:t>
      </w:r>
      <w:proofErr w:type="spellStart"/>
      <w:r w:rsidR="00117F5C" w:rsidRPr="00117F5C">
        <w:rPr>
          <w:rFonts w:ascii="Times New Roman" w:eastAsia="Times New Roman" w:hAnsi="Times New Roman" w:hint="cs"/>
          <w:rtl/>
        </w:rPr>
        <w:t>בש"פ</w:t>
      </w:r>
      <w:proofErr w:type="spellEnd"/>
      <w:r w:rsidR="00117F5C" w:rsidRPr="00117F5C">
        <w:rPr>
          <w:rFonts w:ascii="Times New Roman" w:eastAsia="Times New Roman" w:hAnsi="Times New Roman" w:hint="cs"/>
          <w:rtl/>
        </w:rPr>
        <w:t xml:space="preserve"> 2484/05 </w:t>
      </w:r>
      <w:r w:rsidR="00117F5C" w:rsidRPr="00117F5C">
        <w:rPr>
          <w:rFonts w:ascii="Times New Roman" w:eastAsia="Times New Roman" w:hAnsi="Times New Roman" w:hint="cs"/>
          <w:b/>
          <w:bCs/>
          <w:rtl/>
        </w:rPr>
        <w:t>פרי נ' מדינת ישראל</w:t>
      </w:r>
      <w:r w:rsidR="00117F5C" w:rsidRPr="00117F5C">
        <w:rPr>
          <w:rFonts w:ascii="Times New Roman" w:eastAsia="Times New Roman" w:hAnsi="Times New Roman" w:hint="cs"/>
          <w:rtl/>
        </w:rPr>
        <w:t xml:space="preserve">, פסקה 4 (18.7.2005)). </w:t>
      </w:r>
      <w:r w:rsidR="004174AC">
        <w:rPr>
          <w:rFonts w:ascii="Times New Roman" w:eastAsia="Times New Roman" w:hAnsi="Times New Roman" w:hint="cs"/>
          <w:rtl/>
        </w:rPr>
        <w:t xml:space="preserve">עוד </w:t>
      </w:r>
      <w:r w:rsidR="00117F5C">
        <w:rPr>
          <w:rFonts w:ascii="Times New Roman" w:eastAsia="Times New Roman" w:hAnsi="Times New Roman" w:hint="cs"/>
          <w:rtl/>
        </w:rPr>
        <w:t xml:space="preserve">נקבע כי </w:t>
      </w:r>
      <w:r w:rsidR="00403DFB" w:rsidRPr="00403DFB">
        <w:rPr>
          <w:rFonts w:ascii="Times New Roman" w:eastAsia="Times New Roman" w:hAnsi="Times New Roman"/>
          <w:rtl/>
        </w:rPr>
        <w:t>לעקרון פומביות הדיון שני פנים</w:t>
      </w:r>
      <w:r w:rsidR="004174AC">
        <w:rPr>
          <w:rFonts w:ascii="Times New Roman" w:eastAsia="Times New Roman" w:hAnsi="Times New Roman" w:hint="cs"/>
          <w:rtl/>
        </w:rPr>
        <w:t xml:space="preserve"> - </w:t>
      </w:r>
      <w:r w:rsidR="00D63957">
        <w:rPr>
          <w:rFonts w:ascii="Times New Roman" w:eastAsia="Times New Roman" w:hAnsi="Times New Roman" w:hint="cs"/>
          <w:rtl/>
        </w:rPr>
        <w:t xml:space="preserve">האחד, </w:t>
      </w:r>
      <w:r w:rsidR="00D63957" w:rsidRPr="00D63957">
        <w:rPr>
          <w:rFonts w:ascii="Times New Roman" w:eastAsia="Times New Roman" w:hAnsi="Times New Roman"/>
          <w:rtl/>
        </w:rPr>
        <w:t>ניהול הליכי המשפט בדלתיים פתוחות, כך שכל אדם רשאי להיות נוכח בדיוני</w:t>
      </w:r>
      <w:r w:rsidR="00117F5C">
        <w:rPr>
          <w:rFonts w:ascii="Times New Roman" w:eastAsia="Times New Roman" w:hAnsi="Times New Roman" w:hint="cs"/>
          <w:rtl/>
        </w:rPr>
        <w:t>ם</w:t>
      </w:r>
      <w:r w:rsidR="00D63957" w:rsidRPr="00D63957">
        <w:rPr>
          <w:rFonts w:ascii="Times New Roman" w:eastAsia="Times New Roman" w:hAnsi="Times New Roman"/>
          <w:rtl/>
        </w:rPr>
        <w:t>; והשני, היתר לפרסם ברבים את תוכ</w:t>
      </w:r>
      <w:r w:rsidR="00117F5C">
        <w:rPr>
          <w:rFonts w:ascii="Times New Roman" w:eastAsia="Times New Roman" w:hAnsi="Times New Roman" w:hint="cs"/>
          <w:rtl/>
        </w:rPr>
        <w:t xml:space="preserve">ן </w:t>
      </w:r>
      <w:r w:rsidR="00D63957" w:rsidRPr="00D63957">
        <w:rPr>
          <w:rFonts w:ascii="Times New Roman" w:eastAsia="Times New Roman" w:hAnsi="Times New Roman"/>
          <w:rtl/>
        </w:rPr>
        <w:t>ההליכים, כחלק מזכות הציבור לדעת (</w:t>
      </w:r>
      <w:proofErr w:type="spellStart"/>
      <w:r w:rsidR="00D63957" w:rsidRPr="00D63957">
        <w:rPr>
          <w:rFonts w:ascii="Times New Roman" w:eastAsia="Times New Roman" w:hAnsi="Times New Roman"/>
          <w:rtl/>
        </w:rPr>
        <w:t>רע"פ</w:t>
      </w:r>
      <w:proofErr w:type="spellEnd"/>
      <w:r w:rsidR="00D63957" w:rsidRPr="00D63957">
        <w:rPr>
          <w:rFonts w:ascii="Times New Roman" w:eastAsia="Times New Roman" w:hAnsi="Times New Roman"/>
          <w:rtl/>
        </w:rPr>
        <w:t xml:space="preserve"> 5877/99 </w:t>
      </w:r>
      <w:r w:rsidR="00012A40">
        <w:rPr>
          <w:rFonts w:ascii="Times New Roman" w:eastAsia="Times New Roman" w:hAnsi="Times New Roman" w:hint="cs"/>
          <w:b/>
          <w:bCs/>
          <w:rtl/>
        </w:rPr>
        <w:t>יאנוס</w:t>
      </w:r>
      <w:r w:rsidR="00D63957" w:rsidRPr="00D63957">
        <w:rPr>
          <w:rFonts w:ascii="Times New Roman" w:eastAsia="Times New Roman" w:hAnsi="Times New Roman"/>
          <w:b/>
          <w:bCs/>
          <w:rtl/>
        </w:rPr>
        <w:t xml:space="preserve"> נ' מדינת ישראל</w:t>
      </w:r>
      <w:r w:rsidR="00012A40" w:rsidRPr="00012A40">
        <w:rPr>
          <w:rFonts w:ascii="Times New Roman" w:eastAsia="Times New Roman" w:hAnsi="Times New Roman" w:hint="cs"/>
          <w:rtl/>
        </w:rPr>
        <w:t>, פסקה 17</w:t>
      </w:r>
      <w:r w:rsidR="00D63957" w:rsidRPr="00D63957">
        <w:rPr>
          <w:rFonts w:ascii="Times New Roman" w:eastAsia="Times New Roman" w:hAnsi="Times New Roman"/>
          <w:b/>
          <w:bCs/>
          <w:rtl/>
        </w:rPr>
        <w:t xml:space="preserve"> </w:t>
      </w:r>
      <w:r w:rsidR="00D63957" w:rsidRPr="00D63957">
        <w:rPr>
          <w:rFonts w:ascii="Times New Roman" w:eastAsia="Times New Roman" w:hAnsi="Times New Roman"/>
          <w:rtl/>
        </w:rPr>
        <w:t>(28.9.2004)</w:t>
      </w:r>
      <w:r w:rsidR="00012A40">
        <w:rPr>
          <w:rFonts w:ascii="Times New Roman" w:eastAsia="Times New Roman" w:hAnsi="Times New Roman" w:hint="cs"/>
          <w:rtl/>
        </w:rPr>
        <w:t>).</w:t>
      </w:r>
      <w:r w:rsidR="00117F5C">
        <w:rPr>
          <w:rFonts w:asciiTheme="minorHAnsi" w:eastAsiaTheme="minorHAnsi" w:hAnsiTheme="minorHAnsi" w:hint="cs"/>
          <w:rtl/>
        </w:rPr>
        <w:t xml:space="preserve"> </w:t>
      </w:r>
    </w:p>
    <w:p w14:paraId="40268EDA" w14:textId="577A5F20" w:rsidR="00E40F37" w:rsidRDefault="00E40F37" w:rsidP="00E40F37">
      <w:pPr>
        <w:pStyle w:val="a0"/>
        <w:numPr>
          <w:ilvl w:val="0"/>
          <w:numId w:val="16"/>
        </w:numPr>
        <w:ind w:left="-58"/>
        <w:rPr>
          <w:rtl/>
        </w:rPr>
      </w:pPr>
      <w:r>
        <w:rPr>
          <w:rFonts w:hint="cs"/>
          <w:rtl/>
        </w:rPr>
        <w:t xml:space="preserve">לצד האמור, </w:t>
      </w:r>
      <w:r w:rsidR="00117F5C">
        <w:rPr>
          <w:rFonts w:hint="cs"/>
          <w:rtl/>
        </w:rPr>
        <w:t xml:space="preserve">מונה </w:t>
      </w:r>
      <w:r>
        <w:rPr>
          <w:rFonts w:hint="cs"/>
          <w:rtl/>
        </w:rPr>
        <w:t xml:space="preserve">החוק רשימה של חריגים אשר בהתקיימם </w:t>
      </w:r>
      <w:r w:rsidR="004174AC">
        <w:rPr>
          <w:rFonts w:hint="cs"/>
          <w:rtl/>
        </w:rPr>
        <w:t xml:space="preserve">רשאי </w:t>
      </w:r>
      <w:r>
        <w:rPr>
          <w:rFonts w:hint="cs"/>
          <w:rtl/>
        </w:rPr>
        <w:t>בית המשפט ל</w:t>
      </w:r>
      <w:r w:rsidR="00117F5C">
        <w:rPr>
          <w:rFonts w:hint="cs"/>
          <w:rtl/>
        </w:rPr>
        <w:t xml:space="preserve">סטות </w:t>
      </w:r>
      <w:r>
        <w:rPr>
          <w:rFonts w:hint="cs"/>
          <w:rtl/>
        </w:rPr>
        <w:t>מן הכלל</w:t>
      </w:r>
      <w:r w:rsidR="00117F5C">
        <w:rPr>
          <w:rFonts w:hint="cs"/>
          <w:rtl/>
        </w:rPr>
        <w:t xml:space="preserve"> ולאסור פרסום (ראו סעיפים 68 ו-70 לחוק בתי המשפט</w:t>
      </w:r>
      <w:r w:rsidR="004174AC">
        <w:rPr>
          <w:rFonts w:hint="cs"/>
          <w:rtl/>
        </w:rPr>
        <w:t>,</w:t>
      </w:r>
      <w:r w:rsidR="00117F5C">
        <w:rPr>
          <w:rFonts w:hint="cs"/>
          <w:rtl/>
        </w:rPr>
        <w:t xml:space="preserve"> וסעיפים 325-324 לחוק השיפוט הצבאי)</w:t>
      </w:r>
      <w:r w:rsidRPr="00AB03E9">
        <w:rPr>
          <w:rtl/>
        </w:rPr>
        <w:t>.</w:t>
      </w:r>
      <w:r>
        <w:rPr>
          <w:rFonts w:hint="cs"/>
          <w:rtl/>
        </w:rPr>
        <w:t xml:space="preserve"> </w:t>
      </w:r>
      <w:r w:rsidR="00117F5C">
        <w:rPr>
          <w:rFonts w:hint="cs"/>
          <w:rtl/>
        </w:rPr>
        <w:t xml:space="preserve">עם זאת, </w:t>
      </w:r>
      <w:r w:rsidR="00C23AB2" w:rsidRPr="003940FB">
        <w:rPr>
          <w:rFonts w:hint="cs"/>
          <w:rtl/>
        </w:rPr>
        <w:t>לאור</w:t>
      </w:r>
      <w:r w:rsidR="00C23AB2" w:rsidRPr="003940FB">
        <w:rPr>
          <w:rtl/>
        </w:rPr>
        <w:t xml:space="preserve"> </w:t>
      </w:r>
      <w:r w:rsidR="00C23AB2" w:rsidRPr="003940FB">
        <w:rPr>
          <w:rFonts w:hint="cs"/>
          <w:rtl/>
        </w:rPr>
        <w:t>חשיבותו</w:t>
      </w:r>
      <w:r w:rsidR="00C23AB2" w:rsidRPr="003940FB">
        <w:rPr>
          <w:rtl/>
        </w:rPr>
        <w:t xml:space="preserve"> </w:t>
      </w:r>
      <w:r w:rsidR="00C23AB2" w:rsidRPr="003940FB">
        <w:rPr>
          <w:rFonts w:hint="cs"/>
          <w:rtl/>
        </w:rPr>
        <w:t>של</w:t>
      </w:r>
      <w:r w:rsidR="00C23AB2" w:rsidRPr="003940FB">
        <w:rPr>
          <w:rtl/>
        </w:rPr>
        <w:t xml:space="preserve"> </w:t>
      </w:r>
      <w:r w:rsidR="00C23AB2" w:rsidRPr="003940FB">
        <w:rPr>
          <w:rFonts w:hint="cs"/>
          <w:rtl/>
        </w:rPr>
        <w:t>עיקרון</w:t>
      </w:r>
      <w:r w:rsidR="00C23AB2" w:rsidRPr="003940FB">
        <w:rPr>
          <w:rtl/>
        </w:rPr>
        <w:t xml:space="preserve"> </w:t>
      </w:r>
      <w:r w:rsidR="00117F5C">
        <w:rPr>
          <w:rFonts w:hint="cs"/>
          <w:rtl/>
        </w:rPr>
        <w:t xml:space="preserve">הפומביות, </w:t>
      </w:r>
      <w:r w:rsidRPr="00E40F37">
        <w:rPr>
          <w:rFonts w:ascii="David" w:hAnsi="David" w:hint="cs"/>
          <w:sz w:val="28"/>
          <w:rtl/>
        </w:rPr>
        <w:t xml:space="preserve">הוטעם בפסיקה כי </w:t>
      </w:r>
      <w:r w:rsidRPr="00E40F37">
        <w:rPr>
          <w:rFonts w:ascii="David" w:hAnsi="David"/>
          <w:sz w:val="28"/>
          <w:rtl/>
        </w:rPr>
        <w:t xml:space="preserve">את החריגים לעקרון </w:t>
      </w:r>
      <w:r w:rsidR="00273054">
        <w:rPr>
          <w:rFonts w:ascii="David" w:hAnsi="David" w:hint="cs"/>
          <w:sz w:val="28"/>
          <w:rtl/>
        </w:rPr>
        <w:t xml:space="preserve">זה </w:t>
      </w:r>
      <w:r w:rsidRPr="00E40F37">
        <w:rPr>
          <w:rFonts w:ascii="David" w:hAnsi="David"/>
          <w:sz w:val="28"/>
          <w:rtl/>
        </w:rPr>
        <w:t xml:space="preserve">יש לפרש בצמצום </w:t>
      </w:r>
      <w:r w:rsidR="00117F5C">
        <w:rPr>
          <w:rFonts w:hint="cs"/>
          <w:rtl/>
        </w:rPr>
        <w:t>ו</w:t>
      </w:r>
      <w:r w:rsidR="00C23AB2">
        <w:rPr>
          <w:rFonts w:hint="cs"/>
          <w:rtl/>
        </w:rPr>
        <w:t xml:space="preserve">"לעולם תיטה הכף אל עבר פומביות הדיון" </w:t>
      </w:r>
      <w:r w:rsidR="00C23AB2" w:rsidRPr="00EF5A9C">
        <w:rPr>
          <w:rtl/>
        </w:rPr>
        <w:t>(</w:t>
      </w:r>
      <w:r w:rsidR="00C23AB2" w:rsidRPr="00012A40">
        <w:rPr>
          <w:rFonts w:hint="cs"/>
          <w:rtl/>
        </w:rPr>
        <w:t>ע</w:t>
      </w:r>
      <w:r w:rsidR="00C23AB2" w:rsidRPr="00012A40">
        <w:rPr>
          <w:rtl/>
        </w:rPr>
        <w:t>"</w:t>
      </w:r>
      <w:r w:rsidR="00C23AB2" w:rsidRPr="00012A40">
        <w:rPr>
          <w:rFonts w:hint="cs"/>
          <w:rtl/>
        </w:rPr>
        <w:t>א</w:t>
      </w:r>
      <w:r w:rsidR="00C23AB2" w:rsidRPr="00012A40">
        <w:rPr>
          <w:rtl/>
        </w:rPr>
        <w:t xml:space="preserve"> 5185/93 </w:t>
      </w:r>
      <w:r w:rsidR="00C23AB2" w:rsidRPr="00012A40">
        <w:rPr>
          <w:rFonts w:hint="cs"/>
          <w:b/>
          <w:bCs/>
          <w:rtl/>
        </w:rPr>
        <w:t>היועץ</w:t>
      </w:r>
      <w:r w:rsidR="00C23AB2" w:rsidRPr="00012A40">
        <w:rPr>
          <w:b/>
          <w:bCs/>
          <w:rtl/>
        </w:rPr>
        <w:t xml:space="preserve"> </w:t>
      </w:r>
      <w:r w:rsidR="00C23AB2" w:rsidRPr="00012A40">
        <w:rPr>
          <w:rFonts w:hint="cs"/>
          <w:b/>
          <w:bCs/>
          <w:rtl/>
        </w:rPr>
        <w:t>המשפטי</w:t>
      </w:r>
      <w:r w:rsidR="00C23AB2" w:rsidRPr="00012A40">
        <w:rPr>
          <w:b/>
          <w:bCs/>
          <w:rtl/>
        </w:rPr>
        <w:t xml:space="preserve"> </w:t>
      </w:r>
      <w:r w:rsidR="00C23AB2" w:rsidRPr="00012A40">
        <w:rPr>
          <w:rFonts w:hint="cs"/>
          <w:b/>
          <w:bCs/>
          <w:rtl/>
        </w:rPr>
        <w:t>לממשלה</w:t>
      </w:r>
      <w:r w:rsidR="00C23AB2" w:rsidRPr="00012A40">
        <w:rPr>
          <w:b/>
          <w:bCs/>
          <w:rtl/>
        </w:rPr>
        <w:t xml:space="preserve"> </w:t>
      </w:r>
      <w:r w:rsidR="00C23AB2" w:rsidRPr="00012A40">
        <w:rPr>
          <w:rFonts w:hint="cs"/>
          <w:b/>
          <w:bCs/>
          <w:rtl/>
        </w:rPr>
        <w:t>נ</w:t>
      </w:r>
      <w:r w:rsidR="00C23AB2" w:rsidRPr="00012A40">
        <w:rPr>
          <w:b/>
          <w:bCs/>
          <w:rtl/>
        </w:rPr>
        <w:t xml:space="preserve">' </w:t>
      </w:r>
      <w:r w:rsidR="00C23AB2" w:rsidRPr="00012A40">
        <w:rPr>
          <w:rFonts w:hint="cs"/>
          <w:b/>
          <w:bCs/>
          <w:rtl/>
        </w:rPr>
        <w:t>מרום</w:t>
      </w:r>
      <w:r w:rsidR="00C23AB2" w:rsidRPr="00012A40">
        <w:rPr>
          <w:rtl/>
        </w:rPr>
        <w:t>,</w:t>
      </w:r>
      <w:r w:rsidR="00012A40" w:rsidRPr="00012A40">
        <w:rPr>
          <w:rFonts w:hint="cs"/>
          <w:rtl/>
        </w:rPr>
        <w:t xml:space="preserve"> פסקה 25</w:t>
      </w:r>
      <w:r w:rsidR="00C23AB2" w:rsidRPr="00012A40">
        <w:rPr>
          <w:rtl/>
        </w:rPr>
        <w:t xml:space="preserve"> (</w:t>
      </w:r>
      <w:r w:rsidR="00012A40" w:rsidRPr="00012A40">
        <w:rPr>
          <w:rFonts w:hint="cs"/>
          <w:rtl/>
        </w:rPr>
        <w:t>20.2.1995</w:t>
      </w:r>
      <w:r w:rsidR="00C23AB2" w:rsidRPr="00012A40">
        <w:rPr>
          <w:rtl/>
        </w:rPr>
        <w:t>)</w:t>
      </w:r>
      <w:r w:rsidR="00C23AB2" w:rsidRPr="00012A40">
        <w:rPr>
          <w:rFonts w:hint="cs"/>
          <w:rtl/>
        </w:rPr>
        <w:t xml:space="preserve">; </w:t>
      </w:r>
      <w:proofErr w:type="spellStart"/>
      <w:r w:rsidR="00C23AB2" w:rsidRPr="00012A40">
        <w:rPr>
          <w:rFonts w:hint="cs"/>
          <w:rtl/>
        </w:rPr>
        <w:t>עלב"ש</w:t>
      </w:r>
      <w:proofErr w:type="spellEnd"/>
      <w:r w:rsidR="00C23AB2" w:rsidRPr="00012A40">
        <w:rPr>
          <w:rFonts w:hint="cs"/>
          <w:rtl/>
        </w:rPr>
        <w:t xml:space="preserve"> 137/11 </w:t>
      </w:r>
      <w:r w:rsidR="00C23AB2" w:rsidRPr="00012A40">
        <w:rPr>
          <w:rFonts w:hint="cs"/>
          <w:b/>
          <w:bCs/>
          <w:rtl/>
        </w:rPr>
        <w:t>רס"ן קבלו נ' התובע הצבאי הראשי</w:t>
      </w:r>
      <w:r w:rsidR="00012A40" w:rsidRPr="00012A40">
        <w:rPr>
          <w:rFonts w:hint="cs"/>
          <w:rtl/>
        </w:rPr>
        <w:t>, פסקה 13</w:t>
      </w:r>
      <w:r w:rsidR="00C23AB2" w:rsidRPr="00012A40">
        <w:rPr>
          <w:rFonts w:hint="cs"/>
          <w:rtl/>
        </w:rPr>
        <w:t xml:space="preserve"> (2011))</w:t>
      </w:r>
      <w:r w:rsidRPr="00012A40">
        <w:rPr>
          <w:rFonts w:hint="cs"/>
          <w:rtl/>
        </w:rPr>
        <w:t>.</w:t>
      </w:r>
      <w:r>
        <w:rPr>
          <w:rFonts w:hint="cs"/>
          <w:rtl/>
        </w:rPr>
        <w:t xml:space="preserve"> </w:t>
      </w:r>
    </w:p>
    <w:p w14:paraId="5289F0B7" w14:textId="1E5A0F87" w:rsidR="007B5561" w:rsidRPr="007B5561" w:rsidRDefault="0040360B" w:rsidP="007B5561">
      <w:pPr>
        <w:pStyle w:val="a0"/>
        <w:numPr>
          <w:ilvl w:val="0"/>
          <w:numId w:val="16"/>
        </w:numPr>
      </w:pPr>
      <w:r>
        <w:rPr>
          <w:rFonts w:ascii="David" w:hAnsi="David" w:hint="cs"/>
          <w:sz w:val="28"/>
          <w:rtl/>
        </w:rPr>
        <w:lastRenderedPageBreak/>
        <w:t xml:space="preserve">אף כאשר נקבע כי מתקיים חריג המצדיק סגירת דלתיים או איסור פרסום, ניתן להידרש שוב לשאלת </w:t>
      </w:r>
      <w:r w:rsidR="004174AC">
        <w:rPr>
          <w:rFonts w:ascii="David" w:hAnsi="David" w:hint="cs"/>
          <w:sz w:val="28"/>
          <w:rtl/>
        </w:rPr>
        <w:t xml:space="preserve">תוקפו </w:t>
      </w:r>
      <w:r w:rsidR="007B5561">
        <w:rPr>
          <w:rFonts w:ascii="David" w:hAnsi="David" w:hint="cs"/>
          <w:sz w:val="28"/>
          <w:rtl/>
        </w:rPr>
        <w:t xml:space="preserve">וכבר נפסק, כי </w:t>
      </w:r>
      <w:r w:rsidR="007B5561" w:rsidRPr="007B5561">
        <w:rPr>
          <w:rFonts w:ascii="David" w:hAnsi="David" w:hint="cs"/>
          <w:sz w:val="28"/>
          <w:rtl/>
        </w:rPr>
        <w:t>"החלטה בדבר המשך איסור הפרסום איננה 'נצחית', ותהא נתונה תמיד לבחינה מחודשת (ככל שתתבקש על-ידי מי מהצדדים הרלוונטיים), למשל נוכח חלוף הזמן ועקב שינוי נסיבות" (</w:t>
      </w:r>
      <w:proofErr w:type="spellStart"/>
      <w:r w:rsidR="007B5561" w:rsidRPr="007B5561">
        <w:rPr>
          <w:rFonts w:ascii="David" w:hAnsi="David" w:hint="cs"/>
          <w:sz w:val="28"/>
          <w:rtl/>
        </w:rPr>
        <w:t>בש"פ</w:t>
      </w:r>
      <w:proofErr w:type="spellEnd"/>
      <w:r w:rsidR="007B5561" w:rsidRPr="007B5561">
        <w:rPr>
          <w:rFonts w:ascii="David" w:hAnsi="David" w:hint="cs"/>
          <w:sz w:val="28"/>
          <w:rtl/>
        </w:rPr>
        <w:t xml:space="preserve"> 6988/19 </w:t>
      </w:r>
      <w:r w:rsidR="007B5561" w:rsidRPr="007B5561">
        <w:rPr>
          <w:rFonts w:ascii="David" w:hAnsi="David" w:hint="cs"/>
          <w:b/>
          <w:bCs/>
          <w:sz w:val="28"/>
          <w:rtl/>
        </w:rPr>
        <w:t>פלוני נ' הוצאת עיתון הארץ</w:t>
      </w:r>
      <w:r w:rsidR="007B5561">
        <w:rPr>
          <w:rFonts w:ascii="David" w:hAnsi="David" w:hint="cs"/>
          <w:sz w:val="28"/>
          <w:rtl/>
        </w:rPr>
        <w:t xml:space="preserve">, פסקה 37 </w:t>
      </w:r>
      <w:r w:rsidR="007B5561" w:rsidRPr="007B5561">
        <w:rPr>
          <w:rFonts w:ascii="David" w:hAnsi="David" w:hint="cs"/>
          <w:sz w:val="28"/>
          <w:rtl/>
        </w:rPr>
        <w:t xml:space="preserve"> (26.11.2019)</w:t>
      </w:r>
      <w:r w:rsidR="007B5561">
        <w:rPr>
          <w:rFonts w:ascii="David" w:hAnsi="David" w:hint="cs"/>
          <w:sz w:val="28"/>
          <w:rtl/>
        </w:rPr>
        <w:t xml:space="preserve">). בהתאם, </w:t>
      </w:r>
      <w:r w:rsidR="004174AC">
        <w:rPr>
          <w:rFonts w:ascii="David" w:hAnsi="David" w:hint="cs"/>
          <w:sz w:val="28"/>
          <w:rtl/>
        </w:rPr>
        <w:t xml:space="preserve">מסמיך גם </w:t>
      </w:r>
      <w:r w:rsidR="00E40F37" w:rsidRPr="00C35D94">
        <w:rPr>
          <w:rFonts w:ascii="David" w:hAnsi="David"/>
          <w:sz w:val="28"/>
          <w:rtl/>
        </w:rPr>
        <w:t xml:space="preserve">סעיף 325(ב) לחוק השיפוט הצבאי </w:t>
      </w:r>
      <w:r w:rsidR="004174AC">
        <w:rPr>
          <w:rFonts w:ascii="David" w:hAnsi="David" w:hint="cs"/>
          <w:sz w:val="28"/>
          <w:rtl/>
        </w:rPr>
        <w:t xml:space="preserve">את נשיא בית הדין הצבאי לערעורים לבחון בקשה לעיון בפרוטוקול </w:t>
      </w:r>
      <w:r w:rsidR="0094283B">
        <w:rPr>
          <w:rFonts w:ascii="David" w:hAnsi="David" w:hint="cs"/>
          <w:sz w:val="28"/>
          <w:rtl/>
        </w:rPr>
        <w:t xml:space="preserve">או </w:t>
      </w:r>
      <w:r w:rsidR="00273054">
        <w:rPr>
          <w:rFonts w:ascii="David" w:hAnsi="David" w:hint="cs"/>
          <w:sz w:val="28"/>
          <w:rtl/>
        </w:rPr>
        <w:t>ל</w:t>
      </w:r>
      <w:r w:rsidR="0094283B">
        <w:rPr>
          <w:rFonts w:ascii="David" w:hAnsi="David" w:hint="cs"/>
          <w:sz w:val="28"/>
          <w:rtl/>
        </w:rPr>
        <w:t xml:space="preserve">פרסום </w:t>
      </w:r>
      <w:r w:rsidR="004174AC">
        <w:rPr>
          <w:rFonts w:ascii="David" w:hAnsi="David" w:hint="cs"/>
          <w:sz w:val="28"/>
          <w:rtl/>
        </w:rPr>
        <w:t xml:space="preserve">מתוך דיון שנערך </w:t>
      </w:r>
      <w:r w:rsidR="004174AC" w:rsidRPr="004174AC">
        <w:rPr>
          <w:rFonts w:ascii="David" w:hAnsi="David" w:hint="cs"/>
          <w:b/>
          <w:bCs/>
          <w:sz w:val="28"/>
          <w:rtl/>
        </w:rPr>
        <w:t>בעבר</w:t>
      </w:r>
      <w:r w:rsidR="004174AC">
        <w:rPr>
          <w:rFonts w:ascii="David" w:hAnsi="David" w:hint="cs"/>
          <w:sz w:val="28"/>
          <w:rtl/>
        </w:rPr>
        <w:t xml:space="preserve"> בדלתיים סגורות. </w:t>
      </w:r>
    </w:p>
    <w:p w14:paraId="7E5F3B7C" w14:textId="009F6E32" w:rsidR="0094283B" w:rsidRPr="0094283B" w:rsidRDefault="007B5561" w:rsidP="0094283B">
      <w:pPr>
        <w:pStyle w:val="a0"/>
        <w:numPr>
          <w:ilvl w:val="0"/>
          <w:numId w:val="16"/>
        </w:numPr>
        <w:rPr>
          <w:rFonts w:ascii="David" w:hAnsi="David"/>
          <w:sz w:val="28"/>
        </w:rPr>
      </w:pPr>
      <w:r>
        <w:rPr>
          <w:rFonts w:ascii="David" w:hAnsi="David" w:hint="cs"/>
          <w:sz w:val="28"/>
          <w:rtl/>
        </w:rPr>
        <w:t xml:space="preserve">הוטעם בהלכה הפסוקה </w:t>
      </w:r>
      <w:r w:rsidR="00E40F37" w:rsidRPr="00C35D94">
        <w:rPr>
          <w:rFonts w:ascii="David" w:hAnsi="David"/>
          <w:sz w:val="28"/>
          <w:rtl/>
        </w:rPr>
        <w:t xml:space="preserve">כי על בית המשפט המתבקש להתיר פרסום </w:t>
      </w:r>
      <w:r w:rsidR="00E40F37">
        <w:rPr>
          <w:rFonts w:ascii="David" w:hAnsi="David" w:hint="cs"/>
          <w:sz w:val="28"/>
          <w:rtl/>
        </w:rPr>
        <w:t xml:space="preserve">של </w:t>
      </w:r>
      <w:r w:rsidR="00E40F37" w:rsidRPr="00C35D94">
        <w:rPr>
          <w:rFonts w:ascii="David" w:hAnsi="David"/>
          <w:sz w:val="28"/>
          <w:rtl/>
        </w:rPr>
        <w:t>הליך שהתנהל ב</w:t>
      </w:r>
      <w:r w:rsidR="0094283B">
        <w:rPr>
          <w:rFonts w:ascii="David" w:hAnsi="David" w:hint="cs"/>
          <w:sz w:val="28"/>
          <w:rtl/>
        </w:rPr>
        <w:t>עבר ב</w:t>
      </w:r>
      <w:r w:rsidR="00E40F37" w:rsidRPr="00C35D94">
        <w:rPr>
          <w:rFonts w:ascii="David" w:hAnsi="David"/>
          <w:sz w:val="28"/>
          <w:rtl/>
        </w:rPr>
        <w:t>דלתיים סגורות</w:t>
      </w:r>
      <w:r w:rsidR="0094283B">
        <w:rPr>
          <w:rFonts w:ascii="David" w:hAnsi="David" w:hint="cs"/>
          <w:sz w:val="28"/>
          <w:rtl/>
        </w:rPr>
        <w:t>,</w:t>
      </w:r>
      <w:r w:rsidR="00E40F37" w:rsidRPr="00C35D94">
        <w:rPr>
          <w:rFonts w:ascii="David" w:hAnsi="David"/>
          <w:sz w:val="28"/>
          <w:rtl/>
        </w:rPr>
        <w:t xml:space="preserve"> </w:t>
      </w:r>
      <w:r w:rsidR="0094283B">
        <w:rPr>
          <w:rFonts w:ascii="David" w:hAnsi="David" w:hint="cs"/>
          <w:sz w:val="28"/>
          <w:rtl/>
        </w:rPr>
        <w:t>לקיים בחינה דו שלבית:</w:t>
      </w:r>
      <w:r w:rsidR="0094283B">
        <w:rPr>
          <w:rFonts w:ascii="David" w:hAnsi="David" w:hint="cs"/>
          <w:sz w:val="28"/>
        </w:rPr>
        <w:t xml:space="preserve"> </w:t>
      </w:r>
      <w:r w:rsidR="00E40F37" w:rsidRPr="00C35D94">
        <w:rPr>
          <w:rFonts w:ascii="David" w:hAnsi="David"/>
          <w:sz w:val="28"/>
          <w:rtl/>
        </w:rPr>
        <w:t xml:space="preserve">"ראשית, לבחון אם המטרה שלשמה נסגרו הדלתיים עומדת בעינה ושנית, להפעיל את שיקול דעתו כך שעקרון פומביות הדיון ייפגע במידה </w:t>
      </w:r>
      <w:r w:rsidR="00E40F37" w:rsidRPr="00B36D8A">
        <w:rPr>
          <w:rFonts w:ascii="David" w:hAnsi="David"/>
          <w:sz w:val="28"/>
          <w:rtl/>
        </w:rPr>
        <w:t xml:space="preserve">המזערית האפשרית להשגת מטרה זו" (רע"א 3007/02 </w:t>
      </w:r>
      <w:r w:rsidR="00E40F37" w:rsidRPr="00B36D8A">
        <w:rPr>
          <w:rFonts w:ascii="David" w:hAnsi="David"/>
          <w:b/>
          <w:bCs/>
          <w:sz w:val="28"/>
          <w:rtl/>
        </w:rPr>
        <w:t>יצחק נ' מוזס</w:t>
      </w:r>
      <w:r w:rsidR="00E40F37" w:rsidRPr="00B36D8A">
        <w:rPr>
          <w:rFonts w:ascii="David" w:hAnsi="David"/>
          <w:sz w:val="28"/>
          <w:rtl/>
        </w:rPr>
        <w:t>,</w:t>
      </w:r>
      <w:r w:rsidR="00012A40" w:rsidRPr="00B36D8A">
        <w:rPr>
          <w:rFonts w:ascii="David" w:hAnsi="David" w:hint="cs"/>
          <w:sz w:val="28"/>
          <w:rtl/>
        </w:rPr>
        <w:t xml:space="preserve"> פסקה 10</w:t>
      </w:r>
      <w:r w:rsidR="00E40F37" w:rsidRPr="00B36D8A">
        <w:rPr>
          <w:rFonts w:ascii="David" w:hAnsi="David"/>
          <w:b/>
          <w:bCs/>
          <w:sz w:val="28"/>
          <w:rtl/>
        </w:rPr>
        <w:t xml:space="preserve"> </w:t>
      </w:r>
      <w:r w:rsidR="00E40F37" w:rsidRPr="00B36D8A">
        <w:rPr>
          <w:rFonts w:ascii="David" w:hAnsi="David"/>
          <w:sz w:val="28"/>
          <w:rtl/>
        </w:rPr>
        <w:t>(</w:t>
      </w:r>
      <w:r w:rsidR="00012A40" w:rsidRPr="00B36D8A">
        <w:rPr>
          <w:rFonts w:ascii="David" w:hAnsi="David" w:hint="cs"/>
          <w:sz w:val="28"/>
          <w:rtl/>
        </w:rPr>
        <w:t>30.9.</w:t>
      </w:r>
      <w:r w:rsidR="00E40F37" w:rsidRPr="00B36D8A">
        <w:rPr>
          <w:rFonts w:ascii="David" w:hAnsi="David"/>
          <w:sz w:val="28"/>
          <w:rtl/>
        </w:rPr>
        <w:t xml:space="preserve">2002); </w:t>
      </w:r>
      <w:r>
        <w:rPr>
          <w:rFonts w:ascii="David" w:hAnsi="David" w:hint="cs"/>
          <w:sz w:val="28"/>
          <w:rtl/>
        </w:rPr>
        <w:t>ו</w:t>
      </w:r>
      <w:r w:rsidR="00E40F37" w:rsidRPr="00B36D8A">
        <w:rPr>
          <w:rFonts w:ascii="David" w:hAnsi="David"/>
          <w:sz w:val="28"/>
          <w:rtl/>
        </w:rPr>
        <w:t>ראו גם</w:t>
      </w:r>
      <w:r w:rsidR="00E40F37" w:rsidRPr="00B36D8A">
        <w:rPr>
          <w:rFonts w:ascii="David" w:hAnsi="David" w:hint="cs"/>
          <w:sz w:val="28"/>
          <w:rtl/>
        </w:rPr>
        <w:t>:</w:t>
      </w:r>
      <w:r w:rsidR="00E40F37" w:rsidRPr="00B36D8A">
        <w:rPr>
          <w:rFonts w:ascii="David" w:hAnsi="David"/>
          <w:sz w:val="28"/>
          <w:rtl/>
        </w:rPr>
        <w:t xml:space="preserve"> ע"פ 4430/14 </w:t>
      </w:r>
      <w:r w:rsidR="00E40F37" w:rsidRPr="00B36D8A">
        <w:rPr>
          <w:rFonts w:ascii="David" w:hAnsi="David"/>
          <w:b/>
          <w:bCs/>
          <w:sz w:val="28"/>
          <w:rtl/>
        </w:rPr>
        <w:t>חדשות 10 בע"מ נ' פלונית</w:t>
      </w:r>
      <w:r w:rsidR="00012A40" w:rsidRPr="00B36D8A">
        <w:rPr>
          <w:rFonts w:ascii="David" w:hAnsi="David" w:hint="cs"/>
          <w:sz w:val="28"/>
          <w:rtl/>
        </w:rPr>
        <w:t>, פסקה</w:t>
      </w:r>
      <w:r w:rsidR="00012A40" w:rsidRPr="00B36D8A">
        <w:rPr>
          <w:rFonts w:ascii="David" w:hAnsi="David" w:hint="cs"/>
          <w:b/>
          <w:bCs/>
          <w:sz w:val="28"/>
          <w:rtl/>
        </w:rPr>
        <w:t xml:space="preserve"> </w:t>
      </w:r>
      <w:r w:rsidR="00012A40" w:rsidRPr="00B36D8A">
        <w:rPr>
          <w:rFonts w:ascii="David" w:hAnsi="David" w:hint="cs"/>
          <w:sz w:val="28"/>
          <w:rtl/>
        </w:rPr>
        <w:t>11</w:t>
      </w:r>
      <w:r w:rsidR="00E40F37" w:rsidRPr="00B36D8A">
        <w:rPr>
          <w:rFonts w:ascii="David" w:hAnsi="David"/>
          <w:b/>
          <w:bCs/>
          <w:sz w:val="28"/>
          <w:rtl/>
        </w:rPr>
        <w:t xml:space="preserve"> </w:t>
      </w:r>
      <w:r w:rsidR="00E40F37" w:rsidRPr="00B36D8A">
        <w:rPr>
          <w:rFonts w:ascii="David" w:hAnsi="David"/>
          <w:sz w:val="28"/>
          <w:rtl/>
        </w:rPr>
        <w:t xml:space="preserve">(6.9.2015); </w:t>
      </w:r>
      <w:proofErr w:type="spellStart"/>
      <w:r w:rsidR="00E40F37" w:rsidRPr="00B36D8A">
        <w:rPr>
          <w:rFonts w:ascii="David" w:hAnsi="David"/>
          <w:sz w:val="28"/>
          <w:rtl/>
        </w:rPr>
        <w:t>בש"פ</w:t>
      </w:r>
      <w:proofErr w:type="spellEnd"/>
      <w:r w:rsidR="00E40F37" w:rsidRPr="00B36D8A">
        <w:rPr>
          <w:rFonts w:ascii="David" w:hAnsi="David"/>
          <w:sz w:val="28"/>
          <w:rtl/>
        </w:rPr>
        <w:t xml:space="preserve"> 3262/18 </w:t>
      </w:r>
      <w:r w:rsidR="00E40F37" w:rsidRPr="00B36D8A">
        <w:rPr>
          <w:rFonts w:ascii="David" w:hAnsi="David"/>
          <w:b/>
          <w:bCs/>
          <w:sz w:val="28"/>
          <w:rtl/>
        </w:rPr>
        <w:t>הוצאת עיתון הארץ בע"מ נ' מדינת ישראל</w:t>
      </w:r>
      <w:r w:rsidR="00B36D8A" w:rsidRPr="00B36D8A">
        <w:rPr>
          <w:rFonts w:ascii="David" w:hAnsi="David" w:hint="cs"/>
          <w:sz w:val="28"/>
          <w:rtl/>
        </w:rPr>
        <w:t>, פסקה</w:t>
      </w:r>
      <w:r w:rsidR="00B36D8A" w:rsidRPr="00B36D8A">
        <w:rPr>
          <w:rFonts w:ascii="David" w:hAnsi="David" w:hint="cs"/>
          <w:b/>
          <w:bCs/>
          <w:sz w:val="28"/>
          <w:rtl/>
        </w:rPr>
        <w:t xml:space="preserve"> </w:t>
      </w:r>
      <w:r w:rsidR="00B36D8A" w:rsidRPr="00B36D8A">
        <w:rPr>
          <w:rFonts w:ascii="David" w:hAnsi="David" w:hint="cs"/>
          <w:sz w:val="28"/>
          <w:rtl/>
        </w:rPr>
        <w:t>6</w:t>
      </w:r>
      <w:r w:rsidR="00B36D8A" w:rsidRPr="00B36D8A">
        <w:rPr>
          <w:rFonts w:ascii="David" w:hAnsi="David" w:hint="cs"/>
          <w:b/>
          <w:bCs/>
          <w:sz w:val="28"/>
          <w:rtl/>
        </w:rPr>
        <w:t xml:space="preserve"> </w:t>
      </w:r>
      <w:r w:rsidR="00E40F37" w:rsidRPr="00B36D8A">
        <w:rPr>
          <w:rFonts w:ascii="David" w:hAnsi="David"/>
          <w:sz w:val="28"/>
          <w:rtl/>
        </w:rPr>
        <w:t>(24.5.2018)</w:t>
      </w:r>
      <w:r w:rsidR="00003060">
        <w:rPr>
          <w:rFonts w:ascii="David" w:hAnsi="David" w:hint="cs"/>
          <w:sz w:val="28"/>
          <w:rtl/>
        </w:rPr>
        <w:t xml:space="preserve">; </w:t>
      </w:r>
      <w:r w:rsidR="00003060" w:rsidRPr="00003060">
        <w:rPr>
          <w:rFonts w:ascii="David" w:hAnsi="David" w:hint="cs"/>
          <w:b/>
          <w:bCs/>
          <w:sz w:val="28"/>
          <w:rtl/>
        </w:rPr>
        <w:t>ב"ש</w:t>
      </w:r>
      <w:r w:rsidR="00003060">
        <w:rPr>
          <w:rFonts w:ascii="David" w:hAnsi="David" w:hint="cs"/>
          <w:b/>
          <w:bCs/>
          <w:sz w:val="28"/>
          <w:rtl/>
        </w:rPr>
        <w:t xml:space="preserve"> 60891-04-25</w:t>
      </w:r>
      <w:r w:rsidR="00003060" w:rsidRPr="00003060">
        <w:rPr>
          <w:rFonts w:ascii="David" w:hAnsi="David" w:hint="cs"/>
          <w:b/>
          <w:bCs/>
          <w:sz w:val="28"/>
          <w:rtl/>
        </w:rPr>
        <w:t xml:space="preserve"> רז נ</w:t>
      </w:r>
      <w:r w:rsidR="00003060">
        <w:rPr>
          <w:rFonts w:ascii="David" w:hAnsi="David" w:hint="cs"/>
          <w:b/>
          <w:bCs/>
          <w:sz w:val="28"/>
          <w:rtl/>
        </w:rPr>
        <w:t>'</w:t>
      </w:r>
      <w:r w:rsidR="00003060" w:rsidRPr="00003060">
        <w:rPr>
          <w:rFonts w:ascii="David" w:hAnsi="David" w:hint="cs"/>
          <w:b/>
          <w:bCs/>
          <w:sz w:val="28"/>
          <w:rtl/>
        </w:rPr>
        <w:t xml:space="preserve"> התובע הצבאי הראשי</w:t>
      </w:r>
      <w:r w:rsidR="00003060">
        <w:rPr>
          <w:rFonts w:ascii="David" w:hAnsi="David" w:hint="cs"/>
          <w:sz w:val="28"/>
          <w:rtl/>
        </w:rPr>
        <w:t>, פסקה 8 (2025)</w:t>
      </w:r>
      <w:r w:rsidR="0094283B">
        <w:rPr>
          <w:rFonts w:hint="cs"/>
          <w:rtl/>
        </w:rPr>
        <w:t>;</w:t>
      </w:r>
      <w:r w:rsidR="0094283B" w:rsidRPr="0094283B">
        <w:rPr>
          <w:rFonts w:hint="cs"/>
          <w:rtl/>
        </w:rPr>
        <w:t xml:space="preserve"> </w:t>
      </w:r>
      <w:r w:rsidR="0094283B" w:rsidRPr="0094283B">
        <w:rPr>
          <w:rFonts w:ascii="David" w:hAnsi="David" w:hint="cs"/>
          <w:sz w:val="28"/>
          <w:rtl/>
        </w:rPr>
        <w:t xml:space="preserve">ב"ש 131/03 </w:t>
      </w:r>
      <w:proofErr w:type="spellStart"/>
      <w:r w:rsidR="0094283B" w:rsidRPr="0094283B">
        <w:rPr>
          <w:rFonts w:ascii="David" w:hAnsi="David" w:hint="cs"/>
          <w:b/>
          <w:bCs/>
          <w:sz w:val="28"/>
          <w:rtl/>
        </w:rPr>
        <w:t>חסארמה</w:t>
      </w:r>
      <w:proofErr w:type="spellEnd"/>
      <w:r w:rsidR="0094283B" w:rsidRPr="0094283B">
        <w:rPr>
          <w:rFonts w:ascii="David" w:hAnsi="David" w:hint="cs"/>
          <w:b/>
          <w:bCs/>
          <w:sz w:val="28"/>
          <w:rtl/>
        </w:rPr>
        <w:t xml:space="preserve"> נ' התובע הצבאי הראשי</w:t>
      </w:r>
      <w:r w:rsidR="0094283B" w:rsidRPr="0094283B">
        <w:rPr>
          <w:rFonts w:ascii="David" w:hAnsi="David" w:hint="cs"/>
          <w:sz w:val="28"/>
          <w:rtl/>
        </w:rPr>
        <w:t>, פסקה 9 (2004))</w:t>
      </w:r>
      <w:r w:rsidR="0094283B" w:rsidRPr="0094283B">
        <w:rPr>
          <w:rFonts w:ascii="David" w:hAnsi="David"/>
          <w:sz w:val="28"/>
          <w:rtl/>
        </w:rPr>
        <w:t>.</w:t>
      </w:r>
    </w:p>
    <w:p w14:paraId="36AB2411" w14:textId="3ADB4170" w:rsidR="0094283B" w:rsidRPr="00BA05F6" w:rsidRDefault="0094283B" w:rsidP="00E40F37">
      <w:pPr>
        <w:pStyle w:val="a0"/>
        <w:rPr>
          <w:sz w:val="24"/>
          <w:szCs w:val="32"/>
          <w:rtl/>
        </w:rPr>
      </w:pPr>
    </w:p>
    <w:p w14:paraId="086A2754" w14:textId="77777777" w:rsidR="00EA6361" w:rsidRPr="00BA05F6" w:rsidRDefault="00EA6361" w:rsidP="00E40F37">
      <w:pPr>
        <w:pStyle w:val="a0"/>
        <w:rPr>
          <w:sz w:val="10"/>
          <w:szCs w:val="14"/>
          <w:rtl/>
        </w:rPr>
      </w:pPr>
    </w:p>
    <w:p w14:paraId="28E010C8" w14:textId="543C04A8" w:rsidR="00CB27FD" w:rsidRPr="00E23CD5" w:rsidRDefault="00FE1F2A" w:rsidP="00E40F37">
      <w:pPr>
        <w:pStyle w:val="a0"/>
        <w:rPr>
          <w:u w:val="single"/>
          <w:rtl/>
        </w:rPr>
      </w:pPr>
      <w:r>
        <w:rPr>
          <w:rFonts w:hint="cs"/>
          <w:u w:val="single"/>
          <w:rtl/>
        </w:rPr>
        <w:t>מן הכלל אל הפרט</w:t>
      </w:r>
    </w:p>
    <w:p w14:paraId="51A7D64C" w14:textId="436BA933" w:rsidR="00FE1F2A" w:rsidRPr="00FE1F2A" w:rsidRDefault="00CB27FD" w:rsidP="00E23CD5">
      <w:pPr>
        <w:pStyle w:val="a0"/>
        <w:numPr>
          <w:ilvl w:val="0"/>
          <w:numId w:val="16"/>
        </w:numPr>
        <w:ind w:left="-58"/>
      </w:pPr>
      <w:r w:rsidRPr="00E521F8">
        <w:rPr>
          <w:rFonts w:ascii="Times New Roman" w:eastAsia="Times New Roman" w:hAnsi="Times New Roman" w:hint="cs"/>
          <w:rtl/>
        </w:rPr>
        <w:t>כ</w:t>
      </w:r>
      <w:r w:rsidR="00FE1F2A" w:rsidRPr="00E521F8">
        <w:rPr>
          <w:rFonts w:ascii="Times New Roman" w:eastAsia="Times New Roman" w:hAnsi="Times New Roman" w:hint="cs"/>
          <w:rtl/>
        </w:rPr>
        <w:t>אמור, בית הדין המחוזי הורה על סגירת הדלתיים במהלך שמיעת חלק מן העדים, בהתאם להוראת סעיף 324(ג)(1)</w:t>
      </w:r>
      <w:r w:rsidR="00273054">
        <w:rPr>
          <w:rFonts w:ascii="Times New Roman" w:eastAsia="Times New Roman" w:hAnsi="Times New Roman" w:hint="cs"/>
          <w:rtl/>
        </w:rPr>
        <w:t xml:space="preserve"> לחוק השיפוט הצבאי</w:t>
      </w:r>
      <w:r w:rsidR="00FE1F2A" w:rsidRPr="00E521F8">
        <w:rPr>
          <w:rFonts w:ascii="Times New Roman" w:eastAsia="Times New Roman" w:hAnsi="Times New Roman" w:hint="cs"/>
          <w:rtl/>
        </w:rPr>
        <w:t xml:space="preserve">, </w:t>
      </w:r>
      <w:r w:rsidRPr="00E521F8">
        <w:rPr>
          <w:rFonts w:ascii="Times New Roman" w:eastAsia="Times New Roman" w:hAnsi="Times New Roman" w:hint="cs"/>
          <w:rtl/>
        </w:rPr>
        <w:t>בשל החשש לפגיעה בביטחון המדינה.</w:t>
      </w:r>
      <w:r w:rsidR="00FE1F2A" w:rsidRPr="00E521F8">
        <w:rPr>
          <w:rFonts w:ascii="Times New Roman" w:eastAsia="Times New Roman" w:hAnsi="Times New Roman" w:hint="cs"/>
          <w:rtl/>
        </w:rPr>
        <w:t xml:space="preserve"> גם כיום, בחלוף מספר שנים, עמדתה הראשונית של התביעה הצבאית</w:t>
      </w:r>
      <w:r w:rsidR="00273054">
        <w:rPr>
          <w:rFonts w:ascii="Times New Roman" w:eastAsia="Times New Roman" w:hAnsi="Times New Roman" w:hint="cs"/>
          <w:rtl/>
        </w:rPr>
        <w:t>,</w:t>
      </w:r>
      <w:r w:rsidR="00FE1F2A" w:rsidRPr="00E521F8">
        <w:rPr>
          <w:rFonts w:ascii="Times New Roman" w:eastAsia="Times New Roman" w:hAnsi="Times New Roman" w:hint="cs"/>
          <w:rtl/>
        </w:rPr>
        <w:t xml:space="preserve"> אשר גובשה תוך היוועצות בגורמי ביטחון מידע בצה"ל ובגורמי משרד החוץ (ראו סעיף 324(ג)(2)</w:t>
      </w:r>
      <w:r w:rsidR="00273054">
        <w:rPr>
          <w:rFonts w:ascii="Times New Roman" w:eastAsia="Times New Roman" w:hAnsi="Times New Roman" w:hint="cs"/>
          <w:rtl/>
        </w:rPr>
        <w:t xml:space="preserve"> לחוק</w:t>
      </w:r>
      <w:r w:rsidR="00FE1F2A" w:rsidRPr="00E521F8">
        <w:rPr>
          <w:rFonts w:ascii="Times New Roman" w:eastAsia="Times New Roman" w:hAnsi="Times New Roman" w:hint="cs"/>
          <w:rtl/>
        </w:rPr>
        <w:t>)</w:t>
      </w:r>
      <w:r w:rsidR="00EA6361">
        <w:rPr>
          <w:rFonts w:ascii="Times New Roman" w:eastAsia="Times New Roman" w:hAnsi="Times New Roman" w:hint="cs"/>
          <w:rtl/>
        </w:rPr>
        <w:t>,</w:t>
      </w:r>
      <w:r w:rsidR="00FE1F2A" w:rsidRPr="00E521F8">
        <w:rPr>
          <w:rFonts w:ascii="Times New Roman" w:eastAsia="Times New Roman" w:hAnsi="Times New Roman" w:hint="cs"/>
          <w:rtl/>
        </w:rPr>
        <w:t xml:space="preserve"> הייתה כי </w:t>
      </w:r>
      <w:r w:rsidR="008D155D">
        <w:rPr>
          <w:rFonts w:ascii="Times New Roman" w:eastAsia="Times New Roman" w:hAnsi="Times New Roman" w:hint="cs"/>
          <w:rtl/>
        </w:rPr>
        <w:t xml:space="preserve">אין להתיר עיון </w:t>
      </w:r>
      <w:r w:rsidR="00832E6A">
        <w:rPr>
          <w:rFonts w:ascii="Times New Roman" w:eastAsia="Times New Roman" w:hAnsi="Times New Roman" w:hint="cs"/>
          <w:rtl/>
        </w:rPr>
        <w:t xml:space="preserve">בפרוטוקולים של העדויות שנשמעו בדלתיים סגורות. </w:t>
      </w:r>
      <w:r w:rsidR="00E521F8">
        <w:rPr>
          <w:rFonts w:ascii="Times New Roman" w:eastAsia="Times New Roman" w:hAnsi="Times New Roman" w:hint="cs"/>
          <w:rtl/>
        </w:rPr>
        <w:t xml:space="preserve">יחד </w:t>
      </w:r>
      <w:r w:rsidR="00FE1F2A" w:rsidRPr="00E521F8">
        <w:rPr>
          <w:rFonts w:ascii="Times New Roman" w:eastAsia="Times New Roman" w:hAnsi="Times New Roman" w:hint="cs"/>
          <w:rtl/>
        </w:rPr>
        <w:t>עם זאת, בעקבות הערותיי בדיון, נדרשו גורמי ביטחון מידע ונציגי משרד החוץ לבחינה נוספת של עמדותיהם ואכן, בהתייחסות מעודכנת</w:t>
      </w:r>
      <w:r w:rsidR="008D155D">
        <w:rPr>
          <w:rFonts w:ascii="Times New Roman" w:eastAsia="Times New Roman" w:hAnsi="Times New Roman" w:hint="cs"/>
          <w:rtl/>
        </w:rPr>
        <w:t xml:space="preserve"> ומנומקת שהועברה לעיוני</w:t>
      </w:r>
      <w:r w:rsidR="00FE1F2A" w:rsidRPr="00E521F8">
        <w:rPr>
          <w:rFonts w:ascii="Times New Roman" w:eastAsia="Times New Roman" w:hAnsi="Times New Roman" w:hint="cs"/>
          <w:rtl/>
        </w:rPr>
        <w:t xml:space="preserve">, נותרה התנגדות </w:t>
      </w:r>
      <w:r w:rsidR="00FE1F2A" w:rsidRPr="00832E6A">
        <w:rPr>
          <w:rFonts w:ascii="Times New Roman" w:eastAsia="Times New Roman" w:hAnsi="Times New Roman" w:hint="cs"/>
          <w:b/>
          <w:bCs/>
          <w:rtl/>
        </w:rPr>
        <w:t>מצומצמת מאד</w:t>
      </w:r>
      <w:r w:rsidR="00273054">
        <w:rPr>
          <w:rFonts w:ascii="Times New Roman" w:eastAsia="Times New Roman" w:hAnsi="Times New Roman" w:hint="cs"/>
          <w:rtl/>
        </w:rPr>
        <w:t>, מטעמי שמירה על ביטחון המדינה,</w:t>
      </w:r>
      <w:r w:rsidR="00FE1F2A" w:rsidRPr="00E521F8">
        <w:rPr>
          <w:rFonts w:ascii="Times New Roman" w:eastAsia="Times New Roman" w:hAnsi="Times New Roman" w:hint="cs"/>
          <w:rtl/>
        </w:rPr>
        <w:t xml:space="preserve"> ביחס </w:t>
      </w:r>
      <w:r w:rsidR="00FE1F2A" w:rsidRPr="00832E6A">
        <w:rPr>
          <w:rFonts w:ascii="Times New Roman" w:eastAsia="Times New Roman" w:hAnsi="Times New Roman" w:hint="cs"/>
          <w:b/>
          <w:bCs/>
          <w:rtl/>
        </w:rPr>
        <w:t>למספר מועט של פרטים</w:t>
      </w:r>
      <w:r w:rsidR="00FE1F2A" w:rsidRPr="00E521F8">
        <w:rPr>
          <w:rFonts w:ascii="Times New Roman" w:eastAsia="Times New Roman" w:hAnsi="Times New Roman" w:hint="cs"/>
          <w:rtl/>
        </w:rPr>
        <w:t xml:space="preserve"> מתוך העדויות שנשמעו בדלתיים סגורות. </w:t>
      </w:r>
    </w:p>
    <w:p w14:paraId="44ABBA76" w14:textId="0E89CD01" w:rsidR="008D155D" w:rsidRPr="008D155D" w:rsidRDefault="00FE1F2A" w:rsidP="00273054">
      <w:pPr>
        <w:pStyle w:val="a0"/>
        <w:numPr>
          <w:ilvl w:val="0"/>
          <w:numId w:val="16"/>
        </w:numPr>
        <w:ind w:left="-58"/>
        <w:rPr>
          <w:rFonts w:ascii="Times New Roman" w:eastAsia="Times New Roman" w:hAnsi="Times New Roman"/>
          <w:rtl/>
        </w:rPr>
      </w:pPr>
      <w:r>
        <w:rPr>
          <w:rFonts w:ascii="Times New Roman" w:eastAsia="Times New Roman" w:hAnsi="Times New Roman" w:hint="cs"/>
          <w:rtl/>
        </w:rPr>
        <w:t xml:space="preserve">לאחר </w:t>
      </w:r>
      <w:r w:rsidR="008D155D">
        <w:rPr>
          <w:rFonts w:ascii="Times New Roman" w:eastAsia="Times New Roman" w:hAnsi="Times New Roman" w:hint="cs"/>
          <w:rtl/>
        </w:rPr>
        <w:t>עיון בפרוטוקולים המבוקשים ו</w:t>
      </w:r>
      <w:r>
        <w:rPr>
          <w:rFonts w:ascii="Times New Roman" w:eastAsia="Times New Roman" w:hAnsi="Times New Roman" w:hint="cs"/>
          <w:rtl/>
        </w:rPr>
        <w:t>בחינת עמדתם העדכנית של גורמי ביטחון מידע</w:t>
      </w:r>
      <w:r w:rsidR="008D155D">
        <w:rPr>
          <w:rFonts w:ascii="Times New Roman" w:eastAsia="Times New Roman" w:hAnsi="Times New Roman" w:hint="cs"/>
          <w:rtl/>
        </w:rPr>
        <w:t xml:space="preserve"> והנימוקים שפורטו בה</w:t>
      </w:r>
      <w:r>
        <w:rPr>
          <w:rFonts w:ascii="Times New Roman" w:eastAsia="Times New Roman" w:hAnsi="Times New Roman" w:hint="cs"/>
          <w:rtl/>
        </w:rPr>
        <w:t>,</w:t>
      </w:r>
      <w:r w:rsidR="008D155D">
        <w:rPr>
          <w:rFonts w:ascii="Times New Roman" w:eastAsia="Times New Roman" w:hAnsi="Times New Roman" w:hint="cs"/>
          <w:rtl/>
        </w:rPr>
        <w:t xml:space="preserve"> סברתי כי </w:t>
      </w:r>
      <w:r w:rsidR="008D155D" w:rsidRPr="00832E6A">
        <w:rPr>
          <w:rFonts w:ascii="Times New Roman" w:eastAsia="Times New Roman" w:hAnsi="Times New Roman" w:hint="cs"/>
          <w:b/>
          <w:bCs/>
          <w:rtl/>
        </w:rPr>
        <w:t xml:space="preserve">החשש לפגיעה בביטחון המדינה הכרוך בחשיפת הפרטים שנותרו, אכן </w:t>
      </w:r>
      <w:r w:rsidR="00832E6A" w:rsidRPr="00832E6A">
        <w:rPr>
          <w:rFonts w:ascii="Times New Roman" w:eastAsia="Times New Roman" w:hAnsi="Times New Roman" w:hint="cs"/>
          <w:b/>
          <w:bCs/>
          <w:rtl/>
        </w:rPr>
        <w:t>שריר וקיים</w:t>
      </w:r>
      <w:r w:rsidR="00273054">
        <w:rPr>
          <w:rFonts w:ascii="Times New Roman" w:eastAsia="Times New Roman" w:hAnsi="Times New Roman" w:hint="cs"/>
          <w:rtl/>
        </w:rPr>
        <w:t>.</w:t>
      </w:r>
      <w:r w:rsidR="00273054" w:rsidDel="00273054">
        <w:rPr>
          <w:rFonts w:ascii="Times New Roman" w:eastAsia="Times New Roman" w:hAnsi="Times New Roman" w:hint="cs"/>
          <w:rtl/>
        </w:rPr>
        <w:t xml:space="preserve"> </w:t>
      </w:r>
    </w:p>
    <w:p w14:paraId="79C6A3EE" w14:textId="5559C9BD" w:rsidR="00697661" w:rsidRDefault="00EA6361" w:rsidP="00697661">
      <w:pPr>
        <w:pStyle w:val="a0"/>
        <w:numPr>
          <w:ilvl w:val="0"/>
          <w:numId w:val="16"/>
        </w:numPr>
        <w:rPr>
          <w:rtl/>
        </w:rPr>
      </w:pPr>
      <w:r>
        <w:rPr>
          <w:rFonts w:hint="cs"/>
          <w:rtl/>
        </w:rPr>
        <w:t xml:space="preserve">בשלב הבא, כאמור, יש לדון בשאלת </w:t>
      </w:r>
      <w:r w:rsidR="0024507A">
        <w:rPr>
          <w:rFonts w:hint="cs"/>
          <w:rtl/>
        </w:rPr>
        <w:t>ה</w:t>
      </w:r>
      <w:r w:rsidR="0024507A" w:rsidRPr="0024507A">
        <w:rPr>
          <w:rtl/>
        </w:rPr>
        <w:t xml:space="preserve">איזון </w:t>
      </w:r>
      <w:r>
        <w:rPr>
          <w:rFonts w:hint="cs"/>
          <w:rtl/>
        </w:rPr>
        <w:t xml:space="preserve">הראוי, בהתאם להלכה הפסוקה, </w:t>
      </w:r>
      <w:r w:rsidR="0024507A" w:rsidRPr="0024507A">
        <w:rPr>
          <w:rtl/>
        </w:rPr>
        <w:t xml:space="preserve">בין עיקרון הפומביות </w:t>
      </w:r>
      <w:r w:rsidR="00697661">
        <w:rPr>
          <w:rFonts w:hint="cs"/>
          <w:rtl/>
        </w:rPr>
        <w:t>לבין ה</w:t>
      </w:r>
      <w:r w:rsidR="0024507A" w:rsidRPr="0024507A">
        <w:rPr>
          <w:rtl/>
        </w:rPr>
        <w:t>חשש לפגיעה בביטחון המדינה</w:t>
      </w:r>
      <w:r>
        <w:rPr>
          <w:rFonts w:hint="cs"/>
          <w:rtl/>
        </w:rPr>
        <w:t xml:space="preserve">. מענה לשאלה זו יינתן </w:t>
      </w:r>
      <w:r w:rsidR="00697661">
        <w:rPr>
          <w:rFonts w:hint="cs"/>
          <w:rtl/>
        </w:rPr>
        <w:t xml:space="preserve">תוך בחינה מדוקדקת </w:t>
      </w:r>
      <w:r>
        <w:rPr>
          <w:rFonts w:hint="cs"/>
          <w:rtl/>
        </w:rPr>
        <w:lastRenderedPageBreak/>
        <w:t xml:space="preserve">וזהירה </w:t>
      </w:r>
      <w:r w:rsidR="00697661">
        <w:rPr>
          <w:rFonts w:hint="cs"/>
          <w:rtl/>
        </w:rPr>
        <w:t xml:space="preserve">של נימוקי הבקשה שלפניי אל מול טיבו הכללי והפרטני כאחד של החשש לפגיעה בביטחון המדינה. </w:t>
      </w:r>
      <w:r>
        <w:rPr>
          <w:rFonts w:hint="cs"/>
          <w:rtl/>
        </w:rPr>
        <w:t xml:space="preserve">כך, </w:t>
      </w:r>
      <w:r w:rsidR="00697661">
        <w:rPr>
          <w:rFonts w:hint="cs"/>
          <w:rtl/>
        </w:rPr>
        <w:t xml:space="preserve">בהקשר דומה, </w:t>
      </w:r>
      <w:r>
        <w:rPr>
          <w:rFonts w:hint="cs"/>
          <w:rtl/>
        </w:rPr>
        <w:t xml:space="preserve">הוטעם </w:t>
      </w:r>
      <w:r w:rsidR="00697661">
        <w:rPr>
          <w:rFonts w:hint="cs"/>
          <w:rtl/>
        </w:rPr>
        <w:t>כי:</w:t>
      </w:r>
      <w:r w:rsidR="00697661">
        <w:rPr>
          <w:rFonts w:hint="cs"/>
        </w:rPr>
        <w:t xml:space="preserve"> </w:t>
      </w:r>
    </w:p>
    <w:p w14:paraId="1451B49C" w14:textId="68A86177" w:rsidR="00697661" w:rsidRDefault="00697661" w:rsidP="00E40C34">
      <w:pPr>
        <w:pStyle w:val="a0"/>
        <w:spacing w:line="240" w:lineRule="auto"/>
        <w:ind w:left="706" w:right="709"/>
        <w:rPr>
          <w:rtl/>
        </w:rPr>
      </w:pPr>
      <w:r w:rsidRPr="00697661">
        <w:rPr>
          <w:rtl/>
        </w:rPr>
        <w:t>"תוצאת האיזון בין פומביות הדיון לבין בטחון המדינה אינה ניתנת לקביעה מראש שכן היא תלויה בהערכת מידת הסיכון לביטחון ומידת ההסתברות שפגיעה כזו תתרחש בנסיבות העניין. לפיכך, התוצאה באשר לנקודת האיזון הראויה, נגזרת מנסיבותיו של כל מקרה לגופו. יודגש כי נוכח חשיבותו של עקרון פומביות הדיון, לא ניתן להסתפק בהערכה כוללנית וגורפת של הסיכון לביטחון הציבור הנשענת על טיבן הכללי של הסוגיות הנדונות. בהקשר זה, נדרשת בדיקה קונקרטית ופרטנית של נסיבות העניין על-מנת להכריע האם מתקיימת הצדקה לסטייה מהכלל בדבר פומביות הדיון"</w:t>
      </w:r>
      <w:r>
        <w:rPr>
          <w:rFonts w:hint="cs"/>
          <w:rtl/>
        </w:rPr>
        <w:t xml:space="preserve"> (דבריה של </w:t>
      </w:r>
      <w:r w:rsidRPr="00697661">
        <w:rPr>
          <w:rtl/>
        </w:rPr>
        <w:t xml:space="preserve">הנשיאה בייניש </w:t>
      </w:r>
      <w:r w:rsidR="00EA6361">
        <w:rPr>
          <w:rFonts w:hint="cs"/>
          <w:rtl/>
        </w:rPr>
        <w:t xml:space="preserve">(כתוארה אז) </w:t>
      </w:r>
      <w:r w:rsidRPr="00697661">
        <w:rPr>
          <w:rtl/>
        </w:rPr>
        <w:t xml:space="preserve">בבג"ץ 258/07 </w:t>
      </w:r>
      <w:r w:rsidRPr="00697661">
        <w:rPr>
          <w:b/>
          <w:bCs/>
          <w:rtl/>
        </w:rPr>
        <w:t xml:space="preserve">ח"כ זהבה גלאון נ' ועדת הבדיקה הממשלתית לבדיקת </w:t>
      </w:r>
      <w:proofErr w:type="spellStart"/>
      <w:r w:rsidRPr="00697661">
        <w:rPr>
          <w:b/>
          <w:bCs/>
          <w:rtl/>
        </w:rPr>
        <w:t>ארועי</w:t>
      </w:r>
      <w:proofErr w:type="spellEnd"/>
      <w:r w:rsidRPr="00697661">
        <w:rPr>
          <w:b/>
          <w:bCs/>
          <w:rtl/>
        </w:rPr>
        <w:t xml:space="preserve"> המערכה בלבנון 2006</w:t>
      </w:r>
      <w:r>
        <w:rPr>
          <w:rFonts w:hint="cs"/>
          <w:rtl/>
        </w:rPr>
        <w:t>,</w:t>
      </w:r>
      <w:r w:rsidRPr="00697661">
        <w:rPr>
          <w:rtl/>
        </w:rPr>
        <w:t xml:space="preserve"> פסקה 8 (6.2.2007)</w:t>
      </w:r>
      <w:r w:rsidR="00982A99">
        <w:rPr>
          <w:rFonts w:hint="cs"/>
          <w:rtl/>
        </w:rPr>
        <w:t>;</w:t>
      </w:r>
      <w:r w:rsidR="00273054">
        <w:rPr>
          <w:rFonts w:hint="cs"/>
          <w:rtl/>
        </w:rPr>
        <w:t xml:space="preserve"> ראו גם </w:t>
      </w:r>
      <w:r w:rsidR="00273054">
        <w:rPr>
          <w:rFonts w:ascii="Times New Roman" w:eastAsia="Times New Roman" w:hAnsi="Times New Roman" w:hint="cs"/>
          <w:rtl/>
        </w:rPr>
        <w:t xml:space="preserve">בג"ץ 15/19 </w:t>
      </w:r>
      <w:r w:rsidR="00273054">
        <w:rPr>
          <w:rFonts w:ascii="Times New Roman" w:eastAsia="Times New Roman" w:hAnsi="Times New Roman" w:hint="cs"/>
          <w:b/>
          <w:bCs/>
          <w:rtl/>
        </w:rPr>
        <w:t>ד"ר חזקני נ' ראש שירות הביטחון הכללי</w:t>
      </w:r>
      <w:r w:rsidR="00273054">
        <w:rPr>
          <w:rFonts w:ascii="Times New Roman" w:eastAsia="Times New Roman" w:hAnsi="Times New Roman" w:hint="cs"/>
          <w:rtl/>
        </w:rPr>
        <w:t>, פסקה 13 (6.4.2021)</w:t>
      </w:r>
      <w:r>
        <w:rPr>
          <w:rFonts w:hint="cs"/>
          <w:rtl/>
        </w:rPr>
        <w:t xml:space="preserve">). </w:t>
      </w:r>
    </w:p>
    <w:p w14:paraId="1402EA87" w14:textId="1D8A8543" w:rsidR="00697661" w:rsidRDefault="00697661" w:rsidP="00697661">
      <w:pPr>
        <w:pStyle w:val="a0"/>
        <w:ind w:left="-58"/>
      </w:pPr>
    </w:p>
    <w:p w14:paraId="2A02D82E" w14:textId="3097CD24" w:rsidR="00697661" w:rsidRDefault="00697661" w:rsidP="00473847">
      <w:pPr>
        <w:pStyle w:val="a0"/>
        <w:numPr>
          <w:ilvl w:val="0"/>
          <w:numId w:val="16"/>
        </w:numPr>
        <w:ind w:left="-58"/>
        <w:rPr>
          <w:rFonts w:ascii="David" w:hAnsi="David"/>
          <w:sz w:val="28"/>
        </w:rPr>
      </w:pPr>
      <w:r>
        <w:rPr>
          <w:rFonts w:hint="cs"/>
          <w:rtl/>
        </w:rPr>
        <w:t xml:space="preserve">בראי </w:t>
      </w:r>
      <w:r w:rsidR="00DB1D03">
        <w:rPr>
          <w:rFonts w:hint="cs"/>
          <w:rtl/>
        </w:rPr>
        <w:t xml:space="preserve">מעמדו הרם של </w:t>
      </w:r>
      <w:r>
        <w:rPr>
          <w:rFonts w:hint="cs"/>
          <w:rtl/>
        </w:rPr>
        <w:t xml:space="preserve">עיקרון פומביות הדיון ונימוקי הבקשה שלפניי, </w:t>
      </w:r>
      <w:r w:rsidR="00273054">
        <w:rPr>
          <w:rFonts w:hint="cs"/>
          <w:rtl/>
        </w:rPr>
        <w:t xml:space="preserve">אל מול הפרטים </w:t>
      </w:r>
      <w:r w:rsidR="00273054">
        <w:rPr>
          <w:rFonts w:hint="cs"/>
          <w:b/>
          <w:bCs/>
          <w:rtl/>
        </w:rPr>
        <w:t xml:space="preserve">המצומצמים </w:t>
      </w:r>
      <w:r w:rsidR="00273054">
        <w:rPr>
          <w:rFonts w:hint="cs"/>
          <w:rtl/>
        </w:rPr>
        <w:t xml:space="preserve">שלגביהם נותר החשש לפגיעה בביטחון המדינה, מצאתי </w:t>
      </w:r>
      <w:r>
        <w:rPr>
          <w:rFonts w:hint="cs"/>
          <w:rtl/>
        </w:rPr>
        <w:t xml:space="preserve">כי האיזון שלפיו יותר </w:t>
      </w:r>
      <w:r>
        <w:rPr>
          <w:rFonts w:ascii="David" w:hAnsi="David" w:hint="cs"/>
          <w:sz w:val="28"/>
          <w:rtl/>
        </w:rPr>
        <w:t xml:space="preserve">למבקש לעיין בכלל הפרוטוקולים בתיק, לרבות אלו שנרשמו בדלתיים סגורות, בכפוף להשחרת הפרטים שחשיפתם עלולה לגרום לפגיעה בביטחון המדינה </w:t>
      </w:r>
      <w:r>
        <w:rPr>
          <w:rFonts w:ascii="David" w:hAnsi="David"/>
          <w:sz w:val="28"/>
          <w:rtl/>
        </w:rPr>
        <w:t>–</w:t>
      </w:r>
      <w:r>
        <w:rPr>
          <w:rFonts w:ascii="David" w:hAnsi="David" w:hint="cs"/>
          <w:sz w:val="28"/>
          <w:rtl/>
        </w:rPr>
        <w:t xml:space="preserve"> ראוי ומידתי</w:t>
      </w:r>
      <w:r w:rsidR="00DB1D03">
        <w:rPr>
          <w:rFonts w:ascii="David" w:hAnsi="David" w:hint="cs"/>
          <w:sz w:val="28"/>
          <w:rtl/>
        </w:rPr>
        <w:t xml:space="preserve">. </w:t>
      </w:r>
    </w:p>
    <w:p w14:paraId="7A1318EF" w14:textId="37D19865" w:rsidR="00E40F37" w:rsidRPr="00B13FD0" w:rsidRDefault="00697661" w:rsidP="00D95AEB">
      <w:pPr>
        <w:pStyle w:val="ListParagraph"/>
        <w:numPr>
          <w:ilvl w:val="0"/>
          <w:numId w:val="16"/>
        </w:numPr>
        <w:spacing w:after="160" w:line="360" w:lineRule="auto"/>
        <w:jc w:val="both"/>
        <w:rPr>
          <w:rFonts w:ascii="David" w:hAnsi="David" w:cs="David"/>
          <w:sz w:val="28"/>
          <w:szCs w:val="28"/>
        </w:rPr>
      </w:pPr>
      <w:r>
        <w:rPr>
          <w:rFonts w:ascii="David" w:hAnsi="David" w:cs="David" w:hint="cs"/>
          <w:sz w:val="28"/>
          <w:szCs w:val="28"/>
          <w:rtl/>
        </w:rPr>
        <w:t xml:space="preserve">אשר על כן, בהתאם להוראת </w:t>
      </w:r>
      <w:r w:rsidR="00E40F37">
        <w:rPr>
          <w:rFonts w:ascii="David" w:hAnsi="David" w:cs="David" w:hint="cs"/>
          <w:sz w:val="28"/>
          <w:szCs w:val="28"/>
          <w:rtl/>
        </w:rPr>
        <w:t>סעיף 325(ב) לחוק השיפוט הצבאי</w:t>
      </w:r>
      <w:r w:rsidR="00526995">
        <w:rPr>
          <w:rFonts w:ascii="David" w:hAnsi="David" w:cs="David" w:hint="cs"/>
          <w:sz w:val="28"/>
          <w:szCs w:val="28"/>
          <w:rtl/>
        </w:rPr>
        <w:t xml:space="preserve"> </w:t>
      </w:r>
      <w:r w:rsidR="00526995" w:rsidRPr="00526995">
        <w:rPr>
          <w:rFonts w:ascii="David" w:hAnsi="David" w:cs="David" w:hint="cs"/>
          <w:sz w:val="28"/>
          <w:szCs w:val="28"/>
          <w:rtl/>
        </w:rPr>
        <w:t>ו</w:t>
      </w:r>
      <w:r w:rsidR="00526995">
        <w:rPr>
          <w:rFonts w:ascii="David" w:hAnsi="David" w:cs="David" w:hint="cs"/>
          <w:sz w:val="28"/>
          <w:szCs w:val="28"/>
          <w:rtl/>
        </w:rPr>
        <w:t xml:space="preserve">ברוח </w:t>
      </w:r>
      <w:r w:rsidR="00526995" w:rsidRPr="00526995">
        <w:rPr>
          <w:rFonts w:ascii="David" w:hAnsi="David" w:cs="David" w:hint="cs"/>
          <w:sz w:val="28"/>
          <w:szCs w:val="28"/>
          <w:rtl/>
        </w:rPr>
        <w:t>תקנות בתי המשפט ובתי הדין לעבודה (עיון בתיקים)</w:t>
      </w:r>
      <w:r w:rsidR="004E1EFD" w:rsidRPr="004E1EFD">
        <w:rPr>
          <w:rFonts w:ascii="David" w:hAnsi="David" w:cs="David" w:hint="cs"/>
          <w:sz w:val="28"/>
          <w:szCs w:val="28"/>
          <w:rtl/>
        </w:rPr>
        <w:t xml:space="preserve">, התשס"ג-2003 </w:t>
      </w:r>
      <w:r w:rsidR="004E1EFD">
        <w:rPr>
          <w:rFonts w:ascii="David" w:hAnsi="David" w:cs="David" w:hint="cs"/>
          <w:sz w:val="28"/>
          <w:szCs w:val="28"/>
          <w:rtl/>
        </w:rPr>
        <w:t>(למעמד</w:t>
      </w:r>
      <w:r w:rsidR="00982A99">
        <w:rPr>
          <w:rFonts w:ascii="David" w:hAnsi="David" w:cs="David" w:hint="cs"/>
          <w:sz w:val="28"/>
          <w:szCs w:val="28"/>
          <w:rtl/>
        </w:rPr>
        <w:t xml:space="preserve">ן של התקנות </w:t>
      </w:r>
      <w:r w:rsidR="004E1EFD">
        <w:rPr>
          <w:rFonts w:ascii="David" w:hAnsi="David" w:cs="David" w:hint="cs"/>
          <w:sz w:val="28"/>
          <w:szCs w:val="28"/>
          <w:rtl/>
        </w:rPr>
        <w:t xml:space="preserve">בפסיקת בתי הדין הצבאיים, ראו עניין </w:t>
      </w:r>
      <w:proofErr w:type="spellStart"/>
      <w:r w:rsidR="004E1EFD" w:rsidRPr="004E1EFD">
        <w:rPr>
          <w:rFonts w:ascii="David" w:hAnsi="David" w:cs="David" w:hint="cs"/>
          <w:b/>
          <w:bCs/>
          <w:sz w:val="28"/>
          <w:szCs w:val="28"/>
          <w:rtl/>
        </w:rPr>
        <w:t>חסארמה</w:t>
      </w:r>
      <w:proofErr w:type="spellEnd"/>
      <w:r w:rsidR="004E1EFD">
        <w:rPr>
          <w:rFonts w:ascii="David" w:hAnsi="David" w:cs="David" w:hint="cs"/>
          <w:sz w:val="28"/>
          <w:szCs w:val="28"/>
          <w:rtl/>
        </w:rPr>
        <w:t xml:space="preserve"> לעיל</w:t>
      </w:r>
      <w:r w:rsidR="00E40F37">
        <w:rPr>
          <w:rFonts w:ascii="David" w:hAnsi="David" w:cs="David" w:hint="cs"/>
          <w:sz w:val="28"/>
          <w:szCs w:val="28"/>
          <w:rtl/>
        </w:rPr>
        <w:t xml:space="preserve">, </w:t>
      </w:r>
      <w:r w:rsidR="004E1EFD">
        <w:rPr>
          <w:rFonts w:ascii="David" w:hAnsi="David" w:cs="David" w:hint="cs"/>
          <w:sz w:val="28"/>
          <w:szCs w:val="28"/>
          <w:rtl/>
        </w:rPr>
        <w:t xml:space="preserve">בעמ' 10) - </w:t>
      </w:r>
      <w:r w:rsidR="00526995">
        <w:rPr>
          <w:rFonts w:ascii="David" w:hAnsi="David" w:cs="David" w:hint="cs"/>
          <w:sz w:val="28"/>
          <w:szCs w:val="28"/>
          <w:rtl/>
        </w:rPr>
        <w:t xml:space="preserve">הריני להתיר </w:t>
      </w:r>
      <w:r w:rsidR="00E40F37">
        <w:rPr>
          <w:rFonts w:ascii="David" w:hAnsi="David" w:cs="David" w:hint="cs"/>
          <w:sz w:val="28"/>
          <w:szCs w:val="28"/>
          <w:rtl/>
        </w:rPr>
        <w:t xml:space="preserve">למבקש לעיין </w:t>
      </w:r>
      <w:r w:rsidR="00514DF4">
        <w:rPr>
          <w:rFonts w:ascii="David" w:hAnsi="David" w:cs="David" w:hint="cs"/>
          <w:sz w:val="28"/>
          <w:szCs w:val="28"/>
          <w:rtl/>
        </w:rPr>
        <w:t>בפרוטוקולים</w:t>
      </w:r>
      <w:r w:rsidR="00E40F37">
        <w:rPr>
          <w:rFonts w:ascii="David" w:hAnsi="David" w:cs="David" w:hint="cs"/>
          <w:sz w:val="28"/>
          <w:szCs w:val="28"/>
          <w:rtl/>
        </w:rPr>
        <w:t xml:space="preserve"> המבוקשים, למעט </w:t>
      </w:r>
      <w:r w:rsidR="00514DF4">
        <w:rPr>
          <w:rFonts w:ascii="David" w:hAnsi="David" w:cs="David" w:hint="cs"/>
          <w:sz w:val="28"/>
          <w:szCs w:val="28"/>
          <w:rtl/>
        </w:rPr>
        <w:t xml:space="preserve">החלקים </w:t>
      </w:r>
      <w:r w:rsidR="004E1EFD">
        <w:rPr>
          <w:rFonts w:ascii="David" w:hAnsi="David" w:cs="David" w:hint="cs"/>
          <w:sz w:val="28"/>
          <w:szCs w:val="28"/>
          <w:rtl/>
        </w:rPr>
        <w:t>"המושחרים"</w:t>
      </w:r>
      <w:r w:rsidR="00D95AEB">
        <w:rPr>
          <w:rFonts w:ascii="David" w:hAnsi="David" w:cs="David" w:hint="cs"/>
          <w:sz w:val="28"/>
          <w:szCs w:val="28"/>
          <w:rtl/>
        </w:rPr>
        <w:t>,</w:t>
      </w:r>
      <w:r w:rsidR="004E1EFD">
        <w:rPr>
          <w:rFonts w:ascii="David" w:hAnsi="David" w:cs="David" w:hint="cs"/>
          <w:sz w:val="28"/>
          <w:szCs w:val="28"/>
          <w:rtl/>
        </w:rPr>
        <w:t xml:space="preserve"> </w:t>
      </w:r>
      <w:r w:rsidR="00273054">
        <w:rPr>
          <w:rFonts w:ascii="David" w:hAnsi="David" w:cs="David" w:hint="cs"/>
          <w:sz w:val="28"/>
          <w:szCs w:val="28"/>
          <w:rtl/>
        </w:rPr>
        <w:t>המנויים בהתייחסותה העדכנית של התביעה, מיום</w:t>
      </w:r>
      <w:r w:rsidR="00D95AEB">
        <w:rPr>
          <w:rFonts w:ascii="David" w:hAnsi="David" w:cs="David" w:hint="cs"/>
          <w:sz w:val="28"/>
          <w:szCs w:val="28"/>
          <w:rtl/>
        </w:rPr>
        <w:t xml:space="preserve"> 30 בדצמבר 2025,</w:t>
      </w:r>
      <w:r w:rsidR="00D95AEB" w:rsidRPr="00D95AEB">
        <w:rPr>
          <w:rFonts w:ascii="David" w:eastAsiaTheme="minorHAnsi" w:hAnsi="David" w:cs="David" w:hint="cs"/>
          <w:sz w:val="28"/>
          <w:szCs w:val="28"/>
          <w:rtl/>
        </w:rPr>
        <w:t xml:space="preserve"> </w:t>
      </w:r>
      <w:r w:rsidR="00D95AEB" w:rsidRPr="00D95AEB">
        <w:rPr>
          <w:rFonts w:ascii="David" w:hAnsi="David" w:cs="David" w:hint="cs"/>
          <w:sz w:val="28"/>
          <w:szCs w:val="28"/>
          <w:rtl/>
        </w:rPr>
        <w:t>מן הטעם של שמירה על בטחון המדינה</w:t>
      </w:r>
      <w:r w:rsidR="00E40F37">
        <w:rPr>
          <w:rFonts w:ascii="David" w:hAnsi="David" w:cs="David" w:hint="cs"/>
          <w:sz w:val="28"/>
          <w:szCs w:val="28"/>
          <w:rtl/>
        </w:rPr>
        <w:t xml:space="preserve">. </w:t>
      </w:r>
      <w:r w:rsidR="00273054">
        <w:rPr>
          <w:rFonts w:ascii="David" w:hAnsi="David" w:cs="David" w:hint="cs"/>
          <w:sz w:val="28"/>
          <w:szCs w:val="28"/>
          <w:rtl/>
        </w:rPr>
        <w:t xml:space="preserve">מזכירות בית הדין הצבאי </w:t>
      </w:r>
      <w:r w:rsidR="003C1E54">
        <w:rPr>
          <w:rFonts w:ascii="David" w:hAnsi="David" w:cs="David" w:hint="cs"/>
          <w:sz w:val="28"/>
          <w:szCs w:val="28"/>
          <w:rtl/>
        </w:rPr>
        <w:t>לערעורים</w:t>
      </w:r>
      <w:r w:rsidR="00273054">
        <w:rPr>
          <w:rFonts w:ascii="David" w:hAnsi="David" w:cs="David" w:hint="cs"/>
          <w:sz w:val="28"/>
          <w:szCs w:val="28"/>
          <w:rtl/>
        </w:rPr>
        <w:t xml:space="preserve"> תוודא את העמדתו של </w:t>
      </w:r>
      <w:r w:rsidR="00982A99">
        <w:rPr>
          <w:rFonts w:ascii="David" w:hAnsi="David" w:cs="David" w:hint="cs"/>
          <w:sz w:val="28"/>
          <w:szCs w:val="28"/>
          <w:rtl/>
        </w:rPr>
        <w:t>ה</w:t>
      </w:r>
      <w:r w:rsidR="00273054">
        <w:rPr>
          <w:rFonts w:ascii="David" w:hAnsi="David" w:cs="David" w:hint="cs"/>
          <w:sz w:val="28"/>
          <w:szCs w:val="28"/>
          <w:rtl/>
        </w:rPr>
        <w:t>פרוטוקול לעיון המבקש</w:t>
      </w:r>
      <w:r w:rsidR="00982A99">
        <w:rPr>
          <w:rFonts w:ascii="David" w:hAnsi="David" w:cs="David" w:hint="cs"/>
          <w:sz w:val="28"/>
          <w:szCs w:val="28"/>
          <w:rtl/>
        </w:rPr>
        <w:t>,</w:t>
      </w:r>
      <w:r w:rsidR="00273054">
        <w:rPr>
          <w:rFonts w:ascii="David" w:hAnsi="David" w:cs="David" w:hint="cs"/>
          <w:sz w:val="28"/>
          <w:szCs w:val="28"/>
          <w:rtl/>
        </w:rPr>
        <w:t xml:space="preserve"> בהתאם.</w:t>
      </w:r>
    </w:p>
    <w:p w14:paraId="1EF230FC" w14:textId="77777777" w:rsidR="00E40F37" w:rsidRPr="00BA05F6" w:rsidRDefault="00E40F37" w:rsidP="00E40F37">
      <w:pPr>
        <w:pStyle w:val="a0"/>
        <w:rPr>
          <w:sz w:val="8"/>
          <w:szCs w:val="12"/>
          <w:rtl/>
        </w:rPr>
      </w:pPr>
    </w:p>
    <w:p w14:paraId="301B8869" w14:textId="052A644B" w:rsidR="00AB232A" w:rsidRDefault="00AB232A" w:rsidP="00E40F37">
      <w:pPr>
        <w:pStyle w:val="a0"/>
        <w:rPr>
          <w:rtl/>
        </w:rPr>
      </w:pPr>
      <w:r w:rsidRPr="00686BDA">
        <w:rPr>
          <w:rFonts w:hint="cs"/>
          <w:rtl/>
        </w:rPr>
        <w:t xml:space="preserve">ניתנה והודעה היום, </w:t>
      </w:r>
      <w:r w:rsidR="00982A99">
        <w:rPr>
          <w:rFonts w:hint="cs"/>
          <w:rtl/>
        </w:rPr>
        <w:t>א' בשבט</w:t>
      </w:r>
      <w:r w:rsidR="00E23CD5">
        <w:rPr>
          <w:rFonts w:hint="cs"/>
          <w:rtl/>
        </w:rPr>
        <w:t xml:space="preserve"> </w:t>
      </w:r>
      <w:proofErr w:type="spellStart"/>
      <w:r>
        <w:rPr>
          <w:rFonts w:hint="cs"/>
          <w:rtl/>
        </w:rPr>
        <w:t>התשפ"</w:t>
      </w:r>
      <w:r w:rsidR="00E23CD5">
        <w:rPr>
          <w:rFonts w:hint="cs"/>
          <w:rtl/>
        </w:rPr>
        <w:t>ו</w:t>
      </w:r>
      <w:proofErr w:type="spellEnd"/>
      <w:r w:rsidRPr="00686BDA">
        <w:rPr>
          <w:rFonts w:hint="cs"/>
          <w:rtl/>
        </w:rPr>
        <w:t>,</w:t>
      </w:r>
      <w:r w:rsidR="00E23CD5">
        <w:rPr>
          <w:rFonts w:hint="cs"/>
          <w:rtl/>
        </w:rPr>
        <w:t xml:space="preserve"> </w:t>
      </w:r>
      <w:r w:rsidR="00982A99">
        <w:rPr>
          <w:rFonts w:hint="cs"/>
          <w:rtl/>
        </w:rPr>
        <w:t xml:space="preserve">19 </w:t>
      </w:r>
      <w:r w:rsidR="00E23CD5">
        <w:rPr>
          <w:rFonts w:hint="cs"/>
          <w:rtl/>
        </w:rPr>
        <w:t>בינואר</w:t>
      </w:r>
      <w:r w:rsidRPr="00686BDA">
        <w:rPr>
          <w:rFonts w:hint="cs"/>
          <w:rtl/>
        </w:rPr>
        <w:t xml:space="preserve"> </w:t>
      </w:r>
      <w:r>
        <w:rPr>
          <w:rFonts w:hint="cs"/>
          <w:rtl/>
        </w:rPr>
        <w:t>202</w:t>
      </w:r>
      <w:r w:rsidR="00E23CD5">
        <w:rPr>
          <w:rFonts w:hint="cs"/>
          <w:rtl/>
        </w:rPr>
        <w:t>6</w:t>
      </w:r>
      <w:r w:rsidRPr="00686BDA">
        <w:rPr>
          <w:rFonts w:hint="cs"/>
          <w:rtl/>
        </w:rPr>
        <w:t>.</w:t>
      </w:r>
      <w:r w:rsidR="00526995">
        <w:rPr>
          <w:rFonts w:hint="cs"/>
          <w:rtl/>
        </w:rPr>
        <w:t xml:space="preserve"> ההחלטה תועבר על ידי המזכירות לעיון המבקש ובאי כוח הצדדים. </w:t>
      </w:r>
    </w:p>
    <w:p w14:paraId="2A3354B3" w14:textId="77A1A131" w:rsidR="00E40F37" w:rsidRPr="00003060" w:rsidRDefault="00E40F37" w:rsidP="00514DF4">
      <w:pPr>
        <w:spacing w:line="360" w:lineRule="auto"/>
        <w:jc w:val="right"/>
        <w:rPr>
          <w:rFonts w:ascii="David" w:eastAsia="Calibri" w:hAnsi="David" w:cs="David"/>
          <w:sz w:val="4"/>
          <w:szCs w:val="4"/>
          <w:rtl/>
        </w:rPr>
      </w:pPr>
      <w:r w:rsidRPr="00003060">
        <w:rPr>
          <w:rFonts w:ascii="David" w:eastAsia="Calibri" w:hAnsi="David" w:cs="David" w:hint="cs"/>
          <w:sz w:val="4"/>
          <w:szCs w:val="4"/>
          <w:rtl/>
        </w:rPr>
        <w:t xml:space="preserve">                                                                                                                                  </w:t>
      </w:r>
    </w:p>
    <w:p w14:paraId="0EB1D9E0" w14:textId="0BA2AA7A" w:rsidR="00514DF4" w:rsidRPr="00E40F37" w:rsidRDefault="00514DF4" w:rsidP="00514DF4">
      <w:pPr>
        <w:spacing w:line="360" w:lineRule="auto"/>
        <w:jc w:val="right"/>
        <w:rPr>
          <w:rFonts w:ascii="David" w:eastAsia="Calibri" w:hAnsi="David" w:cs="David"/>
          <w:sz w:val="28"/>
          <w:szCs w:val="28"/>
          <w:rtl/>
        </w:rPr>
      </w:pPr>
      <w:r>
        <w:rPr>
          <w:rFonts w:ascii="David" w:eastAsia="Calibri" w:hAnsi="David" w:cs="David" w:hint="cs"/>
          <w:sz w:val="28"/>
          <w:szCs w:val="28"/>
          <w:rtl/>
        </w:rPr>
        <w:t>___________________</w:t>
      </w:r>
    </w:p>
    <w:p w14:paraId="0E4517EB" w14:textId="6FEB743D" w:rsidR="00E40F37" w:rsidRPr="00E40F37" w:rsidRDefault="00E40F37" w:rsidP="00E40F37">
      <w:pPr>
        <w:spacing w:line="240" w:lineRule="auto"/>
        <w:jc w:val="center"/>
        <w:rPr>
          <w:rFonts w:ascii="David" w:eastAsia="Calibri" w:hAnsi="David" w:cs="David"/>
          <w:b/>
          <w:bCs/>
          <w:sz w:val="28"/>
          <w:szCs w:val="28"/>
          <w:rtl/>
        </w:rPr>
      </w:pPr>
      <w:r w:rsidRPr="00E40F37">
        <w:rPr>
          <w:rFonts w:ascii="David" w:eastAsia="Calibri" w:hAnsi="David" w:cs="David" w:hint="cs"/>
          <w:b/>
          <w:bCs/>
          <w:sz w:val="28"/>
          <w:szCs w:val="28"/>
          <w:rtl/>
        </w:rPr>
        <w:t xml:space="preserve">                                                                                                       </w:t>
      </w:r>
      <w:r w:rsidRPr="00E40F37">
        <w:rPr>
          <w:rFonts w:ascii="David" w:eastAsia="Calibri" w:hAnsi="David" w:cs="David"/>
          <w:b/>
          <w:bCs/>
          <w:sz w:val="28"/>
          <w:szCs w:val="28"/>
          <w:rtl/>
        </w:rPr>
        <w:t>אלו</w:t>
      </w:r>
      <w:r>
        <w:rPr>
          <w:rFonts w:ascii="David" w:eastAsia="Calibri" w:hAnsi="David" w:cs="David" w:hint="cs"/>
          <w:b/>
          <w:bCs/>
          <w:sz w:val="28"/>
          <w:szCs w:val="28"/>
          <w:rtl/>
        </w:rPr>
        <w:t>פה</w:t>
      </w:r>
      <w:r w:rsidR="00514DF4">
        <w:rPr>
          <w:rFonts w:ascii="David" w:eastAsia="Calibri" w:hAnsi="David" w:cs="David" w:hint="cs"/>
          <w:b/>
          <w:bCs/>
          <w:sz w:val="28"/>
          <w:szCs w:val="28"/>
          <w:rtl/>
        </w:rPr>
        <w:t xml:space="preserve">  </w:t>
      </w:r>
      <w:r>
        <w:rPr>
          <w:rFonts w:ascii="David" w:eastAsia="Calibri" w:hAnsi="David" w:cs="David" w:hint="cs"/>
          <w:b/>
          <w:bCs/>
          <w:sz w:val="28"/>
          <w:szCs w:val="28"/>
          <w:rtl/>
        </w:rPr>
        <w:t xml:space="preserve">   </w:t>
      </w:r>
      <w:r w:rsidRPr="00E40F37">
        <w:rPr>
          <w:rFonts w:ascii="David" w:eastAsia="Calibri" w:hAnsi="David" w:cs="David"/>
          <w:b/>
          <w:bCs/>
          <w:sz w:val="28"/>
          <w:szCs w:val="28"/>
          <w:rtl/>
        </w:rPr>
        <w:t xml:space="preserve"> אורלי</w:t>
      </w:r>
      <w:r>
        <w:rPr>
          <w:rFonts w:ascii="David" w:eastAsia="Calibri" w:hAnsi="David" w:cs="David" w:hint="cs"/>
          <w:b/>
          <w:bCs/>
          <w:sz w:val="28"/>
          <w:szCs w:val="28"/>
          <w:rtl/>
        </w:rPr>
        <w:t xml:space="preserve">  </w:t>
      </w:r>
      <w:r w:rsidR="00514DF4">
        <w:rPr>
          <w:rFonts w:ascii="David" w:eastAsia="Calibri" w:hAnsi="David" w:cs="David" w:hint="cs"/>
          <w:b/>
          <w:bCs/>
          <w:sz w:val="28"/>
          <w:szCs w:val="28"/>
          <w:rtl/>
        </w:rPr>
        <w:t xml:space="preserve">  </w:t>
      </w:r>
      <w:r>
        <w:rPr>
          <w:rFonts w:ascii="David" w:eastAsia="Calibri" w:hAnsi="David" w:cs="David" w:hint="cs"/>
          <w:b/>
          <w:bCs/>
          <w:sz w:val="28"/>
          <w:szCs w:val="28"/>
          <w:rtl/>
        </w:rPr>
        <w:t xml:space="preserve"> </w:t>
      </w:r>
      <w:r w:rsidRPr="00E40F37">
        <w:rPr>
          <w:rFonts w:ascii="David" w:eastAsia="Calibri" w:hAnsi="David" w:cs="David"/>
          <w:b/>
          <w:bCs/>
          <w:sz w:val="28"/>
          <w:szCs w:val="28"/>
          <w:rtl/>
        </w:rPr>
        <w:t>מרקמן</w:t>
      </w:r>
      <w:r w:rsidR="00514DF4">
        <w:rPr>
          <w:rFonts w:ascii="David" w:eastAsia="Calibri" w:hAnsi="David" w:cs="David" w:hint="cs"/>
          <w:b/>
          <w:bCs/>
          <w:sz w:val="28"/>
          <w:szCs w:val="28"/>
          <w:rtl/>
        </w:rPr>
        <w:t xml:space="preserve"> </w:t>
      </w:r>
    </w:p>
    <w:p w14:paraId="0BB35164" w14:textId="63A2BD82" w:rsidR="00E40F37" w:rsidRPr="00E40F37" w:rsidRDefault="00E40F37" w:rsidP="00E40F37">
      <w:pPr>
        <w:spacing w:line="240" w:lineRule="auto"/>
        <w:jc w:val="center"/>
        <w:rPr>
          <w:rFonts w:ascii="David" w:eastAsia="Calibri" w:hAnsi="David" w:cs="David"/>
          <w:b/>
          <w:bCs/>
          <w:sz w:val="28"/>
          <w:szCs w:val="28"/>
          <w:rtl/>
        </w:rPr>
      </w:pPr>
      <w:r w:rsidRPr="00E40F37">
        <w:rPr>
          <w:rFonts w:ascii="David" w:eastAsia="Calibri" w:hAnsi="David" w:cs="David" w:hint="cs"/>
          <w:b/>
          <w:bCs/>
          <w:sz w:val="28"/>
          <w:szCs w:val="28"/>
          <w:rtl/>
        </w:rPr>
        <w:t xml:space="preserve">                                                                                                    </w:t>
      </w:r>
      <w:r>
        <w:rPr>
          <w:rFonts w:ascii="David" w:eastAsia="Calibri" w:hAnsi="David" w:cs="David" w:hint="cs"/>
          <w:b/>
          <w:bCs/>
          <w:sz w:val="28"/>
          <w:szCs w:val="28"/>
          <w:rtl/>
        </w:rPr>
        <w:t xml:space="preserve"> </w:t>
      </w:r>
      <w:r w:rsidRPr="00E40F37">
        <w:rPr>
          <w:rFonts w:ascii="David" w:eastAsia="Calibri" w:hAnsi="David" w:cs="David" w:hint="cs"/>
          <w:b/>
          <w:bCs/>
          <w:sz w:val="28"/>
          <w:szCs w:val="28"/>
          <w:rtl/>
        </w:rPr>
        <w:t xml:space="preserve">  </w:t>
      </w:r>
      <w:r w:rsidRPr="00E40F37">
        <w:rPr>
          <w:rFonts w:ascii="David" w:eastAsia="Calibri" w:hAnsi="David" w:cs="David"/>
          <w:b/>
          <w:bCs/>
          <w:sz w:val="28"/>
          <w:szCs w:val="28"/>
          <w:rtl/>
        </w:rPr>
        <w:t>נשיאת</w:t>
      </w:r>
      <w:r>
        <w:rPr>
          <w:rFonts w:ascii="David" w:eastAsia="Calibri" w:hAnsi="David" w:cs="David" w:hint="cs"/>
          <w:b/>
          <w:bCs/>
          <w:sz w:val="28"/>
          <w:szCs w:val="28"/>
          <w:rtl/>
        </w:rPr>
        <w:t xml:space="preserve">  </w:t>
      </w:r>
      <w:r w:rsidRPr="00E40F37">
        <w:rPr>
          <w:rFonts w:ascii="David" w:eastAsia="Calibri" w:hAnsi="David" w:cs="David"/>
          <w:b/>
          <w:bCs/>
          <w:sz w:val="28"/>
          <w:szCs w:val="28"/>
          <w:rtl/>
        </w:rPr>
        <w:t xml:space="preserve"> בית</w:t>
      </w:r>
      <w:r>
        <w:rPr>
          <w:rFonts w:ascii="David" w:eastAsia="Calibri" w:hAnsi="David" w:cs="David" w:hint="cs"/>
          <w:b/>
          <w:bCs/>
          <w:sz w:val="28"/>
          <w:szCs w:val="28"/>
          <w:rtl/>
        </w:rPr>
        <w:t xml:space="preserve">  </w:t>
      </w:r>
      <w:r w:rsidRPr="00E40F37">
        <w:rPr>
          <w:rFonts w:ascii="David" w:eastAsia="Calibri" w:hAnsi="David" w:cs="David"/>
          <w:b/>
          <w:bCs/>
          <w:sz w:val="28"/>
          <w:szCs w:val="28"/>
          <w:rtl/>
        </w:rPr>
        <w:t xml:space="preserve"> הדין הצבאי</w:t>
      </w:r>
    </w:p>
    <w:p w14:paraId="664D436D" w14:textId="3D20AC47" w:rsidR="00003060" w:rsidRPr="00003060" w:rsidRDefault="00E40F37" w:rsidP="00003060">
      <w:pPr>
        <w:spacing w:line="240" w:lineRule="auto"/>
        <w:jc w:val="center"/>
        <w:rPr>
          <w:rFonts w:ascii="David" w:eastAsia="Calibri" w:hAnsi="David" w:cs="David"/>
          <w:b/>
          <w:bCs/>
          <w:sz w:val="28"/>
          <w:szCs w:val="28"/>
          <w:rtl/>
        </w:rPr>
      </w:pPr>
      <w:r w:rsidRPr="00E40F37">
        <w:rPr>
          <w:rFonts w:ascii="David" w:eastAsia="Calibri" w:hAnsi="David" w:cs="David" w:hint="cs"/>
          <w:b/>
          <w:bCs/>
          <w:sz w:val="28"/>
          <w:szCs w:val="28"/>
          <w:rtl/>
        </w:rPr>
        <w:t xml:space="preserve">                                                                                                      </w:t>
      </w:r>
      <w:r w:rsidRPr="00E40F37">
        <w:rPr>
          <w:rFonts w:ascii="David" w:eastAsia="Calibri" w:hAnsi="David" w:cs="David"/>
          <w:b/>
          <w:bCs/>
          <w:sz w:val="28"/>
          <w:szCs w:val="28"/>
          <w:rtl/>
        </w:rPr>
        <w:t>ל</w:t>
      </w:r>
      <w:r w:rsidR="00514DF4">
        <w:rPr>
          <w:rFonts w:ascii="David" w:eastAsia="Calibri" w:hAnsi="David" w:cs="David" w:hint="cs"/>
          <w:b/>
          <w:bCs/>
          <w:sz w:val="28"/>
          <w:szCs w:val="28"/>
          <w:rtl/>
        </w:rPr>
        <w:t xml:space="preserve">    </w:t>
      </w:r>
      <w:r w:rsidRPr="00E40F37">
        <w:rPr>
          <w:rFonts w:ascii="David" w:eastAsia="Calibri" w:hAnsi="David" w:cs="David"/>
          <w:b/>
          <w:bCs/>
          <w:sz w:val="28"/>
          <w:szCs w:val="28"/>
          <w:rtl/>
        </w:rPr>
        <w:t>ע</w:t>
      </w:r>
      <w:r w:rsidR="00514DF4">
        <w:rPr>
          <w:rFonts w:ascii="David" w:eastAsia="Calibri" w:hAnsi="David" w:cs="David" w:hint="cs"/>
          <w:b/>
          <w:bCs/>
          <w:sz w:val="28"/>
          <w:szCs w:val="28"/>
          <w:rtl/>
        </w:rPr>
        <w:t xml:space="preserve">   </w:t>
      </w:r>
      <w:r w:rsidRPr="00E40F37">
        <w:rPr>
          <w:rFonts w:ascii="David" w:eastAsia="Calibri" w:hAnsi="David" w:cs="David"/>
          <w:b/>
          <w:bCs/>
          <w:sz w:val="28"/>
          <w:szCs w:val="28"/>
          <w:rtl/>
        </w:rPr>
        <w:t>ר</w:t>
      </w:r>
      <w:r w:rsidR="00514DF4">
        <w:rPr>
          <w:rFonts w:ascii="David" w:eastAsia="Calibri" w:hAnsi="David" w:cs="David" w:hint="cs"/>
          <w:b/>
          <w:bCs/>
          <w:sz w:val="28"/>
          <w:szCs w:val="28"/>
          <w:rtl/>
        </w:rPr>
        <w:t xml:space="preserve">    </w:t>
      </w:r>
      <w:r w:rsidRPr="00E40F37">
        <w:rPr>
          <w:rFonts w:ascii="David" w:eastAsia="Calibri" w:hAnsi="David" w:cs="David"/>
          <w:b/>
          <w:bCs/>
          <w:sz w:val="28"/>
          <w:szCs w:val="28"/>
          <w:rtl/>
        </w:rPr>
        <w:t>ע</w:t>
      </w:r>
      <w:r w:rsidR="00514DF4">
        <w:rPr>
          <w:rFonts w:ascii="David" w:eastAsia="Calibri" w:hAnsi="David" w:cs="David" w:hint="cs"/>
          <w:b/>
          <w:bCs/>
          <w:sz w:val="28"/>
          <w:szCs w:val="28"/>
          <w:rtl/>
        </w:rPr>
        <w:t xml:space="preserve">    </w:t>
      </w:r>
      <w:r w:rsidRPr="00E40F37">
        <w:rPr>
          <w:rFonts w:ascii="David" w:eastAsia="Calibri" w:hAnsi="David" w:cs="David"/>
          <w:b/>
          <w:bCs/>
          <w:sz w:val="28"/>
          <w:szCs w:val="28"/>
          <w:rtl/>
        </w:rPr>
        <w:t>ו</w:t>
      </w:r>
      <w:r w:rsidR="00514DF4">
        <w:rPr>
          <w:rFonts w:ascii="David" w:eastAsia="Calibri" w:hAnsi="David" w:cs="David" w:hint="cs"/>
          <w:b/>
          <w:bCs/>
          <w:sz w:val="28"/>
          <w:szCs w:val="28"/>
          <w:rtl/>
        </w:rPr>
        <w:t xml:space="preserve">    </w:t>
      </w:r>
      <w:r w:rsidRPr="00E40F37">
        <w:rPr>
          <w:rFonts w:ascii="David" w:eastAsia="Calibri" w:hAnsi="David" w:cs="David"/>
          <w:b/>
          <w:bCs/>
          <w:sz w:val="28"/>
          <w:szCs w:val="28"/>
          <w:rtl/>
        </w:rPr>
        <w:t>ר</w:t>
      </w:r>
      <w:r w:rsidR="00514DF4">
        <w:rPr>
          <w:rFonts w:ascii="David" w:eastAsia="Calibri" w:hAnsi="David" w:cs="David" w:hint="cs"/>
          <w:b/>
          <w:bCs/>
          <w:sz w:val="28"/>
          <w:szCs w:val="28"/>
          <w:rtl/>
        </w:rPr>
        <w:t xml:space="preserve">    </w:t>
      </w:r>
      <w:r w:rsidRPr="00E40F37">
        <w:rPr>
          <w:rFonts w:ascii="David" w:eastAsia="Calibri" w:hAnsi="David" w:cs="David"/>
          <w:b/>
          <w:bCs/>
          <w:sz w:val="28"/>
          <w:szCs w:val="28"/>
          <w:rtl/>
        </w:rPr>
        <w:t>י</w:t>
      </w:r>
      <w:r w:rsidR="00514DF4">
        <w:rPr>
          <w:rFonts w:ascii="David" w:eastAsia="Calibri" w:hAnsi="David" w:cs="David" w:hint="cs"/>
          <w:b/>
          <w:bCs/>
          <w:sz w:val="28"/>
          <w:szCs w:val="28"/>
          <w:rtl/>
        </w:rPr>
        <w:t xml:space="preserve">    </w:t>
      </w:r>
      <w:r w:rsidRPr="00E40F37">
        <w:rPr>
          <w:rFonts w:ascii="David" w:eastAsia="Calibri" w:hAnsi="David" w:cs="David"/>
          <w:b/>
          <w:bCs/>
          <w:sz w:val="28"/>
          <w:szCs w:val="28"/>
          <w:rtl/>
        </w:rPr>
        <w:t>ם</w:t>
      </w:r>
    </w:p>
    <w:p w14:paraId="6393AF59" w14:textId="77777777" w:rsidR="00056575" w:rsidRPr="00BA05F6" w:rsidRDefault="00056575" w:rsidP="00056575">
      <w:pPr>
        <w:ind w:left="-58" w:right="-567"/>
        <w:rPr>
          <w:rFonts w:ascii="David" w:hAnsi="David" w:cs="David"/>
          <w:b/>
          <w:bCs/>
          <w:sz w:val="2"/>
          <w:szCs w:val="2"/>
          <w:rtl/>
        </w:rPr>
      </w:pPr>
      <w:bookmarkStart w:id="2" w:name="_Hlk122599666"/>
      <w:bookmarkStart w:id="3" w:name="_Hlk141797760"/>
    </w:p>
    <w:p w14:paraId="0D30D31B" w14:textId="7E67350F" w:rsidR="00056575" w:rsidRPr="00405BC8" w:rsidRDefault="00056575" w:rsidP="00056575">
      <w:pPr>
        <w:ind w:left="-58" w:right="-567"/>
        <w:rPr>
          <w:rFonts w:ascii="David" w:hAnsi="David" w:cs="David"/>
          <w:b/>
          <w:bCs/>
          <w:sz w:val="28"/>
          <w:szCs w:val="28"/>
          <w:rtl/>
        </w:rPr>
      </w:pPr>
      <w:r w:rsidRPr="00405BC8">
        <w:rPr>
          <w:rFonts w:ascii="David" w:hAnsi="David" w:cs="David"/>
          <w:b/>
          <w:bCs/>
          <w:sz w:val="28"/>
          <w:szCs w:val="28"/>
          <w:rtl/>
        </w:rPr>
        <w:t xml:space="preserve">חתימת המגיה: _______________________________      העתק         </w:t>
      </w:r>
      <w:r>
        <w:rPr>
          <w:rFonts w:ascii="David" w:hAnsi="David" w:cs="David" w:hint="cs"/>
          <w:b/>
          <w:bCs/>
          <w:sz w:val="28"/>
          <w:szCs w:val="28"/>
          <w:rtl/>
        </w:rPr>
        <w:t xml:space="preserve"> </w:t>
      </w:r>
      <w:r w:rsidRPr="00405BC8">
        <w:rPr>
          <w:rFonts w:ascii="David" w:hAnsi="David" w:cs="David"/>
          <w:b/>
          <w:bCs/>
          <w:sz w:val="28"/>
          <w:szCs w:val="28"/>
          <w:rtl/>
        </w:rPr>
        <w:t xml:space="preserve">נאמן        למקור             </w:t>
      </w:r>
    </w:p>
    <w:p w14:paraId="251F6A68" w14:textId="77777777" w:rsidR="00056575" w:rsidRPr="00405BC8" w:rsidRDefault="00056575" w:rsidP="00056575">
      <w:pPr>
        <w:ind w:left="-58" w:right="-567"/>
        <w:rPr>
          <w:rFonts w:ascii="David" w:hAnsi="David" w:cs="David"/>
          <w:b/>
          <w:bCs/>
          <w:sz w:val="28"/>
          <w:szCs w:val="28"/>
          <w:rtl/>
        </w:rPr>
      </w:pPr>
      <w:r w:rsidRPr="00405BC8">
        <w:rPr>
          <w:rFonts w:ascii="David" w:hAnsi="David" w:cs="David"/>
          <w:b/>
          <w:bCs/>
          <w:sz w:val="28"/>
          <w:szCs w:val="28"/>
          <w:rtl/>
        </w:rPr>
        <w:t xml:space="preserve">                                                                                                       </w:t>
      </w:r>
      <w:r>
        <w:rPr>
          <w:rFonts w:ascii="David" w:hAnsi="David" w:cs="David" w:hint="cs"/>
          <w:b/>
          <w:bCs/>
          <w:sz w:val="28"/>
          <w:szCs w:val="28"/>
          <w:rtl/>
        </w:rPr>
        <w:t xml:space="preserve">רס"ל          מיקה        </w:t>
      </w:r>
      <w:proofErr w:type="spellStart"/>
      <w:r>
        <w:rPr>
          <w:rFonts w:ascii="David" w:hAnsi="David" w:cs="David" w:hint="cs"/>
          <w:b/>
          <w:bCs/>
          <w:sz w:val="28"/>
          <w:szCs w:val="28"/>
          <w:rtl/>
        </w:rPr>
        <w:t>אשרוב</w:t>
      </w:r>
      <w:proofErr w:type="spellEnd"/>
    </w:p>
    <w:p w14:paraId="532617EF" w14:textId="4B11A156" w:rsidR="009F58AB" w:rsidRPr="00BA05F6" w:rsidRDefault="00056575" w:rsidP="00BA05F6">
      <w:pPr>
        <w:ind w:left="-2"/>
        <w:rPr>
          <w:rFonts w:ascii="David" w:hAnsi="David" w:cs="David"/>
          <w:b/>
          <w:bCs/>
          <w:sz w:val="28"/>
          <w:szCs w:val="28"/>
        </w:rPr>
      </w:pPr>
      <w:r w:rsidRPr="00405BC8">
        <w:rPr>
          <w:rFonts w:ascii="David" w:hAnsi="David" w:cs="David"/>
          <w:b/>
          <w:bCs/>
          <w:sz w:val="28"/>
          <w:szCs w:val="28"/>
          <w:rtl/>
        </w:rPr>
        <w:t>תאריך: ____________________________________        קצי</w:t>
      </w:r>
      <w:r>
        <w:rPr>
          <w:rFonts w:ascii="David" w:hAnsi="David" w:cs="David" w:hint="cs"/>
          <w:b/>
          <w:bCs/>
          <w:sz w:val="28"/>
          <w:szCs w:val="28"/>
          <w:rtl/>
        </w:rPr>
        <w:t>נת</w:t>
      </w:r>
      <w:r w:rsidRPr="00405BC8">
        <w:rPr>
          <w:rFonts w:ascii="David" w:hAnsi="David" w:cs="David"/>
          <w:b/>
          <w:bCs/>
          <w:sz w:val="28"/>
          <w:szCs w:val="28"/>
          <w:rtl/>
        </w:rPr>
        <w:t xml:space="preserve">           בית       הדין</w:t>
      </w:r>
      <w:bookmarkEnd w:id="2"/>
      <w:bookmarkEnd w:id="3"/>
    </w:p>
    <w:sectPr w:rsidR="009F58AB" w:rsidRPr="00BA05F6" w:rsidSect="00E23CD5">
      <w:headerReference w:type="default" r:id="rId10"/>
      <w:footerReference w:type="default" r:id="rId11"/>
      <w:pgSz w:w="11906" w:h="16838"/>
      <w:pgMar w:top="1418" w:right="1418" w:bottom="1418" w:left="1418" w:header="576"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05689" w14:textId="77777777" w:rsidR="00B64354" w:rsidRDefault="00B64354" w:rsidP="00DE47CD">
      <w:pPr>
        <w:spacing w:after="0" w:line="240" w:lineRule="auto"/>
      </w:pPr>
      <w:r>
        <w:separator/>
      </w:r>
    </w:p>
  </w:endnote>
  <w:endnote w:type="continuationSeparator" w:id="0">
    <w:p w14:paraId="6C4671AA" w14:textId="77777777" w:rsidR="00B64354" w:rsidRDefault="00B64354" w:rsidP="00DE4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David" w:hAnsi="David" w:cs="David" w:hint="cs"/>
        <w:sz w:val="28"/>
        <w:szCs w:val="28"/>
        <w:rtl/>
      </w:rPr>
      <w:id w:val="-1480076047"/>
      <w:docPartObj>
        <w:docPartGallery w:val="Page Numbers (Bottom of Page)"/>
        <w:docPartUnique/>
      </w:docPartObj>
    </w:sdtPr>
    <w:sdtEndPr/>
    <w:sdtContent>
      <w:p w14:paraId="72D473C7" w14:textId="77777777" w:rsidR="00FF590D" w:rsidRPr="00A03E8F" w:rsidRDefault="00FF590D">
        <w:pPr>
          <w:pStyle w:val="Footer"/>
          <w:jc w:val="center"/>
          <w:rPr>
            <w:rFonts w:ascii="David" w:hAnsi="David" w:cs="David"/>
            <w:sz w:val="28"/>
            <w:szCs w:val="28"/>
          </w:rPr>
        </w:pPr>
        <w:r w:rsidRPr="00A03E8F">
          <w:rPr>
            <w:rFonts w:ascii="David" w:hAnsi="David" w:cs="David" w:hint="cs"/>
            <w:sz w:val="28"/>
            <w:szCs w:val="28"/>
          </w:rPr>
          <w:fldChar w:fldCharType="begin"/>
        </w:r>
        <w:r w:rsidRPr="00A03E8F">
          <w:rPr>
            <w:rFonts w:ascii="David" w:hAnsi="David" w:cs="David" w:hint="cs"/>
            <w:sz w:val="28"/>
            <w:szCs w:val="28"/>
          </w:rPr>
          <w:instrText>PAGE   \* MERGEFORMAT</w:instrText>
        </w:r>
        <w:r w:rsidRPr="00A03E8F">
          <w:rPr>
            <w:rFonts w:ascii="David" w:hAnsi="David" w:cs="David" w:hint="cs"/>
            <w:sz w:val="28"/>
            <w:szCs w:val="28"/>
          </w:rPr>
          <w:fldChar w:fldCharType="separate"/>
        </w:r>
        <w:r w:rsidRPr="00A03E8F">
          <w:rPr>
            <w:rFonts w:ascii="David" w:hAnsi="David" w:cs="David" w:hint="cs"/>
            <w:sz w:val="28"/>
            <w:szCs w:val="28"/>
            <w:rtl/>
            <w:lang w:val="he-IL"/>
          </w:rPr>
          <w:t>2</w:t>
        </w:r>
        <w:r w:rsidRPr="00A03E8F">
          <w:rPr>
            <w:rFonts w:ascii="David" w:hAnsi="David" w:cs="David" w:hint="cs"/>
            <w:sz w:val="28"/>
            <w:szCs w:val="28"/>
          </w:rPr>
          <w:fldChar w:fldCharType="end"/>
        </w:r>
      </w:p>
    </w:sdtContent>
  </w:sdt>
  <w:p w14:paraId="5B6A98AB" w14:textId="77777777" w:rsidR="00FF590D" w:rsidRDefault="00FF5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8FD92" w14:textId="77777777" w:rsidR="00B64354" w:rsidRDefault="00B64354" w:rsidP="00DE47CD">
      <w:pPr>
        <w:spacing w:after="0" w:line="240" w:lineRule="auto"/>
      </w:pPr>
      <w:r>
        <w:separator/>
      </w:r>
    </w:p>
  </w:footnote>
  <w:footnote w:type="continuationSeparator" w:id="0">
    <w:p w14:paraId="6730BF51" w14:textId="77777777" w:rsidR="00B64354" w:rsidRDefault="00B64354" w:rsidP="00DE4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F15E" w14:textId="4E11A250" w:rsidR="00FF590D" w:rsidRDefault="00FF590D" w:rsidP="00E23CD5">
    <w:pPr>
      <w:pStyle w:val="Header"/>
      <w:jc w:val="right"/>
      <w:rPr>
        <w:rFonts w:ascii="David" w:hAnsi="David" w:cs="David"/>
        <w:sz w:val="28"/>
        <w:szCs w:val="28"/>
        <w:rtl/>
      </w:rPr>
    </w:pPr>
    <w:r>
      <w:rPr>
        <w:rFonts w:ascii="David" w:hAnsi="David" w:cs="David"/>
        <w:sz w:val="28"/>
        <w:szCs w:val="28"/>
        <w:rtl/>
      </w:rPr>
      <w:tab/>
    </w:r>
    <w:r w:rsidR="00E23CD5">
      <w:rPr>
        <w:rFonts w:ascii="David" w:hAnsi="David" w:cs="David" w:hint="cs"/>
        <w:sz w:val="28"/>
        <w:szCs w:val="28"/>
        <w:rtl/>
      </w:rPr>
      <w:t xml:space="preserve">       </w:t>
    </w:r>
    <w:r w:rsidR="00B22D65">
      <w:rPr>
        <w:rFonts w:ascii="David" w:hAnsi="David" w:cs="David" w:hint="cs"/>
        <w:sz w:val="28"/>
        <w:szCs w:val="28"/>
        <w:rtl/>
      </w:rPr>
      <w:t>ב ל מ " ס</w:t>
    </w:r>
    <w:r w:rsidR="00E23CD5">
      <w:rPr>
        <w:rFonts w:ascii="David" w:hAnsi="David" w:cs="David" w:hint="cs"/>
        <w:sz w:val="28"/>
        <w:szCs w:val="28"/>
        <w:rtl/>
      </w:rPr>
      <w:t xml:space="preserve">   </w:t>
    </w:r>
    <w:r w:rsidR="0024284D">
      <w:rPr>
        <w:rFonts w:ascii="David" w:hAnsi="David" w:cs="David" w:hint="cs"/>
        <w:sz w:val="28"/>
        <w:szCs w:val="28"/>
        <w:rtl/>
      </w:rPr>
      <w:t xml:space="preserve">   </w:t>
    </w:r>
    <w:r w:rsidR="00E23CD5">
      <w:rPr>
        <w:rFonts w:ascii="David" w:hAnsi="David" w:cs="David" w:hint="cs"/>
        <w:sz w:val="28"/>
        <w:szCs w:val="28"/>
        <w:rtl/>
      </w:rPr>
      <w:t xml:space="preserve">                               </w:t>
    </w:r>
    <w:r w:rsidRPr="00DE47CD">
      <w:rPr>
        <w:rFonts w:ascii="David" w:hAnsi="David" w:cs="David" w:hint="cs"/>
        <w:sz w:val="28"/>
        <w:szCs w:val="28"/>
        <w:rtl/>
      </w:rPr>
      <w:tab/>
    </w:r>
    <w:r w:rsidR="00E23CD5">
      <w:rPr>
        <w:rFonts w:ascii="David" w:hAnsi="David" w:cs="David" w:hint="cs"/>
        <w:sz w:val="28"/>
        <w:szCs w:val="28"/>
        <w:rtl/>
      </w:rPr>
      <w:t xml:space="preserve">  </w:t>
    </w:r>
    <w:r w:rsidRPr="00DE47CD">
      <w:rPr>
        <w:rFonts w:ascii="David" w:hAnsi="David" w:cs="David" w:hint="cs"/>
        <w:sz w:val="28"/>
        <w:szCs w:val="28"/>
        <w:rtl/>
      </w:rPr>
      <w:t>ב"ש</w:t>
    </w:r>
    <w:r w:rsidR="00E23CD5">
      <w:rPr>
        <w:rFonts w:ascii="David" w:hAnsi="David" w:cs="David" w:hint="cs"/>
        <w:sz w:val="28"/>
        <w:szCs w:val="28"/>
        <w:rtl/>
      </w:rPr>
      <w:t xml:space="preserve"> 74915-11-24</w:t>
    </w:r>
  </w:p>
  <w:p w14:paraId="2161962A" w14:textId="255763DC" w:rsidR="00FF590D" w:rsidRPr="00633F2F" w:rsidRDefault="00FF590D" w:rsidP="003C4F0D">
    <w:pPr>
      <w:pStyle w:val="Header"/>
      <w:jc w:val="center"/>
      <w:rPr>
        <w:rFonts w:ascii="David" w:hAnsi="David" w:cs="Davi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D8F"/>
    <w:multiLevelType w:val="hybridMultilevel"/>
    <w:tmpl w:val="58181040"/>
    <w:lvl w:ilvl="0" w:tplc="0950ACF2">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9049F"/>
    <w:multiLevelType w:val="hybridMultilevel"/>
    <w:tmpl w:val="01B8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9171D"/>
    <w:multiLevelType w:val="hybridMultilevel"/>
    <w:tmpl w:val="080C1608"/>
    <w:lvl w:ilvl="0" w:tplc="C9124F4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32736"/>
    <w:multiLevelType w:val="hybridMultilevel"/>
    <w:tmpl w:val="6D18B9CE"/>
    <w:lvl w:ilvl="0" w:tplc="839C9E96">
      <w:start w:val="1"/>
      <w:numFmt w:val="decimal"/>
      <w:lvlText w:val="%1."/>
      <w:lvlJc w:val="left"/>
      <w:pPr>
        <w:ind w:left="261" w:hanging="360"/>
      </w:pPr>
      <w:rPr>
        <w:rFonts w:hint="default"/>
        <w:b w:val="0"/>
        <w:bCs w:val="0"/>
      </w:rPr>
    </w:lvl>
    <w:lvl w:ilvl="1" w:tplc="04090019" w:tentative="1">
      <w:start w:val="1"/>
      <w:numFmt w:val="lowerLetter"/>
      <w:lvlText w:val="%2."/>
      <w:lvlJc w:val="left"/>
      <w:pPr>
        <w:ind w:left="981" w:hanging="360"/>
      </w:pPr>
    </w:lvl>
    <w:lvl w:ilvl="2" w:tplc="0409001B" w:tentative="1">
      <w:start w:val="1"/>
      <w:numFmt w:val="lowerRoman"/>
      <w:lvlText w:val="%3."/>
      <w:lvlJc w:val="right"/>
      <w:pPr>
        <w:ind w:left="1701" w:hanging="180"/>
      </w:pPr>
    </w:lvl>
    <w:lvl w:ilvl="3" w:tplc="0409000F" w:tentative="1">
      <w:start w:val="1"/>
      <w:numFmt w:val="decimal"/>
      <w:lvlText w:val="%4."/>
      <w:lvlJc w:val="left"/>
      <w:pPr>
        <w:ind w:left="2421" w:hanging="360"/>
      </w:pPr>
    </w:lvl>
    <w:lvl w:ilvl="4" w:tplc="04090019" w:tentative="1">
      <w:start w:val="1"/>
      <w:numFmt w:val="lowerLetter"/>
      <w:lvlText w:val="%5."/>
      <w:lvlJc w:val="left"/>
      <w:pPr>
        <w:ind w:left="3141" w:hanging="360"/>
      </w:pPr>
    </w:lvl>
    <w:lvl w:ilvl="5" w:tplc="0409001B" w:tentative="1">
      <w:start w:val="1"/>
      <w:numFmt w:val="lowerRoman"/>
      <w:lvlText w:val="%6."/>
      <w:lvlJc w:val="right"/>
      <w:pPr>
        <w:ind w:left="3861" w:hanging="180"/>
      </w:pPr>
    </w:lvl>
    <w:lvl w:ilvl="6" w:tplc="0409000F" w:tentative="1">
      <w:start w:val="1"/>
      <w:numFmt w:val="decimal"/>
      <w:lvlText w:val="%7."/>
      <w:lvlJc w:val="left"/>
      <w:pPr>
        <w:ind w:left="4581" w:hanging="360"/>
      </w:pPr>
    </w:lvl>
    <w:lvl w:ilvl="7" w:tplc="04090019" w:tentative="1">
      <w:start w:val="1"/>
      <w:numFmt w:val="lowerLetter"/>
      <w:lvlText w:val="%8."/>
      <w:lvlJc w:val="left"/>
      <w:pPr>
        <w:ind w:left="5301" w:hanging="360"/>
      </w:pPr>
    </w:lvl>
    <w:lvl w:ilvl="8" w:tplc="0409001B" w:tentative="1">
      <w:start w:val="1"/>
      <w:numFmt w:val="lowerRoman"/>
      <w:lvlText w:val="%9."/>
      <w:lvlJc w:val="right"/>
      <w:pPr>
        <w:ind w:left="6021" w:hanging="180"/>
      </w:pPr>
    </w:lvl>
  </w:abstractNum>
  <w:abstractNum w:abstractNumId="4" w15:restartNumberingAfterBreak="0">
    <w:nsid w:val="16D644C2"/>
    <w:multiLevelType w:val="hybridMultilevel"/>
    <w:tmpl w:val="345AB20E"/>
    <w:lvl w:ilvl="0" w:tplc="6556E992">
      <w:start w:val="1"/>
      <w:numFmt w:val="decimal"/>
      <w:lvlText w:val="(%1)"/>
      <w:lvlJc w:val="left"/>
      <w:pPr>
        <w:ind w:left="621" w:hanging="360"/>
      </w:pPr>
      <w:rPr>
        <w:rFonts w:hint="default"/>
      </w:rPr>
    </w:lvl>
    <w:lvl w:ilvl="1" w:tplc="04090019" w:tentative="1">
      <w:start w:val="1"/>
      <w:numFmt w:val="lowerLetter"/>
      <w:lvlText w:val="%2."/>
      <w:lvlJc w:val="left"/>
      <w:pPr>
        <w:ind w:left="1341" w:hanging="360"/>
      </w:pPr>
    </w:lvl>
    <w:lvl w:ilvl="2" w:tplc="0409001B" w:tentative="1">
      <w:start w:val="1"/>
      <w:numFmt w:val="lowerRoman"/>
      <w:lvlText w:val="%3."/>
      <w:lvlJc w:val="right"/>
      <w:pPr>
        <w:ind w:left="2061" w:hanging="180"/>
      </w:pPr>
    </w:lvl>
    <w:lvl w:ilvl="3" w:tplc="0409000F" w:tentative="1">
      <w:start w:val="1"/>
      <w:numFmt w:val="decimal"/>
      <w:lvlText w:val="%4."/>
      <w:lvlJc w:val="left"/>
      <w:pPr>
        <w:ind w:left="2781" w:hanging="360"/>
      </w:pPr>
    </w:lvl>
    <w:lvl w:ilvl="4" w:tplc="04090019" w:tentative="1">
      <w:start w:val="1"/>
      <w:numFmt w:val="lowerLetter"/>
      <w:lvlText w:val="%5."/>
      <w:lvlJc w:val="left"/>
      <w:pPr>
        <w:ind w:left="3501" w:hanging="360"/>
      </w:pPr>
    </w:lvl>
    <w:lvl w:ilvl="5" w:tplc="0409001B" w:tentative="1">
      <w:start w:val="1"/>
      <w:numFmt w:val="lowerRoman"/>
      <w:lvlText w:val="%6."/>
      <w:lvlJc w:val="right"/>
      <w:pPr>
        <w:ind w:left="4221" w:hanging="180"/>
      </w:pPr>
    </w:lvl>
    <w:lvl w:ilvl="6" w:tplc="0409000F" w:tentative="1">
      <w:start w:val="1"/>
      <w:numFmt w:val="decimal"/>
      <w:lvlText w:val="%7."/>
      <w:lvlJc w:val="left"/>
      <w:pPr>
        <w:ind w:left="4941" w:hanging="360"/>
      </w:pPr>
    </w:lvl>
    <w:lvl w:ilvl="7" w:tplc="04090019" w:tentative="1">
      <w:start w:val="1"/>
      <w:numFmt w:val="lowerLetter"/>
      <w:lvlText w:val="%8."/>
      <w:lvlJc w:val="left"/>
      <w:pPr>
        <w:ind w:left="5661" w:hanging="360"/>
      </w:pPr>
    </w:lvl>
    <w:lvl w:ilvl="8" w:tplc="0409001B" w:tentative="1">
      <w:start w:val="1"/>
      <w:numFmt w:val="lowerRoman"/>
      <w:lvlText w:val="%9."/>
      <w:lvlJc w:val="right"/>
      <w:pPr>
        <w:ind w:left="6381" w:hanging="180"/>
      </w:pPr>
    </w:lvl>
  </w:abstractNum>
  <w:abstractNum w:abstractNumId="5" w15:restartNumberingAfterBreak="0">
    <w:nsid w:val="1E055268"/>
    <w:multiLevelType w:val="hybridMultilevel"/>
    <w:tmpl w:val="1CDEF3FE"/>
    <w:lvl w:ilvl="0" w:tplc="22D2487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275B8"/>
    <w:multiLevelType w:val="hybridMultilevel"/>
    <w:tmpl w:val="D65871E2"/>
    <w:lvl w:ilvl="0" w:tplc="8292B45C">
      <w:start w:val="1"/>
      <w:numFmt w:val="decimal"/>
      <w:suff w:val="space"/>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8D5160"/>
    <w:multiLevelType w:val="hybridMultilevel"/>
    <w:tmpl w:val="86000EE2"/>
    <w:lvl w:ilvl="0" w:tplc="53E4BDB2">
      <w:start w:val="1"/>
      <w:numFmt w:val="decimal"/>
      <w:suff w:val="space"/>
      <w:lvlText w:val="%1."/>
      <w:lvlJc w:val="left"/>
      <w:pPr>
        <w:ind w:left="360" w:hanging="360"/>
      </w:pPr>
      <w:rPr>
        <w:rFonts w:cs="David"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BF5102"/>
    <w:multiLevelType w:val="hybridMultilevel"/>
    <w:tmpl w:val="3034B4CC"/>
    <w:lvl w:ilvl="0" w:tplc="66A42EC2">
      <w:start w:val="1"/>
      <w:numFmt w:val="decimal"/>
      <w:lvlText w:val="%1."/>
      <w:lvlJc w:val="left"/>
      <w:pPr>
        <w:ind w:left="360" w:hanging="360"/>
      </w:pPr>
      <w:rPr>
        <w:rFonts w:ascii="Calibri" w:eastAsia="Calibri" w:hAnsi="Calibri" w:cs="David"/>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6A4F64"/>
    <w:multiLevelType w:val="hybridMultilevel"/>
    <w:tmpl w:val="26AE3880"/>
    <w:lvl w:ilvl="0" w:tplc="635E6CF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E9414E"/>
    <w:multiLevelType w:val="hybridMultilevel"/>
    <w:tmpl w:val="86000EE2"/>
    <w:lvl w:ilvl="0" w:tplc="53E4BDB2">
      <w:start w:val="1"/>
      <w:numFmt w:val="decimal"/>
      <w:suff w:val="space"/>
      <w:lvlText w:val="%1."/>
      <w:lvlJc w:val="left"/>
      <w:pPr>
        <w:ind w:left="360" w:hanging="360"/>
      </w:pPr>
      <w:rPr>
        <w:rFonts w:cs="David"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F72739"/>
    <w:multiLevelType w:val="hybridMultilevel"/>
    <w:tmpl w:val="21AE792E"/>
    <w:lvl w:ilvl="0" w:tplc="4B960796">
      <w:start w:val="1"/>
      <w:numFmt w:val="decimal"/>
      <w:lvlText w:val="%1."/>
      <w:lvlJc w:val="left"/>
      <w:pPr>
        <w:ind w:left="1191" w:hanging="765"/>
      </w:pPr>
      <w:rPr>
        <w:rFonts w:hint="default"/>
        <w:b w:val="0"/>
        <w:bCs w:val="0"/>
        <w:lang w:bidi="he-IL"/>
      </w:r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12" w15:restartNumberingAfterBreak="0">
    <w:nsid w:val="4CF04C57"/>
    <w:multiLevelType w:val="hybridMultilevel"/>
    <w:tmpl w:val="5FB899CA"/>
    <w:lvl w:ilvl="0" w:tplc="5DE8F774">
      <w:start w:val="1"/>
      <w:numFmt w:val="decimal"/>
      <w:lvlText w:val="%1."/>
      <w:lvlJc w:val="left"/>
      <w:pPr>
        <w:ind w:left="360" w:hanging="360"/>
      </w:pPr>
      <w:rPr>
        <w:rFonts w:ascii="David" w:hAnsi="David" w:cs="David" w:hint="cs"/>
        <w:b w:val="0"/>
        <w:bCs w:val="0"/>
        <w:sz w:val="28"/>
        <w:szCs w:val="28"/>
      </w:rPr>
    </w:lvl>
    <w:lvl w:ilvl="1" w:tplc="04090019" w:tentative="1">
      <w:start w:val="1"/>
      <w:numFmt w:val="lowerLetter"/>
      <w:lvlText w:val="%2."/>
      <w:lvlJc w:val="left"/>
      <w:pPr>
        <w:ind w:left="981" w:hanging="360"/>
      </w:pPr>
    </w:lvl>
    <w:lvl w:ilvl="2" w:tplc="0409001B" w:tentative="1">
      <w:start w:val="1"/>
      <w:numFmt w:val="lowerRoman"/>
      <w:lvlText w:val="%3."/>
      <w:lvlJc w:val="right"/>
      <w:pPr>
        <w:ind w:left="1701" w:hanging="180"/>
      </w:pPr>
    </w:lvl>
    <w:lvl w:ilvl="3" w:tplc="0409000F" w:tentative="1">
      <w:start w:val="1"/>
      <w:numFmt w:val="decimal"/>
      <w:lvlText w:val="%4."/>
      <w:lvlJc w:val="left"/>
      <w:pPr>
        <w:ind w:left="2421" w:hanging="360"/>
      </w:pPr>
    </w:lvl>
    <w:lvl w:ilvl="4" w:tplc="04090019" w:tentative="1">
      <w:start w:val="1"/>
      <w:numFmt w:val="lowerLetter"/>
      <w:lvlText w:val="%5."/>
      <w:lvlJc w:val="left"/>
      <w:pPr>
        <w:ind w:left="3141" w:hanging="360"/>
      </w:pPr>
    </w:lvl>
    <w:lvl w:ilvl="5" w:tplc="0409001B" w:tentative="1">
      <w:start w:val="1"/>
      <w:numFmt w:val="lowerRoman"/>
      <w:lvlText w:val="%6."/>
      <w:lvlJc w:val="right"/>
      <w:pPr>
        <w:ind w:left="3861" w:hanging="180"/>
      </w:pPr>
    </w:lvl>
    <w:lvl w:ilvl="6" w:tplc="0409000F" w:tentative="1">
      <w:start w:val="1"/>
      <w:numFmt w:val="decimal"/>
      <w:lvlText w:val="%7."/>
      <w:lvlJc w:val="left"/>
      <w:pPr>
        <w:ind w:left="4581" w:hanging="360"/>
      </w:pPr>
    </w:lvl>
    <w:lvl w:ilvl="7" w:tplc="04090019" w:tentative="1">
      <w:start w:val="1"/>
      <w:numFmt w:val="lowerLetter"/>
      <w:lvlText w:val="%8."/>
      <w:lvlJc w:val="left"/>
      <w:pPr>
        <w:ind w:left="5301" w:hanging="360"/>
      </w:pPr>
    </w:lvl>
    <w:lvl w:ilvl="8" w:tplc="0409001B" w:tentative="1">
      <w:start w:val="1"/>
      <w:numFmt w:val="lowerRoman"/>
      <w:lvlText w:val="%9."/>
      <w:lvlJc w:val="right"/>
      <w:pPr>
        <w:ind w:left="6021" w:hanging="180"/>
      </w:pPr>
    </w:lvl>
  </w:abstractNum>
  <w:abstractNum w:abstractNumId="13" w15:restartNumberingAfterBreak="0">
    <w:nsid w:val="5807540F"/>
    <w:multiLevelType w:val="hybridMultilevel"/>
    <w:tmpl w:val="C09C9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F1132D"/>
    <w:multiLevelType w:val="hybridMultilevel"/>
    <w:tmpl w:val="7D2C7BDC"/>
    <w:lvl w:ilvl="0" w:tplc="C3B6913E">
      <w:start w:val="1"/>
      <w:numFmt w:val="decimal"/>
      <w:lvlText w:val="%1."/>
      <w:lvlJc w:val="left"/>
      <w:pPr>
        <w:ind w:left="261" w:hanging="360"/>
      </w:pPr>
      <w:rPr>
        <w:rFonts w:hint="default"/>
      </w:rPr>
    </w:lvl>
    <w:lvl w:ilvl="1" w:tplc="04090019" w:tentative="1">
      <w:start w:val="1"/>
      <w:numFmt w:val="lowerLetter"/>
      <w:lvlText w:val="%2."/>
      <w:lvlJc w:val="left"/>
      <w:pPr>
        <w:ind w:left="981" w:hanging="360"/>
      </w:pPr>
    </w:lvl>
    <w:lvl w:ilvl="2" w:tplc="0409001B" w:tentative="1">
      <w:start w:val="1"/>
      <w:numFmt w:val="lowerRoman"/>
      <w:lvlText w:val="%3."/>
      <w:lvlJc w:val="right"/>
      <w:pPr>
        <w:ind w:left="1701" w:hanging="180"/>
      </w:pPr>
    </w:lvl>
    <w:lvl w:ilvl="3" w:tplc="0409000F" w:tentative="1">
      <w:start w:val="1"/>
      <w:numFmt w:val="decimal"/>
      <w:lvlText w:val="%4."/>
      <w:lvlJc w:val="left"/>
      <w:pPr>
        <w:ind w:left="2421" w:hanging="360"/>
      </w:pPr>
    </w:lvl>
    <w:lvl w:ilvl="4" w:tplc="04090019" w:tentative="1">
      <w:start w:val="1"/>
      <w:numFmt w:val="lowerLetter"/>
      <w:lvlText w:val="%5."/>
      <w:lvlJc w:val="left"/>
      <w:pPr>
        <w:ind w:left="3141" w:hanging="360"/>
      </w:pPr>
    </w:lvl>
    <w:lvl w:ilvl="5" w:tplc="0409001B" w:tentative="1">
      <w:start w:val="1"/>
      <w:numFmt w:val="lowerRoman"/>
      <w:lvlText w:val="%6."/>
      <w:lvlJc w:val="right"/>
      <w:pPr>
        <w:ind w:left="3861" w:hanging="180"/>
      </w:pPr>
    </w:lvl>
    <w:lvl w:ilvl="6" w:tplc="0409000F" w:tentative="1">
      <w:start w:val="1"/>
      <w:numFmt w:val="decimal"/>
      <w:lvlText w:val="%7."/>
      <w:lvlJc w:val="left"/>
      <w:pPr>
        <w:ind w:left="4581" w:hanging="360"/>
      </w:pPr>
    </w:lvl>
    <w:lvl w:ilvl="7" w:tplc="04090019" w:tentative="1">
      <w:start w:val="1"/>
      <w:numFmt w:val="lowerLetter"/>
      <w:lvlText w:val="%8."/>
      <w:lvlJc w:val="left"/>
      <w:pPr>
        <w:ind w:left="5301" w:hanging="360"/>
      </w:pPr>
    </w:lvl>
    <w:lvl w:ilvl="8" w:tplc="0409001B" w:tentative="1">
      <w:start w:val="1"/>
      <w:numFmt w:val="lowerRoman"/>
      <w:lvlText w:val="%9."/>
      <w:lvlJc w:val="right"/>
      <w:pPr>
        <w:ind w:left="6021" w:hanging="180"/>
      </w:pPr>
    </w:lvl>
  </w:abstractNum>
  <w:abstractNum w:abstractNumId="15" w15:restartNumberingAfterBreak="0">
    <w:nsid w:val="64D86C60"/>
    <w:multiLevelType w:val="hybridMultilevel"/>
    <w:tmpl w:val="10165E00"/>
    <w:lvl w:ilvl="0" w:tplc="1F9E572E">
      <w:start w:val="1"/>
      <w:numFmt w:val="hebrew1"/>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6" w15:restartNumberingAfterBreak="0">
    <w:nsid w:val="6C98498E"/>
    <w:multiLevelType w:val="hybridMultilevel"/>
    <w:tmpl w:val="6D18B9CE"/>
    <w:lvl w:ilvl="0" w:tplc="839C9E96">
      <w:start w:val="1"/>
      <w:numFmt w:val="decimal"/>
      <w:lvlText w:val="%1."/>
      <w:lvlJc w:val="left"/>
      <w:pPr>
        <w:ind w:left="261" w:hanging="360"/>
      </w:pPr>
      <w:rPr>
        <w:rFonts w:hint="default"/>
        <w:b w:val="0"/>
        <w:bCs w:val="0"/>
      </w:rPr>
    </w:lvl>
    <w:lvl w:ilvl="1" w:tplc="04090019" w:tentative="1">
      <w:start w:val="1"/>
      <w:numFmt w:val="lowerLetter"/>
      <w:lvlText w:val="%2."/>
      <w:lvlJc w:val="left"/>
      <w:pPr>
        <w:ind w:left="981" w:hanging="360"/>
      </w:pPr>
    </w:lvl>
    <w:lvl w:ilvl="2" w:tplc="0409001B" w:tentative="1">
      <w:start w:val="1"/>
      <w:numFmt w:val="lowerRoman"/>
      <w:lvlText w:val="%3."/>
      <w:lvlJc w:val="right"/>
      <w:pPr>
        <w:ind w:left="1701" w:hanging="180"/>
      </w:pPr>
    </w:lvl>
    <w:lvl w:ilvl="3" w:tplc="0409000F" w:tentative="1">
      <w:start w:val="1"/>
      <w:numFmt w:val="decimal"/>
      <w:lvlText w:val="%4."/>
      <w:lvlJc w:val="left"/>
      <w:pPr>
        <w:ind w:left="2421" w:hanging="360"/>
      </w:pPr>
    </w:lvl>
    <w:lvl w:ilvl="4" w:tplc="04090019" w:tentative="1">
      <w:start w:val="1"/>
      <w:numFmt w:val="lowerLetter"/>
      <w:lvlText w:val="%5."/>
      <w:lvlJc w:val="left"/>
      <w:pPr>
        <w:ind w:left="3141" w:hanging="360"/>
      </w:pPr>
    </w:lvl>
    <w:lvl w:ilvl="5" w:tplc="0409001B" w:tentative="1">
      <w:start w:val="1"/>
      <w:numFmt w:val="lowerRoman"/>
      <w:lvlText w:val="%6."/>
      <w:lvlJc w:val="right"/>
      <w:pPr>
        <w:ind w:left="3861" w:hanging="180"/>
      </w:pPr>
    </w:lvl>
    <w:lvl w:ilvl="6" w:tplc="0409000F" w:tentative="1">
      <w:start w:val="1"/>
      <w:numFmt w:val="decimal"/>
      <w:lvlText w:val="%7."/>
      <w:lvlJc w:val="left"/>
      <w:pPr>
        <w:ind w:left="4581" w:hanging="360"/>
      </w:pPr>
    </w:lvl>
    <w:lvl w:ilvl="7" w:tplc="04090019" w:tentative="1">
      <w:start w:val="1"/>
      <w:numFmt w:val="lowerLetter"/>
      <w:lvlText w:val="%8."/>
      <w:lvlJc w:val="left"/>
      <w:pPr>
        <w:ind w:left="5301" w:hanging="360"/>
      </w:pPr>
    </w:lvl>
    <w:lvl w:ilvl="8" w:tplc="0409001B" w:tentative="1">
      <w:start w:val="1"/>
      <w:numFmt w:val="lowerRoman"/>
      <w:lvlText w:val="%9."/>
      <w:lvlJc w:val="right"/>
      <w:pPr>
        <w:ind w:left="6021" w:hanging="180"/>
      </w:pPr>
    </w:lvl>
  </w:abstractNum>
  <w:num w:numId="1">
    <w:abstractNumId w:val="5"/>
  </w:num>
  <w:num w:numId="2">
    <w:abstractNumId w:val="12"/>
  </w:num>
  <w:num w:numId="3">
    <w:abstractNumId w:val="8"/>
  </w:num>
  <w:num w:numId="4">
    <w:abstractNumId w:val="10"/>
  </w:num>
  <w:num w:numId="5">
    <w:abstractNumId w:val="14"/>
  </w:num>
  <w:num w:numId="6">
    <w:abstractNumId w:val="16"/>
  </w:num>
  <w:num w:numId="7">
    <w:abstractNumId w:val="11"/>
  </w:num>
  <w:num w:numId="8">
    <w:abstractNumId w:val="3"/>
  </w:num>
  <w:num w:numId="9">
    <w:abstractNumId w:val="15"/>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6"/>
  </w:num>
  <w:num w:numId="14">
    <w:abstractNumId w:val="7"/>
  </w:num>
  <w:num w:numId="15">
    <w:abstractNumId w:val="1"/>
  </w:num>
  <w:num w:numId="16">
    <w:abstractNumId w:val="2"/>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0E"/>
    <w:rsid w:val="00003060"/>
    <w:rsid w:val="00012A40"/>
    <w:rsid w:val="000209F9"/>
    <w:rsid w:val="0002290F"/>
    <w:rsid w:val="0003714F"/>
    <w:rsid w:val="0004020B"/>
    <w:rsid w:val="00050445"/>
    <w:rsid w:val="00052DBB"/>
    <w:rsid w:val="0005631D"/>
    <w:rsid w:val="00056575"/>
    <w:rsid w:val="00060030"/>
    <w:rsid w:val="0007030B"/>
    <w:rsid w:val="000718FB"/>
    <w:rsid w:val="00081EF2"/>
    <w:rsid w:val="000865A7"/>
    <w:rsid w:val="00096B9A"/>
    <w:rsid w:val="000A098D"/>
    <w:rsid w:val="000B1225"/>
    <w:rsid w:val="000B4554"/>
    <w:rsid w:val="000C1115"/>
    <w:rsid w:val="000D3C7E"/>
    <w:rsid w:val="000D4B77"/>
    <w:rsid w:val="000D6931"/>
    <w:rsid w:val="000E411B"/>
    <w:rsid w:val="000F5842"/>
    <w:rsid w:val="00102E3C"/>
    <w:rsid w:val="001055ED"/>
    <w:rsid w:val="00106A57"/>
    <w:rsid w:val="00117D2B"/>
    <w:rsid w:val="00117F5C"/>
    <w:rsid w:val="00117FED"/>
    <w:rsid w:val="00120856"/>
    <w:rsid w:val="00120961"/>
    <w:rsid w:val="00120A87"/>
    <w:rsid w:val="001273F7"/>
    <w:rsid w:val="00142EAC"/>
    <w:rsid w:val="00150D55"/>
    <w:rsid w:val="001539B9"/>
    <w:rsid w:val="001606FE"/>
    <w:rsid w:val="00171778"/>
    <w:rsid w:val="0017200D"/>
    <w:rsid w:val="00173CCF"/>
    <w:rsid w:val="00174525"/>
    <w:rsid w:val="001750FF"/>
    <w:rsid w:val="00191516"/>
    <w:rsid w:val="0019606A"/>
    <w:rsid w:val="001A135C"/>
    <w:rsid w:val="001A2620"/>
    <w:rsid w:val="001A27E3"/>
    <w:rsid w:val="001A43E9"/>
    <w:rsid w:val="001A539E"/>
    <w:rsid w:val="001A5781"/>
    <w:rsid w:val="001C0234"/>
    <w:rsid w:val="001C1405"/>
    <w:rsid w:val="001C2875"/>
    <w:rsid w:val="001C5F2E"/>
    <w:rsid w:val="001C7B25"/>
    <w:rsid w:val="001D24C5"/>
    <w:rsid w:val="001E152F"/>
    <w:rsid w:val="001E18C9"/>
    <w:rsid w:val="001F05D7"/>
    <w:rsid w:val="001F2A50"/>
    <w:rsid w:val="001F56CA"/>
    <w:rsid w:val="00202E1D"/>
    <w:rsid w:val="00226298"/>
    <w:rsid w:val="00241212"/>
    <w:rsid w:val="0024284D"/>
    <w:rsid w:val="0024507A"/>
    <w:rsid w:val="002457D7"/>
    <w:rsid w:val="002513BF"/>
    <w:rsid w:val="002644E9"/>
    <w:rsid w:val="00271B18"/>
    <w:rsid w:val="00272B44"/>
    <w:rsid w:val="00273054"/>
    <w:rsid w:val="002747AC"/>
    <w:rsid w:val="00283125"/>
    <w:rsid w:val="002950CE"/>
    <w:rsid w:val="00297DB4"/>
    <w:rsid w:val="002A36DC"/>
    <w:rsid w:val="002A3868"/>
    <w:rsid w:val="002A459D"/>
    <w:rsid w:val="002A52C8"/>
    <w:rsid w:val="002A5B58"/>
    <w:rsid w:val="002A7DFF"/>
    <w:rsid w:val="002C1859"/>
    <w:rsid w:val="002E21EB"/>
    <w:rsid w:val="002E61B4"/>
    <w:rsid w:val="002F532D"/>
    <w:rsid w:val="003053C8"/>
    <w:rsid w:val="003178FF"/>
    <w:rsid w:val="00327535"/>
    <w:rsid w:val="00327F1C"/>
    <w:rsid w:val="00334C99"/>
    <w:rsid w:val="003479E9"/>
    <w:rsid w:val="003541F6"/>
    <w:rsid w:val="003646F0"/>
    <w:rsid w:val="00365543"/>
    <w:rsid w:val="003810C9"/>
    <w:rsid w:val="00386720"/>
    <w:rsid w:val="00397C76"/>
    <w:rsid w:val="003A4E77"/>
    <w:rsid w:val="003B0B28"/>
    <w:rsid w:val="003B337D"/>
    <w:rsid w:val="003B3BD4"/>
    <w:rsid w:val="003C1E54"/>
    <w:rsid w:val="003C478E"/>
    <w:rsid w:val="003C4F0D"/>
    <w:rsid w:val="003E753D"/>
    <w:rsid w:val="003F2AC5"/>
    <w:rsid w:val="003F4B07"/>
    <w:rsid w:val="00401739"/>
    <w:rsid w:val="0040360B"/>
    <w:rsid w:val="00403DFB"/>
    <w:rsid w:val="004056D7"/>
    <w:rsid w:val="00407BE6"/>
    <w:rsid w:val="004102D2"/>
    <w:rsid w:val="0041035F"/>
    <w:rsid w:val="00412175"/>
    <w:rsid w:val="004174AC"/>
    <w:rsid w:val="00417DC3"/>
    <w:rsid w:val="0043531E"/>
    <w:rsid w:val="00441F04"/>
    <w:rsid w:val="00445837"/>
    <w:rsid w:val="00461B93"/>
    <w:rsid w:val="0047150A"/>
    <w:rsid w:val="00473847"/>
    <w:rsid w:val="00476484"/>
    <w:rsid w:val="00480332"/>
    <w:rsid w:val="00486E35"/>
    <w:rsid w:val="00490237"/>
    <w:rsid w:val="0049095B"/>
    <w:rsid w:val="004913BE"/>
    <w:rsid w:val="004926F2"/>
    <w:rsid w:val="004A070E"/>
    <w:rsid w:val="004A26FB"/>
    <w:rsid w:val="004B1415"/>
    <w:rsid w:val="004B1633"/>
    <w:rsid w:val="004D0CD8"/>
    <w:rsid w:val="004E1EFD"/>
    <w:rsid w:val="004E6BF2"/>
    <w:rsid w:val="004F0E91"/>
    <w:rsid w:val="004F5F0E"/>
    <w:rsid w:val="00501311"/>
    <w:rsid w:val="00511B5A"/>
    <w:rsid w:val="00514DF4"/>
    <w:rsid w:val="0051537F"/>
    <w:rsid w:val="005212BC"/>
    <w:rsid w:val="0052336E"/>
    <w:rsid w:val="00526995"/>
    <w:rsid w:val="00532620"/>
    <w:rsid w:val="005417D0"/>
    <w:rsid w:val="0054401E"/>
    <w:rsid w:val="00546979"/>
    <w:rsid w:val="00546FA1"/>
    <w:rsid w:val="00555711"/>
    <w:rsid w:val="00563706"/>
    <w:rsid w:val="00564A7F"/>
    <w:rsid w:val="00570640"/>
    <w:rsid w:val="0057179B"/>
    <w:rsid w:val="005819FD"/>
    <w:rsid w:val="005830C3"/>
    <w:rsid w:val="00597FA4"/>
    <w:rsid w:val="005A0F13"/>
    <w:rsid w:val="005A6D1C"/>
    <w:rsid w:val="005C71BD"/>
    <w:rsid w:val="005D26D1"/>
    <w:rsid w:val="005D2FAA"/>
    <w:rsid w:val="005D4C94"/>
    <w:rsid w:val="005D691C"/>
    <w:rsid w:val="005E1B45"/>
    <w:rsid w:val="005E2A91"/>
    <w:rsid w:val="005E7F74"/>
    <w:rsid w:val="00601344"/>
    <w:rsid w:val="00601F2E"/>
    <w:rsid w:val="00604AB3"/>
    <w:rsid w:val="00604B10"/>
    <w:rsid w:val="00611FA4"/>
    <w:rsid w:val="00614BF0"/>
    <w:rsid w:val="00626CF9"/>
    <w:rsid w:val="00626FB9"/>
    <w:rsid w:val="00633CA7"/>
    <w:rsid w:val="00633F2F"/>
    <w:rsid w:val="00641FCC"/>
    <w:rsid w:val="00643270"/>
    <w:rsid w:val="0065295E"/>
    <w:rsid w:val="0066100D"/>
    <w:rsid w:val="00666055"/>
    <w:rsid w:val="00677EED"/>
    <w:rsid w:val="00697661"/>
    <w:rsid w:val="006B040E"/>
    <w:rsid w:val="006B60D9"/>
    <w:rsid w:val="006C5DAC"/>
    <w:rsid w:val="006D0DD1"/>
    <w:rsid w:val="006D69D1"/>
    <w:rsid w:val="006D7476"/>
    <w:rsid w:val="006E1F12"/>
    <w:rsid w:val="006F33FB"/>
    <w:rsid w:val="006F662E"/>
    <w:rsid w:val="007131EF"/>
    <w:rsid w:val="00714222"/>
    <w:rsid w:val="00716900"/>
    <w:rsid w:val="00722D42"/>
    <w:rsid w:val="00726FEC"/>
    <w:rsid w:val="00730CAB"/>
    <w:rsid w:val="00731825"/>
    <w:rsid w:val="00732F53"/>
    <w:rsid w:val="00755B53"/>
    <w:rsid w:val="0075651C"/>
    <w:rsid w:val="0077784E"/>
    <w:rsid w:val="007A647D"/>
    <w:rsid w:val="007A6F4D"/>
    <w:rsid w:val="007B5561"/>
    <w:rsid w:val="007B5C02"/>
    <w:rsid w:val="007B7D67"/>
    <w:rsid w:val="007D28D8"/>
    <w:rsid w:val="007D646C"/>
    <w:rsid w:val="007D6A14"/>
    <w:rsid w:val="007D6D34"/>
    <w:rsid w:val="007E2B96"/>
    <w:rsid w:val="007E444D"/>
    <w:rsid w:val="007F1A4C"/>
    <w:rsid w:val="00801D47"/>
    <w:rsid w:val="008042CD"/>
    <w:rsid w:val="00817F9A"/>
    <w:rsid w:val="00827F9E"/>
    <w:rsid w:val="0083120A"/>
    <w:rsid w:val="00832E6A"/>
    <w:rsid w:val="008566C7"/>
    <w:rsid w:val="00857ABF"/>
    <w:rsid w:val="0087517C"/>
    <w:rsid w:val="00877040"/>
    <w:rsid w:val="0088115C"/>
    <w:rsid w:val="00884A49"/>
    <w:rsid w:val="00885116"/>
    <w:rsid w:val="00891A09"/>
    <w:rsid w:val="008944B4"/>
    <w:rsid w:val="008C459F"/>
    <w:rsid w:val="008C64F1"/>
    <w:rsid w:val="008D155D"/>
    <w:rsid w:val="008D325B"/>
    <w:rsid w:val="008E150E"/>
    <w:rsid w:val="0090284B"/>
    <w:rsid w:val="00912603"/>
    <w:rsid w:val="00913D6B"/>
    <w:rsid w:val="0094283B"/>
    <w:rsid w:val="009444B5"/>
    <w:rsid w:val="009627B6"/>
    <w:rsid w:val="00982A99"/>
    <w:rsid w:val="009948C6"/>
    <w:rsid w:val="00996207"/>
    <w:rsid w:val="00997120"/>
    <w:rsid w:val="009B0448"/>
    <w:rsid w:val="009B261A"/>
    <w:rsid w:val="009B5532"/>
    <w:rsid w:val="009E2DA9"/>
    <w:rsid w:val="009E5586"/>
    <w:rsid w:val="009F0E0D"/>
    <w:rsid w:val="009F47DA"/>
    <w:rsid w:val="009F58AB"/>
    <w:rsid w:val="009F7CFD"/>
    <w:rsid w:val="00A03E8F"/>
    <w:rsid w:val="00A075FE"/>
    <w:rsid w:val="00A1453E"/>
    <w:rsid w:val="00A14C6B"/>
    <w:rsid w:val="00A23F50"/>
    <w:rsid w:val="00A30278"/>
    <w:rsid w:val="00A30909"/>
    <w:rsid w:val="00A47623"/>
    <w:rsid w:val="00A47807"/>
    <w:rsid w:val="00A72066"/>
    <w:rsid w:val="00A736FB"/>
    <w:rsid w:val="00AA5873"/>
    <w:rsid w:val="00AB03E9"/>
    <w:rsid w:val="00AB232A"/>
    <w:rsid w:val="00AB2672"/>
    <w:rsid w:val="00AB4780"/>
    <w:rsid w:val="00AC5DD9"/>
    <w:rsid w:val="00AD531C"/>
    <w:rsid w:val="00AE3618"/>
    <w:rsid w:val="00AE3D3A"/>
    <w:rsid w:val="00AE6379"/>
    <w:rsid w:val="00B00E97"/>
    <w:rsid w:val="00B22D65"/>
    <w:rsid w:val="00B23A69"/>
    <w:rsid w:val="00B31B65"/>
    <w:rsid w:val="00B34415"/>
    <w:rsid w:val="00B36D8A"/>
    <w:rsid w:val="00B4346D"/>
    <w:rsid w:val="00B572B3"/>
    <w:rsid w:val="00B64354"/>
    <w:rsid w:val="00B66A41"/>
    <w:rsid w:val="00B864D1"/>
    <w:rsid w:val="00B9677D"/>
    <w:rsid w:val="00B96E85"/>
    <w:rsid w:val="00BA05F6"/>
    <w:rsid w:val="00BA419F"/>
    <w:rsid w:val="00BA73EB"/>
    <w:rsid w:val="00BB3644"/>
    <w:rsid w:val="00BE140A"/>
    <w:rsid w:val="00BF1158"/>
    <w:rsid w:val="00BF5FBF"/>
    <w:rsid w:val="00C05E01"/>
    <w:rsid w:val="00C23AB2"/>
    <w:rsid w:val="00C35FF0"/>
    <w:rsid w:val="00C53F5F"/>
    <w:rsid w:val="00C702CB"/>
    <w:rsid w:val="00C767B1"/>
    <w:rsid w:val="00C84BB2"/>
    <w:rsid w:val="00C918F2"/>
    <w:rsid w:val="00CA0BF4"/>
    <w:rsid w:val="00CA4776"/>
    <w:rsid w:val="00CA6C22"/>
    <w:rsid w:val="00CB22BD"/>
    <w:rsid w:val="00CB27FD"/>
    <w:rsid w:val="00CC139E"/>
    <w:rsid w:val="00CC7336"/>
    <w:rsid w:val="00CC7AC3"/>
    <w:rsid w:val="00CD20FE"/>
    <w:rsid w:val="00CE1109"/>
    <w:rsid w:val="00CE3DDF"/>
    <w:rsid w:val="00CE6219"/>
    <w:rsid w:val="00CF4B8F"/>
    <w:rsid w:val="00CF5F9E"/>
    <w:rsid w:val="00D0398C"/>
    <w:rsid w:val="00D113C0"/>
    <w:rsid w:val="00D160E9"/>
    <w:rsid w:val="00D21A1C"/>
    <w:rsid w:val="00D2778E"/>
    <w:rsid w:val="00D50330"/>
    <w:rsid w:val="00D50363"/>
    <w:rsid w:val="00D54B4F"/>
    <w:rsid w:val="00D63957"/>
    <w:rsid w:val="00D77437"/>
    <w:rsid w:val="00D845B7"/>
    <w:rsid w:val="00D95AEB"/>
    <w:rsid w:val="00DB0179"/>
    <w:rsid w:val="00DB1D03"/>
    <w:rsid w:val="00DB5DD3"/>
    <w:rsid w:val="00DB7F75"/>
    <w:rsid w:val="00DD18B4"/>
    <w:rsid w:val="00DD318C"/>
    <w:rsid w:val="00DD39E7"/>
    <w:rsid w:val="00DD5590"/>
    <w:rsid w:val="00DD6B24"/>
    <w:rsid w:val="00DE142B"/>
    <w:rsid w:val="00DE4178"/>
    <w:rsid w:val="00DE4405"/>
    <w:rsid w:val="00DE47CD"/>
    <w:rsid w:val="00DF0CDB"/>
    <w:rsid w:val="00E02D79"/>
    <w:rsid w:val="00E118E2"/>
    <w:rsid w:val="00E139BE"/>
    <w:rsid w:val="00E151D7"/>
    <w:rsid w:val="00E23CD5"/>
    <w:rsid w:val="00E2560E"/>
    <w:rsid w:val="00E31912"/>
    <w:rsid w:val="00E337DB"/>
    <w:rsid w:val="00E40C34"/>
    <w:rsid w:val="00E40F37"/>
    <w:rsid w:val="00E41EAE"/>
    <w:rsid w:val="00E4678F"/>
    <w:rsid w:val="00E521F8"/>
    <w:rsid w:val="00E54E4B"/>
    <w:rsid w:val="00E56C3B"/>
    <w:rsid w:val="00E92F5C"/>
    <w:rsid w:val="00EA03FB"/>
    <w:rsid w:val="00EA14BD"/>
    <w:rsid w:val="00EA14FD"/>
    <w:rsid w:val="00EA6361"/>
    <w:rsid w:val="00EB1A9D"/>
    <w:rsid w:val="00EB7CD3"/>
    <w:rsid w:val="00EC25E8"/>
    <w:rsid w:val="00EC3B46"/>
    <w:rsid w:val="00ED0E72"/>
    <w:rsid w:val="00ED3A24"/>
    <w:rsid w:val="00F00D77"/>
    <w:rsid w:val="00F32300"/>
    <w:rsid w:val="00F45813"/>
    <w:rsid w:val="00F4585E"/>
    <w:rsid w:val="00F46501"/>
    <w:rsid w:val="00F57EE2"/>
    <w:rsid w:val="00F60FE6"/>
    <w:rsid w:val="00F92E37"/>
    <w:rsid w:val="00FC7302"/>
    <w:rsid w:val="00FD203E"/>
    <w:rsid w:val="00FE13B0"/>
    <w:rsid w:val="00FE1F2A"/>
    <w:rsid w:val="00FE50A8"/>
    <w:rsid w:val="00FF3281"/>
    <w:rsid w:val="00FF59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47753"/>
  <w15:chartTrackingRefBased/>
  <w15:docId w15:val="{06369648-6D3F-4CBC-82FA-8181C74F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
    <w:name w:val="ללא רשימה1"/>
    <w:next w:val="NoList"/>
    <w:uiPriority w:val="99"/>
    <w:semiHidden/>
    <w:unhideWhenUsed/>
    <w:rsid w:val="004F5F0E"/>
  </w:style>
  <w:style w:type="paragraph" w:styleId="ListParagraph">
    <w:name w:val="List Paragraph"/>
    <w:basedOn w:val="Normal"/>
    <w:link w:val="ListParagraphChar"/>
    <w:uiPriority w:val="34"/>
    <w:qFormat/>
    <w:rsid w:val="004F5F0E"/>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4F5F0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F5F0E"/>
    <w:pPr>
      <w:tabs>
        <w:tab w:val="center" w:pos="4153"/>
        <w:tab w:val="right" w:pos="8306"/>
      </w:tabs>
    </w:pPr>
    <w:rPr>
      <w:rFonts w:ascii="Calibri" w:eastAsia="Calibri" w:hAnsi="Calibri" w:cs="Arial"/>
    </w:rPr>
  </w:style>
  <w:style w:type="character" w:customStyle="1" w:styleId="HeaderChar">
    <w:name w:val="Header Char"/>
    <w:basedOn w:val="DefaultParagraphFont"/>
    <w:link w:val="Header"/>
    <w:uiPriority w:val="99"/>
    <w:rsid w:val="004F5F0E"/>
    <w:rPr>
      <w:rFonts w:ascii="Calibri" w:eastAsia="Calibri" w:hAnsi="Calibri" w:cs="Arial"/>
    </w:rPr>
  </w:style>
  <w:style w:type="paragraph" w:styleId="Footer">
    <w:name w:val="footer"/>
    <w:basedOn w:val="Normal"/>
    <w:link w:val="FooterChar"/>
    <w:uiPriority w:val="99"/>
    <w:unhideWhenUsed/>
    <w:rsid w:val="004F5F0E"/>
    <w:pPr>
      <w:tabs>
        <w:tab w:val="center" w:pos="4153"/>
        <w:tab w:val="right" w:pos="8306"/>
      </w:tabs>
    </w:pPr>
    <w:rPr>
      <w:rFonts w:ascii="Calibri" w:eastAsia="Calibri" w:hAnsi="Calibri" w:cs="Arial"/>
    </w:rPr>
  </w:style>
  <w:style w:type="character" w:customStyle="1" w:styleId="FooterChar">
    <w:name w:val="Footer Char"/>
    <w:basedOn w:val="DefaultParagraphFont"/>
    <w:link w:val="Footer"/>
    <w:uiPriority w:val="99"/>
    <w:rsid w:val="004F5F0E"/>
    <w:rPr>
      <w:rFonts w:ascii="Calibri" w:eastAsia="Calibri" w:hAnsi="Calibri" w:cs="Arial"/>
    </w:rPr>
  </w:style>
  <w:style w:type="paragraph" w:customStyle="1" w:styleId="10">
    <w:name w:val="סגנון1"/>
    <w:basedOn w:val="BlockText"/>
    <w:link w:val="11"/>
    <w:qFormat/>
    <w:rsid w:val="004F5F0E"/>
    <w:pPr>
      <w:spacing w:before="240" w:after="360" w:line="240" w:lineRule="auto"/>
      <w:ind w:left="1360" w:right="1276"/>
      <w:contextualSpacing/>
      <w:jc w:val="both"/>
    </w:pPr>
    <w:rPr>
      <w:rFonts w:ascii="Arial Black" w:eastAsia="Times New Roman" w:hAnsi="Arial Black" w:cs="David"/>
      <w:sz w:val="28"/>
      <w:szCs w:val="28"/>
    </w:rPr>
  </w:style>
  <w:style w:type="character" w:customStyle="1" w:styleId="11">
    <w:name w:val="סגנון1 תו"/>
    <w:link w:val="10"/>
    <w:rsid w:val="004F5F0E"/>
    <w:rPr>
      <w:rFonts w:ascii="Arial Black" w:eastAsia="Times New Roman" w:hAnsi="Arial Black" w:cs="David"/>
      <w:sz w:val="28"/>
      <w:szCs w:val="28"/>
    </w:rPr>
  </w:style>
  <w:style w:type="paragraph" w:styleId="BlockText">
    <w:name w:val="Block Text"/>
    <w:basedOn w:val="Normal"/>
    <w:uiPriority w:val="99"/>
    <w:semiHidden/>
    <w:unhideWhenUsed/>
    <w:rsid w:val="004F5F0E"/>
    <w:pPr>
      <w:spacing w:after="120"/>
      <w:ind w:left="1440" w:right="1440"/>
    </w:pPr>
    <w:rPr>
      <w:rFonts w:ascii="Calibri" w:eastAsia="Calibri" w:hAnsi="Calibri" w:cs="Arial"/>
    </w:rPr>
  </w:style>
  <w:style w:type="character" w:customStyle="1" w:styleId="a">
    <w:name w:val="פיסקת רשימה תו"/>
    <w:link w:val="12"/>
    <w:uiPriority w:val="34"/>
    <w:rsid w:val="004F5F0E"/>
  </w:style>
  <w:style w:type="paragraph" w:customStyle="1" w:styleId="2">
    <w:name w:val="סגנון2"/>
    <w:basedOn w:val="Normal"/>
    <w:link w:val="20"/>
    <w:qFormat/>
    <w:rsid w:val="002A459D"/>
    <w:pPr>
      <w:spacing w:after="0" w:line="360" w:lineRule="auto"/>
      <w:ind w:left="720" w:hanging="360"/>
      <w:contextualSpacing/>
      <w:jc w:val="both"/>
    </w:pPr>
    <w:rPr>
      <w:rFonts w:ascii="Times New Roman" w:eastAsia="Times New Roman" w:hAnsi="Times New Roman" w:cs="David"/>
      <w:sz w:val="28"/>
      <w:szCs w:val="28"/>
    </w:rPr>
  </w:style>
  <w:style w:type="paragraph" w:customStyle="1" w:styleId="12">
    <w:name w:val="פיסקת רשימה1"/>
    <w:basedOn w:val="Normal"/>
    <w:link w:val="a"/>
    <w:uiPriority w:val="34"/>
    <w:qFormat/>
    <w:rsid w:val="002A459D"/>
    <w:pPr>
      <w:spacing w:after="0" w:line="240" w:lineRule="auto"/>
      <w:ind w:left="720"/>
      <w:contextualSpacing/>
    </w:pPr>
  </w:style>
  <w:style w:type="paragraph" w:styleId="BalloonText">
    <w:name w:val="Balloon Text"/>
    <w:basedOn w:val="Normal"/>
    <w:link w:val="BalloonTextChar"/>
    <w:uiPriority w:val="99"/>
    <w:semiHidden/>
    <w:unhideWhenUsed/>
    <w:rsid w:val="00912603"/>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912603"/>
    <w:rPr>
      <w:rFonts w:ascii="Tahoma" w:hAnsi="Tahoma" w:cs="Tahoma"/>
      <w:sz w:val="18"/>
      <w:szCs w:val="18"/>
    </w:rPr>
  </w:style>
  <w:style w:type="paragraph" w:customStyle="1" w:styleId="a0">
    <w:name w:val="נעם"/>
    <w:basedOn w:val="Normal"/>
    <w:qFormat/>
    <w:rsid w:val="00AB232A"/>
    <w:pPr>
      <w:spacing w:after="0" w:line="360" w:lineRule="auto"/>
      <w:jc w:val="both"/>
    </w:pPr>
    <w:rPr>
      <w:rFonts w:ascii="Calibri" w:eastAsia="Calibri" w:hAnsi="Calibri" w:cs="David"/>
      <w:szCs w:val="28"/>
    </w:rPr>
  </w:style>
  <w:style w:type="character" w:customStyle="1" w:styleId="20">
    <w:name w:val="סגנון2 תו"/>
    <w:basedOn w:val="a"/>
    <w:link w:val="2"/>
    <w:rsid w:val="00CD20FE"/>
    <w:rPr>
      <w:rFonts w:ascii="Times New Roman" w:eastAsia="Times New Roman" w:hAnsi="Times New Roman" w:cs="David"/>
      <w:sz w:val="28"/>
      <w:szCs w:val="28"/>
    </w:rPr>
  </w:style>
  <w:style w:type="character" w:styleId="CommentReference">
    <w:name w:val="annotation reference"/>
    <w:basedOn w:val="DefaultParagraphFont"/>
    <w:uiPriority w:val="99"/>
    <w:semiHidden/>
    <w:unhideWhenUsed/>
    <w:rsid w:val="00C35FF0"/>
    <w:rPr>
      <w:sz w:val="16"/>
      <w:szCs w:val="16"/>
    </w:rPr>
  </w:style>
  <w:style w:type="paragraph" w:styleId="CommentText">
    <w:name w:val="annotation text"/>
    <w:basedOn w:val="Normal"/>
    <w:link w:val="CommentTextChar"/>
    <w:uiPriority w:val="99"/>
    <w:semiHidden/>
    <w:unhideWhenUsed/>
    <w:rsid w:val="00C35FF0"/>
    <w:pPr>
      <w:spacing w:line="240" w:lineRule="auto"/>
    </w:pPr>
    <w:rPr>
      <w:sz w:val="20"/>
      <w:szCs w:val="20"/>
    </w:rPr>
  </w:style>
  <w:style w:type="character" w:customStyle="1" w:styleId="CommentTextChar">
    <w:name w:val="Comment Text Char"/>
    <w:basedOn w:val="DefaultParagraphFont"/>
    <w:link w:val="CommentText"/>
    <w:uiPriority w:val="99"/>
    <w:semiHidden/>
    <w:rsid w:val="00C35FF0"/>
    <w:rPr>
      <w:sz w:val="20"/>
      <w:szCs w:val="20"/>
    </w:rPr>
  </w:style>
  <w:style w:type="paragraph" w:styleId="CommentSubject">
    <w:name w:val="annotation subject"/>
    <w:basedOn w:val="CommentText"/>
    <w:next w:val="CommentText"/>
    <w:link w:val="CommentSubjectChar"/>
    <w:uiPriority w:val="99"/>
    <w:semiHidden/>
    <w:unhideWhenUsed/>
    <w:rsid w:val="00C35FF0"/>
    <w:rPr>
      <w:b/>
      <w:bCs/>
    </w:rPr>
  </w:style>
  <w:style w:type="character" w:customStyle="1" w:styleId="CommentSubjectChar">
    <w:name w:val="Comment Subject Char"/>
    <w:basedOn w:val="CommentTextChar"/>
    <w:link w:val="CommentSubject"/>
    <w:uiPriority w:val="99"/>
    <w:semiHidden/>
    <w:rsid w:val="00C35F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6E9B7-0629-472E-B49E-257CC3730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1613</Words>
  <Characters>8065</Characters>
  <Application>Microsoft Office Word</Application>
  <DocSecurity>0</DocSecurity>
  <Lines>67</Lines>
  <Paragraphs>19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לערעורים/עוזרת משפטית/אורטל עזר</dc:creator>
  <cp:keywords/>
  <dc:description/>
  <cp:lastModifiedBy>ארבל דו גלאון - בית הדין לערעורים/מש"ק משפט</cp:lastModifiedBy>
  <cp:revision>8</cp:revision>
  <cp:lastPrinted>2026-01-20T08:47:00Z</cp:lastPrinted>
  <dcterms:created xsi:type="dcterms:W3CDTF">2026-01-20T08:01:00Z</dcterms:created>
  <dcterms:modified xsi:type="dcterms:W3CDTF">2026-01-20T11:59:00Z</dcterms:modified>
</cp:coreProperties>
</file>