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06A4" w14:textId="0786D6B7" w:rsidR="00CC0A43" w:rsidRPr="00CC0A43" w:rsidRDefault="006F3091" w:rsidP="00CC0A43">
      <w:pPr>
        <w:jc w:val="center"/>
        <w:rPr>
          <w:rFonts w:ascii="David" w:hAnsi="David"/>
          <w:b/>
          <w:bCs/>
          <w:sz w:val="28"/>
          <w:szCs w:val="28"/>
        </w:rPr>
      </w:pPr>
      <w:bookmarkStart w:id="0" w:name="_Hlk117668955"/>
      <w:r w:rsidRPr="00CC0A43">
        <w:rPr>
          <w:rFonts w:ascii="David" w:hAnsi="David"/>
          <w:noProof/>
          <w:sz w:val="28"/>
          <w:szCs w:val="28"/>
        </w:rPr>
        <w:drawing>
          <wp:inline distT="0" distB="0" distL="0" distR="0" wp14:anchorId="6ECB09EB" wp14:editId="7FD773EA">
            <wp:extent cx="781050" cy="714375"/>
            <wp:effectExtent l="0" t="0" r="0" b="0"/>
            <wp:docPr id="1"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00CC0A43" w:rsidRPr="00CC0A43">
        <w:rPr>
          <w:rFonts w:ascii="David" w:hAnsi="David"/>
          <w:noProof/>
          <w:sz w:val="28"/>
          <w:szCs w:val="28"/>
          <w:rtl/>
        </w:rPr>
        <w:t xml:space="preserve">                                                 </w:t>
      </w:r>
      <w:r w:rsidRPr="00CC0A43">
        <w:rPr>
          <w:rFonts w:ascii="David" w:hAnsi="David"/>
          <w:noProof/>
          <w:sz w:val="28"/>
          <w:szCs w:val="28"/>
        </w:rPr>
        <w:drawing>
          <wp:inline distT="0" distB="0" distL="0" distR="0" wp14:anchorId="7E487680" wp14:editId="56A39A1F">
            <wp:extent cx="542925" cy="742950"/>
            <wp:effectExtent l="0" t="0" r="0" b="0"/>
            <wp:docPr id="2"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00CC0A43" w:rsidRPr="00CC0A43">
        <w:rPr>
          <w:rFonts w:ascii="David" w:hAnsi="David"/>
          <w:noProof/>
          <w:sz w:val="28"/>
          <w:szCs w:val="28"/>
          <w:rtl/>
        </w:rPr>
        <w:t xml:space="preserve">   </w:t>
      </w:r>
    </w:p>
    <w:p w14:paraId="7A036265" w14:textId="77777777" w:rsidR="00CC0A43" w:rsidRPr="00CC0A43" w:rsidRDefault="00CC0A43" w:rsidP="00CC0A43">
      <w:pPr>
        <w:tabs>
          <w:tab w:val="left" w:pos="4536"/>
        </w:tabs>
        <w:spacing w:line="276" w:lineRule="auto"/>
        <w:rPr>
          <w:rFonts w:ascii="David" w:hAnsi="David"/>
          <w:b/>
          <w:bCs/>
          <w:sz w:val="28"/>
          <w:szCs w:val="28"/>
        </w:rPr>
      </w:pPr>
      <w:r w:rsidRPr="00CC0A43">
        <w:rPr>
          <w:rFonts w:ascii="David" w:hAnsi="David"/>
          <w:b/>
          <w:bCs/>
          <w:sz w:val="28"/>
          <w:szCs w:val="28"/>
          <w:rtl/>
        </w:rPr>
        <w:t>בבית הדין הצבאי המחוזי</w:t>
      </w:r>
    </w:p>
    <w:p w14:paraId="6EE2ABF5" w14:textId="4CC2C47C" w:rsidR="00CC0A43" w:rsidRPr="00CC0A43" w:rsidRDefault="00CC0A43" w:rsidP="00CC0A43">
      <w:pPr>
        <w:tabs>
          <w:tab w:val="left" w:pos="4536"/>
        </w:tabs>
        <w:spacing w:line="276" w:lineRule="auto"/>
        <w:rPr>
          <w:rFonts w:ascii="David" w:hAnsi="David" w:hint="cs"/>
          <w:b/>
          <w:bCs/>
          <w:sz w:val="28"/>
          <w:szCs w:val="28"/>
          <w:rtl/>
        </w:rPr>
      </w:pPr>
      <w:r w:rsidRPr="00CC0A43">
        <w:rPr>
          <w:rFonts w:ascii="David" w:hAnsi="David"/>
          <w:b/>
          <w:bCs/>
          <w:sz w:val="28"/>
          <w:szCs w:val="28"/>
          <w:rtl/>
        </w:rPr>
        <w:t xml:space="preserve">במחוז שיפוטי </w:t>
      </w:r>
      <w:r w:rsidR="006F3091">
        <w:rPr>
          <w:rFonts w:ascii="David" w:hAnsi="David" w:hint="cs"/>
          <w:b/>
          <w:bCs/>
          <w:sz w:val="28"/>
          <w:szCs w:val="28"/>
          <w:rtl/>
        </w:rPr>
        <w:t>מרכז</w:t>
      </w:r>
    </w:p>
    <w:p w14:paraId="08EBCC2B" w14:textId="77777777" w:rsidR="00CC0A43" w:rsidRPr="006F3091" w:rsidRDefault="00CC0A43" w:rsidP="00CC0A43">
      <w:pPr>
        <w:pStyle w:val="BodyText"/>
        <w:spacing w:line="276" w:lineRule="auto"/>
        <w:rPr>
          <w:rFonts w:ascii="David" w:hAnsi="David" w:cs="David"/>
          <w:sz w:val="28"/>
          <w:rtl/>
        </w:rPr>
      </w:pPr>
      <w:r w:rsidRPr="00CC0A43">
        <w:rPr>
          <w:rFonts w:ascii="David" w:hAnsi="David" w:cs="David"/>
          <w:sz w:val="28"/>
          <w:rtl/>
        </w:rPr>
        <w:t xml:space="preserve">בפני כבוד השופטים: </w:t>
      </w:r>
      <w:r w:rsidRPr="00CC0A43">
        <w:rPr>
          <w:rFonts w:ascii="David" w:hAnsi="David" w:cs="David"/>
          <w:b w:val="0"/>
          <w:bCs w:val="0"/>
          <w:sz w:val="28"/>
          <w:rtl/>
        </w:rPr>
        <w:t xml:space="preserve">     </w:t>
      </w:r>
      <w:r w:rsidRPr="00CC0A43">
        <w:rPr>
          <w:rFonts w:ascii="David" w:hAnsi="David" w:cs="David"/>
          <w:sz w:val="28"/>
          <w:rtl/>
        </w:rPr>
        <w:t xml:space="preserve">        </w:t>
      </w:r>
      <w:r w:rsidRPr="006F3091">
        <w:rPr>
          <w:rFonts w:ascii="David" w:hAnsi="David" w:cs="David"/>
          <w:sz w:val="28"/>
          <w:rtl/>
        </w:rPr>
        <w:t>סא"ל שאול ארבל – אב"ד</w:t>
      </w:r>
    </w:p>
    <w:p w14:paraId="59045254" w14:textId="77777777" w:rsidR="00CC0A43" w:rsidRPr="006F3091" w:rsidRDefault="00CC0A43" w:rsidP="00CC0A43">
      <w:pPr>
        <w:pStyle w:val="BodyText"/>
        <w:spacing w:line="276" w:lineRule="auto"/>
        <w:jc w:val="center"/>
        <w:rPr>
          <w:rFonts w:ascii="David" w:hAnsi="David" w:cs="David"/>
          <w:sz w:val="28"/>
          <w:rtl/>
        </w:rPr>
      </w:pPr>
      <w:r w:rsidRPr="006F3091">
        <w:rPr>
          <w:rFonts w:ascii="David" w:hAnsi="David" w:cs="David"/>
          <w:sz w:val="28"/>
          <w:rtl/>
        </w:rPr>
        <w:t>רס"ן חי טל – שופט</w:t>
      </w:r>
    </w:p>
    <w:p w14:paraId="15D75003" w14:textId="77777777" w:rsidR="00CC0A43" w:rsidRPr="006F3091" w:rsidRDefault="00CC0A43" w:rsidP="00CC0A43">
      <w:pPr>
        <w:pStyle w:val="BodyText"/>
        <w:spacing w:line="276" w:lineRule="auto"/>
        <w:jc w:val="center"/>
        <w:rPr>
          <w:rFonts w:ascii="David" w:hAnsi="David" w:cs="David"/>
          <w:sz w:val="28"/>
        </w:rPr>
      </w:pPr>
      <w:r w:rsidRPr="006F3091">
        <w:rPr>
          <w:rFonts w:ascii="David" w:hAnsi="David" w:cs="David"/>
          <w:sz w:val="28"/>
          <w:rtl/>
        </w:rPr>
        <w:t>רס"ן עמיחי נדב – שופט</w:t>
      </w:r>
    </w:p>
    <w:p w14:paraId="0025415C" w14:textId="77777777" w:rsidR="00CC0A43" w:rsidRPr="00CC0A43" w:rsidRDefault="00CC0A43" w:rsidP="00CC0A43">
      <w:pPr>
        <w:pStyle w:val="BodyText"/>
        <w:spacing w:line="276" w:lineRule="auto"/>
        <w:rPr>
          <w:rFonts w:ascii="David" w:hAnsi="David" w:cs="David"/>
          <w:sz w:val="28"/>
        </w:rPr>
      </w:pPr>
    </w:p>
    <w:p w14:paraId="304917BA" w14:textId="77777777" w:rsidR="00CC0A43" w:rsidRPr="00CC0A43" w:rsidRDefault="00CC0A43" w:rsidP="00CC0A43">
      <w:pPr>
        <w:pStyle w:val="Title"/>
        <w:spacing w:line="276" w:lineRule="auto"/>
        <w:jc w:val="left"/>
        <w:rPr>
          <w:rFonts w:ascii="David" w:hAnsi="David"/>
          <w:sz w:val="28"/>
          <w:szCs w:val="28"/>
          <w:u w:val="none"/>
        </w:rPr>
      </w:pPr>
      <w:r w:rsidRPr="00CC0A43">
        <w:rPr>
          <w:rFonts w:ascii="David" w:hAnsi="David"/>
          <w:sz w:val="28"/>
          <w:szCs w:val="28"/>
          <w:u w:val="none"/>
          <w:rtl/>
        </w:rPr>
        <w:t>בעניין: התובע הצבאי</w:t>
      </w:r>
      <w:r w:rsidRPr="00CC0A43">
        <w:rPr>
          <w:rFonts w:ascii="David" w:hAnsi="David"/>
          <w:b w:val="0"/>
          <w:bCs w:val="0"/>
          <w:sz w:val="28"/>
          <w:szCs w:val="28"/>
          <w:u w:val="none"/>
          <w:rtl/>
        </w:rPr>
        <w:t xml:space="preserve">                                                     (</w:t>
      </w:r>
      <w:r w:rsidRPr="00CC0A43">
        <w:rPr>
          <w:rFonts w:ascii="David" w:hAnsi="David"/>
          <w:sz w:val="28"/>
          <w:szCs w:val="28"/>
          <w:u w:val="none"/>
          <w:rtl/>
        </w:rPr>
        <w:t xml:space="preserve">ע"י ב"כ, רס"ן עמית </w:t>
      </w:r>
      <w:proofErr w:type="spellStart"/>
      <w:r w:rsidRPr="00CC0A43">
        <w:rPr>
          <w:rFonts w:ascii="David" w:hAnsi="David"/>
          <w:sz w:val="28"/>
          <w:szCs w:val="28"/>
          <w:u w:val="none"/>
          <w:rtl/>
        </w:rPr>
        <w:t>גרינהויז</w:t>
      </w:r>
      <w:proofErr w:type="spellEnd"/>
      <w:r w:rsidRPr="00CC0A43">
        <w:rPr>
          <w:rFonts w:ascii="David" w:hAnsi="David"/>
          <w:sz w:val="28"/>
          <w:szCs w:val="28"/>
          <w:u w:val="none"/>
          <w:rtl/>
        </w:rPr>
        <w:t>)</w:t>
      </w:r>
    </w:p>
    <w:p w14:paraId="7F2001FA" w14:textId="77777777" w:rsidR="00CC0A43" w:rsidRPr="00CC0A43" w:rsidRDefault="00CC0A43" w:rsidP="00CC0A43">
      <w:pPr>
        <w:pStyle w:val="Title"/>
        <w:spacing w:line="276" w:lineRule="auto"/>
        <w:rPr>
          <w:rFonts w:ascii="David" w:hAnsi="David"/>
          <w:sz w:val="28"/>
          <w:szCs w:val="28"/>
          <w:u w:val="none"/>
        </w:rPr>
      </w:pPr>
      <w:r w:rsidRPr="00CC0A43">
        <w:rPr>
          <w:rFonts w:ascii="David" w:hAnsi="David"/>
          <w:sz w:val="28"/>
          <w:szCs w:val="28"/>
          <w:u w:val="none"/>
          <w:rtl/>
        </w:rPr>
        <w:t>נגד</w:t>
      </w:r>
    </w:p>
    <w:p w14:paraId="09F8C005" w14:textId="2467C029" w:rsidR="00CC0A43" w:rsidRPr="00CC0A43" w:rsidRDefault="00CC0A43" w:rsidP="00CC0A43">
      <w:pPr>
        <w:pStyle w:val="Title"/>
        <w:spacing w:line="276" w:lineRule="auto"/>
        <w:jc w:val="left"/>
        <w:rPr>
          <w:rFonts w:ascii="David" w:hAnsi="David"/>
          <w:sz w:val="28"/>
          <w:szCs w:val="28"/>
          <w:u w:val="none"/>
          <w:rtl/>
        </w:rPr>
      </w:pPr>
      <w:r w:rsidRPr="00CC0A43">
        <w:rPr>
          <w:rFonts w:ascii="David" w:hAnsi="David"/>
          <w:sz w:val="28"/>
          <w:szCs w:val="28"/>
          <w:u w:val="none"/>
          <w:rtl/>
        </w:rPr>
        <w:t>הנאש</w:t>
      </w:r>
      <w:r w:rsidR="006F3091">
        <w:rPr>
          <w:rFonts w:ascii="David" w:hAnsi="David" w:hint="cs"/>
          <w:sz w:val="28"/>
          <w:szCs w:val="28"/>
          <w:u w:val="none"/>
          <w:rtl/>
        </w:rPr>
        <w:t>ם</w:t>
      </w:r>
      <w:r w:rsidRPr="006F3091">
        <w:rPr>
          <w:rFonts w:ascii="David" w:hAnsi="David"/>
          <w:sz w:val="28"/>
          <w:szCs w:val="28"/>
          <w:u w:val="none"/>
          <w:rtl/>
        </w:rPr>
        <w:t>:</w:t>
      </w:r>
      <w:r w:rsidRPr="006F3091">
        <w:rPr>
          <w:rFonts w:ascii="David" w:hAnsi="David"/>
          <w:sz w:val="28"/>
          <w:szCs w:val="28"/>
          <w:u w:val="none"/>
        </w:rPr>
        <w:t xml:space="preserve"> </w:t>
      </w:r>
      <w:r w:rsidR="006F3091" w:rsidRPr="006F3091">
        <w:rPr>
          <w:rFonts w:ascii="David" w:hAnsi="David" w:hint="cs"/>
          <w:sz w:val="28"/>
          <w:szCs w:val="28"/>
          <w:u w:val="none"/>
        </w:rPr>
        <w:t>X</w:t>
      </w:r>
      <w:r w:rsidRPr="006F3091">
        <w:rPr>
          <w:rFonts w:ascii="David" w:hAnsi="David"/>
          <w:sz w:val="28"/>
          <w:szCs w:val="28"/>
          <w:u w:val="none"/>
          <w:rtl/>
        </w:rPr>
        <w:t>/</w:t>
      </w:r>
      <w:r w:rsidRPr="006F3091">
        <w:rPr>
          <w:rFonts w:ascii="David" w:hAnsi="David"/>
          <w:sz w:val="28"/>
          <w:szCs w:val="28"/>
          <w:u w:val="none"/>
        </w:rPr>
        <w:t>XXX</w:t>
      </w:r>
      <w:r w:rsidRPr="00CC0A43">
        <w:rPr>
          <w:rFonts w:ascii="David" w:hAnsi="David"/>
          <w:sz w:val="28"/>
          <w:szCs w:val="28"/>
          <w:u w:val="none"/>
          <w:rtl/>
        </w:rPr>
        <w:t xml:space="preserve"> רב"ט י</w:t>
      </w:r>
      <w:r w:rsidR="006F3091">
        <w:rPr>
          <w:rFonts w:ascii="David" w:hAnsi="David" w:hint="cs"/>
          <w:sz w:val="28"/>
          <w:szCs w:val="28"/>
          <w:u w:val="none"/>
          <w:rtl/>
        </w:rPr>
        <w:t>'</w:t>
      </w:r>
      <w:r w:rsidRPr="00CC0A43">
        <w:rPr>
          <w:rFonts w:ascii="David" w:hAnsi="David"/>
          <w:sz w:val="28"/>
          <w:szCs w:val="28"/>
          <w:u w:val="none"/>
          <w:rtl/>
        </w:rPr>
        <w:t xml:space="preserve"> ה</w:t>
      </w:r>
      <w:r w:rsidR="006F3091">
        <w:rPr>
          <w:rFonts w:ascii="David" w:hAnsi="David" w:hint="cs"/>
          <w:sz w:val="28"/>
          <w:szCs w:val="28"/>
          <w:u w:val="none"/>
          <w:rtl/>
        </w:rPr>
        <w:t>'</w:t>
      </w:r>
      <w:r w:rsidRPr="00CC0A43">
        <w:rPr>
          <w:rFonts w:ascii="David" w:hAnsi="David"/>
          <w:sz w:val="28"/>
          <w:szCs w:val="28"/>
          <w:u w:val="none"/>
          <w:rtl/>
        </w:rPr>
        <w:t xml:space="preserve">   </w:t>
      </w:r>
      <w:r w:rsidR="006F3091">
        <w:rPr>
          <w:rFonts w:ascii="David" w:hAnsi="David" w:hint="cs"/>
          <w:sz w:val="28"/>
          <w:szCs w:val="28"/>
          <w:u w:val="none"/>
          <w:rtl/>
        </w:rPr>
        <w:t xml:space="preserve">   </w:t>
      </w:r>
      <w:r w:rsidR="004F52D8">
        <w:rPr>
          <w:rFonts w:ascii="David" w:hAnsi="David" w:hint="cs"/>
          <w:sz w:val="28"/>
          <w:szCs w:val="28"/>
          <w:u w:val="none"/>
          <w:rtl/>
        </w:rPr>
        <w:t xml:space="preserve">  </w:t>
      </w:r>
      <w:r w:rsidR="006F3091">
        <w:rPr>
          <w:rFonts w:ascii="David" w:hAnsi="David" w:hint="cs"/>
          <w:sz w:val="28"/>
          <w:szCs w:val="28"/>
          <w:u w:val="none"/>
          <w:rtl/>
        </w:rPr>
        <w:t xml:space="preserve"> </w:t>
      </w:r>
      <w:r w:rsidRPr="00CC0A43">
        <w:rPr>
          <w:rFonts w:ascii="David" w:hAnsi="David"/>
          <w:sz w:val="28"/>
          <w:szCs w:val="28"/>
          <w:u w:val="none"/>
          <w:rtl/>
        </w:rPr>
        <w:t xml:space="preserve">(ע"י ב"כ, סא"ל במיל' מרק פרי וסרן אמיר </w:t>
      </w:r>
      <w:proofErr w:type="spellStart"/>
      <w:r w:rsidRPr="00CC0A43">
        <w:rPr>
          <w:rFonts w:ascii="David" w:hAnsi="David"/>
          <w:sz w:val="28"/>
          <w:szCs w:val="28"/>
          <w:u w:val="none"/>
          <w:rtl/>
        </w:rPr>
        <w:t>גונמן</w:t>
      </w:r>
      <w:proofErr w:type="spellEnd"/>
      <w:r w:rsidRPr="00CC0A43">
        <w:rPr>
          <w:rFonts w:ascii="David" w:hAnsi="David"/>
          <w:sz w:val="28"/>
          <w:szCs w:val="28"/>
          <w:u w:val="none"/>
          <w:rtl/>
        </w:rPr>
        <w:t>)</w:t>
      </w:r>
      <w:bookmarkEnd w:id="0"/>
    </w:p>
    <w:p w14:paraId="26EB3E62" w14:textId="77777777" w:rsidR="001060BD" w:rsidRPr="00CC0A43" w:rsidRDefault="001060BD" w:rsidP="001060BD">
      <w:pPr>
        <w:pStyle w:val="Header"/>
        <w:rPr>
          <w:rFonts w:ascii="David" w:hAnsi="David"/>
          <w:sz w:val="28"/>
          <w:szCs w:val="28"/>
        </w:rPr>
      </w:pPr>
    </w:p>
    <w:p w14:paraId="29C502C8" w14:textId="77777777" w:rsidR="00CC0A43" w:rsidRPr="00CC0A43" w:rsidRDefault="00CC0A43" w:rsidP="001060BD">
      <w:pPr>
        <w:spacing w:line="360" w:lineRule="auto"/>
        <w:ind w:left="374" w:hanging="284"/>
        <w:jc w:val="center"/>
        <w:rPr>
          <w:rFonts w:ascii="David" w:hAnsi="David"/>
          <w:b/>
          <w:bCs/>
          <w:sz w:val="28"/>
          <w:szCs w:val="28"/>
          <w:rtl/>
        </w:rPr>
      </w:pPr>
    </w:p>
    <w:p w14:paraId="06086995" w14:textId="77777777" w:rsidR="001060BD" w:rsidRPr="00CC0A43" w:rsidRDefault="001060BD" w:rsidP="001060BD">
      <w:pPr>
        <w:spacing w:line="360" w:lineRule="auto"/>
        <w:ind w:left="374" w:hanging="284"/>
        <w:jc w:val="center"/>
        <w:rPr>
          <w:rFonts w:ascii="David" w:hAnsi="David"/>
          <w:sz w:val="28"/>
          <w:szCs w:val="28"/>
        </w:rPr>
      </w:pPr>
      <w:r w:rsidRPr="00CC0A43">
        <w:rPr>
          <w:rFonts w:ascii="David" w:hAnsi="David"/>
          <w:b/>
          <w:bCs/>
          <w:sz w:val="28"/>
          <w:szCs w:val="28"/>
          <w:u w:val="single"/>
          <w:rtl/>
        </w:rPr>
        <w:t>גזר דין</w:t>
      </w:r>
    </w:p>
    <w:p w14:paraId="0BC73214" w14:textId="77777777" w:rsidR="001060BD" w:rsidRPr="00CC0A43" w:rsidRDefault="001060BD" w:rsidP="001060BD">
      <w:pPr>
        <w:spacing w:line="360" w:lineRule="auto"/>
        <w:ind w:left="374" w:hanging="284"/>
        <w:rPr>
          <w:rFonts w:ascii="David" w:hAnsi="David"/>
          <w:b/>
          <w:bCs/>
          <w:sz w:val="28"/>
          <w:szCs w:val="28"/>
          <w:u w:val="single"/>
        </w:rPr>
      </w:pPr>
    </w:p>
    <w:p w14:paraId="73D8DE89" w14:textId="77777777" w:rsidR="001060BD" w:rsidRPr="00CC0A43" w:rsidRDefault="001060BD" w:rsidP="001060BD">
      <w:pPr>
        <w:spacing w:line="360" w:lineRule="auto"/>
        <w:ind w:left="374" w:hanging="284"/>
        <w:rPr>
          <w:rFonts w:ascii="David" w:hAnsi="David"/>
          <w:b/>
          <w:bCs/>
          <w:sz w:val="28"/>
          <w:szCs w:val="28"/>
          <w:u w:val="single"/>
          <w:rtl/>
        </w:rPr>
      </w:pPr>
      <w:r w:rsidRPr="00CC0A43">
        <w:rPr>
          <w:rFonts w:ascii="David" w:hAnsi="David"/>
          <w:b/>
          <w:bCs/>
          <w:sz w:val="28"/>
          <w:szCs w:val="28"/>
          <w:u w:val="single"/>
          <w:rtl/>
        </w:rPr>
        <w:t>העובדות מושא ההרשעה</w:t>
      </w:r>
    </w:p>
    <w:p w14:paraId="61DE3397"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Pr>
      </w:pPr>
      <w:bookmarkStart w:id="1" w:name="ABSTRACT_START"/>
      <w:bookmarkEnd w:id="1"/>
      <w:r w:rsidRPr="00CC0A43">
        <w:rPr>
          <w:rFonts w:ascii="David" w:hAnsi="David"/>
          <w:sz w:val="28"/>
          <w:szCs w:val="28"/>
          <w:rtl/>
        </w:rPr>
        <w:t xml:space="preserve">הנאשם, </w:t>
      </w:r>
      <w:r w:rsidRPr="00CC0A43">
        <w:rPr>
          <w:rFonts w:ascii="David" w:hAnsi="David"/>
          <w:b/>
          <w:bCs/>
          <w:sz w:val="28"/>
          <w:szCs w:val="28"/>
          <w:rtl/>
        </w:rPr>
        <w:t>רב"ט ינון הכרי</w:t>
      </w:r>
      <w:r w:rsidRPr="00CC0A43">
        <w:rPr>
          <w:rFonts w:ascii="David" w:hAnsi="David"/>
          <w:sz w:val="28"/>
          <w:szCs w:val="28"/>
          <w:rtl/>
        </w:rPr>
        <w:t>, נותן את הדין בגין הרשעתו בעבירות של גרימת מוות בנהיגה רשלנית, לפי סעיף 64 ו-40  לפקודת התעבורה [נוסח חדש]. וכן עבירה של נהיגת רכב ברשלנות שגרמה לתאונת דרכים בה נחבל אדם חבלה של ממש, לפי סעיף 62(2) בצירוף סעיף 38(2) ובצירוף סעיף 38(3) לפקודת התעבורה [נוסח חדש].</w:t>
      </w:r>
    </w:p>
    <w:p w14:paraId="246E1195"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tl/>
        </w:rPr>
      </w:pPr>
      <w:bookmarkStart w:id="2" w:name="ABSTRACT_END"/>
      <w:bookmarkEnd w:id="2"/>
      <w:r w:rsidRPr="00CC0A43">
        <w:rPr>
          <w:rFonts w:ascii="David" w:hAnsi="David"/>
          <w:sz w:val="28"/>
          <w:szCs w:val="28"/>
          <w:rtl/>
        </w:rPr>
        <w:t>המסכת העובדתית העומדת בבסיס ההרשעה היא כדלקמן:</w:t>
      </w:r>
    </w:p>
    <w:p w14:paraId="2DA53FEC" w14:textId="77777777" w:rsidR="001060BD" w:rsidRPr="00CC0A43" w:rsidRDefault="001060BD" w:rsidP="001060BD">
      <w:pPr>
        <w:numPr>
          <w:ilvl w:val="0"/>
          <w:numId w:val="2"/>
        </w:numPr>
        <w:tabs>
          <w:tab w:val="left" w:pos="84"/>
        </w:tabs>
        <w:spacing w:before="240" w:line="360" w:lineRule="auto"/>
        <w:ind w:left="657" w:hanging="283"/>
        <w:rPr>
          <w:rFonts w:ascii="David" w:hAnsi="David"/>
          <w:sz w:val="28"/>
          <w:szCs w:val="28"/>
          <w:rtl/>
        </w:rPr>
      </w:pPr>
      <w:r w:rsidRPr="00CC0A43">
        <w:rPr>
          <w:rFonts w:ascii="David" w:hAnsi="David"/>
          <w:sz w:val="28"/>
          <w:szCs w:val="28"/>
          <w:rtl/>
        </w:rPr>
        <w:t xml:space="preserve">הנאשם שירת בזמן העבירה כנהג מפקדה בבסיס האימונים של </w:t>
      </w:r>
      <w:r w:rsidR="00CC0A43" w:rsidRPr="00CC0A43">
        <w:rPr>
          <w:rFonts w:ascii="David" w:hAnsi="David"/>
          <w:sz w:val="28"/>
          <w:szCs w:val="28"/>
        </w:rPr>
        <w:t>XXX</w:t>
      </w:r>
      <w:r w:rsidRPr="00CC0A43">
        <w:rPr>
          <w:rFonts w:ascii="David" w:hAnsi="David"/>
          <w:sz w:val="28"/>
          <w:szCs w:val="28"/>
          <w:rtl/>
        </w:rPr>
        <w:t>.</w:t>
      </w:r>
    </w:p>
    <w:p w14:paraId="3791FC74" w14:textId="77777777" w:rsidR="001060BD" w:rsidRPr="00CC0A43" w:rsidRDefault="001060BD" w:rsidP="001060BD">
      <w:pPr>
        <w:numPr>
          <w:ilvl w:val="0"/>
          <w:numId w:val="2"/>
        </w:numPr>
        <w:tabs>
          <w:tab w:val="left" w:pos="84"/>
        </w:tabs>
        <w:spacing w:before="240" w:line="360" w:lineRule="auto"/>
        <w:ind w:left="657" w:hanging="283"/>
        <w:rPr>
          <w:rFonts w:ascii="David" w:hAnsi="David"/>
          <w:sz w:val="28"/>
          <w:szCs w:val="28"/>
          <w:rtl/>
        </w:rPr>
      </w:pPr>
      <w:r w:rsidRPr="00CC0A43">
        <w:rPr>
          <w:rFonts w:ascii="David" w:hAnsi="David"/>
          <w:sz w:val="28"/>
          <w:szCs w:val="28"/>
          <w:rtl/>
        </w:rPr>
        <w:t xml:space="preserve">ביום 12.01.2021 בשעה 16:10, לערך, נהג הנאשם ברכב מסוג "האמר" שהמהירות מוגבלת ברכב זה למהירות של 65 קמ"ש בכביש 5789. במהלך הנסיעה </w:t>
      </w:r>
      <w:r w:rsidR="007C75A6" w:rsidRPr="00CC0A43">
        <w:rPr>
          <w:rFonts w:ascii="David" w:hAnsi="David"/>
          <w:sz w:val="28"/>
          <w:szCs w:val="28"/>
          <w:rtl/>
        </w:rPr>
        <w:t>מכיוון</w:t>
      </w:r>
      <w:r w:rsidRPr="00CC0A43">
        <w:rPr>
          <w:rFonts w:ascii="David" w:hAnsi="David"/>
          <w:sz w:val="28"/>
          <w:szCs w:val="28"/>
          <w:rtl/>
        </w:rPr>
        <w:t xml:space="preserve"> צפון לדרום, כאשר הכביש בעל נתיב נסיעה אחד לכל כיוון, והדרך משובשת עם סדקים באספלט, ללא סימוני כביש נראים, ולצידו ברכב חייל נוסף אשר שימש כמפקד הנסיעה.  </w:t>
      </w:r>
    </w:p>
    <w:p w14:paraId="768EBF0F" w14:textId="77777777" w:rsidR="001060BD" w:rsidRPr="00CC0A43" w:rsidRDefault="001060BD" w:rsidP="001060BD">
      <w:pPr>
        <w:numPr>
          <w:ilvl w:val="0"/>
          <w:numId w:val="2"/>
        </w:numPr>
        <w:tabs>
          <w:tab w:val="left" w:pos="84"/>
        </w:tabs>
        <w:spacing w:before="240" w:line="360" w:lineRule="auto"/>
        <w:ind w:left="657" w:hanging="283"/>
        <w:rPr>
          <w:rFonts w:ascii="David" w:hAnsi="David"/>
          <w:sz w:val="28"/>
          <w:szCs w:val="28"/>
          <w:rtl/>
        </w:rPr>
      </w:pPr>
      <w:r w:rsidRPr="00CC0A43">
        <w:rPr>
          <w:rFonts w:ascii="David" w:hAnsi="David"/>
          <w:sz w:val="28"/>
          <w:szCs w:val="28"/>
          <w:rtl/>
        </w:rPr>
        <w:t xml:space="preserve">במהלך הנסיעה, לפני הרכב בו נהג הנאשם, נסע אוטובוס נוסעים, הנאשם החל לעקוף את האוטובוס, בדרך לא פנויה, כאשר שדה הראיה שלו מוגבל, וכאשר יכול היה לראות לפנים עד למרחק שאינו מספק לעקיפה בטוחה. במהלך העקיפה, בעוד </w:t>
      </w:r>
      <w:r w:rsidRPr="00CC0A43">
        <w:rPr>
          <w:rFonts w:ascii="David" w:hAnsi="David"/>
          <w:sz w:val="28"/>
          <w:szCs w:val="28"/>
          <w:rtl/>
        </w:rPr>
        <w:lastRenderedPageBreak/>
        <w:t xml:space="preserve">הנאשם נוסע בנתיב הנגדי במקביל לאוטובוס, הבחין הנאשם ברכב אזרחי מסוג פג'ו בו נהג </w:t>
      </w:r>
      <w:proofErr w:type="spellStart"/>
      <w:r w:rsidRPr="00CC0A43">
        <w:rPr>
          <w:rFonts w:ascii="David" w:hAnsi="David"/>
          <w:sz w:val="28"/>
          <w:szCs w:val="28"/>
          <w:rtl/>
        </w:rPr>
        <w:t>סאמר</w:t>
      </w:r>
      <w:proofErr w:type="spellEnd"/>
      <w:r w:rsidRPr="00CC0A43">
        <w:rPr>
          <w:rFonts w:ascii="David" w:hAnsi="David"/>
          <w:sz w:val="28"/>
          <w:szCs w:val="28"/>
          <w:rtl/>
        </w:rPr>
        <w:t xml:space="preserve"> אברהים יוסף </w:t>
      </w:r>
      <w:proofErr w:type="spellStart"/>
      <w:r w:rsidRPr="00CC0A43">
        <w:rPr>
          <w:rFonts w:ascii="David" w:hAnsi="David"/>
          <w:sz w:val="28"/>
          <w:szCs w:val="28"/>
          <w:rtl/>
        </w:rPr>
        <w:t>מסלמני</w:t>
      </w:r>
      <w:proofErr w:type="spellEnd"/>
      <w:r w:rsidRPr="00CC0A43">
        <w:rPr>
          <w:rFonts w:ascii="David" w:hAnsi="David"/>
          <w:sz w:val="28"/>
          <w:szCs w:val="28"/>
          <w:rtl/>
        </w:rPr>
        <w:t xml:space="preserve"> ז"ל (להלן: "המנוח"), הנאשם ניסה למנוע את ההתנגשות אך הדבר לא צלח והרכב הצבאי התנגש ברכב האזרחי. </w:t>
      </w:r>
    </w:p>
    <w:p w14:paraId="5D44A93E" w14:textId="77777777" w:rsidR="001060BD" w:rsidRPr="00CC0A43" w:rsidRDefault="001060BD" w:rsidP="001060BD">
      <w:pPr>
        <w:numPr>
          <w:ilvl w:val="0"/>
          <w:numId w:val="2"/>
        </w:numPr>
        <w:tabs>
          <w:tab w:val="left" w:pos="84"/>
        </w:tabs>
        <w:spacing w:before="240" w:line="360" w:lineRule="auto"/>
        <w:ind w:left="657" w:hanging="283"/>
        <w:rPr>
          <w:rFonts w:ascii="David" w:hAnsi="David"/>
          <w:sz w:val="28"/>
          <w:szCs w:val="28"/>
          <w:rtl/>
        </w:rPr>
      </w:pPr>
      <w:r w:rsidRPr="00CC0A43">
        <w:rPr>
          <w:rFonts w:ascii="David" w:hAnsi="David"/>
          <w:sz w:val="28"/>
          <w:szCs w:val="28"/>
          <w:rtl/>
        </w:rPr>
        <w:t xml:space="preserve">כתוצאה מן התאונה, המנוח נפגע אנושות ומותו נקבע במקום. </w:t>
      </w:r>
    </w:p>
    <w:p w14:paraId="2E1DA709" w14:textId="77777777" w:rsidR="001060BD" w:rsidRPr="00CC0A43" w:rsidRDefault="001060BD" w:rsidP="001060BD">
      <w:pPr>
        <w:numPr>
          <w:ilvl w:val="0"/>
          <w:numId w:val="2"/>
        </w:numPr>
        <w:tabs>
          <w:tab w:val="left" w:pos="84"/>
        </w:tabs>
        <w:spacing w:before="240" w:line="360" w:lineRule="auto"/>
        <w:ind w:left="657" w:hanging="283"/>
        <w:rPr>
          <w:rFonts w:ascii="David" w:hAnsi="David"/>
          <w:sz w:val="28"/>
          <w:szCs w:val="28"/>
        </w:rPr>
      </w:pPr>
      <w:r w:rsidRPr="00CC0A43">
        <w:rPr>
          <w:rFonts w:ascii="David" w:hAnsi="David"/>
          <w:sz w:val="28"/>
          <w:szCs w:val="28"/>
          <w:rtl/>
        </w:rPr>
        <w:t xml:space="preserve">כן נפגעו בתאונה יושבי הרכב האזרחי – מר בכר מחמוד אחמד </w:t>
      </w:r>
      <w:proofErr w:type="spellStart"/>
      <w:r w:rsidRPr="00CC0A43">
        <w:rPr>
          <w:rFonts w:ascii="David" w:hAnsi="David"/>
          <w:sz w:val="28"/>
          <w:szCs w:val="28"/>
          <w:rtl/>
        </w:rPr>
        <w:t>דראגמה</w:t>
      </w:r>
      <w:proofErr w:type="spellEnd"/>
      <w:r w:rsidRPr="00CC0A43">
        <w:rPr>
          <w:rFonts w:ascii="David" w:hAnsi="David"/>
          <w:sz w:val="28"/>
          <w:szCs w:val="28"/>
          <w:rtl/>
        </w:rPr>
        <w:t xml:space="preserve">, מר </w:t>
      </w:r>
      <w:proofErr w:type="spellStart"/>
      <w:r w:rsidRPr="00CC0A43">
        <w:rPr>
          <w:rFonts w:ascii="David" w:hAnsi="David"/>
          <w:sz w:val="28"/>
          <w:szCs w:val="28"/>
          <w:rtl/>
        </w:rPr>
        <w:t>חמזה</w:t>
      </w:r>
      <w:proofErr w:type="spellEnd"/>
      <w:r w:rsidRPr="00CC0A43">
        <w:rPr>
          <w:rFonts w:ascii="David" w:hAnsi="David"/>
          <w:sz w:val="28"/>
          <w:szCs w:val="28"/>
          <w:rtl/>
        </w:rPr>
        <w:t xml:space="preserve"> </w:t>
      </w:r>
      <w:proofErr w:type="spellStart"/>
      <w:r w:rsidRPr="00CC0A43">
        <w:rPr>
          <w:rFonts w:ascii="David" w:hAnsi="David"/>
          <w:sz w:val="28"/>
          <w:szCs w:val="28"/>
          <w:rtl/>
        </w:rPr>
        <w:t>סעוד</w:t>
      </w:r>
      <w:proofErr w:type="spellEnd"/>
      <w:r w:rsidRPr="00CC0A43">
        <w:rPr>
          <w:rFonts w:ascii="David" w:hAnsi="David"/>
          <w:sz w:val="28"/>
          <w:szCs w:val="28"/>
          <w:rtl/>
        </w:rPr>
        <w:t xml:space="preserve"> עלי </w:t>
      </w:r>
      <w:proofErr w:type="spellStart"/>
      <w:r w:rsidRPr="00CC0A43">
        <w:rPr>
          <w:rFonts w:ascii="David" w:hAnsi="David"/>
          <w:sz w:val="28"/>
          <w:szCs w:val="28"/>
          <w:rtl/>
        </w:rPr>
        <w:t>דרגמה</w:t>
      </w:r>
      <w:proofErr w:type="spellEnd"/>
      <w:r w:rsidRPr="00CC0A43">
        <w:rPr>
          <w:rFonts w:ascii="David" w:hAnsi="David"/>
          <w:sz w:val="28"/>
          <w:szCs w:val="28"/>
          <w:rtl/>
        </w:rPr>
        <w:t xml:space="preserve">, מר מחמד </w:t>
      </w:r>
      <w:proofErr w:type="spellStart"/>
      <w:r w:rsidRPr="00CC0A43">
        <w:rPr>
          <w:rFonts w:ascii="David" w:hAnsi="David"/>
          <w:sz w:val="28"/>
          <w:szCs w:val="28"/>
          <w:rtl/>
        </w:rPr>
        <w:t>אבראהים</w:t>
      </w:r>
      <w:proofErr w:type="spellEnd"/>
      <w:r w:rsidRPr="00CC0A43">
        <w:rPr>
          <w:rFonts w:ascii="David" w:hAnsi="David"/>
          <w:sz w:val="28"/>
          <w:szCs w:val="28"/>
          <w:rtl/>
        </w:rPr>
        <w:t xml:space="preserve"> יוסף </w:t>
      </w:r>
      <w:proofErr w:type="spellStart"/>
      <w:r w:rsidRPr="00CC0A43">
        <w:rPr>
          <w:rFonts w:ascii="David" w:hAnsi="David"/>
          <w:sz w:val="28"/>
          <w:szCs w:val="28"/>
          <w:rtl/>
        </w:rPr>
        <w:t>מסלמאני</w:t>
      </w:r>
      <w:proofErr w:type="spellEnd"/>
      <w:r w:rsidRPr="00CC0A43">
        <w:rPr>
          <w:rFonts w:ascii="David" w:hAnsi="David"/>
          <w:sz w:val="28"/>
          <w:szCs w:val="28"/>
          <w:rtl/>
        </w:rPr>
        <w:t xml:space="preserve">  אשר נחבלו </w:t>
      </w:r>
      <w:r w:rsidRPr="00CC0A43">
        <w:rPr>
          <w:rFonts w:ascii="David" w:hAnsi="David"/>
          <w:b/>
          <w:bCs/>
          <w:sz w:val="28"/>
          <w:szCs w:val="28"/>
          <w:rtl/>
        </w:rPr>
        <w:t>חבלות של ממש</w:t>
      </w:r>
      <w:r w:rsidRPr="00CC0A43">
        <w:rPr>
          <w:rFonts w:ascii="David" w:hAnsi="David"/>
          <w:sz w:val="28"/>
          <w:szCs w:val="28"/>
          <w:rtl/>
        </w:rPr>
        <w:t xml:space="preserve"> כתוצאה מהתאונה ונזקקו לטיפול רפואי בבית החולים.  כמו כן, </w:t>
      </w:r>
      <w:r w:rsidRPr="00CC0A43">
        <w:rPr>
          <w:rFonts w:ascii="David" w:hAnsi="David"/>
          <w:b/>
          <w:bCs/>
          <w:sz w:val="28"/>
          <w:szCs w:val="28"/>
          <w:rtl/>
        </w:rPr>
        <w:t>נחבלו</w:t>
      </w:r>
      <w:r w:rsidRPr="00CC0A43">
        <w:rPr>
          <w:rFonts w:ascii="David" w:hAnsi="David"/>
          <w:sz w:val="28"/>
          <w:szCs w:val="28"/>
          <w:rtl/>
        </w:rPr>
        <w:t xml:space="preserve"> מר אדהם מאמון </w:t>
      </w:r>
      <w:proofErr w:type="spellStart"/>
      <w:r w:rsidRPr="00CC0A43">
        <w:rPr>
          <w:rFonts w:ascii="David" w:hAnsi="David"/>
          <w:sz w:val="28"/>
          <w:szCs w:val="28"/>
          <w:rtl/>
        </w:rPr>
        <w:t>מצטפא</w:t>
      </w:r>
      <w:proofErr w:type="spellEnd"/>
      <w:r w:rsidRPr="00CC0A43">
        <w:rPr>
          <w:rFonts w:ascii="David" w:hAnsi="David"/>
          <w:sz w:val="28"/>
          <w:szCs w:val="28"/>
          <w:rtl/>
        </w:rPr>
        <w:t xml:space="preserve"> </w:t>
      </w:r>
      <w:proofErr w:type="spellStart"/>
      <w:r w:rsidRPr="00CC0A43">
        <w:rPr>
          <w:rFonts w:ascii="David" w:hAnsi="David"/>
          <w:sz w:val="28"/>
          <w:szCs w:val="28"/>
          <w:rtl/>
        </w:rPr>
        <w:t>טואבסי</w:t>
      </w:r>
      <w:proofErr w:type="spellEnd"/>
      <w:r w:rsidRPr="00CC0A43">
        <w:rPr>
          <w:rFonts w:ascii="David" w:hAnsi="David"/>
          <w:sz w:val="28"/>
          <w:szCs w:val="28"/>
          <w:rtl/>
        </w:rPr>
        <w:t xml:space="preserve"> ומר ואסים מחמוד מחמד עבד אל </w:t>
      </w:r>
      <w:proofErr w:type="spellStart"/>
      <w:r w:rsidRPr="00CC0A43">
        <w:rPr>
          <w:rFonts w:ascii="David" w:hAnsi="David"/>
          <w:sz w:val="28"/>
          <w:szCs w:val="28"/>
          <w:rtl/>
        </w:rPr>
        <w:t>ראזק</w:t>
      </w:r>
      <w:proofErr w:type="spellEnd"/>
      <w:r w:rsidRPr="00CC0A43">
        <w:rPr>
          <w:rFonts w:ascii="David" w:hAnsi="David"/>
          <w:sz w:val="28"/>
          <w:szCs w:val="28"/>
          <w:rtl/>
        </w:rPr>
        <w:t xml:space="preserve"> אשר אף הם היו ברכבו של המנוח.</w:t>
      </w:r>
    </w:p>
    <w:p w14:paraId="429DD33E" w14:textId="77777777" w:rsidR="001060BD" w:rsidRPr="00CC0A43" w:rsidRDefault="001060BD" w:rsidP="001060BD">
      <w:pPr>
        <w:numPr>
          <w:ilvl w:val="0"/>
          <w:numId w:val="2"/>
        </w:numPr>
        <w:tabs>
          <w:tab w:val="left" w:pos="84"/>
        </w:tabs>
        <w:spacing w:before="240" w:line="360" w:lineRule="auto"/>
        <w:ind w:left="657" w:hanging="283"/>
        <w:rPr>
          <w:rFonts w:ascii="David" w:hAnsi="David"/>
          <w:sz w:val="28"/>
          <w:szCs w:val="28"/>
        </w:rPr>
      </w:pPr>
      <w:r w:rsidRPr="00CC0A43">
        <w:rPr>
          <w:rFonts w:ascii="David" w:hAnsi="David"/>
          <w:sz w:val="28"/>
          <w:szCs w:val="28"/>
          <w:rtl/>
        </w:rPr>
        <w:t>כמו כן, נגרם נזק לרכבים בעקבות התאונה.</w:t>
      </w:r>
    </w:p>
    <w:p w14:paraId="3BBDDC99" w14:textId="77777777" w:rsidR="001060BD" w:rsidRPr="00CC0A43" w:rsidRDefault="001060BD" w:rsidP="001060BD">
      <w:pPr>
        <w:spacing w:line="360" w:lineRule="auto"/>
        <w:ind w:left="374" w:hanging="284"/>
        <w:rPr>
          <w:rFonts w:ascii="David" w:hAnsi="David"/>
          <w:b/>
          <w:bCs/>
          <w:sz w:val="28"/>
          <w:szCs w:val="28"/>
          <w:u w:val="single"/>
          <w:rtl/>
        </w:rPr>
      </w:pPr>
    </w:p>
    <w:p w14:paraId="7DC4A2B5" w14:textId="77777777" w:rsidR="001060BD" w:rsidRPr="00CC0A43" w:rsidRDefault="001060BD" w:rsidP="001060BD">
      <w:pPr>
        <w:spacing w:line="360" w:lineRule="auto"/>
        <w:ind w:left="374" w:hanging="284"/>
        <w:rPr>
          <w:rFonts w:ascii="David" w:hAnsi="David"/>
          <w:b/>
          <w:bCs/>
          <w:sz w:val="28"/>
          <w:szCs w:val="28"/>
          <w:u w:val="single"/>
          <w:rtl/>
        </w:rPr>
      </w:pPr>
      <w:r w:rsidRPr="00CC0A43">
        <w:rPr>
          <w:rFonts w:ascii="David" w:hAnsi="David"/>
          <w:b/>
          <w:bCs/>
          <w:sz w:val="28"/>
          <w:szCs w:val="28"/>
          <w:u w:val="single"/>
          <w:rtl/>
        </w:rPr>
        <w:t>פרטים נוספים</w:t>
      </w:r>
    </w:p>
    <w:p w14:paraId="7BA304BE"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Pr>
      </w:pPr>
      <w:r w:rsidRPr="00CC0A43">
        <w:rPr>
          <w:rFonts w:ascii="David" w:hAnsi="David"/>
          <w:sz w:val="28"/>
          <w:szCs w:val="28"/>
          <w:rtl/>
        </w:rPr>
        <w:t xml:space="preserve">מן הפרטים הנוספים, ניתן ללמוד על מסלול שירותו של הנאשם. הנאשם התגייס לצה"ל בחודש דצמבר 2019, ושירת כנהג משא. בחודש ספטמבר 2022 השתחרר משירות צבאי.  </w:t>
      </w:r>
    </w:p>
    <w:p w14:paraId="37F9EB21"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Pr>
      </w:pPr>
      <w:r w:rsidRPr="00CC0A43">
        <w:rPr>
          <w:rFonts w:ascii="David" w:hAnsi="David"/>
          <w:sz w:val="28"/>
          <w:szCs w:val="28"/>
          <w:rtl/>
        </w:rPr>
        <w:t xml:space="preserve">עוד עולה כי במהלך החקירה הודה הנאשם במיוחס לו, וכי סבר כי יצליח להשלים את העקיפה בבטחה. עוד צוין, כי הכביש שבו התרחשה התאונה לא סומן במסמכי הבטיחות ביחידה כציר מסוכן המחייב אזהרה מיוחדת. אחר האירוע הוכרז הכביש כ"ציר אדום". </w:t>
      </w:r>
    </w:p>
    <w:p w14:paraId="09BE1F71"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tl/>
        </w:rPr>
      </w:pPr>
      <w:r w:rsidRPr="00CC0A43">
        <w:rPr>
          <w:rFonts w:ascii="David" w:hAnsi="David"/>
          <w:sz w:val="28"/>
          <w:szCs w:val="28"/>
          <w:rtl/>
        </w:rPr>
        <w:t xml:space="preserve">לעניין מפקד הנסיעה צוין, כי הוא שובץ במפתיע למשימה ומבלי שעבר תדריך. במהלך הנסיעה מפקד הנסיעה לא התערב לנאשם על אופן נהיגתו. כמו כן </w:t>
      </w:r>
      <w:r w:rsidR="007C75A6" w:rsidRPr="00CC0A43">
        <w:rPr>
          <w:rFonts w:ascii="David" w:hAnsi="David"/>
          <w:sz w:val="28"/>
          <w:szCs w:val="28"/>
          <w:rtl/>
        </w:rPr>
        <w:t>צוין</w:t>
      </w:r>
      <w:r w:rsidRPr="00CC0A43">
        <w:rPr>
          <w:rFonts w:ascii="David" w:hAnsi="David"/>
          <w:sz w:val="28"/>
          <w:szCs w:val="28"/>
          <w:rtl/>
        </w:rPr>
        <w:t>, כי רישיונותיו של הנאשם פסולים באופן מנהלי מיום 24.01.2021 עד למועד גזר הדין לאחר שהפסילה הוארכה על ידי בית הדין מעת לעת.</w:t>
      </w:r>
    </w:p>
    <w:p w14:paraId="5DC8EC58" w14:textId="77777777" w:rsidR="001060BD" w:rsidRPr="00CC0A43" w:rsidRDefault="001060BD" w:rsidP="001060BD">
      <w:pPr>
        <w:spacing w:line="360" w:lineRule="auto"/>
        <w:ind w:left="374" w:hanging="284"/>
        <w:rPr>
          <w:rFonts w:ascii="David" w:hAnsi="David"/>
          <w:sz w:val="28"/>
          <w:szCs w:val="28"/>
          <w:rtl/>
        </w:rPr>
      </w:pPr>
    </w:p>
    <w:p w14:paraId="001FD1F3" w14:textId="77777777" w:rsidR="001060BD" w:rsidRPr="00CC0A43" w:rsidRDefault="001060BD" w:rsidP="001060BD">
      <w:pPr>
        <w:spacing w:line="360" w:lineRule="auto"/>
        <w:ind w:left="374" w:hanging="284"/>
        <w:rPr>
          <w:rFonts w:ascii="David" w:hAnsi="David"/>
          <w:b/>
          <w:bCs/>
          <w:sz w:val="28"/>
          <w:szCs w:val="28"/>
          <w:u w:val="single"/>
          <w:rtl/>
        </w:rPr>
      </w:pPr>
      <w:r w:rsidRPr="00CC0A43">
        <w:rPr>
          <w:rFonts w:ascii="David" w:hAnsi="David"/>
          <w:b/>
          <w:bCs/>
          <w:sz w:val="28"/>
          <w:szCs w:val="28"/>
          <w:u w:val="single"/>
          <w:rtl/>
        </w:rPr>
        <w:t>ראיות לעניין לעונש</w:t>
      </w:r>
    </w:p>
    <w:p w14:paraId="5FC612EB"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tl/>
        </w:rPr>
      </w:pPr>
      <w:r w:rsidRPr="00CC0A43">
        <w:rPr>
          <w:rFonts w:ascii="David" w:hAnsi="David"/>
          <w:sz w:val="28"/>
          <w:szCs w:val="28"/>
          <w:rtl/>
        </w:rPr>
        <w:t xml:space="preserve">נגררת עבירות תעבורה קודמות בעניינו של הנאשם (ת/3) מלמדת כי הנאשם קיבל רישיון בשנת 2020, וכי לנאשם אין הרשעות קודמות. כן הוגש על ידי התביעה תדפיסו </w:t>
      </w:r>
      <w:r w:rsidRPr="00CC0A43">
        <w:rPr>
          <w:rFonts w:ascii="David" w:hAnsi="David"/>
          <w:sz w:val="28"/>
          <w:szCs w:val="28"/>
          <w:rtl/>
        </w:rPr>
        <w:lastRenderedPageBreak/>
        <w:t>האישי (ת/2) המלמד כי לנאשם עבר משמעתי אשר אינו נוגע לתחום העבירות עליהן נשפט בגין תיק זה.</w:t>
      </w:r>
    </w:p>
    <w:p w14:paraId="4CD0B1B1"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Pr>
      </w:pPr>
      <w:r w:rsidRPr="00CC0A43">
        <w:rPr>
          <w:rFonts w:ascii="David" w:hAnsi="David"/>
          <w:sz w:val="28"/>
          <w:szCs w:val="28"/>
          <w:rtl/>
        </w:rPr>
        <w:t>ההגנה הגישה שתי חוות דעת מאת מפקדיו של הנאשם. הראשונה (</w:t>
      </w:r>
      <w:r w:rsidRPr="00CC0A43">
        <w:rPr>
          <w:rFonts w:ascii="David" w:hAnsi="David"/>
          <w:b/>
          <w:bCs/>
          <w:sz w:val="28"/>
          <w:szCs w:val="28"/>
          <w:rtl/>
        </w:rPr>
        <w:t>ס/1</w:t>
      </w:r>
      <w:r w:rsidRPr="00CC0A43">
        <w:rPr>
          <w:rFonts w:ascii="David" w:hAnsi="David"/>
          <w:sz w:val="28"/>
          <w:szCs w:val="28"/>
          <w:rtl/>
        </w:rPr>
        <w:t xml:space="preserve">) מאת רב יחידת גדוד נצח יהודה, סרן יהושוע </w:t>
      </w:r>
      <w:proofErr w:type="spellStart"/>
      <w:r w:rsidRPr="00CC0A43">
        <w:rPr>
          <w:rFonts w:ascii="David" w:hAnsi="David"/>
          <w:sz w:val="28"/>
          <w:szCs w:val="28"/>
          <w:rtl/>
        </w:rPr>
        <w:t>גרשטיין</w:t>
      </w:r>
      <w:proofErr w:type="spellEnd"/>
      <w:r w:rsidRPr="00CC0A43">
        <w:rPr>
          <w:rFonts w:ascii="David" w:hAnsi="David"/>
          <w:sz w:val="28"/>
          <w:szCs w:val="28"/>
          <w:rtl/>
        </w:rPr>
        <w:t xml:space="preserve">, בה </w:t>
      </w:r>
      <w:r w:rsidR="007C75A6" w:rsidRPr="00CC0A43">
        <w:rPr>
          <w:rFonts w:ascii="David" w:hAnsi="David"/>
          <w:sz w:val="28"/>
          <w:szCs w:val="28"/>
          <w:rtl/>
        </w:rPr>
        <w:t>צוין</w:t>
      </w:r>
      <w:r w:rsidRPr="00CC0A43">
        <w:rPr>
          <w:rFonts w:ascii="David" w:hAnsi="David"/>
          <w:sz w:val="28"/>
          <w:szCs w:val="28"/>
          <w:rtl/>
        </w:rPr>
        <w:t xml:space="preserve"> כי הנאשם חייל מקצועי, ממושמע ושימש כדוגמא אישית לשאר חיילי הפלוגה. בחוות דעת הנוספת, מאת רס"ב רחמים </w:t>
      </w:r>
      <w:proofErr w:type="spellStart"/>
      <w:r w:rsidRPr="00CC0A43">
        <w:rPr>
          <w:rFonts w:ascii="David" w:hAnsi="David"/>
          <w:sz w:val="28"/>
          <w:szCs w:val="28"/>
          <w:rtl/>
        </w:rPr>
        <w:t>בניסטי</w:t>
      </w:r>
      <w:proofErr w:type="spellEnd"/>
      <w:r w:rsidRPr="00CC0A43">
        <w:rPr>
          <w:rFonts w:ascii="David" w:hAnsi="David"/>
          <w:sz w:val="28"/>
          <w:szCs w:val="28"/>
          <w:rtl/>
        </w:rPr>
        <w:t xml:space="preserve"> (</w:t>
      </w:r>
      <w:r w:rsidRPr="00CC0A43">
        <w:rPr>
          <w:rFonts w:ascii="David" w:hAnsi="David"/>
          <w:b/>
          <w:bCs/>
          <w:sz w:val="28"/>
          <w:szCs w:val="28"/>
          <w:rtl/>
        </w:rPr>
        <w:t>ס/2</w:t>
      </w:r>
      <w:r w:rsidRPr="00CC0A43">
        <w:rPr>
          <w:rFonts w:ascii="David" w:hAnsi="David"/>
          <w:sz w:val="28"/>
          <w:szCs w:val="28"/>
          <w:rtl/>
        </w:rPr>
        <w:t>), נכתב כי הנאשם שירת שירות צבאי טוב, תוך הפגנת מוטיבציה, מסירות ורצון לתת מעצמו למען אנשי היחידה.</w:t>
      </w:r>
    </w:p>
    <w:p w14:paraId="7D3D9FE0" w14:textId="77777777" w:rsidR="001060BD" w:rsidRPr="00CC0A43" w:rsidRDefault="001060BD" w:rsidP="001060BD">
      <w:pPr>
        <w:tabs>
          <w:tab w:val="left" w:pos="84"/>
        </w:tabs>
        <w:spacing w:before="240" w:line="360" w:lineRule="auto"/>
        <w:ind w:left="374" w:hanging="284"/>
        <w:rPr>
          <w:rFonts w:ascii="David" w:hAnsi="David"/>
          <w:b/>
          <w:bCs/>
          <w:sz w:val="28"/>
          <w:szCs w:val="28"/>
          <w:u w:val="single"/>
          <w:rtl/>
        </w:rPr>
      </w:pPr>
      <w:r w:rsidRPr="00CC0A43">
        <w:rPr>
          <w:rFonts w:ascii="David" w:hAnsi="David"/>
          <w:b/>
          <w:bCs/>
          <w:sz w:val="28"/>
          <w:szCs w:val="28"/>
          <w:u w:val="single"/>
          <w:rtl/>
        </w:rPr>
        <w:t>עתירת הצדדים</w:t>
      </w:r>
    </w:p>
    <w:p w14:paraId="402B46A4"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tl/>
        </w:rPr>
      </w:pPr>
      <w:r w:rsidRPr="00CC0A43">
        <w:rPr>
          <w:rFonts w:ascii="David" w:hAnsi="David"/>
          <w:sz w:val="28"/>
          <w:szCs w:val="28"/>
          <w:rtl/>
        </w:rPr>
        <w:t xml:space="preserve">בין הצדדים נקשר, בעקבות הליך גישור, הסדר טיעון, במסגרתו עתרו הצדדים במשותף כי על הנאשם יושת רכיב מאסר בפועל בן עשרה (10) חודשים, פסילה למשך שמונה (8) שנים, עונשים מותנים בהיבט המאסר והפסילה וזאת לשיקול דעת בית הדין, פיצויים למשפחת נפגע העבירה אשר כבר שולמו בסך 12,350 ₪ והורדה לדרגת טוראי.  </w:t>
      </w:r>
    </w:p>
    <w:p w14:paraId="5741DB91" w14:textId="77777777" w:rsidR="001060BD" w:rsidRPr="00CC0A43" w:rsidRDefault="001060BD" w:rsidP="001060BD">
      <w:pPr>
        <w:spacing w:line="360" w:lineRule="auto"/>
        <w:ind w:left="374" w:hanging="284"/>
        <w:rPr>
          <w:rFonts w:ascii="David" w:hAnsi="David"/>
          <w:b/>
          <w:bCs/>
          <w:sz w:val="28"/>
          <w:szCs w:val="28"/>
          <w:u w:val="single"/>
          <w:rtl/>
        </w:rPr>
      </w:pPr>
    </w:p>
    <w:p w14:paraId="1491294A" w14:textId="77777777" w:rsidR="001060BD" w:rsidRPr="00CC0A43" w:rsidRDefault="001060BD" w:rsidP="001060BD">
      <w:pPr>
        <w:spacing w:line="360" w:lineRule="auto"/>
        <w:ind w:left="374" w:hanging="284"/>
        <w:rPr>
          <w:rFonts w:ascii="David" w:hAnsi="David"/>
          <w:b/>
          <w:bCs/>
          <w:sz w:val="28"/>
          <w:szCs w:val="28"/>
          <w:u w:val="single"/>
          <w:rtl/>
        </w:rPr>
      </w:pPr>
      <w:r w:rsidRPr="00CC0A43">
        <w:rPr>
          <w:rFonts w:ascii="David" w:hAnsi="David"/>
          <w:b/>
          <w:bCs/>
          <w:sz w:val="28"/>
          <w:szCs w:val="28"/>
          <w:u w:val="single"/>
          <w:rtl/>
        </w:rPr>
        <w:t>דיון והכרעה</w:t>
      </w:r>
    </w:p>
    <w:p w14:paraId="1FE9A6AB" w14:textId="77777777" w:rsidR="001060BD" w:rsidRPr="00CC0A43" w:rsidRDefault="001060BD" w:rsidP="001060BD">
      <w:pPr>
        <w:spacing w:line="360" w:lineRule="auto"/>
        <w:ind w:left="374" w:hanging="284"/>
        <w:rPr>
          <w:rFonts w:ascii="David" w:hAnsi="David"/>
          <w:b/>
          <w:bCs/>
          <w:sz w:val="28"/>
          <w:szCs w:val="28"/>
          <w:rtl/>
        </w:rPr>
      </w:pPr>
    </w:p>
    <w:p w14:paraId="61ABBD18"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tl/>
        </w:rPr>
      </w:pPr>
      <w:r w:rsidRPr="00CC0A43">
        <w:rPr>
          <w:rFonts w:ascii="David" w:hAnsi="David"/>
          <w:sz w:val="28"/>
          <w:szCs w:val="28"/>
          <w:rtl/>
        </w:rPr>
        <w:t xml:space="preserve">קשה היא מלאכת גזירת הדין של נאשמים שהורשעו בעבירות שהובילו לקיפוח חיי אדם. על קושי ייחודי זה עמד בית המשפט העליון כדלקמן: </w:t>
      </w:r>
    </w:p>
    <w:p w14:paraId="14822CCB" w14:textId="77777777" w:rsidR="001060BD" w:rsidRPr="00CC0A43" w:rsidRDefault="001060BD" w:rsidP="001060BD">
      <w:pPr>
        <w:tabs>
          <w:tab w:val="left" w:pos="84"/>
        </w:tabs>
        <w:spacing w:before="240"/>
        <w:ind w:left="799" w:right="851"/>
        <w:rPr>
          <w:rFonts w:ascii="David" w:hAnsi="David"/>
          <w:sz w:val="28"/>
          <w:szCs w:val="28"/>
          <w:rtl/>
        </w:rPr>
      </w:pPr>
      <w:r w:rsidRPr="00CC0A43">
        <w:rPr>
          <w:rFonts w:ascii="David" w:hAnsi="David"/>
          <w:i/>
          <w:iCs/>
          <w:sz w:val="28"/>
          <w:szCs w:val="28"/>
          <w:rtl/>
        </w:rPr>
        <w:t xml:space="preserve">"גזירת הדין בתיקי תאונות הדרכים שנסתיימו במוות, בעבירות הריגה או גרימת מוות, היא מן הקשות במטלות השיפוטיות. הטעם הוא, כי מחד גיסא, בתודעתנו תדיר דמותו של </w:t>
      </w:r>
      <w:proofErr w:type="spellStart"/>
      <w:r w:rsidRPr="00CC0A43">
        <w:rPr>
          <w:rFonts w:ascii="David" w:hAnsi="David"/>
          <w:i/>
          <w:iCs/>
          <w:sz w:val="28"/>
          <w:szCs w:val="28"/>
          <w:rtl/>
        </w:rPr>
        <w:t>הקרבן</w:t>
      </w:r>
      <w:proofErr w:type="spellEnd"/>
      <w:r w:rsidRPr="00CC0A43">
        <w:rPr>
          <w:rFonts w:ascii="David" w:hAnsi="David"/>
          <w:i/>
          <w:iCs/>
          <w:sz w:val="28"/>
          <w:szCs w:val="28"/>
          <w:rtl/>
        </w:rPr>
        <w:t xml:space="preserve"> או </w:t>
      </w:r>
      <w:proofErr w:type="spellStart"/>
      <w:r w:rsidRPr="00CC0A43">
        <w:rPr>
          <w:rFonts w:ascii="David" w:hAnsi="David"/>
          <w:i/>
          <w:iCs/>
          <w:sz w:val="28"/>
          <w:szCs w:val="28"/>
          <w:rtl/>
        </w:rPr>
        <w:t>הקרבנות</w:t>
      </w:r>
      <w:proofErr w:type="spellEnd"/>
      <w:r w:rsidRPr="00CC0A43">
        <w:rPr>
          <w:rFonts w:ascii="David" w:hAnsi="David"/>
          <w:i/>
          <w:iCs/>
          <w:sz w:val="28"/>
          <w:szCs w:val="28"/>
          <w:rtl/>
        </w:rPr>
        <w:t xml:space="preserve">, שגם אם לא הכרנום הם לנגד עינינו - חייהם שנקפדו, </w:t>
      </w:r>
      <w:proofErr w:type="spellStart"/>
      <w:r w:rsidRPr="00CC0A43">
        <w:rPr>
          <w:rFonts w:ascii="David" w:hAnsi="David"/>
          <w:i/>
          <w:iCs/>
          <w:sz w:val="28"/>
          <w:szCs w:val="28"/>
          <w:rtl/>
        </w:rPr>
        <w:t>תכניותיהם</w:t>
      </w:r>
      <w:proofErr w:type="spellEnd"/>
      <w:r w:rsidRPr="00CC0A43">
        <w:rPr>
          <w:rFonts w:ascii="David" w:hAnsi="David"/>
          <w:i/>
          <w:iCs/>
          <w:sz w:val="28"/>
          <w:szCs w:val="28"/>
          <w:rtl/>
        </w:rPr>
        <w:t xml:space="preserve"> שלא התגשמו, עתידם שנמחה, מהם שלא יביאו ילדים לעולם, מהם שלא יזכו לראות בשמחת ילדיהם; </w:t>
      </w:r>
      <w:proofErr w:type="spellStart"/>
      <w:r w:rsidRPr="00CC0A43">
        <w:rPr>
          <w:rFonts w:ascii="David" w:hAnsi="David"/>
          <w:i/>
          <w:iCs/>
          <w:sz w:val="28"/>
          <w:szCs w:val="28"/>
          <w:rtl/>
        </w:rPr>
        <w:t>לצדם</w:t>
      </w:r>
      <w:proofErr w:type="spellEnd"/>
      <w:r w:rsidRPr="00CC0A43">
        <w:rPr>
          <w:rFonts w:ascii="David" w:hAnsi="David"/>
          <w:i/>
          <w:iCs/>
          <w:sz w:val="28"/>
          <w:szCs w:val="28"/>
          <w:rtl/>
        </w:rPr>
        <w:t xml:space="preserve"> משפחותיהם, שיומם </w:t>
      </w:r>
      <w:proofErr w:type="spellStart"/>
      <w:r w:rsidRPr="00CC0A43">
        <w:rPr>
          <w:rFonts w:ascii="David" w:hAnsi="David"/>
          <w:i/>
          <w:iCs/>
          <w:sz w:val="28"/>
          <w:szCs w:val="28"/>
          <w:rtl/>
        </w:rPr>
        <w:t>ולילם</w:t>
      </w:r>
      <w:proofErr w:type="spellEnd"/>
      <w:r w:rsidRPr="00CC0A43">
        <w:rPr>
          <w:rFonts w:ascii="David" w:hAnsi="David"/>
          <w:i/>
          <w:iCs/>
          <w:sz w:val="28"/>
          <w:szCs w:val="28"/>
          <w:rtl/>
        </w:rPr>
        <w:t xml:space="preserve"> אינו לעולם כמקדם. ומאידך גיסא, הנאשם או הנאשמת, שכמובן מצבם שונה לחלוטין, אך גם עליהם השפיעה הטרגדיה הקשה שנגרמה בשל התנהגותם ... הנהגים הפוגעים במקרים רבים הם אנשים נורמטיביים ... ושליחתם למאסר קשה במיוחד... במקרים מסוימים 'אין ענישה אחרת שנותנת ביטוי ולו חלקי לערכם של חיי אדם, וראויים אלה שקולם יישמע דווקא משום שהיכולת לדבר נשללה מהם"</w:t>
      </w:r>
      <w:r w:rsidRPr="00CC0A43">
        <w:rPr>
          <w:rFonts w:ascii="David" w:hAnsi="David"/>
          <w:sz w:val="28"/>
          <w:szCs w:val="28"/>
          <w:rtl/>
        </w:rPr>
        <w:t xml:space="preserve"> (ע"פ 62/09 </w:t>
      </w:r>
      <w:r w:rsidRPr="00CC0A43">
        <w:rPr>
          <w:rFonts w:ascii="David" w:hAnsi="David"/>
          <w:b/>
          <w:bCs/>
          <w:sz w:val="28"/>
          <w:szCs w:val="28"/>
          <w:rtl/>
        </w:rPr>
        <w:t>אליהו חדש נ' מדינת ישראל</w:t>
      </w:r>
      <w:r w:rsidRPr="00CC0A43">
        <w:rPr>
          <w:rFonts w:ascii="David" w:hAnsi="David"/>
          <w:sz w:val="28"/>
          <w:szCs w:val="28"/>
          <w:rtl/>
        </w:rPr>
        <w:t xml:space="preserve"> (2009)).</w:t>
      </w:r>
    </w:p>
    <w:p w14:paraId="60FD30E0" w14:textId="77777777" w:rsidR="001060BD" w:rsidRPr="00CC0A43" w:rsidRDefault="001060BD" w:rsidP="001060BD">
      <w:pPr>
        <w:tabs>
          <w:tab w:val="left" w:pos="84"/>
        </w:tabs>
        <w:spacing w:before="240"/>
        <w:ind w:left="799" w:right="851"/>
        <w:rPr>
          <w:rFonts w:ascii="David" w:hAnsi="David"/>
          <w:sz w:val="28"/>
          <w:szCs w:val="28"/>
          <w:rtl/>
        </w:rPr>
      </w:pPr>
    </w:p>
    <w:p w14:paraId="6C48E600"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tl/>
        </w:rPr>
      </w:pPr>
      <w:r w:rsidRPr="00CC0A43">
        <w:rPr>
          <w:rFonts w:ascii="David" w:hAnsi="David"/>
          <w:sz w:val="28"/>
          <w:szCs w:val="28"/>
          <w:rtl/>
        </w:rPr>
        <w:lastRenderedPageBreak/>
        <w:t>אשר לשיקולים המנחים בעת גזירת דינו של מי שהורשע בגרימת מוות ברשלנות - נקבעו בפסיקה אמות מידה כמפורט להלן:</w:t>
      </w:r>
    </w:p>
    <w:p w14:paraId="43AC8C08" w14:textId="77777777" w:rsidR="001060BD" w:rsidRPr="00CC0A43" w:rsidRDefault="001060BD" w:rsidP="001060BD">
      <w:pPr>
        <w:tabs>
          <w:tab w:val="left" w:pos="84"/>
        </w:tabs>
        <w:spacing w:before="240"/>
        <w:ind w:left="799" w:right="851"/>
        <w:rPr>
          <w:rFonts w:ascii="David" w:hAnsi="David"/>
          <w:i/>
          <w:iCs/>
          <w:sz w:val="28"/>
          <w:szCs w:val="28"/>
          <w:rtl/>
        </w:rPr>
      </w:pPr>
      <w:r w:rsidRPr="00CC0A43">
        <w:rPr>
          <w:rFonts w:ascii="David" w:hAnsi="David"/>
          <w:i/>
          <w:iCs/>
          <w:sz w:val="28"/>
          <w:szCs w:val="28"/>
          <w:rtl/>
        </w:rPr>
        <w:t xml:space="preserve">"נדמה שקיימים </w:t>
      </w:r>
      <w:r w:rsidRPr="00CC0A43">
        <w:rPr>
          <w:rFonts w:ascii="David" w:hAnsi="David"/>
          <w:b/>
          <w:bCs/>
          <w:i/>
          <w:iCs/>
          <w:sz w:val="28"/>
          <w:szCs w:val="28"/>
          <w:rtl/>
        </w:rPr>
        <w:t>שלושה כללים מנחים</w:t>
      </w:r>
      <w:r w:rsidRPr="00CC0A43">
        <w:rPr>
          <w:rFonts w:ascii="David" w:hAnsi="David"/>
          <w:i/>
          <w:iCs/>
          <w:sz w:val="28"/>
          <w:szCs w:val="28"/>
          <w:rtl/>
        </w:rPr>
        <w:t xml:space="preserve"> בסוגיית הענישה הראויה בעבירה של גרימת תאונת דרכים קטלנית ברשלנות. </w:t>
      </w:r>
      <w:r w:rsidRPr="00CC0A43">
        <w:rPr>
          <w:rFonts w:ascii="David" w:hAnsi="David"/>
          <w:b/>
          <w:bCs/>
          <w:i/>
          <w:iCs/>
          <w:sz w:val="28"/>
          <w:szCs w:val="28"/>
          <w:rtl/>
        </w:rPr>
        <w:t>האחד</w:t>
      </w:r>
      <w:r w:rsidRPr="00CC0A43">
        <w:rPr>
          <w:rFonts w:ascii="David" w:hAnsi="David"/>
          <w:i/>
          <w:iCs/>
          <w:sz w:val="28"/>
          <w:szCs w:val="28"/>
          <w:rtl/>
        </w:rPr>
        <w:t xml:space="preserve">, ראוי לגזור על נאשם עונש מאסר בפועל ופסילה מלנהוג לתקופה הולמת, הן בשל עקרון קדושת החיים והן משיקולי הרתעה. </w:t>
      </w:r>
      <w:r w:rsidRPr="00CC0A43">
        <w:rPr>
          <w:rFonts w:ascii="David" w:hAnsi="David"/>
          <w:b/>
          <w:bCs/>
          <w:i/>
          <w:iCs/>
          <w:sz w:val="28"/>
          <w:szCs w:val="28"/>
          <w:rtl/>
        </w:rPr>
        <w:t>השני</w:t>
      </w:r>
      <w:r w:rsidRPr="00CC0A43">
        <w:rPr>
          <w:rFonts w:ascii="David" w:hAnsi="David"/>
          <w:i/>
          <w:iCs/>
          <w:sz w:val="28"/>
          <w:szCs w:val="28"/>
          <w:rtl/>
        </w:rPr>
        <w:t xml:space="preserve">, בדרך-כלל הנסיבות האישיות של הנאשם בעבירה זו אינן בעלות משקל כבעבירות אחרות המלוות בכוונה פלילית, הן בשל אופייה המיוחד של העבירה הנדונה והן בשל ביצועה השכיח גם ע"י אנשים נורמטיביים. </w:t>
      </w:r>
      <w:r w:rsidRPr="00CC0A43">
        <w:rPr>
          <w:rFonts w:ascii="David" w:hAnsi="David"/>
          <w:b/>
          <w:bCs/>
          <w:i/>
          <w:iCs/>
          <w:sz w:val="28"/>
          <w:szCs w:val="28"/>
          <w:rtl/>
        </w:rPr>
        <w:t>השלישי</w:t>
      </w:r>
      <w:r w:rsidRPr="00CC0A43">
        <w:rPr>
          <w:rFonts w:ascii="David" w:hAnsi="David"/>
          <w:i/>
          <w:iCs/>
          <w:sz w:val="28"/>
          <w:szCs w:val="28"/>
          <w:rtl/>
        </w:rPr>
        <w:t xml:space="preserve">, אמת המידה הקובעת בעבירה זו היא דרגת הרשלנות" (ע"פ 6755/09 </w:t>
      </w:r>
      <w:r w:rsidRPr="00CC0A43">
        <w:rPr>
          <w:rFonts w:ascii="David" w:hAnsi="David"/>
          <w:b/>
          <w:bCs/>
          <w:i/>
          <w:iCs/>
          <w:sz w:val="28"/>
          <w:szCs w:val="28"/>
          <w:rtl/>
        </w:rPr>
        <w:t>ארז אלמוג נ' מדינת ישראל</w:t>
      </w:r>
      <w:r w:rsidRPr="00CC0A43">
        <w:rPr>
          <w:rFonts w:ascii="David" w:hAnsi="David"/>
          <w:i/>
          <w:iCs/>
          <w:sz w:val="28"/>
          <w:szCs w:val="28"/>
          <w:rtl/>
        </w:rPr>
        <w:t xml:space="preserve"> (2009)).</w:t>
      </w:r>
    </w:p>
    <w:p w14:paraId="4D84D676" w14:textId="77777777" w:rsidR="001060BD" w:rsidRPr="00CC0A43" w:rsidRDefault="001060BD" w:rsidP="001060BD">
      <w:pPr>
        <w:tabs>
          <w:tab w:val="left" w:pos="84"/>
        </w:tabs>
        <w:spacing w:before="240"/>
        <w:ind w:left="799" w:right="851"/>
        <w:rPr>
          <w:rFonts w:ascii="David" w:hAnsi="David"/>
          <w:i/>
          <w:iCs/>
          <w:sz w:val="28"/>
          <w:szCs w:val="28"/>
          <w:rtl/>
        </w:rPr>
      </w:pPr>
    </w:p>
    <w:p w14:paraId="7C24589C"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tl/>
        </w:rPr>
      </w:pPr>
      <w:r w:rsidRPr="00CC0A43">
        <w:rPr>
          <w:rFonts w:ascii="David" w:hAnsi="David"/>
          <w:sz w:val="28"/>
          <w:szCs w:val="28"/>
          <w:rtl/>
        </w:rPr>
        <w:t>נראה כי הצדדים במקרה שלפנינו, הלכו צעד אחר צעד בהתאם לפסיקה ובמסגרת זו גזרו את העונש המוצע על ידם, כפי שנפרט.</w:t>
      </w:r>
    </w:p>
    <w:p w14:paraId="19686085"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tl/>
        </w:rPr>
      </w:pPr>
      <w:r w:rsidRPr="00CC0A43">
        <w:rPr>
          <w:rFonts w:ascii="David" w:hAnsi="David"/>
          <w:sz w:val="28"/>
          <w:szCs w:val="28"/>
          <w:rtl/>
        </w:rPr>
        <w:t xml:space="preserve">הנאשם קיפח את חייו של אדם, אובדן זה מטבעו השפיע על חייהם של אחרים אשר המנוח היה יקר להם. בתאונה נפצעו גם חמישה אנשים נוספים אשר נפגעו באורח שונה כל אחד מהם אך בניהם חבלות של ממש וחבלות שונות.  </w:t>
      </w:r>
    </w:p>
    <w:p w14:paraId="544B8DEE"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lang w:val="x-none" w:eastAsia="x-none"/>
        </w:rPr>
      </w:pPr>
      <w:r w:rsidRPr="00CC0A43">
        <w:rPr>
          <w:rFonts w:ascii="David" w:hAnsi="David"/>
          <w:sz w:val="28"/>
          <w:szCs w:val="28"/>
          <w:rtl/>
        </w:rPr>
        <w:t xml:space="preserve">במעשיו פגע הנאשם </w:t>
      </w:r>
      <w:r w:rsidRPr="00CC0A43">
        <w:rPr>
          <w:rFonts w:ascii="David" w:hAnsi="David"/>
          <w:b/>
          <w:bCs/>
          <w:sz w:val="28"/>
          <w:szCs w:val="28"/>
          <w:rtl/>
        </w:rPr>
        <w:t>בעקרון קדושת החיים</w:t>
      </w:r>
      <w:r w:rsidRPr="00CC0A43">
        <w:rPr>
          <w:rFonts w:ascii="David" w:hAnsi="David"/>
          <w:sz w:val="28"/>
          <w:szCs w:val="28"/>
          <w:rtl/>
        </w:rPr>
        <w:t>. כפי שמובא בספר ויקרא (</w:t>
      </w:r>
      <w:proofErr w:type="spellStart"/>
      <w:r w:rsidRPr="00CC0A43">
        <w:rPr>
          <w:rFonts w:ascii="David" w:hAnsi="David"/>
          <w:sz w:val="28"/>
          <w:szCs w:val="28"/>
          <w:rtl/>
        </w:rPr>
        <w:t>יח</w:t>
      </w:r>
      <w:proofErr w:type="spellEnd"/>
      <w:r w:rsidRPr="00CC0A43">
        <w:rPr>
          <w:rFonts w:ascii="David" w:hAnsi="David"/>
          <w:sz w:val="28"/>
          <w:szCs w:val="28"/>
          <w:rtl/>
        </w:rPr>
        <w:t xml:space="preserve">, ה) כי החוקים והכללים נועדו לשמור על האדם ועל קדושת חייו וחיי אחרים </w:t>
      </w:r>
      <w:r w:rsidRPr="00CC0A43">
        <w:rPr>
          <w:rFonts w:ascii="David" w:hAnsi="David"/>
          <w:i/>
          <w:iCs/>
          <w:color w:val="202122"/>
          <w:sz w:val="28"/>
          <w:szCs w:val="28"/>
          <w:shd w:val="clear" w:color="auto" w:fill="FFFFFF"/>
        </w:rPr>
        <w:t>”</w:t>
      </w:r>
      <w:r w:rsidRPr="00CC0A43">
        <w:rPr>
          <w:rFonts w:ascii="David" w:hAnsi="David"/>
          <w:i/>
          <w:iCs/>
          <w:color w:val="202122"/>
          <w:sz w:val="28"/>
          <w:szCs w:val="28"/>
          <w:shd w:val="clear" w:color="auto" w:fill="FFFFFF"/>
          <w:rtl/>
        </w:rPr>
        <w:t xml:space="preserve">ושמרתם את </w:t>
      </w:r>
      <w:proofErr w:type="spellStart"/>
      <w:r w:rsidRPr="00CC0A43">
        <w:rPr>
          <w:rFonts w:ascii="David" w:hAnsi="David"/>
          <w:i/>
          <w:iCs/>
          <w:color w:val="202122"/>
          <w:sz w:val="28"/>
          <w:szCs w:val="28"/>
          <w:shd w:val="clear" w:color="auto" w:fill="FFFFFF"/>
          <w:rtl/>
        </w:rPr>
        <w:t>חוקותי</w:t>
      </w:r>
      <w:proofErr w:type="spellEnd"/>
      <w:r w:rsidRPr="00CC0A43">
        <w:rPr>
          <w:rFonts w:ascii="David" w:hAnsi="David"/>
          <w:i/>
          <w:iCs/>
          <w:color w:val="202122"/>
          <w:sz w:val="28"/>
          <w:szCs w:val="28"/>
          <w:shd w:val="clear" w:color="auto" w:fill="FFFFFF"/>
          <w:rtl/>
        </w:rPr>
        <w:t xml:space="preserve"> ואת משפטי אשר יעשה אותם האדם </w:t>
      </w:r>
      <w:r w:rsidRPr="00CC0A43">
        <w:rPr>
          <w:rFonts w:ascii="David" w:hAnsi="David"/>
          <w:b/>
          <w:bCs/>
          <w:i/>
          <w:iCs/>
          <w:color w:val="202122"/>
          <w:sz w:val="28"/>
          <w:szCs w:val="28"/>
          <w:shd w:val="clear" w:color="auto" w:fill="FFFFFF"/>
          <w:rtl/>
        </w:rPr>
        <w:t>וחי בהם</w:t>
      </w:r>
      <w:r w:rsidRPr="00CC0A43">
        <w:rPr>
          <w:rFonts w:ascii="David" w:hAnsi="David"/>
          <w:i/>
          <w:iCs/>
          <w:color w:val="202122"/>
          <w:sz w:val="28"/>
          <w:szCs w:val="28"/>
          <w:shd w:val="clear" w:color="auto" w:fill="FFFFFF"/>
          <w:rtl/>
        </w:rPr>
        <w:t xml:space="preserve"> "</w:t>
      </w:r>
      <w:r w:rsidRPr="00CC0A43">
        <w:rPr>
          <w:rFonts w:ascii="David" w:hAnsi="David"/>
          <w:color w:val="202122"/>
          <w:sz w:val="28"/>
          <w:szCs w:val="28"/>
          <w:shd w:val="clear" w:color="auto" w:fill="FFFFFF"/>
          <w:rtl/>
        </w:rPr>
        <w:t xml:space="preserve">. </w:t>
      </w:r>
    </w:p>
    <w:p w14:paraId="7190C577"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lang w:val="x-none" w:eastAsia="x-none"/>
        </w:rPr>
      </w:pPr>
      <w:r w:rsidRPr="00CC0A43">
        <w:rPr>
          <w:rFonts w:ascii="David" w:hAnsi="David"/>
          <w:color w:val="202122"/>
          <w:sz w:val="28"/>
          <w:szCs w:val="28"/>
          <w:shd w:val="clear" w:color="auto" w:fill="FFFFFF"/>
          <w:rtl/>
        </w:rPr>
        <w:t>גם נפסק כי</w:t>
      </w:r>
      <w:r w:rsidRPr="00CC0A43">
        <w:rPr>
          <w:rFonts w:ascii="David" w:hAnsi="David"/>
          <w:sz w:val="28"/>
          <w:szCs w:val="28"/>
          <w:rtl/>
        </w:rPr>
        <w:t>,</w:t>
      </w:r>
    </w:p>
    <w:p w14:paraId="59F4568C" w14:textId="77777777" w:rsidR="001060BD" w:rsidRPr="00CC0A43" w:rsidRDefault="001060BD" w:rsidP="001060BD">
      <w:pPr>
        <w:tabs>
          <w:tab w:val="left" w:pos="84"/>
        </w:tabs>
        <w:spacing w:before="240" w:line="360" w:lineRule="auto"/>
        <w:ind w:left="612" w:right="1134"/>
        <w:rPr>
          <w:rFonts w:ascii="David" w:hAnsi="David"/>
          <w:sz w:val="28"/>
          <w:szCs w:val="28"/>
          <w:rtl/>
          <w:lang w:val="x-none" w:eastAsia="x-none"/>
        </w:rPr>
      </w:pPr>
      <w:r w:rsidRPr="00CC0A43">
        <w:rPr>
          <w:rFonts w:ascii="David" w:hAnsi="David"/>
          <w:sz w:val="28"/>
          <w:szCs w:val="28"/>
          <w:rtl/>
        </w:rPr>
        <w:t xml:space="preserve"> </w:t>
      </w:r>
      <w:r w:rsidRPr="00CC0A43">
        <w:rPr>
          <w:rFonts w:ascii="David" w:hAnsi="David"/>
          <w:i/>
          <w:iCs/>
          <w:sz w:val="28"/>
          <w:szCs w:val="28"/>
          <w:rtl/>
        </w:rPr>
        <w:t>"ערך החיים הוא הנעלה בערכים. הנוטל נפש - נוטל עולם ומלואו... שהרי, הקורבן הוא המנוח, אך גם הוריו, בני משפחתו, ידידיו ומוקיריו, והחברה כולה. אובדנו של המנוח הוא קשה ונורא. הוא מלווה וילווה את יקיריו כל ימי חייהם"</w:t>
      </w:r>
      <w:r w:rsidRPr="00CC0A43">
        <w:rPr>
          <w:rFonts w:ascii="David" w:hAnsi="David"/>
          <w:sz w:val="28"/>
          <w:szCs w:val="28"/>
          <w:rtl/>
        </w:rPr>
        <w:t xml:space="preserve"> (ע/95/04 </w:t>
      </w:r>
      <w:r w:rsidRPr="00CC0A43">
        <w:rPr>
          <w:rFonts w:ascii="David" w:hAnsi="David"/>
          <w:b/>
          <w:bCs/>
          <w:sz w:val="28"/>
          <w:szCs w:val="28"/>
          <w:rtl/>
        </w:rPr>
        <w:t xml:space="preserve">טור' </w:t>
      </w:r>
      <w:proofErr w:type="spellStart"/>
      <w:r w:rsidRPr="00CC0A43">
        <w:rPr>
          <w:rFonts w:ascii="David" w:hAnsi="David"/>
          <w:b/>
          <w:bCs/>
          <w:sz w:val="28"/>
          <w:szCs w:val="28"/>
          <w:rtl/>
        </w:rPr>
        <w:t>רולן</w:t>
      </w:r>
      <w:proofErr w:type="spellEnd"/>
      <w:r w:rsidRPr="00CC0A43">
        <w:rPr>
          <w:rFonts w:ascii="David" w:hAnsi="David"/>
          <w:b/>
          <w:bCs/>
          <w:sz w:val="28"/>
          <w:szCs w:val="28"/>
          <w:rtl/>
        </w:rPr>
        <w:t xml:space="preserve"> </w:t>
      </w:r>
      <w:proofErr w:type="spellStart"/>
      <w:r w:rsidRPr="00CC0A43">
        <w:rPr>
          <w:rFonts w:ascii="David" w:hAnsi="David"/>
          <w:b/>
          <w:bCs/>
          <w:sz w:val="28"/>
          <w:szCs w:val="28"/>
          <w:rtl/>
        </w:rPr>
        <w:t>יודוב</w:t>
      </w:r>
      <w:proofErr w:type="spellEnd"/>
      <w:r w:rsidRPr="00CC0A43">
        <w:rPr>
          <w:rFonts w:ascii="David" w:hAnsi="David"/>
          <w:b/>
          <w:bCs/>
          <w:sz w:val="28"/>
          <w:szCs w:val="28"/>
          <w:rtl/>
        </w:rPr>
        <w:t xml:space="preserve"> נגד </w:t>
      </w:r>
      <w:proofErr w:type="spellStart"/>
      <w:r w:rsidRPr="00CC0A43">
        <w:rPr>
          <w:rFonts w:ascii="David" w:hAnsi="David"/>
          <w:b/>
          <w:bCs/>
          <w:sz w:val="28"/>
          <w:szCs w:val="28"/>
          <w:rtl/>
        </w:rPr>
        <w:t>התצ"ר</w:t>
      </w:r>
      <w:proofErr w:type="spellEnd"/>
      <w:r w:rsidRPr="00CC0A43">
        <w:rPr>
          <w:rFonts w:ascii="David" w:hAnsi="David"/>
          <w:sz w:val="28"/>
          <w:szCs w:val="28"/>
          <w:rtl/>
        </w:rPr>
        <w:t xml:space="preserve"> (2004). </w:t>
      </w:r>
      <w:r w:rsidRPr="00CC0A43">
        <w:rPr>
          <w:rFonts w:ascii="David" w:hAnsi="David"/>
          <w:sz w:val="28"/>
          <w:szCs w:val="28"/>
          <w:rtl/>
          <w:lang w:val="x-none" w:eastAsia="x-none"/>
        </w:rPr>
        <w:t xml:space="preserve"> </w:t>
      </w:r>
    </w:p>
    <w:p w14:paraId="0DA91D7E" w14:textId="77777777" w:rsidR="001060BD" w:rsidRPr="00CC0A43" w:rsidRDefault="001060BD" w:rsidP="001060BD">
      <w:pPr>
        <w:widowControl w:val="0"/>
        <w:spacing w:line="360" w:lineRule="auto"/>
        <w:ind w:left="785"/>
        <w:rPr>
          <w:rFonts w:ascii="David" w:hAnsi="David"/>
          <w:sz w:val="28"/>
          <w:szCs w:val="28"/>
          <w:rtl/>
          <w:lang w:val="x-none" w:eastAsia="x-none"/>
        </w:rPr>
      </w:pPr>
    </w:p>
    <w:p w14:paraId="2BDD1C14"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lang w:val="x-none" w:eastAsia="x-none"/>
        </w:rPr>
      </w:pPr>
      <w:r w:rsidRPr="00CC0A43">
        <w:rPr>
          <w:rFonts w:ascii="David" w:hAnsi="David"/>
          <w:sz w:val="28"/>
          <w:szCs w:val="28"/>
          <w:rtl/>
          <w:lang w:val="x-none" w:eastAsia="x-none"/>
        </w:rPr>
        <w:t xml:space="preserve">ביטוי למעמדו העליון של ערך קדושת החיים מצוי בעונשי מינימום שקבע המחוקק בצידה של העבירה של גרימת מוות בנהיגה רשלנית - מאסר ופסילת מינימום. </w:t>
      </w:r>
      <w:r w:rsidRPr="00CC0A43">
        <w:rPr>
          <w:rFonts w:ascii="David" w:hAnsi="David"/>
          <w:sz w:val="28"/>
          <w:szCs w:val="28"/>
          <w:rtl/>
        </w:rPr>
        <w:t xml:space="preserve">בשים לב לערכים המוגנים בהם עסקינן, קובעת הפסיקה כי "ברגיל מחייבת </w:t>
      </w:r>
      <w:r w:rsidRPr="00CC0A43">
        <w:rPr>
          <w:rFonts w:ascii="David" w:hAnsi="David"/>
          <w:sz w:val="28"/>
          <w:szCs w:val="28"/>
          <w:rtl/>
        </w:rPr>
        <w:lastRenderedPageBreak/>
        <w:t xml:space="preserve">הרשעה בעבירה של גרם מוות ברשלנות השתת עונש חמור, הכולל הורדת הנהג מן הכביש לתקופה ארוכה ומאסר בפועל" (ראו, </w:t>
      </w:r>
      <w:proofErr w:type="spellStart"/>
      <w:r w:rsidRPr="00CC0A43">
        <w:rPr>
          <w:rFonts w:ascii="David" w:hAnsi="David"/>
          <w:sz w:val="28"/>
          <w:szCs w:val="28"/>
          <w:rtl/>
        </w:rPr>
        <w:t>רע"פ</w:t>
      </w:r>
      <w:proofErr w:type="spellEnd"/>
      <w:r w:rsidRPr="00CC0A43">
        <w:rPr>
          <w:rFonts w:ascii="David" w:hAnsi="David"/>
          <w:sz w:val="28"/>
          <w:szCs w:val="28"/>
          <w:rtl/>
        </w:rPr>
        <w:t xml:space="preserve"> </w:t>
      </w:r>
      <w:r w:rsidRPr="00CC0A43">
        <w:rPr>
          <w:rFonts w:ascii="David" w:hAnsi="David"/>
          <w:b/>
          <w:bCs/>
          <w:sz w:val="28"/>
          <w:szCs w:val="28"/>
          <w:rtl/>
        </w:rPr>
        <w:t>4261/04 פארין נ' מדינת ישראל</w:t>
      </w:r>
      <w:r w:rsidRPr="00CC0A43">
        <w:rPr>
          <w:rFonts w:ascii="David" w:hAnsi="David"/>
          <w:sz w:val="28"/>
          <w:szCs w:val="28"/>
          <w:rtl/>
        </w:rPr>
        <w:t xml:space="preserve"> (2004)). </w:t>
      </w:r>
    </w:p>
    <w:p w14:paraId="5C8AF2AC" w14:textId="77777777" w:rsidR="001060BD" w:rsidRPr="00CC0A43" w:rsidRDefault="001060BD" w:rsidP="001060BD">
      <w:pPr>
        <w:pStyle w:val="ListParagraph"/>
        <w:ind w:left="374" w:hanging="284"/>
        <w:rPr>
          <w:rFonts w:ascii="David" w:hAnsi="David"/>
          <w:sz w:val="28"/>
          <w:szCs w:val="28"/>
          <w:rtl/>
        </w:rPr>
      </w:pPr>
    </w:p>
    <w:p w14:paraId="598C8E4B"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tl/>
        </w:rPr>
      </w:pPr>
      <w:r w:rsidRPr="00CC0A43">
        <w:rPr>
          <w:rFonts w:ascii="David" w:hAnsi="David"/>
          <w:sz w:val="28"/>
          <w:szCs w:val="28"/>
          <w:rtl/>
        </w:rPr>
        <w:t>במקרה דנן, נקשר, כאמור, בין הצדדים הסדר טיעון, במסגרתו עתרו הם במשותף כי על הנאשם יושת רכיב מאסר בפועל בן עשרה חודשים ורכיב הפסילה יעמוד על שמונה שנים. נאמר כבר עתה כי לאחר שקילת מכלול נסיבות העניין, באנו לכלל דעה כי הסכמה זו בין הצדדים לעניין רכיב המאסר בפועל והפסילה הממושכת מבטאת כראוי את עקרון ההלימה בנסיבות המקרה, ומשכך החלטנו לאמץ את ההסכמות.</w:t>
      </w:r>
    </w:p>
    <w:p w14:paraId="003BBCF9"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Pr>
      </w:pPr>
      <w:r w:rsidRPr="00CC0A43">
        <w:rPr>
          <w:rFonts w:ascii="David" w:hAnsi="David"/>
          <w:sz w:val="28"/>
          <w:szCs w:val="28"/>
          <w:rtl/>
        </w:rPr>
        <w:t xml:space="preserve">אשר לרמות הענישה, הסתמכו בהכרעתנו לקבל את הסכמת הצדדים בין היתר על פי רמות הענישה אשר הוצגו בפנינו ועל תיקים בעלי נסיבות דומות ומורכבות דומה. לעניין זה ראו: </w:t>
      </w:r>
      <w:proofErr w:type="spellStart"/>
      <w:r w:rsidRPr="00CC0A43">
        <w:rPr>
          <w:rFonts w:ascii="David" w:hAnsi="David"/>
          <w:sz w:val="28"/>
          <w:szCs w:val="28"/>
          <w:rtl/>
        </w:rPr>
        <w:t>רע"פ</w:t>
      </w:r>
      <w:proofErr w:type="spellEnd"/>
      <w:r w:rsidRPr="00CC0A43">
        <w:rPr>
          <w:rFonts w:ascii="David" w:hAnsi="David"/>
          <w:sz w:val="28"/>
          <w:szCs w:val="28"/>
          <w:rtl/>
        </w:rPr>
        <w:t xml:space="preserve"> 7505/21 </w:t>
      </w:r>
      <w:r w:rsidRPr="00CC0A43">
        <w:rPr>
          <w:rFonts w:ascii="David" w:hAnsi="David"/>
          <w:b/>
          <w:bCs/>
          <w:sz w:val="28"/>
          <w:szCs w:val="28"/>
          <w:rtl/>
        </w:rPr>
        <w:t xml:space="preserve">טל </w:t>
      </w:r>
      <w:proofErr w:type="spellStart"/>
      <w:r w:rsidRPr="00CC0A43">
        <w:rPr>
          <w:rFonts w:ascii="David" w:hAnsi="David"/>
          <w:b/>
          <w:bCs/>
          <w:sz w:val="28"/>
          <w:szCs w:val="28"/>
          <w:rtl/>
        </w:rPr>
        <w:t>גויחמן</w:t>
      </w:r>
      <w:proofErr w:type="spellEnd"/>
      <w:r w:rsidRPr="00CC0A43">
        <w:rPr>
          <w:rFonts w:ascii="David" w:hAnsi="David"/>
          <w:b/>
          <w:bCs/>
          <w:sz w:val="28"/>
          <w:szCs w:val="28"/>
          <w:rtl/>
        </w:rPr>
        <w:t xml:space="preserve"> נגד מדינת ישראל</w:t>
      </w:r>
      <w:r w:rsidRPr="00CC0A43">
        <w:rPr>
          <w:rFonts w:ascii="David" w:hAnsi="David"/>
          <w:sz w:val="28"/>
          <w:szCs w:val="28"/>
          <w:rtl/>
        </w:rPr>
        <w:t xml:space="preserve"> (2021), </w:t>
      </w:r>
      <w:proofErr w:type="spellStart"/>
      <w:r w:rsidRPr="00CC0A43">
        <w:rPr>
          <w:rFonts w:ascii="David" w:hAnsi="David"/>
          <w:sz w:val="28"/>
          <w:szCs w:val="28"/>
          <w:rtl/>
        </w:rPr>
        <w:t>עפ"ג</w:t>
      </w:r>
      <w:proofErr w:type="spellEnd"/>
      <w:r w:rsidRPr="00CC0A43">
        <w:rPr>
          <w:rFonts w:ascii="David" w:hAnsi="David"/>
          <w:sz w:val="28"/>
          <w:szCs w:val="28"/>
          <w:rtl/>
        </w:rPr>
        <w:t xml:space="preserve"> 26829-05-12 </w:t>
      </w:r>
      <w:r w:rsidRPr="00CC0A43">
        <w:rPr>
          <w:rFonts w:ascii="David" w:hAnsi="David"/>
          <w:b/>
          <w:bCs/>
          <w:sz w:val="28"/>
          <w:szCs w:val="28"/>
          <w:rtl/>
        </w:rPr>
        <w:t xml:space="preserve">תום רביד </w:t>
      </w:r>
      <w:proofErr w:type="spellStart"/>
      <w:r w:rsidRPr="00CC0A43">
        <w:rPr>
          <w:rFonts w:ascii="David" w:hAnsi="David"/>
          <w:b/>
          <w:bCs/>
          <w:sz w:val="28"/>
          <w:szCs w:val="28"/>
          <w:rtl/>
        </w:rPr>
        <w:t>יעיש</w:t>
      </w:r>
      <w:proofErr w:type="spellEnd"/>
      <w:r w:rsidRPr="00CC0A43">
        <w:rPr>
          <w:rFonts w:ascii="David" w:hAnsi="David"/>
          <w:b/>
          <w:bCs/>
          <w:sz w:val="28"/>
          <w:szCs w:val="28"/>
          <w:rtl/>
        </w:rPr>
        <w:t xml:space="preserve"> נ' מדינת ישראל</w:t>
      </w:r>
      <w:r w:rsidRPr="00CC0A43">
        <w:rPr>
          <w:rFonts w:ascii="David" w:hAnsi="David"/>
          <w:sz w:val="28"/>
          <w:szCs w:val="28"/>
          <w:rtl/>
        </w:rPr>
        <w:t xml:space="preserve">, ע/8/17 </w:t>
      </w:r>
      <w:r w:rsidRPr="00CC0A43">
        <w:rPr>
          <w:rFonts w:ascii="David" w:hAnsi="David"/>
          <w:b/>
          <w:bCs/>
          <w:sz w:val="28"/>
          <w:szCs w:val="28"/>
          <w:rtl/>
        </w:rPr>
        <w:t xml:space="preserve">סמ"ר רונן </w:t>
      </w:r>
      <w:proofErr w:type="spellStart"/>
      <w:r w:rsidRPr="00CC0A43">
        <w:rPr>
          <w:rFonts w:ascii="David" w:hAnsi="David"/>
          <w:b/>
          <w:bCs/>
          <w:sz w:val="28"/>
          <w:szCs w:val="28"/>
          <w:rtl/>
        </w:rPr>
        <w:t>אוסטרייכר</w:t>
      </w:r>
      <w:proofErr w:type="spellEnd"/>
      <w:r w:rsidRPr="00CC0A43">
        <w:rPr>
          <w:rFonts w:ascii="David" w:hAnsi="David"/>
          <w:b/>
          <w:bCs/>
          <w:sz w:val="28"/>
          <w:szCs w:val="28"/>
          <w:rtl/>
        </w:rPr>
        <w:t xml:space="preserve"> נ' התובע הצבאי הראשי</w:t>
      </w:r>
      <w:r w:rsidRPr="00CC0A43">
        <w:rPr>
          <w:rFonts w:ascii="David" w:hAnsi="David"/>
          <w:sz w:val="28"/>
          <w:szCs w:val="28"/>
          <w:rtl/>
        </w:rPr>
        <w:t xml:space="preserve"> (2017), וכן ע/90/12 </w:t>
      </w:r>
      <w:r w:rsidRPr="00CC0A43">
        <w:rPr>
          <w:rFonts w:ascii="David" w:hAnsi="David"/>
          <w:b/>
          <w:bCs/>
          <w:sz w:val="28"/>
          <w:szCs w:val="28"/>
          <w:rtl/>
        </w:rPr>
        <w:t>סרן תומר מזרחי נ' התובע הצבאי הראשי</w:t>
      </w:r>
      <w:r w:rsidRPr="00CC0A43">
        <w:rPr>
          <w:rFonts w:ascii="David" w:hAnsi="David"/>
          <w:sz w:val="28"/>
          <w:szCs w:val="28"/>
          <w:rtl/>
        </w:rPr>
        <w:t xml:space="preserve"> (2013), ע/89/12, 88</w:t>
      </w:r>
      <w:r w:rsidRPr="00CC0A43">
        <w:rPr>
          <w:rFonts w:ascii="David" w:hAnsi="David"/>
          <w:b/>
          <w:bCs/>
          <w:sz w:val="28"/>
          <w:szCs w:val="28"/>
          <w:rtl/>
        </w:rPr>
        <w:t xml:space="preserve"> סרן משה מיימון נ' </w:t>
      </w:r>
      <w:proofErr w:type="spellStart"/>
      <w:r w:rsidRPr="00CC0A43">
        <w:rPr>
          <w:rFonts w:ascii="David" w:hAnsi="David"/>
          <w:b/>
          <w:bCs/>
          <w:sz w:val="28"/>
          <w:szCs w:val="28"/>
          <w:rtl/>
        </w:rPr>
        <w:t>התצ"ר</w:t>
      </w:r>
      <w:proofErr w:type="spellEnd"/>
      <w:r w:rsidRPr="00CC0A43">
        <w:rPr>
          <w:rFonts w:ascii="David" w:hAnsi="David"/>
          <w:b/>
          <w:bCs/>
          <w:sz w:val="28"/>
          <w:szCs w:val="28"/>
          <w:rtl/>
        </w:rPr>
        <w:t xml:space="preserve"> </w:t>
      </w:r>
      <w:r w:rsidRPr="00CC0A43">
        <w:rPr>
          <w:rFonts w:ascii="David" w:hAnsi="David"/>
          <w:sz w:val="28"/>
          <w:szCs w:val="28"/>
          <w:rtl/>
        </w:rPr>
        <w:t xml:space="preserve">(2013). </w:t>
      </w:r>
    </w:p>
    <w:p w14:paraId="0ECD5B40"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tl/>
        </w:rPr>
      </w:pPr>
      <w:r w:rsidRPr="00CC0A43">
        <w:rPr>
          <w:rFonts w:ascii="David" w:hAnsi="David"/>
          <w:sz w:val="28"/>
          <w:szCs w:val="28"/>
          <w:rtl/>
        </w:rPr>
        <w:t>אשר על כן, כפי שכבר ציינו מעלה, אנו סבורים כי העונש שאליו עתרו הצדדים נמצא במתחם העונש ההולם של תיקים מסוג זה בנסיבות דומות. אשר לשיקולים אשר הובילו לענישה בתוך המתחם הרי שסברנו כי כפי שהצדדים הציגו בפנינו, שיקולים הנוגעים ל</w:t>
      </w:r>
      <w:r w:rsidRPr="00CC0A43">
        <w:rPr>
          <w:rFonts w:ascii="David" w:hAnsi="David"/>
          <w:b/>
          <w:bCs/>
          <w:sz w:val="28"/>
          <w:szCs w:val="28"/>
          <w:rtl/>
        </w:rPr>
        <w:t xml:space="preserve">עברו התעברותי הנקי </w:t>
      </w:r>
      <w:r w:rsidRPr="00CC0A43">
        <w:rPr>
          <w:rFonts w:ascii="David" w:hAnsi="David"/>
          <w:sz w:val="28"/>
          <w:szCs w:val="28"/>
          <w:rtl/>
        </w:rPr>
        <w:t xml:space="preserve">של הנאשם, </w:t>
      </w:r>
      <w:r w:rsidRPr="00CC0A43">
        <w:rPr>
          <w:rFonts w:ascii="David" w:hAnsi="David"/>
          <w:b/>
          <w:bCs/>
          <w:sz w:val="28"/>
          <w:szCs w:val="28"/>
          <w:rtl/>
        </w:rPr>
        <w:t>התייחסות משפחת המנוח</w:t>
      </w:r>
      <w:r w:rsidRPr="00CC0A43">
        <w:rPr>
          <w:rFonts w:ascii="David" w:hAnsi="David"/>
          <w:sz w:val="28"/>
          <w:szCs w:val="28"/>
          <w:rtl/>
        </w:rPr>
        <w:t xml:space="preserve"> כפי שהוצגה לנו באמצעות התביעה </w:t>
      </w:r>
      <w:r w:rsidRPr="00CC0A43">
        <w:rPr>
          <w:rFonts w:ascii="David" w:hAnsi="David"/>
          <w:b/>
          <w:bCs/>
          <w:sz w:val="28"/>
          <w:szCs w:val="28"/>
          <w:rtl/>
        </w:rPr>
        <w:t>והסכמתם להסדר הטיעון</w:t>
      </w:r>
      <w:r w:rsidRPr="00CC0A43">
        <w:rPr>
          <w:rFonts w:ascii="David" w:hAnsi="David"/>
          <w:sz w:val="28"/>
          <w:szCs w:val="28"/>
          <w:rtl/>
        </w:rPr>
        <w:t xml:space="preserve">, כמו גם </w:t>
      </w:r>
      <w:r w:rsidRPr="00CC0A43">
        <w:rPr>
          <w:rFonts w:ascii="David" w:hAnsi="David"/>
          <w:b/>
          <w:bCs/>
          <w:sz w:val="28"/>
          <w:szCs w:val="28"/>
          <w:rtl/>
        </w:rPr>
        <w:t>טענות ראייתיות משמעותיות</w:t>
      </w:r>
      <w:r w:rsidRPr="00CC0A43">
        <w:rPr>
          <w:rFonts w:ascii="David" w:hAnsi="David"/>
          <w:sz w:val="28"/>
          <w:szCs w:val="28"/>
          <w:rtl/>
        </w:rPr>
        <w:t xml:space="preserve"> שהוצגו באופן חלקי בפנינו ואף הובאו בפני השופטת המגשרת, המלצת השופטת המגשרת שבאמצעותה הגיעו הצדדים להסדר זה,</w:t>
      </w:r>
      <w:r w:rsidRPr="00CC0A43">
        <w:rPr>
          <w:rFonts w:ascii="David" w:hAnsi="David"/>
          <w:b/>
          <w:bCs/>
          <w:sz w:val="28"/>
          <w:szCs w:val="28"/>
          <w:rtl/>
        </w:rPr>
        <w:t xml:space="preserve"> הודאתו של הנאשם ולקיחת האחריות למן הרגע הראשון על אחריותו באירוע</w:t>
      </w:r>
      <w:r w:rsidRPr="00CC0A43">
        <w:rPr>
          <w:rFonts w:ascii="David" w:hAnsi="David"/>
          <w:sz w:val="28"/>
          <w:szCs w:val="28"/>
          <w:rtl/>
        </w:rPr>
        <w:t xml:space="preserve">, העובדה כי הנאשם עושה את צעדיו הראשוניים בחייו האזרחיים, תרומתו הרבה בהתאם להמלצת מפקדיו במהלך השירות (ס/1 </w:t>
      </w:r>
      <w:proofErr w:type="spellStart"/>
      <w:r w:rsidRPr="00CC0A43">
        <w:rPr>
          <w:rFonts w:ascii="David" w:hAnsi="David"/>
          <w:sz w:val="28"/>
          <w:szCs w:val="28"/>
          <w:rtl/>
        </w:rPr>
        <w:t>וס</w:t>
      </w:r>
      <w:proofErr w:type="spellEnd"/>
      <w:r w:rsidRPr="00CC0A43">
        <w:rPr>
          <w:rFonts w:ascii="David" w:hAnsi="David"/>
          <w:sz w:val="28"/>
          <w:szCs w:val="28"/>
          <w:rtl/>
        </w:rPr>
        <w:t>/2), כלל שיקולים אלה, יש בהם כדי להכריע כי ההסדר הוא מאוזן ולכן יש לכבדו.</w:t>
      </w:r>
    </w:p>
    <w:p w14:paraId="773261F7" w14:textId="77777777" w:rsidR="001060BD" w:rsidRPr="00CC0A43" w:rsidRDefault="001060BD" w:rsidP="001060BD">
      <w:pPr>
        <w:numPr>
          <w:ilvl w:val="0"/>
          <w:numId w:val="1"/>
        </w:numPr>
        <w:tabs>
          <w:tab w:val="left" w:pos="84"/>
        </w:tabs>
        <w:spacing w:before="240" w:line="360" w:lineRule="auto"/>
        <w:ind w:left="374" w:hanging="284"/>
        <w:rPr>
          <w:rFonts w:ascii="David" w:hAnsi="David"/>
          <w:sz w:val="28"/>
          <w:szCs w:val="28"/>
        </w:rPr>
      </w:pPr>
      <w:r w:rsidRPr="00CC0A43">
        <w:rPr>
          <w:rFonts w:ascii="David" w:hAnsi="David"/>
          <w:sz w:val="28"/>
          <w:szCs w:val="28"/>
          <w:rtl/>
        </w:rPr>
        <w:t>סוף דבר, לאחר בחינת מכלול נסיבות העניין, מצאנו להשית על הנאשם את העונשים המוסכמים הבאים:</w:t>
      </w:r>
    </w:p>
    <w:p w14:paraId="62E54662" w14:textId="77777777" w:rsidR="001060BD" w:rsidRPr="00CC0A43" w:rsidRDefault="001060BD" w:rsidP="001060BD">
      <w:pPr>
        <w:pStyle w:val="ListParagraph"/>
        <w:rPr>
          <w:rFonts w:ascii="David" w:hAnsi="David"/>
          <w:sz w:val="28"/>
          <w:szCs w:val="28"/>
          <w:rtl/>
        </w:rPr>
      </w:pPr>
    </w:p>
    <w:p w14:paraId="10CA012F" w14:textId="77777777" w:rsidR="001060BD" w:rsidRPr="00CC0A43" w:rsidRDefault="001060BD" w:rsidP="001060BD">
      <w:pPr>
        <w:numPr>
          <w:ilvl w:val="0"/>
          <w:numId w:val="4"/>
        </w:numPr>
        <w:tabs>
          <w:tab w:val="left" w:pos="84"/>
        </w:tabs>
        <w:spacing w:before="240" w:line="360" w:lineRule="auto"/>
        <w:rPr>
          <w:rFonts w:ascii="David" w:hAnsi="David"/>
          <w:b/>
          <w:bCs/>
          <w:sz w:val="28"/>
          <w:szCs w:val="28"/>
        </w:rPr>
      </w:pPr>
      <w:r w:rsidRPr="00CC0A43">
        <w:rPr>
          <w:rFonts w:ascii="David" w:hAnsi="David"/>
          <w:b/>
          <w:bCs/>
          <w:sz w:val="28"/>
          <w:szCs w:val="28"/>
          <w:rtl/>
        </w:rPr>
        <w:lastRenderedPageBreak/>
        <w:t xml:space="preserve">עשרה (10) חודשי מאסר בפועל. תחילת ריצוי העונש ביום 01.01.2023 בשעה 11:00 </w:t>
      </w:r>
      <w:proofErr w:type="spellStart"/>
      <w:r w:rsidRPr="00CC0A43">
        <w:rPr>
          <w:rFonts w:ascii="David" w:hAnsi="David"/>
          <w:b/>
          <w:bCs/>
          <w:sz w:val="28"/>
          <w:szCs w:val="28"/>
          <w:rtl/>
        </w:rPr>
        <w:t>בבס"כ</w:t>
      </w:r>
      <w:proofErr w:type="spellEnd"/>
      <w:r w:rsidRPr="00CC0A43">
        <w:rPr>
          <w:rFonts w:ascii="David" w:hAnsi="David"/>
          <w:b/>
          <w:bCs/>
          <w:sz w:val="28"/>
          <w:szCs w:val="28"/>
          <w:rtl/>
        </w:rPr>
        <w:t xml:space="preserve"> נווה צדק.</w:t>
      </w:r>
    </w:p>
    <w:p w14:paraId="309C2AE9" w14:textId="77777777" w:rsidR="001060BD" w:rsidRPr="00CC0A43" w:rsidRDefault="001060BD" w:rsidP="001060BD">
      <w:pPr>
        <w:numPr>
          <w:ilvl w:val="0"/>
          <w:numId w:val="4"/>
        </w:numPr>
        <w:tabs>
          <w:tab w:val="left" w:pos="84"/>
        </w:tabs>
        <w:spacing w:before="240" w:line="360" w:lineRule="auto"/>
        <w:rPr>
          <w:rFonts w:ascii="David" w:hAnsi="David"/>
          <w:b/>
          <w:bCs/>
          <w:sz w:val="28"/>
          <w:szCs w:val="28"/>
        </w:rPr>
      </w:pPr>
      <w:r w:rsidRPr="00CC0A43">
        <w:rPr>
          <w:rFonts w:ascii="David" w:hAnsi="David"/>
          <w:b/>
          <w:bCs/>
          <w:sz w:val="28"/>
          <w:szCs w:val="28"/>
          <w:rtl/>
        </w:rPr>
        <w:t xml:space="preserve">שנת מאסר על תנאי למשך שלוש שנים, שלא יעבור עבירה שעניינה גרימת מוות ברשלנות. </w:t>
      </w:r>
    </w:p>
    <w:p w14:paraId="72270761" w14:textId="77777777" w:rsidR="001060BD" w:rsidRPr="00CC0A43" w:rsidRDefault="001060BD" w:rsidP="001060BD">
      <w:pPr>
        <w:numPr>
          <w:ilvl w:val="0"/>
          <w:numId w:val="4"/>
        </w:numPr>
        <w:tabs>
          <w:tab w:val="left" w:pos="84"/>
        </w:tabs>
        <w:spacing w:before="240" w:line="360" w:lineRule="auto"/>
        <w:rPr>
          <w:rFonts w:ascii="David" w:hAnsi="David"/>
          <w:b/>
          <w:bCs/>
          <w:sz w:val="28"/>
          <w:szCs w:val="28"/>
        </w:rPr>
      </w:pPr>
      <w:r w:rsidRPr="00CC0A43">
        <w:rPr>
          <w:rFonts w:ascii="David" w:hAnsi="David"/>
          <w:b/>
          <w:bCs/>
          <w:sz w:val="28"/>
          <w:szCs w:val="28"/>
          <w:rtl/>
        </w:rPr>
        <w:t xml:space="preserve">פסילת רישיונות </w:t>
      </w:r>
      <w:proofErr w:type="spellStart"/>
      <w:r w:rsidRPr="00CC0A43">
        <w:rPr>
          <w:rFonts w:ascii="David" w:hAnsi="David"/>
          <w:b/>
          <w:bCs/>
          <w:sz w:val="28"/>
          <w:szCs w:val="28"/>
          <w:rtl/>
        </w:rPr>
        <w:t>רנצ"א</w:t>
      </w:r>
      <w:proofErr w:type="spellEnd"/>
      <w:r w:rsidRPr="00CC0A43">
        <w:rPr>
          <w:rFonts w:ascii="David" w:hAnsi="David"/>
          <w:b/>
          <w:bCs/>
          <w:sz w:val="28"/>
          <w:szCs w:val="28"/>
          <w:rtl/>
        </w:rPr>
        <w:t xml:space="preserve"> בפועל, לתקופה בת שמונה (8) שנים, שמניינה  החל מיום 24.01.2021. </w:t>
      </w:r>
    </w:p>
    <w:p w14:paraId="5E53132A" w14:textId="77777777" w:rsidR="001060BD" w:rsidRPr="00CC0A43" w:rsidRDefault="001060BD" w:rsidP="001060BD">
      <w:pPr>
        <w:numPr>
          <w:ilvl w:val="0"/>
          <w:numId w:val="4"/>
        </w:numPr>
        <w:tabs>
          <w:tab w:val="left" w:pos="84"/>
        </w:tabs>
        <w:spacing w:before="240" w:line="360" w:lineRule="auto"/>
        <w:rPr>
          <w:rFonts w:ascii="David" w:hAnsi="David"/>
          <w:b/>
          <w:bCs/>
          <w:sz w:val="28"/>
          <w:szCs w:val="28"/>
        </w:rPr>
      </w:pPr>
      <w:r w:rsidRPr="00CC0A43">
        <w:rPr>
          <w:rFonts w:ascii="David" w:hAnsi="David"/>
          <w:b/>
          <w:bCs/>
          <w:sz w:val="28"/>
          <w:szCs w:val="28"/>
          <w:rtl/>
        </w:rPr>
        <w:t xml:space="preserve">פסילת רישיונות על תנאי לתקופה של </w:t>
      </w:r>
      <w:r w:rsidR="007C75A6" w:rsidRPr="00CC0A43">
        <w:rPr>
          <w:rFonts w:ascii="David" w:hAnsi="David"/>
          <w:b/>
          <w:bCs/>
          <w:sz w:val="28"/>
          <w:szCs w:val="28"/>
          <w:rtl/>
        </w:rPr>
        <w:t>ע</w:t>
      </w:r>
      <w:r w:rsidRPr="00CC0A43">
        <w:rPr>
          <w:rFonts w:ascii="David" w:hAnsi="David"/>
          <w:b/>
          <w:bCs/>
          <w:sz w:val="28"/>
          <w:szCs w:val="28"/>
          <w:rtl/>
        </w:rPr>
        <w:t xml:space="preserve">שרים וארבעה (24) חודשים למשך שלוש שנים על עבירות בהן הורשע או של נהיגה בזמן פסילה </w:t>
      </w:r>
    </w:p>
    <w:p w14:paraId="34132712" w14:textId="77777777" w:rsidR="001060BD" w:rsidRPr="00CC0A43" w:rsidRDefault="001060BD" w:rsidP="001060BD">
      <w:pPr>
        <w:numPr>
          <w:ilvl w:val="0"/>
          <w:numId w:val="4"/>
        </w:numPr>
        <w:tabs>
          <w:tab w:val="left" w:pos="84"/>
        </w:tabs>
        <w:spacing w:before="240" w:line="360" w:lineRule="auto"/>
        <w:rPr>
          <w:rFonts w:ascii="David" w:hAnsi="David"/>
          <w:b/>
          <w:bCs/>
          <w:sz w:val="28"/>
          <w:szCs w:val="28"/>
        </w:rPr>
      </w:pPr>
      <w:r w:rsidRPr="00CC0A43">
        <w:rPr>
          <w:rFonts w:ascii="David" w:hAnsi="David"/>
          <w:b/>
          <w:bCs/>
          <w:sz w:val="28"/>
          <w:szCs w:val="28"/>
          <w:rtl/>
        </w:rPr>
        <w:t xml:space="preserve">פסילת רישיונות על תנאי לתקופה של שישה (6) חודשים למשך שלוש שנים, לבל יעבור עבירה לפי התוספת הראשונה והשנייה לפקודת התעבורה [נוסח חדש]. </w:t>
      </w:r>
    </w:p>
    <w:p w14:paraId="5DCEBE32" w14:textId="77777777" w:rsidR="001060BD" w:rsidRPr="00CC0A43" w:rsidRDefault="001060BD" w:rsidP="001060BD">
      <w:pPr>
        <w:numPr>
          <w:ilvl w:val="0"/>
          <w:numId w:val="4"/>
        </w:numPr>
        <w:tabs>
          <w:tab w:val="left" w:pos="84"/>
        </w:tabs>
        <w:spacing w:before="240" w:line="360" w:lineRule="auto"/>
        <w:rPr>
          <w:rFonts w:ascii="David" w:hAnsi="David"/>
          <w:b/>
          <w:bCs/>
          <w:sz w:val="28"/>
          <w:szCs w:val="28"/>
        </w:rPr>
      </w:pPr>
      <w:r w:rsidRPr="00CC0A43">
        <w:rPr>
          <w:rFonts w:ascii="David" w:hAnsi="David"/>
          <w:b/>
          <w:bCs/>
          <w:sz w:val="28"/>
          <w:szCs w:val="28"/>
          <w:rtl/>
        </w:rPr>
        <w:t xml:space="preserve">פיצויים לטובת משפחת המנוח בסך של </w:t>
      </w:r>
      <w:r w:rsidR="00CC0A43">
        <w:rPr>
          <w:rFonts w:ascii="David" w:hAnsi="David" w:hint="cs"/>
          <w:b/>
          <w:bCs/>
          <w:sz w:val="28"/>
          <w:szCs w:val="28"/>
          <w:rtl/>
        </w:rPr>
        <w:t>שנים עשר אלף שלוש מאות וחמישים (</w:t>
      </w:r>
      <w:r w:rsidRPr="00CC0A43">
        <w:rPr>
          <w:rFonts w:ascii="David" w:hAnsi="David"/>
          <w:b/>
          <w:bCs/>
          <w:sz w:val="28"/>
          <w:szCs w:val="28"/>
          <w:rtl/>
        </w:rPr>
        <w:t>12,350</w:t>
      </w:r>
      <w:r w:rsidR="00CC0A43">
        <w:rPr>
          <w:rFonts w:ascii="David" w:hAnsi="David" w:hint="cs"/>
          <w:b/>
          <w:bCs/>
          <w:sz w:val="28"/>
          <w:szCs w:val="28"/>
          <w:rtl/>
        </w:rPr>
        <w:t>)</w:t>
      </w:r>
      <w:r w:rsidRPr="00CC0A43">
        <w:rPr>
          <w:rFonts w:ascii="David" w:hAnsi="David"/>
          <w:b/>
          <w:bCs/>
          <w:sz w:val="28"/>
          <w:szCs w:val="28"/>
          <w:rtl/>
        </w:rPr>
        <w:t xml:space="preserve"> ₪. בהתאם להצהרת הצדדים סכום הכסף שולם למשפחת המנוח.</w:t>
      </w:r>
    </w:p>
    <w:p w14:paraId="5F636A24" w14:textId="77777777" w:rsidR="001060BD" w:rsidRPr="00CC0A43" w:rsidRDefault="001060BD" w:rsidP="001060BD">
      <w:pPr>
        <w:numPr>
          <w:ilvl w:val="0"/>
          <w:numId w:val="4"/>
        </w:numPr>
        <w:tabs>
          <w:tab w:val="left" w:pos="84"/>
        </w:tabs>
        <w:spacing w:before="240" w:line="360" w:lineRule="auto"/>
        <w:rPr>
          <w:rFonts w:ascii="David" w:hAnsi="David"/>
          <w:b/>
          <w:bCs/>
          <w:sz w:val="28"/>
          <w:szCs w:val="28"/>
          <w:rtl/>
        </w:rPr>
      </w:pPr>
      <w:r w:rsidRPr="00CC0A43">
        <w:rPr>
          <w:rFonts w:ascii="David" w:hAnsi="David"/>
          <w:b/>
          <w:bCs/>
          <w:sz w:val="28"/>
          <w:szCs w:val="28"/>
          <w:rtl/>
        </w:rPr>
        <w:t>הורדה לדרגת טוראי.</w:t>
      </w:r>
    </w:p>
    <w:p w14:paraId="03EBC917" w14:textId="77777777" w:rsidR="001060BD" w:rsidRPr="00CC0A43" w:rsidRDefault="001060BD" w:rsidP="004939BF">
      <w:pPr>
        <w:spacing w:line="360" w:lineRule="auto"/>
        <w:ind w:hanging="716"/>
        <w:rPr>
          <w:rFonts w:ascii="David" w:hAnsi="David"/>
          <w:b/>
          <w:bCs/>
          <w:sz w:val="28"/>
          <w:szCs w:val="28"/>
          <w:rtl/>
        </w:rPr>
      </w:pPr>
    </w:p>
    <w:p w14:paraId="078E1AF3" w14:textId="77777777" w:rsidR="001060BD" w:rsidRPr="00CC0A43" w:rsidRDefault="001060BD" w:rsidP="004939BF">
      <w:pPr>
        <w:numPr>
          <w:ilvl w:val="0"/>
          <w:numId w:val="3"/>
        </w:numPr>
        <w:spacing w:line="360" w:lineRule="auto"/>
        <w:ind w:left="0" w:hanging="716"/>
        <w:rPr>
          <w:rFonts w:ascii="David" w:hAnsi="David"/>
          <w:b/>
          <w:bCs/>
          <w:sz w:val="28"/>
          <w:szCs w:val="28"/>
        </w:rPr>
      </w:pPr>
      <w:r w:rsidRPr="00CC0A43">
        <w:rPr>
          <w:rFonts w:ascii="David" w:hAnsi="David"/>
          <w:b/>
          <w:bCs/>
          <w:sz w:val="28"/>
          <w:szCs w:val="28"/>
          <w:rtl/>
        </w:rPr>
        <w:t>זכות ערעור כחוק.</w:t>
      </w:r>
    </w:p>
    <w:p w14:paraId="71AC9A77" w14:textId="77777777" w:rsidR="001060BD" w:rsidRPr="00CC0A43" w:rsidRDefault="001060BD" w:rsidP="004939BF">
      <w:pPr>
        <w:numPr>
          <w:ilvl w:val="0"/>
          <w:numId w:val="3"/>
        </w:numPr>
        <w:spacing w:line="360" w:lineRule="auto"/>
        <w:ind w:left="0" w:hanging="716"/>
        <w:rPr>
          <w:rFonts w:ascii="David" w:hAnsi="David"/>
          <w:b/>
          <w:bCs/>
          <w:sz w:val="28"/>
          <w:szCs w:val="28"/>
          <w:rtl/>
        </w:rPr>
      </w:pPr>
      <w:r w:rsidRPr="00CC0A43">
        <w:rPr>
          <w:rFonts w:ascii="David" w:hAnsi="David"/>
          <w:b/>
          <w:bCs/>
          <w:sz w:val="28"/>
          <w:szCs w:val="28"/>
          <w:rtl/>
        </w:rPr>
        <w:t xml:space="preserve">ניתן היום 29.12.2022 ה' טבת </w:t>
      </w:r>
      <w:proofErr w:type="spellStart"/>
      <w:r w:rsidRPr="00CC0A43">
        <w:rPr>
          <w:rFonts w:ascii="David" w:hAnsi="David"/>
          <w:b/>
          <w:bCs/>
          <w:sz w:val="28"/>
          <w:szCs w:val="28"/>
          <w:rtl/>
        </w:rPr>
        <w:t>התשפ"ג</w:t>
      </w:r>
      <w:proofErr w:type="spellEnd"/>
      <w:r w:rsidRPr="00CC0A43">
        <w:rPr>
          <w:rFonts w:ascii="David" w:hAnsi="David"/>
          <w:b/>
          <w:bCs/>
          <w:sz w:val="28"/>
          <w:szCs w:val="28"/>
          <w:rtl/>
        </w:rPr>
        <w:t>, הודע בפומבי ובמעמד הצדדים והנאשם. זכות ערעור כחוק.</w:t>
      </w:r>
    </w:p>
    <w:p w14:paraId="05AEBE4C" w14:textId="77777777" w:rsidR="001060BD" w:rsidRPr="00CC0A43" w:rsidRDefault="001060BD" w:rsidP="001060BD">
      <w:pPr>
        <w:spacing w:line="360" w:lineRule="auto"/>
        <w:rPr>
          <w:rFonts w:ascii="David" w:hAnsi="David"/>
          <w:b/>
          <w:bCs/>
          <w:sz w:val="28"/>
          <w:szCs w:val="28"/>
          <w:rtl/>
        </w:rPr>
      </w:pPr>
    </w:p>
    <w:p w14:paraId="1BC70EDA" w14:textId="77777777" w:rsidR="001060BD" w:rsidRPr="00CC0A43" w:rsidRDefault="001060BD" w:rsidP="001060BD">
      <w:pPr>
        <w:spacing w:line="360" w:lineRule="auto"/>
        <w:ind w:left="374" w:hanging="284"/>
        <w:rPr>
          <w:rFonts w:ascii="David" w:hAnsi="David"/>
          <w:sz w:val="28"/>
          <w:szCs w:val="28"/>
        </w:rPr>
      </w:pPr>
      <w:r w:rsidRPr="00CC0A43">
        <w:rPr>
          <w:rFonts w:ascii="David" w:hAnsi="David"/>
          <w:sz w:val="28"/>
          <w:szCs w:val="28"/>
          <w:rtl/>
        </w:rPr>
        <w:t>________________           ___________________        _____________________</w:t>
      </w:r>
    </w:p>
    <w:p w14:paraId="3E917F3D" w14:textId="77777777" w:rsidR="00BE0C5C" w:rsidRPr="00CC0A43" w:rsidRDefault="001060BD" w:rsidP="004939BF">
      <w:pPr>
        <w:spacing w:line="360" w:lineRule="auto"/>
        <w:ind w:left="374" w:hanging="284"/>
        <w:rPr>
          <w:rFonts w:ascii="David" w:hAnsi="David"/>
          <w:b/>
          <w:bCs/>
          <w:sz w:val="28"/>
          <w:szCs w:val="28"/>
        </w:rPr>
      </w:pPr>
      <w:r w:rsidRPr="00CC0A43">
        <w:rPr>
          <w:rFonts w:ascii="David" w:hAnsi="David"/>
          <w:b/>
          <w:bCs/>
          <w:sz w:val="28"/>
          <w:szCs w:val="28"/>
          <w:rtl/>
        </w:rPr>
        <w:t xml:space="preserve">      שופט                                                  אב"ד                                            שופט </w:t>
      </w:r>
    </w:p>
    <w:sectPr w:rsidR="00BE0C5C" w:rsidRPr="00CC0A43">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2CE4" w14:textId="77777777" w:rsidR="00CF3638" w:rsidRDefault="00CF3638" w:rsidP="00D979B0">
      <w:r>
        <w:separator/>
      </w:r>
    </w:p>
  </w:endnote>
  <w:endnote w:type="continuationSeparator" w:id="0">
    <w:p w14:paraId="4BF76449" w14:textId="77777777" w:rsidR="00CF3638" w:rsidRDefault="00CF3638" w:rsidP="00D9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4E0A" w14:textId="77777777" w:rsidR="00CF3638" w:rsidRDefault="00CF3638" w:rsidP="00D979B0">
      <w:r>
        <w:separator/>
      </w:r>
    </w:p>
  </w:footnote>
  <w:footnote w:type="continuationSeparator" w:id="0">
    <w:p w14:paraId="1185F36F" w14:textId="77777777" w:rsidR="00CF3638" w:rsidRDefault="00CF3638" w:rsidP="00D97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BC5B" w14:textId="77777777" w:rsidR="001060BD" w:rsidRDefault="001060BD" w:rsidP="00CC0A43">
    <w:pPr>
      <w:jc w:val="right"/>
      <w:rPr>
        <w:rtl/>
      </w:rPr>
    </w:pPr>
    <w:r>
      <w:rPr>
        <w:rFonts w:hint="cs"/>
        <w:rtl/>
      </w:rPr>
      <w:t>מרכז (מחוזי) 271/21</w:t>
    </w:r>
  </w:p>
  <w:p w14:paraId="71E7A18F" w14:textId="77777777" w:rsidR="001060BD" w:rsidRPr="00CC0A43" w:rsidRDefault="00CC0A43" w:rsidP="00CC0A43">
    <w:pPr>
      <w:pStyle w:val="Header"/>
      <w:jc w:val="center"/>
      <w:rPr>
        <w:b/>
        <w:bCs/>
      </w:rPr>
    </w:pPr>
    <w:r>
      <w:rPr>
        <w:rFonts w:hint="cs"/>
        <w:b/>
        <w:bCs/>
        <w:rtl/>
      </w:rPr>
      <w:t>-בלמ"ס-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35B0"/>
    <w:multiLevelType w:val="hybridMultilevel"/>
    <w:tmpl w:val="0CFA1AE0"/>
    <w:lvl w:ilvl="0" w:tplc="598251EA">
      <w:start w:val="1"/>
      <w:numFmt w:val="hebrew1"/>
      <w:lvlText w:val="%1."/>
      <w:lvlJc w:val="left"/>
      <w:pPr>
        <w:ind w:left="11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0525E5E"/>
    <w:multiLevelType w:val="hybridMultilevel"/>
    <w:tmpl w:val="00F63A96"/>
    <w:lvl w:ilvl="0" w:tplc="DA92A1BE">
      <w:start w:val="1"/>
      <w:numFmt w:val="decimal"/>
      <w:lvlText w:val="%1."/>
      <w:lvlJc w:val="left"/>
      <w:pPr>
        <w:ind w:left="644" w:hanging="360"/>
      </w:pPr>
      <w:rPr>
        <w:rFonts w:cs="David"/>
        <w:lang w:val="en-US"/>
      </w:rPr>
    </w:lvl>
    <w:lvl w:ilvl="1" w:tplc="04090019">
      <w:start w:val="1"/>
      <w:numFmt w:val="lowerLetter"/>
      <w:lvlText w:val="%2."/>
      <w:lvlJc w:val="left"/>
      <w:pPr>
        <w:ind w:left="11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CEC1D6B"/>
    <w:multiLevelType w:val="hybridMultilevel"/>
    <w:tmpl w:val="346A1DCE"/>
    <w:lvl w:ilvl="0" w:tplc="598251EA">
      <w:start w:val="1"/>
      <w:numFmt w:val="hebrew1"/>
      <w:lvlText w:val="%1."/>
      <w:lvlJc w:val="left"/>
      <w:pPr>
        <w:ind w:left="1094" w:hanging="360"/>
      </w:pPr>
      <w:rPr>
        <w:rFonts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3" w15:restartNumberingAfterBreak="0">
    <w:nsid w:val="74DB48AF"/>
    <w:multiLevelType w:val="hybridMultilevel"/>
    <w:tmpl w:val="295C3A4C"/>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41"/>
    <w:rsid w:val="001060BD"/>
    <w:rsid w:val="001A3C09"/>
    <w:rsid w:val="002D2DF6"/>
    <w:rsid w:val="004939BF"/>
    <w:rsid w:val="004F52D8"/>
    <w:rsid w:val="006F3091"/>
    <w:rsid w:val="007C75A6"/>
    <w:rsid w:val="00875A84"/>
    <w:rsid w:val="00BE0C5C"/>
    <w:rsid w:val="00CC0A43"/>
    <w:rsid w:val="00CF3638"/>
    <w:rsid w:val="00D13C34"/>
    <w:rsid w:val="00D62141"/>
    <w:rsid w:val="00D979B0"/>
    <w:rsid w:val="00EC5F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099A3"/>
  <w15:chartTrackingRefBased/>
  <w15:docId w15:val="{61F39BEB-878A-4A6F-8E06-3650DFC3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BD"/>
    <w:pPr>
      <w:bidi/>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60BD"/>
    <w:pPr>
      <w:tabs>
        <w:tab w:val="center" w:pos="4153"/>
        <w:tab w:val="right" w:pos="8306"/>
      </w:tabs>
    </w:pPr>
  </w:style>
  <w:style w:type="character" w:customStyle="1" w:styleId="HeaderChar">
    <w:name w:val="Header Char"/>
    <w:link w:val="Header"/>
    <w:rsid w:val="001060BD"/>
    <w:rPr>
      <w:rFonts w:ascii="Times New Roman" w:eastAsia="Times New Roman" w:hAnsi="Times New Roman" w:cs="David"/>
      <w:sz w:val="24"/>
      <w:szCs w:val="24"/>
    </w:rPr>
  </w:style>
  <w:style w:type="paragraph" w:styleId="BodyText">
    <w:name w:val="Body Text"/>
    <w:basedOn w:val="Normal"/>
    <w:link w:val="BodyTextChar"/>
    <w:unhideWhenUsed/>
    <w:rsid w:val="001060BD"/>
    <w:pPr>
      <w:autoSpaceDE w:val="0"/>
      <w:autoSpaceDN w:val="0"/>
      <w:spacing w:line="360" w:lineRule="auto"/>
      <w:jc w:val="left"/>
    </w:pPr>
    <w:rPr>
      <w:rFonts w:cs="Narkisim"/>
      <w:b/>
      <w:bCs/>
      <w:sz w:val="20"/>
      <w:szCs w:val="28"/>
    </w:rPr>
  </w:style>
  <w:style w:type="character" w:customStyle="1" w:styleId="BodyTextChar">
    <w:name w:val="Body Text Char"/>
    <w:link w:val="BodyText"/>
    <w:rsid w:val="001060BD"/>
    <w:rPr>
      <w:rFonts w:ascii="Times New Roman" w:eastAsia="Times New Roman" w:hAnsi="Times New Roman" w:cs="Narkisim"/>
      <w:b/>
      <w:bCs/>
      <w:sz w:val="20"/>
      <w:szCs w:val="28"/>
    </w:rPr>
  </w:style>
  <w:style w:type="paragraph" w:styleId="ListParagraph">
    <w:name w:val="List Paragraph"/>
    <w:basedOn w:val="Normal"/>
    <w:uiPriority w:val="34"/>
    <w:qFormat/>
    <w:rsid w:val="001060BD"/>
    <w:pPr>
      <w:ind w:left="720"/>
    </w:pPr>
  </w:style>
  <w:style w:type="paragraph" w:styleId="Footer">
    <w:name w:val="footer"/>
    <w:basedOn w:val="Normal"/>
    <w:link w:val="FooterChar"/>
    <w:uiPriority w:val="99"/>
    <w:unhideWhenUsed/>
    <w:rsid w:val="001060BD"/>
    <w:pPr>
      <w:tabs>
        <w:tab w:val="center" w:pos="4320"/>
        <w:tab w:val="right" w:pos="8640"/>
      </w:tabs>
    </w:pPr>
  </w:style>
  <w:style w:type="character" w:customStyle="1" w:styleId="FooterChar">
    <w:name w:val="Footer Char"/>
    <w:link w:val="Footer"/>
    <w:uiPriority w:val="99"/>
    <w:rsid w:val="001060BD"/>
    <w:rPr>
      <w:rFonts w:ascii="Times New Roman" w:eastAsia="Times New Roman" w:hAnsi="Times New Roman" w:cs="David"/>
      <w:sz w:val="24"/>
      <w:szCs w:val="24"/>
    </w:rPr>
  </w:style>
  <w:style w:type="paragraph" w:styleId="Title">
    <w:name w:val="Title"/>
    <w:basedOn w:val="Normal"/>
    <w:link w:val="TitleChar"/>
    <w:qFormat/>
    <w:rsid w:val="00CC0A43"/>
    <w:pPr>
      <w:spacing w:line="360" w:lineRule="auto"/>
      <w:jc w:val="center"/>
    </w:pPr>
    <w:rPr>
      <w:b/>
      <w:bCs/>
      <w:sz w:val="20"/>
      <w:szCs w:val="30"/>
      <w:u w:val="single"/>
    </w:rPr>
  </w:style>
  <w:style w:type="character" w:customStyle="1" w:styleId="TitleChar">
    <w:name w:val="Title Char"/>
    <w:link w:val="Title"/>
    <w:rsid w:val="00CC0A43"/>
    <w:rPr>
      <w:rFonts w:ascii="Times New Roman" w:eastAsia="Times New Roman" w:hAnsi="Times New Roman" w:cs="David"/>
      <w:b/>
      <w:bCs/>
      <w:sz w:val="20"/>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1418</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u270713@lotem.il</dc:creator>
  <cp:keywords/>
  <dc:description/>
  <cp:lastModifiedBy>יבד"ץ 205/בית דין יפו/פרליגל/אושר גימלפרב</cp:lastModifiedBy>
  <cp:revision>3</cp:revision>
  <cp:lastPrinted>2022-12-29T11:54:00Z</cp:lastPrinted>
  <dcterms:created xsi:type="dcterms:W3CDTF">2023-01-17T11:51:00Z</dcterms:created>
  <dcterms:modified xsi:type="dcterms:W3CDTF">2023-01-17T11:52:00Z</dcterms:modified>
</cp:coreProperties>
</file>