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18F9A" w14:textId="249302D9" w:rsidR="00E81710" w:rsidRPr="00E81710" w:rsidRDefault="00643D85" w:rsidP="00E81710">
      <w:bookmarkStart w:id="0" w:name="_Hlk149821736"/>
      <w:bookmarkStart w:id="1" w:name="_Hlk149824479"/>
      <w:r w:rsidRPr="00E81710">
        <w:rPr>
          <w:noProof/>
        </w:rPr>
        <w:drawing>
          <wp:anchor distT="0" distB="0" distL="114300" distR="114300" simplePos="0" relativeHeight="251659264" behindDoc="0" locked="0" layoutInCell="1" allowOverlap="1" wp14:anchorId="0B6DF179" wp14:editId="379E08D9">
            <wp:simplePos x="0" y="0"/>
            <wp:positionH relativeFrom="column">
              <wp:posOffset>3244602</wp:posOffset>
            </wp:positionH>
            <wp:positionV relativeFrom="paragraph">
              <wp:posOffset>86056</wp:posOffset>
            </wp:positionV>
            <wp:extent cx="866775" cy="790575"/>
            <wp:effectExtent l="0" t="0" r="9525" b="9525"/>
            <wp:wrapTopAndBottom/>
            <wp:docPr id="580109688" name="Picture 4"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790575"/>
                    </a:xfrm>
                    <a:prstGeom prst="rect">
                      <a:avLst/>
                    </a:prstGeom>
                    <a:solidFill>
                      <a:srgbClr val="FFCC00"/>
                    </a:solidFill>
                    <a:ln>
                      <a:noFill/>
                    </a:ln>
                  </pic:spPr>
                </pic:pic>
              </a:graphicData>
            </a:graphic>
          </wp:anchor>
        </w:drawing>
      </w:r>
      <w:r w:rsidRPr="00E81710">
        <w:rPr>
          <w:noProof/>
        </w:rPr>
        <w:drawing>
          <wp:anchor distT="0" distB="0" distL="114300" distR="114300" simplePos="0" relativeHeight="251658240" behindDoc="0" locked="0" layoutInCell="1" allowOverlap="1" wp14:anchorId="13D5740B" wp14:editId="0B1BEB1B">
            <wp:simplePos x="0" y="0"/>
            <wp:positionH relativeFrom="column">
              <wp:posOffset>2251130</wp:posOffset>
            </wp:positionH>
            <wp:positionV relativeFrom="paragraph">
              <wp:posOffset>102207</wp:posOffset>
            </wp:positionV>
            <wp:extent cx="657225" cy="790575"/>
            <wp:effectExtent l="0" t="0" r="9525" b="9525"/>
            <wp:wrapTopAndBottom/>
            <wp:docPr id="59468622" name="Picture 3"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סמל"/>
                    <pic:cNvPicPr>
                      <a:picLocks noChangeAspect="1" noChangeArrowheads="1"/>
                    </pic:cNvPicPr>
                  </pic:nvPicPr>
                  <pic:blipFill>
                    <a:blip r:embed="rId9">
                      <a:lum bright="42000" contrast="6000"/>
                      <a:grayscl/>
                      <a:extLst>
                        <a:ext uri="{28A0092B-C50C-407E-A947-70E740481C1C}">
                          <a14:useLocalDpi xmlns:a14="http://schemas.microsoft.com/office/drawing/2010/main" val="0"/>
                        </a:ext>
                      </a:extLst>
                    </a:blip>
                    <a:srcRect/>
                    <a:stretch>
                      <a:fillRect/>
                    </a:stretch>
                  </pic:blipFill>
                  <pic:spPr bwMode="auto">
                    <a:xfrm>
                      <a:off x="0" y="0"/>
                      <a:ext cx="657225" cy="790575"/>
                    </a:xfrm>
                    <a:prstGeom prst="rect">
                      <a:avLst/>
                    </a:prstGeom>
                    <a:noFill/>
                    <a:ln>
                      <a:noFill/>
                    </a:ln>
                  </pic:spPr>
                </pic:pic>
              </a:graphicData>
            </a:graphic>
          </wp:anchor>
        </w:drawing>
      </w:r>
      <w:r w:rsidR="00E81710" w:rsidRPr="00E81710">
        <w:tab/>
      </w:r>
    </w:p>
    <w:p w14:paraId="487EFD55" w14:textId="77777777" w:rsidR="00E81710" w:rsidRPr="00E81710" w:rsidRDefault="00E81710" w:rsidP="00E81710">
      <w:pPr>
        <w:jc w:val="center"/>
        <w:rPr>
          <w:rFonts w:ascii="David" w:hAnsi="David" w:cs="David"/>
          <w:b/>
          <w:bCs/>
          <w:sz w:val="32"/>
          <w:szCs w:val="32"/>
          <w:u w:val="single"/>
          <w:rtl/>
        </w:rPr>
      </w:pPr>
      <w:r w:rsidRPr="00E81710">
        <w:rPr>
          <w:rFonts w:ascii="David" w:hAnsi="David" w:cs="David"/>
          <w:b/>
          <w:bCs/>
          <w:sz w:val="28"/>
          <w:szCs w:val="28"/>
          <w:u w:val="single"/>
          <w:rtl/>
        </w:rPr>
        <w:t>בבית הדין הצבאי לערעורים</w:t>
      </w:r>
    </w:p>
    <w:p w14:paraId="4AC97F6B" w14:textId="77777777" w:rsidR="00E81710" w:rsidRPr="00E81710" w:rsidRDefault="00E81710" w:rsidP="00E81710">
      <w:pPr>
        <w:jc w:val="right"/>
        <w:rPr>
          <w:rFonts w:ascii="David" w:hAnsi="David" w:cs="David"/>
          <w:sz w:val="32"/>
          <w:szCs w:val="32"/>
        </w:rPr>
      </w:pPr>
      <w:r w:rsidRPr="00E81710">
        <w:rPr>
          <w:rFonts w:ascii="David" w:hAnsi="David" w:cs="David"/>
          <w:sz w:val="28"/>
          <w:szCs w:val="28"/>
          <w:rtl/>
        </w:rPr>
        <w:t>בפני</w:t>
      </w:r>
      <w:r w:rsidRPr="00E81710">
        <w:rPr>
          <w:rFonts w:ascii="David" w:hAnsi="David" w:cs="David"/>
          <w:sz w:val="32"/>
          <w:szCs w:val="32"/>
          <w:rtl/>
        </w:rPr>
        <w:t>:</w:t>
      </w:r>
    </w:p>
    <w:p w14:paraId="2F2A0809" w14:textId="77777777" w:rsidR="00E81710" w:rsidRPr="00D8054B" w:rsidRDefault="00E81710" w:rsidP="00E81710">
      <w:pPr>
        <w:jc w:val="center"/>
        <w:rPr>
          <w:rFonts w:ascii="David" w:hAnsi="David" w:cs="David"/>
          <w:b/>
          <w:bCs/>
          <w:sz w:val="4"/>
          <w:szCs w:val="4"/>
          <w:rtl/>
        </w:rPr>
      </w:pPr>
    </w:p>
    <w:p w14:paraId="792946B8" w14:textId="265DE6C1" w:rsidR="00E81710" w:rsidRDefault="00D8054B" w:rsidP="00D8054B">
      <w:pPr>
        <w:bidi/>
        <w:spacing w:before="120" w:after="0" w:line="480" w:lineRule="auto"/>
        <w:ind w:left="2174" w:right="2268"/>
        <w:jc w:val="both"/>
        <w:rPr>
          <w:rFonts w:cs="David"/>
          <w:sz w:val="28"/>
          <w:szCs w:val="28"/>
        </w:rPr>
      </w:pPr>
      <w:r>
        <w:rPr>
          <w:rFonts w:cs="David"/>
          <w:b/>
          <w:bCs/>
          <w:sz w:val="28"/>
          <w:szCs w:val="28"/>
        </w:rPr>
        <w:t xml:space="preserve"> </w:t>
      </w:r>
      <w:r w:rsidRPr="005E2B5F">
        <w:rPr>
          <w:rFonts w:cs="David" w:hint="cs"/>
          <w:b/>
          <w:bCs/>
          <w:sz w:val="28"/>
          <w:szCs w:val="28"/>
          <w:rtl/>
        </w:rPr>
        <w:t xml:space="preserve">אלופה אורלי </w:t>
      </w:r>
      <w:r>
        <w:rPr>
          <w:rFonts w:cs="David"/>
          <w:b/>
          <w:bCs/>
          <w:sz w:val="28"/>
          <w:szCs w:val="28"/>
        </w:rPr>
        <w:t xml:space="preserve"> </w:t>
      </w:r>
      <w:r w:rsidRPr="005E2B5F">
        <w:rPr>
          <w:rFonts w:cs="David" w:hint="cs"/>
          <w:b/>
          <w:bCs/>
          <w:sz w:val="28"/>
          <w:szCs w:val="28"/>
          <w:rtl/>
        </w:rPr>
        <w:t>מרקמן</w:t>
      </w:r>
      <w:r>
        <w:rPr>
          <w:rFonts w:cs="David"/>
          <w:b/>
          <w:bCs/>
          <w:sz w:val="28"/>
          <w:szCs w:val="28"/>
        </w:rPr>
        <w:t xml:space="preserve">  </w:t>
      </w:r>
      <w:r w:rsidRPr="00FD2DDA">
        <w:rPr>
          <w:rFonts w:ascii="David" w:hAnsi="David" w:cs="David" w:hint="cs"/>
          <w:b/>
          <w:bCs/>
          <w:sz w:val="28"/>
          <w:szCs w:val="28"/>
          <w:rtl/>
        </w:rPr>
        <w:t>–</w:t>
      </w:r>
      <w:r w:rsidRPr="005E2B5F">
        <w:rPr>
          <w:rFonts w:cs="David" w:hint="cs"/>
          <w:b/>
          <w:bCs/>
          <w:sz w:val="28"/>
          <w:szCs w:val="28"/>
          <w:rtl/>
        </w:rPr>
        <w:t xml:space="preserve">     </w:t>
      </w:r>
      <w:r w:rsidRPr="005E2B5F">
        <w:rPr>
          <w:rFonts w:cs="David" w:hint="cs"/>
          <w:sz w:val="28"/>
          <w:szCs w:val="28"/>
          <w:rtl/>
        </w:rPr>
        <w:t>הנשיאה</w:t>
      </w:r>
      <w:r w:rsidRPr="005E2B5F">
        <w:rPr>
          <w:rFonts w:cs="David"/>
          <w:sz w:val="28"/>
          <w:szCs w:val="28"/>
          <w:rtl/>
        </w:rPr>
        <w:br/>
      </w:r>
      <w:r>
        <w:rPr>
          <w:rFonts w:cs="David"/>
          <w:b/>
          <w:bCs/>
          <w:sz w:val="28"/>
          <w:szCs w:val="28"/>
        </w:rPr>
        <w:t xml:space="preserve"> </w:t>
      </w:r>
      <w:r w:rsidRPr="005E2B5F">
        <w:rPr>
          <w:rFonts w:cs="David" w:hint="cs"/>
          <w:b/>
          <w:bCs/>
          <w:sz w:val="28"/>
          <w:szCs w:val="28"/>
          <w:rtl/>
        </w:rPr>
        <w:t xml:space="preserve">תא"ל </w:t>
      </w:r>
      <w:r>
        <w:rPr>
          <w:rFonts w:cs="David" w:hint="cs"/>
          <w:b/>
          <w:bCs/>
          <w:sz w:val="28"/>
          <w:szCs w:val="28"/>
          <w:rtl/>
        </w:rPr>
        <w:t xml:space="preserve">   </w:t>
      </w:r>
      <w:r w:rsidRPr="005E2B5F">
        <w:rPr>
          <w:rFonts w:cs="David" w:hint="cs"/>
          <w:b/>
          <w:bCs/>
          <w:sz w:val="28"/>
          <w:szCs w:val="28"/>
          <w:rtl/>
        </w:rPr>
        <w:t xml:space="preserve">נועה </w:t>
      </w:r>
      <w:r>
        <w:rPr>
          <w:rFonts w:cs="David" w:hint="cs"/>
          <w:b/>
          <w:bCs/>
          <w:sz w:val="28"/>
          <w:szCs w:val="28"/>
          <w:rtl/>
        </w:rPr>
        <w:t xml:space="preserve">   </w:t>
      </w:r>
      <w:r w:rsidRPr="005E2B5F">
        <w:rPr>
          <w:rFonts w:cs="David" w:hint="cs"/>
          <w:b/>
          <w:bCs/>
          <w:sz w:val="28"/>
          <w:szCs w:val="28"/>
          <w:rtl/>
        </w:rPr>
        <w:t xml:space="preserve">זומר  </w:t>
      </w:r>
      <w:r>
        <w:rPr>
          <w:rFonts w:cs="David" w:hint="cs"/>
          <w:b/>
          <w:bCs/>
          <w:sz w:val="28"/>
          <w:szCs w:val="28"/>
          <w:rtl/>
        </w:rPr>
        <w:t xml:space="preserve"> </w:t>
      </w:r>
      <w:r>
        <w:rPr>
          <w:rFonts w:ascii="David" w:hAnsi="David" w:cs="David" w:hint="cs"/>
          <w:b/>
          <w:bCs/>
          <w:sz w:val="28"/>
          <w:szCs w:val="28"/>
          <w:rtl/>
        </w:rPr>
        <w:t xml:space="preserve"> </w:t>
      </w:r>
      <w:r w:rsidRPr="00FD2DDA">
        <w:rPr>
          <w:rFonts w:ascii="David" w:hAnsi="David" w:cs="David" w:hint="cs"/>
          <w:b/>
          <w:bCs/>
          <w:sz w:val="28"/>
          <w:szCs w:val="28"/>
          <w:rtl/>
        </w:rPr>
        <w:t>–</w:t>
      </w:r>
      <w:r>
        <w:rPr>
          <w:rFonts w:cs="David" w:hint="cs"/>
          <w:b/>
          <w:bCs/>
          <w:sz w:val="28"/>
          <w:szCs w:val="28"/>
          <w:rtl/>
        </w:rPr>
        <w:t xml:space="preserve"> </w:t>
      </w:r>
      <w:r w:rsidRPr="005E2B5F">
        <w:rPr>
          <w:rFonts w:cs="David" w:hint="cs"/>
          <w:b/>
          <w:bCs/>
          <w:sz w:val="28"/>
          <w:szCs w:val="28"/>
          <w:rtl/>
        </w:rPr>
        <w:t xml:space="preserve">  </w:t>
      </w:r>
      <w:r w:rsidRPr="005E2B5F">
        <w:rPr>
          <w:rFonts w:cs="David" w:hint="cs"/>
          <w:sz w:val="28"/>
          <w:szCs w:val="28"/>
          <w:rtl/>
        </w:rPr>
        <w:t>המשנה לנשיאה</w:t>
      </w:r>
      <w:r w:rsidRPr="005E2B5F">
        <w:rPr>
          <w:rFonts w:cs="David"/>
          <w:sz w:val="28"/>
          <w:szCs w:val="28"/>
          <w:rtl/>
        </w:rPr>
        <w:br/>
      </w:r>
      <w:r w:rsidRPr="005E2B5F">
        <w:rPr>
          <w:rFonts w:cs="David" w:hint="cs"/>
          <w:b/>
          <w:bCs/>
          <w:sz w:val="28"/>
          <w:szCs w:val="28"/>
          <w:rtl/>
        </w:rPr>
        <w:t>אל"ם</w:t>
      </w:r>
      <w:r>
        <w:rPr>
          <w:rFonts w:cs="David"/>
          <w:b/>
          <w:bCs/>
          <w:sz w:val="28"/>
          <w:szCs w:val="28"/>
        </w:rPr>
        <w:t xml:space="preserve">  </w:t>
      </w:r>
      <w:r w:rsidRPr="005E2B5F">
        <w:rPr>
          <w:rFonts w:cs="David" w:hint="cs"/>
          <w:b/>
          <w:bCs/>
          <w:sz w:val="28"/>
          <w:szCs w:val="28"/>
          <w:rtl/>
        </w:rPr>
        <w:t xml:space="preserve"> מאיה </w:t>
      </w:r>
      <w:r>
        <w:rPr>
          <w:rFonts w:cs="David"/>
          <w:b/>
          <w:bCs/>
          <w:sz w:val="28"/>
          <w:szCs w:val="28"/>
        </w:rPr>
        <w:t xml:space="preserve"> </w:t>
      </w:r>
      <w:r w:rsidRPr="005E2B5F">
        <w:rPr>
          <w:rFonts w:cs="David" w:hint="cs"/>
          <w:b/>
          <w:bCs/>
          <w:sz w:val="28"/>
          <w:szCs w:val="28"/>
          <w:rtl/>
        </w:rPr>
        <w:t>גולדשמידט</w:t>
      </w:r>
      <w:r>
        <w:rPr>
          <w:rFonts w:cs="David" w:hint="cs"/>
          <w:b/>
          <w:bCs/>
          <w:sz w:val="28"/>
          <w:szCs w:val="28"/>
          <w:rtl/>
        </w:rPr>
        <w:t xml:space="preserve"> </w:t>
      </w:r>
      <w:r>
        <w:rPr>
          <w:rFonts w:ascii="David" w:hAnsi="David" w:hint="cs"/>
          <w:rtl/>
        </w:rPr>
        <w:t xml:space="preserve">   </w:t>
      </w:r>
      <w:r>
        <w:rPr>
          <w:rFonts w:ascii="David" w:hAnsi="David" w:cs="David" w:hint="cs"/>
          <w:b/>
          <w:bCs/>
          <w:sz w:val="28"/>
          <w:szCs w:val="28"/>
          <w:rtl/>
        </w:rPr>
        <w:t xml:space="preserve">    </w:t>
      </w:r>
      <w:r w:rsidRPr="00FD2DDA">
        <w:rPr>
          <w:rFonts w:ascii="David" w:hAnsi="David" w:cs="David" w:hint="cs"/>
          <w:b/>
          <w:bCs/>
          <w:sz w:val="28"/>
          <w:szCs w:val="28"/>
          <w:rtl/>
        </w:rPr>
        <w:t>–</w:t>
      </w:r>
      <w:r>
        <w:rPr>
          <w:rFonts w:ascii="David" w:hAnsi="David" w:hint="cs"/>
          <w:rtl/>
        </w:rPr>
        <w:t xml:space="preserve">                    </w:t>
      </w:r>
      <w:r w:rsidRPr="005E2B5F">
        <w:rPr>
          <w:rFonts w:cs="David" w:hint="cs"/>
          <w:sz w:val="28"/>
          <w:szCs w:val="28"/>
          <w:rtl/>
        </w:rPr>
        <w:t>שופטת</w:t>
      </w:r>
    </w:p>
    <w:p w14:paraId="5BD757D3" w14:textId="77777777" w:rsidR="00D8054B" w:rsidRPr="00D8054B" w:rsidRDefault="00D8054B" w:rsidP="00D8054B">
      <w:pPr>
        <w:spacing w:before="120" w:after="0" w:line="480" w:lineRule="auto"/>
        <w:ind w:left="2174" w:right="2268"/>
        <w:jc w:val="both"/>
        <w:rPr>
          <w:rFonts w:cs="David"/>
          <w:sz w:val="16"/>
          <w:szCs w:val="16"/>
        </w:rPr>
      </w:pPr>
    </w:p>
    <w:p w14:paraId="74162981" w14:textId="23FB2230" w:rsidR="00E81710" w:rsidRDefault="00E81710" w:rsidP="002D0BEF">
      <w:pPr>
        <w:jc w:val="right"/>
        <w:rPr>
          <w:rFonts w:ascii="David" w:hAnsi="David" w:cs="David"/>
          <w:sz w:val="28"/>
          <w:szCs w:val="28"/>
          <w:rtl/>
        </w:rPr>
      </w:pPr>
      <w:r w:rsidRPr="00E81710">
        <w:rPr>
          <w:rFonts w:ascii="David" w:hAnsi="David" w:cs="David"/>
          <w:sz w:val="28"/>
          <w:szCs w:val="28"/>
          <w:rtl/>
        </w:rPr>
        <w:t>בעניין:</w:t>
      </w:r>
    </w:p>
    <w:p w14:paraId="1085C238" w14:textId="77777777" w:rsidR="00F9783F" w:rsidRPr="00643D85" w:rsidRDefault="00F9783F" w:rsidP="00F9783F">
      <w:pPr>
        <w:bidi/>
        <w:spacing w:line="360" w:lineRule="auto"/>
        <w:jc w:val="center"/>
        <w:rPr>
          <w:rFonts w:ascii="David" w:hAnsi="David" w:cs="David"/>
          <w:sz w:val="28"/>
          <w:szCs w:val="28"/>
          <w:rtl/>
        </w:rPr>
      </w:pPr>
      <w:r>
        <w:rPr>
          <w:rFonts w:ascii="David" w:hAnsi="David" w:cs="David"/>
          <w:b/>
          <w:bCs/>
          <w:sz w:val="28"/>
          <w:szCs w:val="28"/>
        </w:rPr>
        <w:t>X</w:t>
      </w:r>
      <w:r>
        <w:rPr>
          <w:rFonts w:ascii="David" w:hAnsi="David" w:cs="David" w:hint="cs"/>
          <w:b/>
          <w:bCs/>
          <w:sz w:val="28"/>
          <w:szCs w:val="28"/>
          <w:rtl/>
        </w:rPr>
        <w:t>/</w:t>
      </w:r>
      <w:r>
        <w:rPr>
          <w:rFonts w:ascii="David" w:hAnsi="David" w:cs="David"/>
          <w:b/>
          <w:bCs/>
          <w:sz w:val="28"/>
          <w:szCs w:val="28"/>
        </w:rPr>
        <w:t>XXXXXXX</w:t>
      </w:r>
      <w:r>
        <w:rPr>
          <w:rFonts w:ascii="David" w:hAnsi="David" w:cs="David" w:hint="cs"/>
          <w:b/>
          <w:bCs/>
          <w:sz w:val="28"/>
          <w:szCs w:val="28"/>
          <w:rtl/>
        </w:rPr>
        <w:t xml:space="preserve"> סגן (מיל') ד' א' </w:t>
      </w:r>
      <w:r w:rsidRPr="00E81710">
        <w:rPr>
          <w:rFonts w:ascii="David" w:hAnsi="David" w:cs="David"/>
          <w:b/>
          <w:bCs/>
          <w:sz w:val="28"/>
          <w:szCs w:val="28"/>
          <w:rtl/>
        </w:rPr>
        <w:t>–</w:t>
      </w:r>
      <w:r>
        <w:rPr>
          <w:rFonts w:ascii="David" w:hAnsi="David" w:cs="David" w:hint="cs"/>
          <w:b/>
          <w:bCs/>
          <w:sz w:val="28"/>
          <w:szCs w:val="28"/>
          <w:rtl/>
        </w:rPr>
        <w:t xml:space="preserve"> </w:t>
      </w:r>
      <w:r w:rsidRPr="00643D85">
        <w:rPr>
          <w:rFonts w:ascii="David" w:hAnsi="David" w:cs="David" w:hint="cs"/>
          <w:sz w:val="28"/>
          <w:szCs w:val="28"/>
          <w:rtl/>
        </w:rPr>
        <w:t>המ</w:t>
      </w:r>
      <w:r>
        <w:rPr>
          <w:rFonts w:ascii="David" w:hAnsi="David" w:cs="David" w:hint="cs"/>
          <w:sz w:val="28"/>
          <w:szCs w:val="28"/>
          <w:rtl/>
        </w:rPr>
        <w:t>ערער</w:t>
      </w:r>
      <w:r w:rsidRPr="00643D85">
        <w:rPr>
          <w:rFonts w:ascii="David" w:hAnsi="David" w:cs="David" w:hint="cs"/>
          <w:sz w:val="28"/>
          <w:szCs w:val="28"/>
          <w:rtl/>
        </w:rPr>
        <w:t xml:space="preserve"> (רס"ן ליאור </w:t>
      </w:r>
      <w:proofErr w:type="spellStart"/>
      <w:r w:rsidRPr="00643D85">
        <w:rPr>
          <w:rFonts w:ascii="David" w:hAnsi="David" w:cs="David" w:hint="cs"/>
          <w:sz w:val="28"/>
          <w:szCs w:val="28"/>
          <w:rtl/>
        </w:rPr>
        <w:t>דאייץ</w:t>
      </w:r>
      <w:proofErr w:type="spellEnd"/>
      <w:r w:rsidRPr="00643D85">
        <w:rPr>
          <w:rFonts w:ascii="David" w:hAnsi="David" w:cs="David" w:hint="cs"/>
          <w:sz w:val="28"/>
          <w:szCs w:val="28"/>
          <w:rtl/>
        </w:rPr>
        <w:t xml:space="preserve">', רס"ן (מיל') ליאור </w:t>
      </w:r>
      <w:proofErr w:type="spellStart"/>
      <w:r w:rsidRPr="00643D85">
        <w:rPr>
          <w:rFonts w:ascii="David" w:hAnsi="David" w:cs="David" w:hint="cs"/>
          <w:sz w:val="28"/>
          <w:szCs w:val="28"/>
          <w:rtl/>
        </w:rPr>
        <w:t>שטלצר</w:t>
      </w:r>
      <w:proofErr w:type="spellEnd"/>
      <w:r>
        <w:rPr>
          <w:rFonts w:ascii="David" w:hAnsi="David" w:cs="David" w:hint="cs"/>
          <w:sz w:val="28"/>
          <w:szCs w:val="28"/>
          <w:rtl/>
        </w:rPr>
        <w:t>)</w:t>
      </w:r>
    </w:p>
    <w:p w14:paraId="767886E1" w14:textId="77777777" w:rsidR="00F9783F" w:rsidRPr="00E81710" w:rsidRDefault="00F9783F" w:rsidP="00F9783F">
      <w:pPr>
        <w:spacing w:line="360" w:lineRule="auto"/>
        <w:jc w:val="center"/>
        <w:rPr>
          <w:rFonts w:ascii="David" w:hAnsi="David" w:cs="David"/>
          <w:b/>
          <w:bCs/>
          <w:sz w:val="28"/>
          <w:szCs w:val="28"/>
          <w:rtl/>
        </w:rPr>
      </w:pPr>
      <w:r w:rsidRPr="00E81710">
        <w:rPr>
          <w:rFonts w:ascii="David" w:hAnsi="David" w:cs="David"/>
          <w:b/>
          <w:bCs/>
          <w:sz w:val="28"/>
          <w:szCs w:val="28"/>
          <w:rtl/>
        </w:rPr>
        <w:t>נ ג ד</w:t>
      </w:r>
    </w:p>
    <w:p w14:paraId="08DB49D9" w14:textId="77777777" w:rsidR="00F9783F" w:rsidRDefault="00F9783F" w:rsidP="00F9783F">
      <w:pPr>
        <w:spacing w:line="360" w:lineRule="auto"/>
        <w:jc w:val="center"/>
        <w:rPr>
          <w:rFonts w:ascii="David" w:hAnsi="David" w:cs="David"/>
          <w:sz w:val="28"/>
          <w:szCs w:val="28"/>
        </w:rPr>
      </w:pPr>
      <w:r w:rsidRPr="00E81710">
        <w:rPr>
          <w:rFonts w:ascii="David" w:hAnsi="David" w:cs="David"/>
          <w:b/>
          <w:bCs/>
          <w:sz w:val="28"/>
          <w:szCs w:val="28"/>
          <w:rtl/>
        </w:rPr>
        <w:t>התובע הצבאי הראשי –</w:t>
      </w:r>
      <w:r w:rsidRPr="00E81710">
        <w:rPr>
          <w:rFonts w:ascii="David" w:hAnsi="David" w:cs="David"/>
          <w:sz w:val="28"/>
          <w:szCs w:val="28"/>
          <w:rtl/>
        </w:rPr>
        <w:t xml:space="preserve"> המ</w:t>
      </w:r>
      <w:r>
        <w:rPr>
          <w:rFonts w:ascii="David" w:hAnsi="David" w:cs="David" w:hint="cs"/>
          <w:sz w:val="28"/>
          <w:szCs w:val="28"/>
          <w:rtl/>
        </w:rPr>
        <w:t>שיב</w:t>
      </w:r>
      <w:r w:rsidRPr="00E81710">
        <w:rPr>
          <w:rFonts w:ascii="David" w:hAnsi="David" w:cs="David"/>
          <w:sz w:val="28"/>
          <w:szCs w:val="28"/>
          <w:rtl/>
        </w:rPr>
        <w:t xml:space="preserve"> (ע"י ב"כ, רס"ן אוהד מנור</w:t>
      </w:r>
      <w:r>
        <w:rPr>
          <w:rFonts w:ascii="David" w:hAnsi="David" w:cs="David" w:hint="cs"/>
          <w:sz w:val="28"/>
          <w:szCs w:val="28"/>
          <w:rtl/>
        </w:rPr>
        <w:t xml:space="preserve">, רס"ן תכלת מרדכי </w:t>
      </w:r>
      <w:proofErr w:type="spellStart"/>
      <w:r>
        <w:rPr>
          <w:rFonts w:ascii="David" w:hAnsi="David" w:cs="David" w:hint="cs"/>
          <w:sz w:val="28"/>
          <w:szCs w:val="28"/>
          <w:rtl/>
        </w:rPr>
        <w:t>פייגנסון</w:t>
      </w:r>
      <w:proofErr w:type="spellEnd"/>
      <w:r>
        <w:rPr>
          <w:rFonts w:ascii="David" w:hAnsi="David" w:cs="David" w:hint="cs"/>
          <w:sz w:val="28"/>
          <w:szCs w:val="28"/>
          <w:rtl/>
        </w:rPr>
        <w:t>, סרן הודיה אביב</w:t>
      </w:r>
      <w:r w:rsidRPr="00E81710">
        <w:rPr>
          <w:rFonts w:ascii="David" w:hAnsi="David" w:cs="David"/>
          <w:sz w:val="28"/>
          <w:szCs w:val="28"/>
          <w:rtl/>
        </w:rPr>
        <w:t>)</w:t>
      </w:r>
    </w:p>
    <w:p w14:paraId="06EE1DA9" w14:textId="77777777" w:rsidR="002D0BEF" w:rsidRPr="00D8054B" w:rsidRDefault="002D0BEF" w:rsidP="00F9783F">
      <w:pPr>
        <w:spacing w:line="360" w:lineRule="auto"/>
        <w:rPr>
          <w:rFonts w:ascii="David" w:hAnsi="David" w:cs="David"/>
          <w:sz w:val="6"/>
          <w:szCs w:val="6"/>
        </w:rPr>
      </w:pPr>
    </w:p>
    <w:p w14:paraId="52FF435E" w14:textId="5034715F" w:rsidR="00E81710" w:rsidRPr="00E81710" w:rsidRDefault="00E81710" w:rsidP="002D0BEF">
      <w:pPr>
        <w:spacing w:line="360" w:lineRule="auto"/>
        <w:jc w:val="right"/>
        <w:rPr>
          <w:rFonts w:ascii="David" w:hAnsi="David" w:cs="David"/>
          <w:sz w:val="28"/>
          <w:szCs w:val="28"/>
          <w:rtl/>
        </w:rPr>
      </w:pPr>
      <w:r w:rsidRPr="00E81710">
        <w:rPr>
          <w:rFonts w:ascii="David" w:hAnsi="David" w:cs="David"/>
          <w:sz w:val="28"/>
          <w:szCs w:val="28"/>
          <w:rtl/>
        </w:rPr>
        <w:t>ובעניין:</w:t>
      </w:r>
    </w:p>
    <w:p w14:paraId="3A7B0427" w14:textId="77777777" w:rsidR="00F9783F" w:rsidRPr="00E81710" w:rsidRDefault="00F9783F" w:rsidP="00F9783F">
      <w:pPr>
        <w:spacing w:line="360" w:lineRule="auto"/>
        <w:jc w:val="center"/>
        <w:rPr>
          <w:rFonts w:ascii="David" w:hAnsi="David" w:cs="David"/>
          <w:sz w:val="28"/>
          <w:szCs w:val="28"/>
          <w:rtl/>
        </w:rPr>
      </w:pPr>
      <w:r w:rsidRPr="00E81710">
        <w:rPr>
          <w:rFonts w:ascii="David" w:hAnsi="David" w:cs="David"/>
          <w:b/>
          <w:bCs/>
          <w:sz w:val="28"/>
          <w:szCs w:val="28"/>
          <w:rtl/>
        </w:rPr>
        <w:t>התובע הצבאי הראשי –</w:t>
      </w:r>
      <w:r w:rsidRPr="00E81710">
        <w:rPr>
          <w:rFonts w:ascii="David" w:hAnsi="David" w:cs="David"/>
          <w:sz w:val="28"/>
          <w:szCs w:val="28"/>
          <w:rtl/>
        </w:rPr>
        <w:t xml:space="preserve"> המערער (ע"י ב"כ, רס"ן אוהד מנור</w:t>
      </w:r>
      <w:r>
        <w:rPr>
          <w:rFonts w:ascii="David" w:hAnsi="David" w:cs="David" w:hint="cs"/>
          <w:sz w:val="28"/>
          <w:szCs w:val="28"/>
          <w:rtl/>
        </w:rPr>
        <w:t xml:space="preserve">, רס"ן תכלת מרדכי </w:t>
      </w:r>
      <w:proofErr w:type="spellStart"/>
      <w:r>
        <w:rPr>
          <w:rFonts w:ascii="David" w:hAnsi="David" w:cs="David" w:hint="cs"/>
          <w:sz w:val="28"/>
          <w:szCs w:val="28"/>
          <w:rtl/>
        </w:rPr>
        <w:t>פייגנסון</w:t>
      </w:r>
      <w:proofErr w:type="spellEnd"/>
      <w:r>
        <w:rPr>
          <w:rFonts w:ascii="David" w:hAnsi="David" w:cs="David" w:hint="cs"/>
          <w:sz w:val="28"/>
          <w:szCs w:val="28"/>
          <w:rtl/>
        </w:rPr>
        <w:t>, סרן הודיה אביב</w:t>
      </w:r>
      <w:r w:rsidRPr="00E81710">
        <w:rPr>
          <w:rFonts w:ascii="David" w:hAnsi="David" w:cs="David"/>
          <w:sz w:val="28"/>
          <w:szCs w:val="28"/>
          <w:rtl/>
        </w:rPr>
        <w:t>)</w:t>
      </w:r>
    </w:p>
    <w:p w14:paraId="1C5B2F13" w14:textId="77777777" w:rsidR="00F9783F" w:rsidRPr="00E81710" w:rsidRDefault="00F9783F" w:rsidP="00F9783F">
      <w:pPr>
        <w:spacing w:line="360" w:lineRule="auto"/>
        <w:jc w:val="center"/>
        <w:rPr>
          <w:rFonts w:ascii="David" w:hAnsi="David" w:cs="David"/>
          <w:b/>
          <w:bCs/>
          <w:sz w:val="28"/>
          <w:szCs w:val="28"/>
          <w:rtl/>
        </w:rPr>
      </w:pPr>
      <w:r w:rsidRPr="00E81710">
        <w:rPr>
          <w:rFonts w:ascii="David" w:hAnsi="David" w:cs="David"/>
          <w:b/>
          <w:bCs/>
          <w:sz w:val="28"/>
          <w:szCs w:val="28"/>
          <w:rtl/>
        </w:rPr>
        <w:t>נ ג ד</w:t>
      </w:r>
    </w:p>
    <w:p w14:paraId="7129BCBF" w14:textId="77777777" w:rsidR="00F9783F" w:rsidRPr="00643D85" w:rsidRDefault="00F9783F" w:rsidP="00F9783F">
      <w:pPr>
        <w:bidi/>
        <w:spacing w:line="360" w:lineRule="auto"/>
        <w:jc w:val="center"/>
        <w:rPr>
          <w:rFonts w:ascii="David" w:hAnsi="David" w:cs="David"/>
          <w:sz w:val="28"/>
          <w:szCs w:val="28"/>
          <w:rtl/>
        </w:rPr>
      </w:pPr>
      <w:r>
        <w:rPr>
          <w:rFonts w:ascii="David" w:hAnsi="David" w:cs="David"/>
          <w:b/>
          <w:bCs/>
          <w:sz w:val="28"/>
          <w:szCs w:val="28"/>
        </w:rPr>
        <w:t>X</w:t>
      </w:r>
      <w:r>
        <w:rPr>
          <w:rFonts w:ascii="David" w:hAnsi="David" w:cs="David" w:hint="cs"/>
          <w:b/>
          <w:bCs/>
          <w:sz w:val="28"/>
          <w:szCs w:val="28"/>
          <w:rtl/>
        </w:rPr>
        <w:t>/</w:t>
      </w:r>
      <w:r>
        <w:rPr>
          <w:rFonts w:ascii="David" w:hAnsi="David" w:cs="David"/>
          <w:b/>
          <w:bCs/>
          <w:sz w:val="28"/>
          <w:szCs w:val="28"/>
        </w:rPr>
        <w:t>XXXXXXX</w:t>
      </w:r>
      <w:r>
        <w:rPr>
          <w:rFonts w:ascii="David" w:hAnsi="David" w:cs="David" w:hint="cs"/>
          <w:b/>
          <w:bCs/>
          <w:sz w:val="28"/>
          <w:szCs w:val="28"/>
          <w:rtl/>
        </w:rPr>
        <w:t xml:space="preserve"> סגן (מיל') ד' א' </w:t>
      </w:r>
      <w:r w:rsidRPr="00E81710">
        <w:rPr>
          <w:rFonts w:ascii="David" w:hAnsi="David" w:cs="David"/>
          <w:b/>
          <w:bCs/>
          <w:sz w:val="28"/>
          <w:szCs w:val="28"/>
          <w:rtl/>
        </w:rPr>
        <w:t>–</w:t>
      </w:r>
      <w:r>
        <w:rPr>
          <w:rFonts w:ascii="David" w:hAnsi="David" w:cs="David" w:hint="cs"/>
          <w:b/>
          <w:bCs/>
          <w:sz w:val="28"/>
          <w:szCs w:val="28"/>
          <w:rtl/>
        </w:rPr>
        <w:t xml:space="preserve"> </w:t>
      </w:r>
      <w:r w:rsidRPr="00643D85">
        <w:rPr>
          <w:rFonts w:ascii="David" w:hAnsi="David" w:cs="David" w:hint="cs"/>
          <w:sz w:val="28"/>
          <w:szCs w:val="28"/>
          <w:rtl/>
        </w:rPr>
        <w:t xml:space="preserve">המשיב (רס"ן ליאור </w:t>
      </w:r>
      <w:proofErr w:type="spellStart"/>
      <w:r w:rsidRPr="00643D85">
        <w:rPr>
          <w:rFonts w:ascii="David" w:hAnsi="David" w:cs="David" w:hint="cs"/>
          <w:sz w:val="28"/>
          <w:szCs w:val="28"/>
          <w:rtl/>
        </w:rPr>
        <w:t>דאייץ</w:t>
      </w:r>
      <w:proofErr w:type="spellEnd"/>
      <w:r w:rsidRPr="00643D85">
        <w:rPr>
          <w:rFonts w:ascii="David" w:hAnsi="David" w:cs="David" w:hint="cs"/>
          <w:sz w:val="28"/>
          <w:szCs w:val="28"/>
          <w:rtl/>
        </w:rPr>
        <w:t xml:space="preserve">', רס"ן (מיל') ליאור </w:t>
      </w:r>
      <w:proofErr w:type="spellStart"/>
      <w:r w:rsidRPr="00643D85">
        <w:rPr>
          <w:rFonts w:ascii="David" w:hAnsi="David" w:cs="David" w:hint="cs"/>
          <w:sz w:val="28"/>
          <w:szCs w:val="28"/>
          <w:rtl/>
        </w:rPr>
        <w:t>שטלצר</w:t>
      </w:r>
      <w:proofErr w:type="spellEnd"/>
      <w:r>
        <w:rPr>
          <w:rFonts w:ascii="David" w:hAnsi="David" w:cs="David" w:hint="cs"/>
          <w:sz w:val="28"/>
          <w:szCs w:val="28"/>
          <w:rtl/>
        </w:rPr>
        <w:t>)</w:t>
      </w:r>
    </w:p>
    <w:p w14:paraId="4F47FF74" w14:textId="77777777" w:rsidR="00D8054B" w:rsidRPr="002C055C" w:rsidRDefault="00D8054B" w:rsidP="00D8054B">
      <w:pPr>
        <w:spacing w:line="360" w:lineRule="auto"/>
        <w:jc w:val="center"/>
        <w:rPr>
          <w:rFonts w:ascii="David" w:hAnsi="David" w:cs="David"/>
          <w:sz w:val="20"/>
          <w:szCs w:val="20"/>
        </w:rPr>
      </w:pPr>
    </w:p>
    <w:bookmarkEnd w:id="0"/>
    <w:bookmarkEnd w:id="1"/>
    <w:p w14:paraId="7BAA3085" w14:textId="4D783DDD" w:rsidR="00E81710" w:rsidRDefault="00E81710" w:rsidP="007559C3">
      <w:pPr>
        <w:spacing w:line="360" w:lineRule="auto"/>
        <w:jc w:val="right"/>
        <w:rPr>
          <w:rFonts w:ascii="David" w:hAnsi="David" w:cs="David"/>
          <w:sz w:val="28"/>
          <w:szCs w:val="28"/>
        </w:rPr>
      </w:pPr>
      <w:r w:rsidRPr="00E81710">
        <w:rPr>
          <w:rFonts w:ascii="David" w:hAnsi="David" w:cs="David"/>
          <w:sz w:val="28"/>
          <w:szCs w:val="28"/>
          <w:rtl/>
        </w:rPr>
        <w:t xml:space="preserve">ערעור על פסק דין של בית הדין הצבאי המחוזי במחוז שיפוטי </w:t>
      </w:r>
      <w:r w:rsidR="00643D85">
        <w:rPr>
          <w:rFonts w:ascii="David" w:hAnsi="David" w:cs="David" w:hint="cs"/>
          <w:sz w:val="28"/>
          <w:szCs w:val="28"/>
          <w:rtl/>
        </w:rPr>
        <w:t>זרוע היבשה</w:t>
      </w:r>
      <w:r w:rsidRPr="00E81710">
        <w:rPr>
          <w:rFonts w:ascii="David" w:hAnsi="David" w:cs="David"/>
          <w:sz w:val="28"/>
          <w:szCs w:val="28"/>
          <w:rtl/>
        </w:rPr>
        <w:t xml:space="preserve"> שניתן בתיק </w:t>
      </w:r>
      <w:proofErr w:type="spellStart"/>
      <w:r w:rsidR="00643D85">
        <w:rPr>
          <w:rFonts w:ascii="David" w:hAnsi="David" w:cs="David" w:hint="cs"/>
          <w:sz w:val="28"/>
          <w:szCs w:val="28"/>
          <w:rtl/>
        </w:rPr>
        <w:t>ז"י</w:t>
      </w:r>
      <w:proofErr w:type="spellEnd"/>
      <w:r w:rsidRPr="00E81710">
        <w:rPr>
          <w:rFonts w:ascii="David" w:hAnsi="David" w:cs="David"/>
          <w:sz w:val="28"/>
          <w:szCs w:val="28"/>
          <w:rtl/>
        </w:rPr>
        <w:t xml:space="preserve"> ת"פ </w:t>
      </w:r>
      <w:r w:rsidR="00643D85">
        <w:rPr>
          <w:rFonts w:ascii="David" w:hAnsi="David" w:cs="David" w:hint="cs"/>
          <w:sz w:val="28"/>
          <w:szCs w:val="28"/>
          <w:rtl/>
        </w:rPr>
        <w:t>49072-12-24</w:t>
      </w:r>
      <w:r w:rsidRPr="00E81710">
        <w:rPr>
          <w:rFonts w:ascii="David" w:hAnsi="David" w:cs="David"/>
          <w:sz w:val="28"/>
          <w:szCs w:val="28"/>
          <w:rtl/>
        </w:rPr>
        <w:t xml:space="preserve"> (</w:t>
      </w:r>
      <w:r w:rsidR="00643D85">
        <w:rPr>
          <w:rFonts w:ascii="David" w:hAnsi="David" w:cs="David" w:hint="cs"/>
          <w:sz w:val="28"/>
          <w:szCs w:val="28"/>
          <w:rtl/>
        </w:rPr>
        <w:t>סא"ל רינת לוי מוסקוביץ'</w:t>
      </w:r>
      <w:r w:rsidRPr="00E81710">
        <w:rPr>
          <w:rFonts w:ascii="David" w:hAnsi="David" w:cs="David"/>
          <w:sz w:val="28"/>
          <w:szCs w:val="28"/>
          <w:rtl/>
        </w:rPr>
        <w:t xml:space="preserve"> – אב"ד, רס"ן </w:t>
      </w:r>
      <w:r w:rsidR="00643D85">
        <w:rPr>
          <w:rFonts w:ascii="David" w:hAnsi="David" w:cs="David" w:hint="cs"/>
          <w:sz w:val="28"/>
          <w:szCs w:val="28"/>
          <w:rtl/>
        </w:rPr>
        <w:t xml:space="preserve">אור ממון </w:t>
      </w:r>
      <w:r w:rsidRPr="00E81710">
        <w:rPr>
          <w:rFonts w:ascii="David" w:hAnsi="David" w:cs="David"/>
          <w:sz w:val="28"/>
          <w:szCs w:val="28"/>
          <w:rtl/>
        </w:rPr>
        <w:t xml:space="preserve">– שופט, רס"ן </w:t>
      </w:r>
      <w:r w:rsidR="00643D85">
        <w:rPr>
          <w:rFonts w:ascii="David" w:hAnsi="David" w:cs="David" w:hint="cs"/>
          <w:sz w:val="28"/>
          <w:szCs w:val="28"/>
          <w:rtl/>
        </w:rPr>
        <w:t>קרינה יוסף חי</w:t>
      </w:r>
      <w:r w:rsidRPr="00E81710">
        <w:rPr>
          <w:rFonts w:ascii="David" w:hAnsi="David" w:cs="David"/>
          <w:sz w:val="28"/>
          <w:szCs w:val="28"/>
          <w:rtl/>
        </w:rPr>
        <w:t xml:space="preserve"> – שופט</w:t>
      </w:r>
      <w:r w:rsidR="00643D85">
        <w:rPr>
          <w:rFonts w:ascii="David" w:hAnsi="David" w:cs="David" w:hint="cs"/>
          <w:sz w:val="28"/>
          <w:szCs w:val="28"/>
          <w:rtl/>
        </w:rPr>
        <w:t>ת</w:t>
      </w:r>
      <w:r w:rsidRPr="00E81710">
        <w:rPr>
          <w:rFonts w:ascii="David" w:hAnsi="David" w:cs="David"/>
          <w:sz w:val="28"/>
          <w:szCs w:val="28"/>
          <w:rtl/>
        </w:rPr>
        <w:t xml:space="preserve">) ביום </w:t>
      </w:r>
      <w:r w:rsidR="00643D85">
        <w:rPr>
          <w:rFonts w:ascii="David" w:hAnsi="David" w:cs="David" w:hint="cs"/>
          <w:sz w:val="28"/>
          <w:szCs w:val="28"/>
          <w:rtl/>
        </w:rPr>
        <w:t>21.9.2025</w:t>
      </w:r>
      <w:r w:rsidRPr="00E81710">
        <w:rPr>
          <w:rFonts w:ascii="David" w:hAnsi="David" w:cs="David"/>
          <w:sz w:val="28"/>
          <w:szCs w:val="28"/>
          <w:rtl/>
        </w:rPr>
        <w:t>. ערעור ההגנה</w:t>
      </w:r>
      <w:r w:rsidR="00043FBC">
        <w:rPr>
          <w:rFonts w:ascii="David" w:hAnsi="David" w:cs="David" w:hint="cs"/>
          <w:sz w:val="28"/>
          <w:szCs w:val="28"/>
          <w:rtl/>
        </w:rPr>
        <w:t xml:space="preserve"> התקבל</w:t>
      </w:r>
      <w:r w:rsidRPr="00E81710">
        <w:rPr>
          <w:rFonts w:ascii="David" w:hAnsi="David" w:cs="David"/>
          <w:sz w:val="28"/>
          <w:szCs w:val="28"/>
          <w:rtl/>
        </w:rPr>
        <w:t>. ערעור התביעה</w:t>
      </w:r>
      <w:r w:rsidR="00043FBC">
        <w:rPr>
          <w:rFonts w:ascii="David" w:hAnsi="David" w:cs="David" w:hint="cs"/>
          <w:sz w:val="28"/>
          <w:szCs w:val="28"/>
          <w:rtl/>
        </w:rPr>
        <w:t xml:space="preserve"> נדחה</w:t>
      </w:r>
      <w:r w:rsidRPr="00E81710">
        <w:rPr>
          <w:rFonts w:ascii="David" w:hAnsi="David" w:cs="David"/>
          <w:sz w:val="28"/>
          <w:szCs w:val="28"/>
          <w:rtl/>
        </w:rPr>
        <w:t>.</w:t>
      </w:r>
    </w:p>
    <w:p w14:paraId="366E5BBD" w14:textId="77777777" w:rsidR="00B75346" w:rsidRDefault="00B75346" w:rsidP="007559C3">
      <w:pPr>
        <w:spacing w:line="360" w:lineRule="auto"/>
        <w:jc w:val="right"/>
        <w:rPr>
          <w:rFonts w:ascii="David" w:hAnsi="David" w:cs="David"/>
          <w:sz w:val="28"/>
          <w:szCs w:val="28"/>
        </w:rPr>
      </w:pPr>
    </w:p>
    <w:p w14:paraId="51A8AE0F" w14:textId="77777777" w:rsidR="00043FBC" w:rsidRPr="00043FBC" w:rsidRDefault="00043FBC" w:rsidP="00043FBC">
      <w:pPr>
        <w:bidi/>
        <w:spacing w:after="120" w:line="360" w:lineRule="auto"/>
        <w:jc w:val="center"/>
        <w:rPr>
          <w:rFonts w:ascii="Times New Roman" w:eastAsia="Calibri" w:hAnsi="Times New Roman" w:cs="David"/>
          <w:b/>
          <w:bCs/>
          <w:kern w:val="0"/>
          <w:szCs w:val="28"/>
          <w:u w:val="single"/>
          <w14:ligatures w14:val="none"/>
        </w:rPr>
      </w:pPr>
      <w:r w:rsidRPr="00043FBC">
        <w:rPr>
          <w:rFonts w:ascii="Times New Roman" w:eastAsia="Calibri" w:hAnsi="Times New Roman" w:cs="David"/>
          <w:b/>
          <w:bCs/>
          <w:kern w:val="0"/>
          <w:szCs w:val="28"/>
          <w:u w:val="single"/>
          <w:rtl/>
          <w14:ligatures w14:val="none"/>
        </w:rPr>
        <w:lastRenderedPageBreak/>
        <w:t>פ ס ק - ד י ן</w:t>
      </w:r>
    </w:p>
    <w:p w14:paraId="4F2A65B1"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בליל 10 בינואר 2023 בבסיס האימונים של חטיבת "כפיר" ירה טור' מ' ק' (הנפגע) בראשו בניסיון להתאבד, ופצע עצמו פציעות חמורות. קודם לכן הורתה קצינת בריאות הנפש היחידתית לפקח על הנפגע ב"נוהל השגחה" מחשש לחייו. בשל כך, נדרשו מפקדיו לוודא שבכל עת ישגיחו עליו שני מפקדים ללא נשק, לצד מגבלות נוספות. הנוהל לא נשמר בקפידה ראויה, ומכאן כתב האישום מושא הערעורים שלפנינו.</w:t>
      </w:r>
    </w:p>
    <w:p w14:paraId="288C205A" w14:textId="194B63F9"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התביעה ייחסה לשלושה מפקדים של הנפגע, בשלושה כתבי אישום </w:t>
      </w:r>
      <w:r w:rsidRPr="00043FBC">
        <w:rPr>
          <w:rFonts w:ascii="Times New Roman" w:eastAsia="Calibri" w:hAnsi="Times New Roman" w:cs="David"/>
          <w:b/>
          <w:bCs/>
          <w:kern w:val="0"/>
          <w:szCs w:val="28"/>
          <w:rtl/>
          <w14:ligatures w14:val="none"/>
        </w:rPr>
        <w:t>נפרדים</w:t>
      </w:r>
      <w:r w:rsidRPr="00043FBC">
        <w:rPr>
          <w:rFonts w:ascii="Times New Roman" w:eastAsia="Calibri" w:hAnsi="Times New Roman" w:cs="David"/>
          <w:kern w:val="0"/>
          <w:szCs w:val="28"/>
          <w:rtl/>
          <w14:ligatures w14:val="none"/>
        </w:rPr>
        <w:t>, אחריות ברשלנות לתוצאה הקשה: לסגן מפקד הפלוגה (סגן תומר); ל</w:t>
      </w:r>
      <w:r w:rsidRPr="00043FBC">
        <w:rPr>
          <w:rFonts w:ascii="Times New Roman" w:eastAsia="Calibri" w:hAnsi="Times New Roman" w:cs="David"/>
          <w:b/>
          <w:bCs/>
          <w:kern w:val="0"/>
          <w:szCs w:val="28"/>
          <w:rtl/>
          <w14:ligatures w14:val="none"/>
        </w:rPr>
        <w:t>מערער</w:t>
      </w:r>
      <w:r w:rsidRPr="00043FBC">
        <w:rPr>
          <w:rFonts w:ascii="Times New Roman" w:eastAsia="Calibri" w:hAnsi="Times New Roman" w:cs="David"/>
          <w:kern w:val="0"/>
          <w:szCs w:val="28"/>
          <w:rtl/>
          <w14:ligatures w14:val="none"/>
        </w:rPr>
        <w:t>, מפקד המחלקה, סגן ד</w:t>
      </w:r>
      <w:r w:rsidR="00F9783F">
        <w:rPr>
          <w:rFonts w:ascii="Times New Roman" w:eastAsia="Calibri" w:hAnsi="Times New Roman" w:cs="David" w:hint="cs"/>
          <w:kern w:val="0"/>
          <w:szCs w:val="28"/>
          <w:rtl/>
          <w14:ligatures w14:val="none"/>
        </w:rPr>
        <w:t>'</w:t>
      </w:r>
      <w:r w:rsidRPr="00043FBC">
        <w:rPr>
          <w:rFonts w:ascii="Times New Roman" w:eastAsia="Calibri" w:hAnsi="Times New Roman" w:cs="David"/>
          <w:kern w:val="0"/>
          <w:szCs w:val="28"/>
          <w:rtl/>
          <w14:ligatures w14:val="none"/>
        </w:rPr>
        <w:t xml:space="preserve"> א</w:t>
      </w:r>
      <w:r w:rsidR="00F9783F">
        <w:rPr>
          <w:rFonts w:ascii="Times New Roman" w:eastAsia="Calibri" w:hAnsi="Times New Roman" w:cs="David" w:hint="cs"/>
          <w:kern w:val="0"/>
          <w:szCs w:val="28"/>
          <w:rtl/>
          <w14:ligatures w14:val="none"/>
        </w:rPr>
        <w:t>'</w:t>
      </w:r>
      <w:r w:rsidRPr="00043FBC">
        <w:rPr>
          <w:rFonts w:ascii="Times New Roman" w:eastAsia="Calibri" w:hAnsi="Times New Roman" w:cs="David"/>
          <w:kern w:val="0"/>
          <w:szCs w:val="28"/>
          <w:rtl/>
          <w14:ligatures w14:val="none"/>
        </w:rPr>
        <w:t xml:space="preserve"> (סג"ם בעת האירוע); ולמפקד הכיתה, ששימש משגיח במועד הירי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כל אחד מהם עמד לדין בעבירת חבלה ברשלנות, לפי סעיף 341 לחוק העונשין, התשל"ז-1977. לפנינו עניינו של המערער. ערעורים על הרשעתם ועונשיהם של סגן תומר וסמל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תלויים ועומדים.</w:t>
      </w:r>
    </w:p>
    <w:p w14:paraId="22C1E980"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בית הדין המחוזי מצא שהוכחו יסודות העבירה, נוכח רשלנות של המערער וקשר סיבתי לתוצאה, אולם החליט שבנסיבות העניין מן הצדק להמיר את סעיף האישום לעבירת התרשלות, לפי סעיף 124 רישה לחוק השיפוט הצבאי, התשט"ו-1955, שהרשעה בו אינה נושאת רישום פלילי. על המערער נגזרו 60 ימי מאסר מותנה ו-1,000 ש"ח פיצויים לנפגע, לצד המלצה למפקדיו לשקול לעכב בשנה נוספת את קידומו בדרגה.</w:t>
      </w:r>
    </w:p>
    <w:p w14:paraId="04278DF3" w14:textId="77777777" w:rsidR="00043FBC" w:rsidRPr="00043FBC" w:rsidRDefault="00043FBC" w:rsidP="00043FBC">
      <w:pPr>
        <w:numPr>
          <w:ilvl w:val="0"/>
          <w:numId w:val="1"/>
        </w:numPr>
        <w:bidi/>
        <w:spacing w:after="120" w:line="360" w:lineRule="auto"/>
        <w:jc w:val="both"/>
        <w:rPr>
          <w:rFonts w:ascii="Times New Roman" w:eastAsia="Calibri" w:hAnsi="Times New Roman" w:cs="David"/>
          <w:b/>
          <w:bCs/>
          <w:kern w:val="0"/>
          <w:szCs w:val="28"/>
          <w14:ligatures w14:val="none"/>
        </w:rPr>
      </w:pPr>
      <w:r w:rsidRPr="00043FBC">
        <w:rPr>
          <w:rFonts w:ascii="Times New Roman" w:eastAsia="Calibri" w:hAnsi="Times New Roman" w:cs="David"/>
          <w:kern w:val="0"/>
          <w:szCs w:val="28"/>
          <w:rtl/>
          <w14:ligatures w14:val="none"/>
        </w:rPr>
        <w:t xml:space="preserve">לפנינו ערעורים מצד שני הצדדים, הן על הכרעת הדין הן על גזר הדין. המערער מבקש לזכותו כליל, ולחלופין להקל בעונשו. מנגד, התביעה הצבאית עותרת להרשיע אותו בעבירה שהואשם בה, ובכל מקרה להחמיר בעונשו. </w:t>
      </w:r>
    </w:p>
    <w:p w14:paraId="7C7D4A76" w14:textId="77777777" w:rsidR="00043FBC" w:rsidRPr="00043FBC" w:rsidRDefault="00043FBC" w:rsidP="00043FBC">
      <w:pPr>
        <w:numPr>
          <w:ilvl w:val="0"/>
          <w:numId w:val="1"/>
        </w:numPr>
        <w:bidi/>
        <w:spacing w:after="120" w:line="360" w:lineRule="auto"/>
        <w:jc w:val="both"/>
        <w:rPr>
          <w:rFonts w:ascii="Times New Roman" w:eastAsia="Calibri" w:hAnsi="Times New Roman" w:cs="David"/>
          <w:b/>
          <w:bCs/>
          <w:kern w:val="0"/>
          <w:szCs w:val="28"/>
          <w14:ligatures w14:val="none"/>
        </w:rPr>
      </w:pPr>
      <w:r w:rsidRPr="00043FBC">
        <w:rPr>
          <w:rFonts w:ascii="Times New Roman" w:eastAsia="Calibri" w:hAnsi="Times New Roman" w:cs="David"/>
          <w:kern w:val="0"/>
          <w:szCs w:val="28"/>
          <w:rtl/>
          <w14:ligatures w14:val="none"/>
        </w:rPr>
        <w:t xml:space="preserve">נבהיר כבר עתה כי לאחר בחינת מכלול הדברים </w:t>
      </w:r>
      <w:r w:rsidRPr="00043FBC">
        <w:rPr>
          <w:rFonts w:ascii="Times New Roman" w:eastAsia="Calibri" w:hAnsi="Times New Roman" w:cs="David"/>
          <w:b/>
          <w:bCs/>
          <w:kern w:val="0"/>
          <w:szCs w:val="28"/>
          <w:rtl/>
          <w14:ligatures w14:val="none"/>
        </w:rPr>
        <w:t>מצאנו לקבל את ערעור ההגנה על הכרעת הדין ולהורות על זיכויו של המערער מאשמה</w:t>
      </w:r>
      <w:r w:rsidRPr="00043FBC">
        <w:rPr>
          <w:rFonts w:ascii="Times New Roman" w:eastAsia="Calibri" w:hAnsi="Times New Roman" w:cs="David"/>
          <w:kern w:val="0"/>
          <w:szCs w:val="28"/>
          <w:rtl/>
          <w14:ligatures w14:val="none"/>
        </w:rPr>
        <w:t>. להלן נפרט את נימוקינו.</w:t>
      </w:r>
    </w:p>
    <w:p w14:paraId="6D9E90FE" w14:textId="77777777" w:rsidR="00043FBC" w:rsidRPr="00043FBC" w:rsidRDefault="00043FBC" w:rsidP="00043FBC">
      <w:pPr>
        <w:keepNext/>
        <w:bidi/>
        <w:spacing w:before="360" w:after="120" w:line="360" w:lineRule="auto"/>
        <w:outlineLvl w:val="1"/>
        <w:rPr>
          <w:rFonts w:ascii="Times New Roman" w:eastAsia="Times New Roman" w:hAnsi="Times New Roman" w:cs="David"/>
          <w:b/>
          <w:bCs/>
          <w:kern w:val="0"/>
          <w:sz w:val="28"/>
          <w:szCs w:val="28"/>
          <w:u w:val="single"/>
          <w:rtl/>
          <w14:ligatures w14:val="none"/>
        </w:rPr>
      </w:pPr>
      <w:r w:rsidRPr="00043FBC">
        <w:rPr>
          <w:rFonts w:ascii="Times New Roman" w:eastAsia="Times New Roman" w:hAnsi="Times New Roman" w:cs="David"/>
          <w:b/>
          <w:bCs/>
          <w:kern w:val="0"/>
          <w:sz w:val="28"/>
          <w:szCs w:val="28"/>
          <w:u w:val="single"/>
          <w:rtl/>
          <w14:ligatures w14:val="none"/>
        </w:rPr>
        <w:t>הכרעת דינו של בית הדין קמא</w:t>
      </w:r>
    </w:p>
    <w:p w14:paraId="772D517D" w14:textId="77777777" w:rsidR="00043FBC" w:rsidRPr="00043FBC" w:rsidRDefault="00043FBC" w:rsidP="00BC4E53">
      <w:pPr>
        <w:keepNext/>
        <w:bidi/>
        <w:spacing w:before="360" w:after="0" w:line="360" w:lineRule="auto"/>
        <w:outlineLvl w:val="2"/>
        <w:rPr>
          <w:rFonts w:ascii="Times New Roman" w:eastAsia="Times New Roman" w:hAnsi="Times New Roman" w:cs="David"/>
          <w:kern w:val="0"/>
          <w:sz w:val="28"/>
          <w:szCs w:val="28"/>
          <w:u w:val="single"/>
          <w14:ligatures w14:val="none"/>
        </w:rPr>
      </w:pPr>
      <w:r w:rsidRPr="00043FBC">
        <w:rPr>
          <w:rFonts w:ascii="Times New Roman" w:eastAsia="Times New Roman" w:hAnsi="Times New Roman" w:cs="David"/>
          <w:kern w:val="0"/>
          <w:sz w:val="28"/>
          <w:szCs w:val="28"/>
          <w:u w:val="single"/>
          <w:rtl/>
          <w14:ligatures w14:val="none"/>
        </w:rPr>
        <w:t>התשתית העובדתית</w:t>
      </w:r>
    </w:p>
    <w:p w14:paraId="209C13EF"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בפרשת התביעה הוגש בהסכמה כל חומר הראיות מטעמה (תיק החקירה). בפרשת ההגנה העיד המערער בלבד. בית הדין קמא ציין, מבלי להרחיב, כי עדות המערער הייתה מהימנה בעיניו (פסקאות 106 ו-112 להכרעת הדין). נפרט להלן את העובדות הדרושות לעניין, </w:t>
      </w:r>
      <w:r w:rsidRPr="00043FBC">
        <w:rPr>
          <w:rFonts w:ascii="Times New Roman" w:eastAsia="Calibri" w:hAnsi="Times New Roman" w:cs="David"/>
          <w:b/>
          <w:bCs/>
          <w:kern w:val="0"/>
          <w:szCs w:val="28"/>
          <w:rtl/>
          <w14:ligatures w14:val="none"/>
        </w:rPr>
        <w:t>כפי שנקבעו בהכרעת הדין</w:t>
      </w:r>
      <w:r w:rsidRPr="00043FBC">
        <w:rPr>
          <w:rFonts w:ascii="Times New Roman" w:eastAsia="Calibri" w:hAnsi="Times New Roman" w:cs="David"/>
          <w:kern w:val="0"/>
          <w:szCs w:val="28"/>
          <w:rtl/>
          <w14:ligatures w14:val="none"/>
        </w:rPr>
        <w:t xml:space="preserve">. </w:t>
      </w:r>
    </w:p>
    <w:p w14:paraId="1EB5847A"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הנפגע שירת בתפקיד לוחם ביחידה (במסלול ההכשרה). כאמור, מפקד הכיתה שלו היה סמל שלֵו, מפקד המחלקה – המערער וסגן מפקד הפלוגה – סגן תומר. מפקד הפלוגה (המ"פ) היה סרן אורי. </w:t>
      </w:r>
      <w:r w:rsidRPr="00043FBC">
        <w:rPr>
          <w:rFonts w:ascii="Times New Roman" w:eastAsia="Calibri" w:hAnsi="Times New Roman" w:cs="David"/>
          <w:kern w:val="0"/>
          <w:szCs w:val="28"/>
          <w:rtl/>
          <w14:ligatures w14:val="none"/>
        </w:rPr>
        <w:lastRenderedPageBreak/>
        <w:t>לענייננו נזכיר גם את מפקד המחזור, רס"ן נתן; את הקב"נית, סרן גילי; ואת סמל רומן, מפקד כיתה נוסף בפלוגה.</w:t>
      </w:r>
    </w:p>
    <w:p w14:paraId="34A80F31"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ב-4 בינואר 2023 דיווח סמל שלֵו למערער ולסגן תומר כי הנפגע מסר לו שפסיכיאטר אבחן אצלו בעבר, טרם גיוסו, מאניה דפרסיה, ושהוא (הנפגע) נוטל בקביעות כדורים פסיכיאטריים. ביום שישי, 6 בינואר 2023, יצא הנפגע לחופשת סוף שבוע בביתו, והיה אמור לשוב ממנה בבוקר יום ראשון. ביום ראשון, 8 בינואר 2023, שוחח הנפגע עם סמל שלֵו וביקש להישאר בבית במשך כמה ימים מפני שאינו חש בטוב. לאחר אותה שיחה לא הצליחו המפקדים ליצור עימו קשר. המערער התייעץ עם הקב"נית, סרן גילי, וביקש אישור ממפקדיו לבקר בעצמו את הנפגע. הם סירבו, אולם סרן אורי וסגן תומר הורו לסמל שלֵו ולסמל רומן לנסוע לביתו של הנפגע ולקחת אותו לבדיקה פסיכיאטרית. השניים הגיעו לשם ביום שני, 9 בינואר 2023 ומצאו את הנפגע ספון בחדרו ולצידו כדורים וחומר שנראה כמו סם מסוכן. סרן גילי הורתה להפעיל "נוהל השגחה" כלפי הנפגע וללוותו להסתכלות פסיכיאטרית במחלקת מיון. שם אובחנו אצלו תסמיני דיכאון ומחשבות אובדניות, והומלץ להרחיקו מכלי נשק. לצד זאת, נקבע שאין נשקפת ממנו סכנה קונקרטית לעצמו. סרן גילי הורתה להמשיך לקיים את "נוהל ההשגחה".</w:t>
      </w:r>
    </w:p>
    <w:p w14:paraId="2E5BA098" w14:textId="77777777" w:rsidR="00043FBC" w:rsidRPr="00043FBC" w:rsidRDefault="00043FBC" w:rsidP="00BF2BE0">
      <w:pPr>
        <w:numPr>
          <w:ilvl w:val="0"/>
          <w:numId w:val="1"/>
        </w:numPr>
        <w:bidi/>
        <w:spacing w:after="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להשלמת התמונה בחלק זה של הדיון נציין כי "נוהל השגחה" מוסדר בפקודת מטכ"ל 33.0219 "טיפול בחייל הנמצא במצוקה נפשית" (26.9.2017), וכך קובעים סעיפים 7–9 בה:</w:t>
      </w:r>
    </w:p>
    <w:p w14:paraId="0C2CC03D" w14:textId="77777777" w:rsidR="00043FBC" w:rsidRPr="00043FBC" w:rsidRDefault="00043FBC" w:rsidP="00043FBC">
      <w:pPr>
        <w:bidi/>
        <w:spacing w:before="180" w:after="120" w:line="240" w:lineRule="auto"/>
        <w:ind w:left="1531" w:right="1138" w:hanging="403"/>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"7.</w:t>
      </w:r>
      <w:r w:rsidRPr="00043FBC">
        <w:rPr>
          <w:rFonts w:ascii="Times New Roman" w:eastAsia="Calibri" w:hAnsi="Times New Roman" w:cs="David"/>
          <w:kern w:val="0"/>
          <w:szCs w:val="28"/>
          <w:rtl/>
          <w14:ligatures w14:val="none"/>
        </w:rPr>
        <w:tab/>
        <w:t>אם סבור המפקד שהחייל עלול לנסות לפגוע בעצמו או שהחייל כבר ניסה לעשות כן, יפעל המפקד, בנוסף לאמור לעיל כמפורט להלן:</w:t>
      </w:r>
    </w:p>
    <w:p w14:paraId="2BD78F8C" w14:textId="77777777" w:rsidR="00043FBC" w:rsidRPr="00043FBC" w:rsidRDefault="00043FBC" w:rsidP="00043FBC">
      <w:pPr>
        <w:bidi/>
        <w:spacing w:before="180" w:after="120" w:line="240" w:lineRule="auto"/>
        <w:ind w:left="1928" w:right="1138" w:hanging="403"/>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א.</w:t>
      </w:r>
      <w:r w:rsidRPr="00043FBC">
        <w:rPr>
          <w:rFonts w:ascii="Times New Roman" w:eastAsia="Calibri" w:hAnsi="Times New Roman" w:cs="David"/>
          <w:kern w:val="0"/>
          <w:szCs w:val="28"/>
          <w:rtl/>
          <w14:ligatures w14:val="none"/>
        </w:rPr>
        <w:tab/>
        <w:t>המפקד ימנע מהחייל כל גישה לנשק; לשם כך, ימנה המפקד שני חיילים שמתפקידם להשגיח על החייל, לבל יפגע בעצמו או באחרים (להלן: "המשגיחים"). אם על המשגיחים לשאת נשק בתוקף תפקידם, הם יישאו את הנשק בלי מחסניות, ואת המחסניות יישאו בכיסם.</w:t>
      </w:r>
    </w:p>
    <w:p w14:paraId="07AAA7DC" w14:textId="77777777" w:rsidR="00043FBC" w:rsidRPr="00043FBC" w:rsidRDefault="00043FBC" w:rsidP="00043FBC">
      <w:pPr>
        <w:bidi/>
        <w:spacing w:before="180" w:after="120" w:line="240" w:lineRule="auto"/>
        <w:ind w:left="1928" w:right="1138" w:hanging="403"/>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ב.</w:t>
      </w:r>
      <w:r w:rsidRPr="00043FBC">
        <w:rPr>
          <w:rFonts w:ascii="Times New Roman" w:eastAsia="Calibri" w:hAnsi="Times New Roman" w:cs="David"/>
          <w:kern w:val="0"/>
          <w:szCs w:val="28"/>
          <w:rtl/>
          <w14:ligatures w14:val="none"/>
        </w:rPr>
        <w:tab/>
        <w:t>מעמד המשגיחים – אם תנאי היחידה מאפשרים זאת, יהיו המשגיחים קצינים או חוגרים בשירות קבע. אם תנאי היחידה אינם מאפשרים זאת, יהיו המשגיחים חיילים בשירות חובה.</w:t>
      </w:r>
    </w:p>
    <w:p w14:paraId="38F646AA" w14:textId="77777777" w:rsidR="00043FBC" w:rsidRPr="00043FBC" w:rsidRDefault="00043FBC" w:rsidP="00043FBC">
      <w:pPr>
        <w:bidi/>
        <w:spacing w:before="180" w:after="120" w:line="240" w:lineRule="auto"/>
        <w:ind w:left="1928" w:right="1138" w:hanging="403"/>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ג.</w:t>
      </w:r>
      <w:r w:rsidRPr="00043FBC">
        <w:rPr>
          <w:rFonts w:ascii="Times New Roman" w:eastAsia="Calibri" w:hAnsi="Times New Roman" w:cs="David"/>
          <w:kern w:val="0"/>
          <w:szCs w:val="28"/>
          <w:rtl/>
          <w14:ligatures w14:val="none"/>
        </w:rPr>
        <w:tab/>
        <w:t>דרגת המשגיחים – ככלל, תהיה דרגת המשגיחים כדרגת החייל, לפחות. אם אין בנמצא חיילים שדרגתם כדרגת החייל, לפחות, והמפקד סבור שהחיילים אחרים מסוגלים לבצע את התפקיד, ימנה המפקד משגיחים שדרגתם נמוכה מדרגת החייל, שמסוגלים, לפי דעתו, לבצע את התפקיד.</w:t>
      </w:r>
    </w:p>
    <w:p w14:paraId="5B01B3E2" w14:textId="77777777" w:rsidR="00043FBC" w:rsidRPr="00043FBC" w:rsidRDefault="00043FBC" w:rsidP="00043FBC">
      <w:pPr>
        <w:bidi/>
        <w:spacing w:before="180" w:after="120" w:line="240" w:lineRule="auto"/>
        <w:ind w:left="1928" w:right="1138" w:hanging="403"/>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ד.</w:t>
      </w:r>
      <w:r w:rsidRPr="00043FBC">
        <w:rPr>
          <w:rFonts w:ascii="Times New Roman" w:eastAsia="Calibri" w:hAnsi="Times New Roman" w:cs="David"/>
          <w:kern w:val="0"/>
          <w:szCs w:val="28"/>
          <w:rtl/>
          <w14:ligatures w14:val="none"/>
        </w:rPr>
        <w:tab/>
        <w:t xml:space="preserve">החייל יהיה תחת השגחת המשגיחים, בנפרד משאר חיילי היחידה, במקום שיש בו תנאי מנוחה הולמים. יש להביא את החייל לבדיקת גורם רפואי או גורם </w:t>
      </w:r>
      <w:proofErr w:type="spellStart"/>
      <w:r w:rsidRPr="00043FBC">
        <w:rPr>
          <w:rFonts w:ascii="Times New Roman" w:eastAsia="Calibri" w:hAnsi="Times New Roman" w:cs="David"/>
          <w:kern w:val="0"/>
          <w:szCs w:val="28"/>
          <w:rtl/>
          <w14:ligatures w14:val="none"/>
        </w:rPr>
        <w:t>ברה"ן</w:t>
      </w:r>
      <w:proofErr w:type="spellEnd"/>
      <w:r w:rsidRPr="00043FBC">
        <w:rPr>
          <w:rFonts w:ascii="Times New Roman" w:eastAsia="Calibri" w:hAnsi="Times New Roman" w:cs="David"/>
          <w:kern w:val="0"/>
          <w:szCs w:val="28"/>
          <w:rtl/>
          <w14:ligatures w14:val="none"/>
        </w:rPr>
        <w:t xml:space="preserve"> (להלן: 'הגורם הבודק'), שיטפלו בחייל בהתאם לשיקוליהם המקצועיים. ההשגחה כאמור, לא תוסר מהחייל עד להבאתו בפני גורם רפואי או בפני גורם </w:t>
      </w:r>
      <w:proofErr w:type="spellStart"/>
      <w:r w:rsidRPr="00043FBC">
        <w:rPr>
          <w:rFonts w:ascii="Times New Roman" w:eastAsia="Calibri" w:hAnsi="Times New Roman" w:cs="David"/>
          <w:kern w:val="0"/>
          <w:szCs w:val="28"/>
          <w:rtl/>
          <w14:ligatures w14:val="none"/>
        </w:rPr>
        <w:t>ברה"ן</w:t>
      </w:r>
      <w:proofErr w:type="spellEnd"/>
      <w:r w:rsidRPr="00043FBC">
        <w:rPr>
          <w:rFonts w:ascii="Times New Roman" w:eastAsia="Calibri" w:hAnsi="Times New Roman" w:cs="David"/>
          <w:kern w:val="0"/>
          <w:szCs w:val="28"/>
          <w:rtl/>
          <w14:ligatures w14:val="none"/>
        </w:rPr>
        <w:t xml:space="preserve"> שיחליטו לגבי המשך ההשגחה על החייל.</w:t>
      </w:r>
    </w:p>
    <w:p w14:paraId="6B5ED3EB" w14:textId="77777777" w:rsidR="00043FBC" w:rsidRPr="00043FBC" w:rsidRDefault="00043FBC" w:rsidP="00043FBC">
      <w:pPr>
        <w:bidi/>
        <w:spacing w:before="180" w:after="120" w:line="240" w:lineRule="auto"/>
        <w:ind w:left="1928" w:right="1138" w:hanging="403"/>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lastRenderedPageBreak/>
        <w:t>ה.</w:t>
      </w:r>
      <w:r w:rsidRPr="00043FBC">
        <w:rPr>
          <w:rFonts w:ascii="Times New Roman" w:eastAsia="Calibri" w:hAnsi="Times New Roman" w:cs="David"/>
          <w:kern w:val="0"/>
          <w:szCs w:val="28"/>
          <w:rtl/>
          <w14:ligatures w14:val="none"/>
        </w:rPr>
        <w:tab/>
        <w:t>הנשק יוחזר לחייל על-פי החלטת מפקד בדרגת סא"ל, לפחות, ולאחר קבלת חוות דעת כתובה מגורם בריאות הנפש, הקובעת, כי אין מניעה לאפשר לחייל גישה לנשק.</w:t>
      </w:r>
    </w:p>
    <w:p w14:paraId="2FF4D103" w14:textId="77777777" w:rsidR="00043FBC" w:rsidRPr="00043FBC" w:rsidRDefault="00043FBC" w:rsidP="00043FBC">
      <w:pPr>
        <w:bidi/>
        <w:spacing w:before="180" w:after="120" w:line="240" w:lineRule="auto"/>
        <w:ind w:left="1531" w:right="1138" w:hanging="403"/>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8.</w:t>
      </w:r>
      <w:r w:rsidRPr="00043FBC">
        <w:rPr>
          <w:rFonts w:ascii="Times New Roman" w:eastAsia="Calibri" w:hAnsi="Times New Roman" w:cs="David"/>
          <w:kern w:val="0"/>
          <w:szCs w:val="28"/>
          <w:rtl/>
          <w14:ligatures w14:val="none"/>
        </w:rPr>
        <w:tab/>
        <w:t>אם החליט הגורם הבודק שיש צורך גם באבחון פסיכיאטרי, יובא החייל בפני פסיכיאטר, בהתאם ללוחות הזמנים שקבע הגורם הבודק. אם ראה הגורם הבודק צורך בכך, תימשך ההשגחה על החייל עד להבאתו לפסיכיאטר. הטיפול בחייל וההשגחה עליו ימשיכו בהתאם להוראות הפסיכיאטר.</w:t>
      </w:r>
    </w:p>
    <w:p w14:paraId="5E0336A1" w14:textId="77777777" w:rsidR="00043FBC" w:rsidRDefault="00043FBC" w:rsidP="00043FBC">
      <w:pPr>
        <w:bidi/>
        <w:spacing w:before="180" w:after="120" w:line="240" w:lineRule="auto"/>
        <w:ind w:left="1531" w:right="1138" w:hanging="403"/>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9.</w:t>
      </w:r>
      <w:r w:rsidRPr="00043FBC">
        <w:rPr>
          <w:rFonts w:ascii="Times New Roman" w:eastAsia="Calibri" w:hAnsi="Times New Roman" w:cs="David"/>
          <w:kern w:val="0"/>
          <w:szCs w:val="28"/>
          <w:rtl/>
          <w14:ligatures w14:val="none"/>
        </w:rPr>
        <w:tab/>
        <w:t xml:space="preserve">המשגיחים על החייל, כאמור בפקודה זו, יוחלפו בתורנות, כאילו הייתה זו שמירה, בהתאם לשעות השמירה המותרות, כמפורט </w:t>
      </w:r>
      <w:proofErr w:type="spellStart"/>
      <w:r w:rsidRPr="00043FBC">
        <w:rPr>
          <w:rFonts w:ascii="Times New Roman" w:eastAsia="Calibri" w:hAnsi="Times New Roman" w:cs="David"/>
          <w:kern w:val="0"/>
          <w:szCs w:val="28"/>
          <w:rtl/>
          <w14:ligatures w14:val="none"/>
        </w:rPr>
        <w:t>בפ"מ</w:t>
      </w:r>
      <w:proofErr w:type="spellEnd"/>
      <w:r w:rsidRPr="00043FBC">
        <w:rPr>
          <w:rFonts w:ascii="Times New Roman" w:eastAsia="Calibri" w:hAnsi="Times New Roman" w:cs="David"/>
          <w:kern w:val="0"/>
          <w:szCs w:val="28"/>
          <w:rtl/>
          <w14:ligatures w14:val="none"/>
        </w:rPr>
        <w:t xml:space="preserve"> 33.0213 'שעות שינה ומנוחה של חיילים'".</w:t>
      </w:r>
    </w:p>
    <w:p w14:paraId="4DC16A35" w14:textId="77777777" w:rsidR="00F9783F" w:rsidRPr="00BF2BE0" w:rsidRDefault="00F9783F" w:rsidP="00F9783F">
      <w:pPr>
        <w:bidi/>
        <w:spacing w:before="180" w:after="120" w:line="240" w:lineRule="auto"/>
        <w:ind w:left="1531" w:right="1138" w:hanging="403"/>
        <w:contextualSpacing/>
        <w:jc w:val="both"/>
        <w:rPr>
          <w:rFonts w:ascii="Times New Roman" w:eastAsia="Calibri" w:hAnsi="Times New Roman" w:cs="David"/>
          <w:kern w:val="0"/>
          <w:sz w:val="8"/>
          <w:szCs w:val="10"/>
          <w14:ligatures w14:val="none"/>
        </w:rPr>
      </w:pPr>
    </w:p>
    <w:p w14:paraId="3C53B6D3" w14:textId="77777777" w:rsidR="00043FBC" w:rsidRPr="00043FBC" w:rsidRDefault="00043FBC" w:rsidP="00043FBC">
      <w:p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סעיף 1(ד) לפקודה מגדיר כ"מפקד החייל" את מפקדו הישיר של החייל "בדרגת סג"ם ומעלה". עם זאת, כפי שהוצג לבית הדין המחוזי, </w:t>
      </w:r>
      <w:r w:rsidRPr="00043FBC">
        <w:rPr>
          <w:rFonts w:ascii="Times New Roman" w:eastAsia="Calibri" w:hAnsi="Times New Roman" w:cs="David"/>
          <w:b/>
          <w:bCs/>
          <w:kern w:val="0"/>
          <w:szCs w:val="28"/>
          <w:rtl/>
          <w14:ligatures w14:val="none"/>
        </w:rPr>
        <w:t>ביחידה הנדונה היה מקובל שבהכשרות הטירונים הממונה על נוהל השגחה הוא מפקד הפלוגה המתאימה, בענייננו – סרן אורי</w:t>
      </w:r>
      <w:r w:rsidRPr="00043FBC">
        <w:rPr>
          <w:rFonts w:ascii="Times New Roman" w:eastAsia="Calibri" w:hAnsi="Times New Roman" w:cs="David"/>
          <w:kern w:val="0"/>
          <w:szCs w:val="28"/>
          <w:rtl/>
          <w14:ligatures w14:val="none"/>
        </w:rPr>
        <w:t xml:space="preserve"> (פסקה 43 להכרעת הדין). </w:t>
      </w:r>
    </w:p>
    <w:p w14:paraId="72998B8D"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סרן אורי קבע שסמל שלֵו וסמל רומן ישמשו משגיחים על הנפגע. לאחר סיום הבדיקה הפסיכיאטרית בבית החולים, לנו המשגיחים והנפגע ברכב ובבוקר 10 בינואר 2023 שבו לבסיס. לאחר מכן הורה סרן אורי לסמל רומן לצאת מהבסיס למשימת נהיגה, כלומר להפסיק את משימת ההשגחה. ב-11:30 ליווה סמל שלֵו את הנפגע למשרד של סרן גילי והיא העירה שנדרשים שני משגיחים, ושיש למצוא מחליף למשגיח נעדר. בהכרעת הדין נקבע כי המערער </w:t>
      </w:r>
      <w:r w:rsidRPr="00043FBC">
        <w:rPr>
          <w:rFonts w:ascii="Times New Roman" w:eastAsia="Calibri" w:hAnsi="Times New Roman" w:cs="David"/>
          <w:b/>
          <w:bCs/>
          <w:kern w:val="0"/>
          <w:szCs w:val="28"/>
          <w:rtl/>
          <w14:ligatures w14:val="none"/>
        </w:rPr>
        <w:t>לא היה ער לעניין זה</w:t>
      </w:r>
      <w:r w:rsidRPr="00043FBC">
        <w:rPr>
          <w:rFonts w:ascii="Times New Roman" w:eastAsia="Calibri" w:hAnsi="Times New Roman" w:cs="David"/>
          <w:kern w:val="0"/>
          <w:szCs w:val="28"/>
          <w:rtl/>
          <w14:ligatures w14:val="none"/>
        </w:rPr>
        <w:t xml:space="preserve"> (פסקה 65 להכרעת הדין). סמל שלֵו פנה אל סמל רומן, והאחרון שב והצטרף להשגחה. </w:t>
      </w:r>
    </w:p>
    <w:p w14:paraId="078B8455"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ב-13:50 ראתה סרן גילי שסמל רומן מחזיק את נשקו האישי ליד הנפגע ואמרה לו שהוא מפר את נוהל ההשגחה. סרן גילי עדכנה אז את מפקד המחזור, רס"ן נתן, על החריגות מנוהל ההשגחה. רס"ן נתן שוחח על כך עם סרן אורי (שבינתיים יצא לביתו, עדות המערער בבית הדין, ע' 16, ש' 1–2) וזה שוחח עם המערער על כך. נקבע אפוא כי המערער ידע כי סמל רומן נשא נשק ליד הנפגע וכי סרן גילי העירה על כך (פסקה 61 להכרעת הדין).</w:t>
      </w:r>
    </w:p>
    <w:p w14:paraId="0E6057C5" w14:textId="77777777" w:rsidR="00043FBC" w:rsidRPr="00043FBC" w:rsidRDefault="00043FBC" w:rsidP="00BF2BE0">
      <w:pPr>
        <w:numPr>
          <w:ilvl w:val="0"/>
          <w:numId w:val="1"/>
        </w:numPr>
        <w:bidi/>
        <w:spacing w:after="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בחקירתו במצ"ח מסר המ"פ, סרן אורי, כי במהלך השיחה אמר למערער "</w:t>
      </w:r>
      <w:r w:rsidRPr="00043FBC">
        <w:rPr>
          <w:rFonts w:ascii="Times New Roman" w:eastAsia="Calibri" w:hAnsi="Times New Roman" w:cs="David"/>
          <w:b/>
          <w:bCs/>
          <w:kern w:val="0"/>
          <w:szCs w:val="28"/>
          <w:rtl/>
          <w14:ligatures w14:val="none"/>
        </w:rPr>
        <w:t>שיסדר את העניין של הנוהל השגחה</w:t>
      </w:r>
      <w:r w:rsidRPr="00043FBC">
        <w:rPr>
          <w:rFonts w:ascii="Times New Roman" w:eastAsia="Calibri" w:hAnsi="Times New Roman" w:cs="David"/>
          <w:kern w:val="0"/>
          <w:szCs w:val="28"/>
          <w:rtl/>
          <w14:ligatures w14:val="none"/>
        </w:rPr>
        <w:t xml:space="preserve">" (ת/18, ע' 3, ש' 37). נבהיר כבר עתה כי בית הדין קמא </w:t>
      </w:r>
      <w:r w:rsidRPr="00043FBC">
        <w:rPr>
          <w:rFonts w:ascii="Times New Roman" w:eastAsia="Calibri" w:hAnsi="Times New Roman" w:cs="David"/>
          <w:b/>
          <w:bCs/>
          <w:kern w:val="0"/>
          <w:szCs w:val="28"/>
          <w:rtl/>
          <w14:ligatures w14:val="none"/>
        </w:rPr>
        <w:t>דחה את טענת התביעה שלפיה בעקבות האמור, היה המערער אחראי ל"נוהל ההשגחה"</w:t>
      </w:r>
      <w:r w:rsidRPr="00043FBC">
        <w:rPr>
          <w:rFonts w:ascii="Times New Roman" w:eastAsia="Calibri" w:hAnsi="Times New Roman" w:cs="David"/>
          <w:kern w:val="0"/>
          <w:szCs w:val="28"/>
          <w:rtl/>
          <w14:ligatures w14:val="none"/>
        </w:rPr>
        <w:t>. בהכרעת הדין הוטעם:</w:t>
      </w:r>
    </w:p>
    <w:p w14:paraId="2113DE76" w14:textId="77777777" w:rsid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w:t>
      </w:r>
      <w:r w:rsidRPr="00043FBC">
        <w:rPr>
          <w:rFonts w:ascii="Times New Roman" w:eastAsia="Calibri" w:hAnsi="Times New Roman" w:cs="David"/>
          <w:b/>
          <w:bCs/>
          <w:kern w:val="0"/>
          <w:szCs w:val="28"/>
          <w:rtl/>
          <w14:ligatures w14:val="none"/>
        </w:rPr>
        <w:t xml:space="preserve">עיון בעדויות שהוגשו בתיק בהסכמה הובילנו למסקנה, כי לא ניתן לקבוע ברמת הוודאות הנדרשת בפלילים, כי [המערער] היה </w:t>
      </w:r>
      <w:r w:rsidRPr="00043FBC">
        <w:rPr>
          <w:rFonts w:ascii="Times New Roman" w:eastAsia="Calibri" w:hAnsi="Times New Roman" w:cs="David"/>
          <w:b/>
          <w:bCs/>
          <w:kern w:val="0"/>
          <w:szCs w:val="28"/>
          <w:u w:val="single"/>
          <w:rtl/>
          <w14:ligatures w14:val="none"/>
        </w:rPr>
        <w:t>האחראי</w:t>
      </w:r>
      <w:r w:rsidRPr="00043FBC">
        <w:rPr>
          <w:rFonts w:ascii="Times New Roman" w:eastAsia="Calibri" w:hAnsi="Times New Roman" w:cs="David"/>
          <w:b/>
          <w:bCs/>
          <w:kern w:val="0"/>
          <w:szCs w:val="28"/>
          <w:rtl/>
          <w14:ligatures w14:val="none"/>
        </w:rPr>
        <w:t xml:space="preserve"> לנוהל ההשגחה, ואף לא שנטל בו 'מעורבות עמוקה' כנטען; </w:t>
      </w:r>
      <w:r w:rsidRPr="00043FBC">
        <w:rPr>
          <w:rFonts w:ascii="Times New Roman" w:eastAsia="Calibri" w:hAnsi="Times New Roman" w:cs="David"/>
          <w:kern w:val="0"/>
          <w:szCs w:val="28"/>
          <w:rtl/>
          <w14:ligatures w14:val="none"/>
        </w:rPr>
        <w:t xml:space="preserve">למעשה, ממכלול עדויות בתיק משתקפת תמונה אחרת, לפיה </w:t>
      </w:r>
      <w:r w:rsidRPr="00043FBC">
        <w:rPr>
          <w:rFonts w:ascii="Times New Roman" w:eastAsia="Calibri" w:hAnsi="Times New Roman" w:cs="David"/>
          <w:b/>
          <w:bCs/>
          <w:kern w:val="0"/>
          <w:szCs w:val="28"/>
          <w:rtl/>
          <w14:ligatures w14:val="none"/>
        </w:rPr>
        <w:t xml:space="preserve">האחריות על נוהל ההשגחה כולו, </w:t>
      </w:r>
      <w:proofErr w:type="spellStart"/>
      <w:r w:rsidRPr="00043FBC">
        <w:rPr>
          <w:rFonts w:ascii="Times New Roman" w:eastAsia="Calibri" w:hAnsi="Times New Roman" w:cs="David"/>
          <w:b/>
          <w:bCs/>
          <w:kern w:val="0"/>
          <w:szCs w:val="28"/>
          <w:rtl/>
          <w14:ligatures w14:val="none"/>
        </w:rPr>
        <w:t>היתה</w:t>
      </w:r>
      <w:proofErr w:type="spellEnd"/>
      <w:r w:rsidRPr="00043FBC">
        <w:rPr>
          <w:rFonts w:ascii="Times New Roman" w:eastAsia="Calibri" w:hAnsi="Times New Roman" w:cs="David"/>
          <w:b/>
          <w:bCs/>
          <w:kern w:val="0"/>
          <w:szCs w:val="28"/>
          <w:rtl/>
          <w14:ligatures w14:val="none"/>
        </w:rPr>
        <w:t xml:space="preserve"> נתונה למ"פ,</w:t>
      </w:r>
      <w:r w:rsidRPr="00043FBC">
        <w:rPr>
          <w:rFonts w:ascii="Times New Roman" w:eastAsia="Calibri" w:hAnsi="Times New Roman" w:cs="David"/>
          <w:kern w:val="0"/>
          <w:szCs w:val="28"/>
          <w:rtl/>
          <w14:ligatures w14:val="none"/>
        </w:rPr>
        <w:t xml:space="preserve"> </w:t>
      </w:r>
      <w:r w:rsidRPr="00043FBC">
        <w:rPr>
          <w:rFonts w:ascii="Times New Roman" w:eastAsia="Calibri" w:hAnsi="Times New Roman" w:cs="David"/>
          <w:b/>
          <w:bCs/>
          <w:kern w:val="0"/>
          <w:szCs w:val="28"/>
          <w:rtl/>
          <w14:ligatures w14:val="none"/>
        </w:rPr>
        <w:t>כל עוד זה לא הגדיר אחרת.</w:t>
      </w:r>
      <w:r w:rsidRPr="00043FBC">
        <w:rPr>
          <w:rFonts w:ascii="Times New Roman" w:eastAsia="Calibri" w:hAnsi="Times New Roman" w:cs="David"/>
          <w:kern w:val="0"/>
          <w:szCs w:val="28"/>
          <w:rtl/>
          <w14:ligatures w14:val="none"/>
        </w:rPr>
        <w:t xml:space="preserve"> בהיעדר העברה מפורשת של האחריות לקיומו של הנוהל כולו, התקשינו לראות בעובדה שהמ"פ ביקש מ[המערער] '</w:t>
      </w:r>
      <w:r w:rsidRPr="00043FBC">
        <w:rPr>
          <w:rFonts w:ascii="Times New Roman" w:eastAsia="Calibri" w:hAnsi="Times New Roman" w:cs="David"/>
          <w:b/>
          <w:bCs/>
          <w:kern w:val="0"/>
          <w:szCs w:val="28"/>
          <w:rtl/>
          <w14:ligatures w14:val="none"/>
        </w:rPr>
        <w:t>להסדיר'</w:t>
      </w:r>
      <w:r w:rsidRPr="00043FBC">
        <w:rPr>
          <w:rFonts w:ascii="Times New Roman" w:eastAsia="Calibri" w:hAnsi="Times New Roman" w:cs="David"/>
          <w:kern w:val="0"/>
          <w:szCs w:val="28"/>
          <w:rtl/>
          <w14:ligatures w14:val="none"/>
        </w:rPr>
        <w:t xml:space="preserve"> את נוהל ההשגחה לאחר ההפרה בדבר נשיאת הנשק בקרבת טור' מ' (והרבה לאחר הכרזת נוהל ההשגחה), משום </w:t>
      </w:r>
      <w:r w:rsidRPr="00043FBC">
        <w:rPr>
          <w:rFonts w:ascii="Times New Roman" w:eastAsia="Calibri" w:hAnsi="Times New Roman" w:cs="David"/>
          <w:b/>
          <w:bCs/>
          <w:kern w:val="0"/>
          <w:szCs w:val="28"/>
          <w:rtl/>
          <w14:ligatures w14:val="none"/>
        </w:rPr>
        <w:t>העברת אחריות מפורשת ומסודרת</w:t>
      </w:r>
      <w:r w:rsidRPr="00043FBC">
        <w:rPr>
          <w:rFonts w:ascii="Times New Roman" w:eastAsia="Calibri" w:hAnsi="Times New Roman" w:cs="David"/>
          <w:kern w:val="0"/>
          <w:szCs w:val="28"/>
          <w:rtl/>
          <w14:ligatures w14:val="none"/>
        </w:rPr>
        <w:t xml:space="preserve"> של נוהל בטיחות, כפי שהיה נדרש. לפיכך, </w:t>
      </w:r>
      <w:r w:rsidRPr="00043FBC">
        <w:rPr>
          <w:rFonts w:ascii="Times New Roman" w:eastAsia="Calibri" w:hAnsi="Times New Roman" w:cs="David"/>
          <w:kern w:val="0"/>
          <w:szCs w:val="28"/>
          <w:rtl/>
          <w14:ligatures w14:val="none"/>
        </w:rPr>
        <w:lastRenderedPageBreak/>
        <w:t>לא נוכל לקבוע, כי האחריות למינוי שני משגיחים, לקביעת רשימות שמירה כנדרש בפקודה ולבקרה כללית אחר קיום הנוהל כדבעי, הייתה מוטלת על [המערער]" (פסקה 43 להכרעת הדין; הדגשות במקור. ראו גם פסקה 44).</w:t>
      </w:r>
    </w:p>
    <w:p w14:paraId="75152C71" w14:textId="77777777" w:rsidR="00F9783F" w:rsidRPr="00BF2BE0" w:rsidRDefault="00F9783F" w:rsidP="00F9783F">
      <w:pPr>
        <w:bidi/>
        <w:spacing w:before="180" w:after="120" w:line="240" w:lineRule="auto"/>
        <w:ind w:left="1106" w:right="1138"/>
        <w:contextualSpacing/>
        <w:jc w:val="both"/>
        <w:rPr>
          <w:rFonts w:ascii="Times New Roman" w:eastAsia="Calibri" w:hAnsi="Times New Roman" w:cs="David"/>
          <w:kern w:val="0"/>
          <w:sz w:val="8"/>
          <w:szCs w:val="10"/>
          <w14:ligatures w14:val="none"/>
        </w:rPr>
      </w:pPr>
    </w:p>
    <w:p w14:paraId="124A09B2"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באותו יום שלישי, 10 בינואר 2023, התאמנו במטווחים כוחות מהיחידה, בהם המחלקה שהמערער פיקד עליה. המערער, שהיה אחראי על המשימה של מחלקתו, נכח באזור המטווחים "באותן שעות במסגרתן נבחנים התנהגותו ומחדליו" (פסקה 108 להכרעת הדין), ולא שהה ביחידה ("ירדנו לשטח כבר ביום ראשון", ו"במטווחים ישנים בשטח לא עולים לבסיס", עדות המערער בבית הדין, ע' 3, ש' 20; ע' 16, ש' 5). </w:t>
      </w:r>
    </w:p>
    <w:p w14:paraId="3D62A750"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סרן גילי שוחחה באותו יום כמה פעמים עם הנפגע. היא הורתה להמשיך עד למ</w:t>
      </w:r>
      <w:r w:rsidRPr="00043FBC">
        <w:rPr>
          <w:rFonts w:ascii="Times New Roman" w:eastAsia="Calibri" w:hAnsi="Times New Roman" w:cs="Times New Roman"/>
          <w:kern w:val="0"/>
          <w:szCs w:val="28"/>
          <w:rtl/>
          <w14:ligatures w14:val="none"/>
        </w:rPr>
        <w:t>ֹ</w:t>
      </w:r>
      <w:r w:rsidRPr="00043FBC">
        <w:rPr>
          <w:rFonts w:ascii="Times New Roman" w:eastAsia="Calibri" w:hAnsi="Times New Roman" w:cs="David"/>
          <w:kern w:val="0"/>
          <w:szCs w:val="28"/>
          <w:rtl/>
          <w14:ligatures w14:val="none"/>
        </w:rPr>
        <w:t xml:space="preserve">חרת את "נוהל ההשגחה", והבהירה לסמל שלֵו ולסמל רומן שעליהם להמשיך לשמש משגיחים. </w:t>
      </w:r>
    </w:p>
    <w:p w14:paraId="0CB98401"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בשעה 16:00 לערך הגיע סגן מפקד הפלוגה, סגן תומר, למגורים והעיר לשניים על שלא שהו בצמוד לנפגע, אלא בחדר סמוך שדלתו סגורה (פסקה 9 להכרעת הדין). בית הדין קמא קבע בעניין זה כי המערער לא היה מודע להפרה זו (פסקה 65 להכרעת הדין). </w:t>
      </w:r>
    </w:p>
    <w:p w14:paraId="4409C8F8"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סגן תומר הורה </w:t>
      </w:r>
      <w:r w:rsidRPr="00043FBC">
        <w:rPr>
          <w:rFonts w:ascii="Times New Roman" w:eastAsia="Calibri" w:hAnsi="Times New Roman" w:cs="David"/>
          <w:kern w:val="0"/>
          <w:szCs w:val="28"/>
          <w14:ligatures w14:val="none"/>
        </w:rPr>
        <w:t xml:space="preserve"> </w:t>
      </w:r>
      <w:r w:rsidRPr="00043FBC">
        <w:rPr>
          <w:rFonts w:ascii="Times New Roman" w:eastAsia="Calibri" w:hAnsi="Times New Roman" w:cs="David"/>
          <w:kern w:val="0"/>
          <w:szCs w:val="28"/>
          <w:rtl/>
          <w14:ligatures w14:val="none"/>
        </w:rPr>
        <w:t>לסמל רומן לצאת למטווחים, אף שסמל רומן הזכיר שדרושים שני משגיחים. בהתאם, הורה סגן תומר לסמל שלֵו לשוחח על כך עם המערער ולוודא שיצורף משגיח נוסף. סמל שלֵו שוחח בטלפון עם המערער, ששהה כאמור במטווח. סמל שלֵו עדכן את המערער כי נותר לבדו להשגיח על הנפגע, והמערער אמר לסמל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 xml:space="preserve">ו </w:t>
      </w:r>
      <w:r w:rsidRPr="00043FBC">
        <w:rPr>
          <w:rFonts w:ascii="Times New Roman" w:eastAsia="Calibri" w:hAnsi="Times New Roman" w:cs="David"/>
          <w:b/>
          <w:bCs/>
          <w:kern w:val="0"/>
          <w:szCs w:val="28"/>
          <w:rtl/>
          <w14:ligatures w14:val="none"/>
        </w:rPr>
        <w:t>שלא לזוז מקרבתו של האחרון</w:t>
      </w:r>
      <w:r w:rsidRPr="00043FBC">
        <w:rPr>
          <w:rFonts w:ascii="Times New Roman" w:eastAsia="Calibri" w:hAnsi="Times New Roman" w:cs="David"/>
          <w:kern w:val="0"/>
          <w:szCs w:val="28"/>
          <w:rtl/>
          <w14:ligatures w14:val="none"/>
        </w:rPr>
        <w:t xml:space="preserve"> (פסקה 15 להכרעת הדין)</w:t>
      </w:r>
      <w:r w:rsidRPr="00043FBC">
        <w:rPr>
          <w:rFonts w:ascii="Times New Roman" w:eastAsia="Calibri" w:hAnsi="Times New Roman" w:cs="David"/>
          <w:kern w:val="0"/>
          <w:szCs w:val="28"/>
          <w14:ligatures w14:val="none"/>
        </w:rPr>
        <w:t xml:space="preserve"> </w:t>
      </w:r>
      <w:r w:rsidRPr="00043FBC">
        <w:rPr>
          <w:rFonts w:ascii="Times New Roman" w:eastAsia="Calibri" w:hAnsi="Times New Roman" w:cs="David"/>
          <w:kern w:val="0"/>
          <w:szCs w:val="28"/>
          <w:rtl/>
          <w14:ligatures w14:val="none"/>
        </w:rPr>
        <w:t xml:space="preserve">והורה לו לדבר עם </w:t>
      </w:r>
      <w:r w:rsidRPr="00043FBC">
        <w:rPr>
          <w:rFonts w:ascii="Times New Roman" w:eastAsia="Calibri" w:hAnsi="Times New Roman" w:cs="David"/>
          <w:b/>
          <w:bCs/>
          <w:kern w:val="0"/>
          <w:szCs w:val="28"/>
          <w:rtl/>
          <w14:ligatures w14:val="none"/>
        </w:rPr>
        <w:t>חייל אחר, טור' לירן</w:t>
      </w:r>
      <w:r w:rsidRPr="00043FBC">
        <w:rPr>
          <w:rFonts w:ascii="Times New Roman" w:eastAsia="Calibri" w:hAnsi="Times New Roman" w:cs="David"/>
          <w:kern w:val="0"/>
          <w:szCs w:val="28"/>
          <w:rtl/>
          <w14:ligatures w14:val="none"/>
        </w:rPr>
        <w:t xml:space="preserve">, שנכח ביחידה, כדי שיחליף את סמל רומן. סמל שלֵו נמנע מלעשות כן, והמערער לא וידא שהוראתו התבצעה ושמחליף אכן התייצב. </w:t>
      </w:r>
    </w:p>
    <w:p w14:paraId="466FAB2F"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בשעה 19:00 הבחין סגן תומר שסמל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עדיין משגיח יחידי. סגן תומר העיר לסמל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על כך, דרש ממנו שנית לשוחח עם המערער ולצרף משגיח נוסף, ואמר שיש למלא בקפדנות את הוראות נוהל ההשגחה (פסקה 16 להכרעת הדין). סגן תומר נמנע מלוודא שסמל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מילא את ההנחיה ושהגיע משגיח נוסף. סמל שלֵו לא שוחח שנית עם המערער, ואף שב ונמנע מלפנות אל טור' לירן שאליו הפנה אותו המערער קודם לכן (פסקה 10 להכרעת הדין).</w:t>
      </w:r>
    </w:p>
    <w:p w14:paraId="450702CA" w14:textId="77777777" w:rsid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בשלב מסוים סמל שלֵו נרדם. לעת לילה פנה הנפגע למקלחת, נטל רובה שהותיר שם אחד החיילים, וירה בראשו. כעבור זמן קצר, ב-23:30 בערך, איתרו אותו חיילים ביחידה כשהוא פצוע קשה. הנפגע נותח ואושפז והוא סובל מפציעות קשות ורבות בפניו ובחושיו.</w:t>
      </w:r>
    </w:p>
    <w:p w14:paraId="46B78EF3" w14:textId="77777777" w:rsidR="00F9783F" w:rsidRPr="00043FBC" w:rsidRDefault="00F9783F" w:rsidP="00F9783F">
      <w:pPr>
        <w:bidi/>
        <w:spacing w:after="120" w:line="360" w:lineRule="auto"/>
        <w:jc w:val="both"/>
        <w:rPr>
          <w:rFonts w:ascii="Times New Roman" w:eastAsia="Calibri" w:hAnsi="Times New Roman" w:cs="David"/>
          <w:kern w:val="0"/>
          <w:szCs w:val="28"/>
          <w14:ligatures w14:val="none"/>
        </w:rPr>
      </w:pPr>
    </w:p>
    <w:p w14:paraId="3902DB9F" w14:textId="77777777" w:rsidR="00043FBC" w:rsidRPr="00043FBC" w:rsidRDefault="00043FBC" w:rsidP="00BC4E53">
      <w:pPr>
        <w:keepNext/>
        <w:bidi/>
        <w:spacing w:before="360" w:after="0" w:line="360" w:lineRule="auto"/>
        <w:outlineLvl w:val="2"/>
        <w:rPr>
          <w:rFonts w:ascii="Times New Roman" w:eastAsia="Times New Roman" w:hAnsi="Times New Roman" w:cs="David"/>
          <w:kern w:val="0"/>
          <w:sz w:val="28"/>
          <w:szCs w:val="28"/>
          <w:u w:val="single"/>
          <w14:ligatures w14:val="none"/>
        </w:rPr>
      </w:pPr>
      <w:r w:rsidRPr="00043FBC">
        <w:rPr>
          <w:rFonts w:ascii="Times New Roman" w:eastAsia="Times New Roman" w:hAnsi="Times New Roman" w:cs="David"/>
          <w:kern w:val="0"/>
          <w:sz w:val="28"/>
          <w:szCs w:val="28"/>
          <w:u w:val="single"/>
          <w:rtl/>
          <w14:ligatures w14:val="none"/>
        </w:rPr>
        <w:lastRenderedPageBreak/>
        <w:t>החלת הדין על העובדות</w:t>
      </w:r>
    </w:p>
    <w:p w14:paraId="3DB02D3E"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בית הדין המחוזי סקר את יסודותיה של עבירת החבלה ברשלנות – החובה ומקורה, ההתרשלות, הקשר הסיבתי העובדתי והמשפטי לתוצאה ואי ניתוקו בידי גורם זר מתערב. </w:t>
      </w:r>
    </w:p>
    <w:p w14:paraId="2AC46C21"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ביישום הדברים הפנה בית הדין אל פקודת מטכ"ל 33.0219, המטילה חובות שונות על מפקד של חייל במצוקה נפשית. בית הדין קמא קבע כי על פי העובדות שהוכחו לפניו, האחראי ל"נוהל ההשגחה" במקרה זה וכל עוד לא נקבע אחרת, היה המ"פ, סרן אורי. הוטעם בהכרעת הדין כי </w:t>
      </w:r>
      <w:r w:rsidRPr="00043FBC">
        <w:rPr>
          <w:rFonts w:ascii="Times New Roman" w:eastAsia="Calibri" w:hAnsi="Times New Roman" w:cs="David"/>
          <w:b/>
          <w:bCs/>
          <w:kern w:val="0"/>
          <w:szCs w:val="28"/>
          <w:rtl/>
          <w14:ligatures w14:val="none"/>
        </w:rPr>
        <w:t>לא הוכח כנדרש בפלילים שסרן אורי הורה למערער להחליפו או לשמש מטעמו אחראי לקיום הנוהל</w:t>
      </w:r>
      <w:r w:rsidRPr="00043FBC">
        <w:rPr>
          <w:rFonts w:ascii="Times New Roman" w:eastAsia="Calibri" w:hAnsi="Times New Roman" w:cs="David"/>
          <w:kern w:val="0"/>
          <w:szCs w:val="28"/>
          <w:rtl/>
          <w14:ligatures w14:val="none"/>
        </w:rPr>
        <w:t xml:space="preserve">. כנזכר לעיל, נקבע כי בדבריו של סרן אורי למערער "להסדיר" את נוהל ההשגחה, שנאמרו לאחר שהקב"נית הבחינה בהפרתו (כשסמל רומן, המשגיח הנוסף באותה עת, נשא נשק בקרבת הנפגע), וזמן רב לאחר שהנוהל הוכרז – לא היה משום העברת אחריות לביצוע הנוהל (פסקאות 43–44 להכרעת הדין). </w:t>
      </w:r>
    </w:p>
    <w:p w14:paraId="4C750834"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לצד זאת נקבע כי בהתאם לדבריו של סרן אורי למערער, מתוקף היותו מפקד המחלקה ובהתחשב בהוראות הבטיחות בצה"ל (פסקאות 26 ו-55 להכרעת הדין) – לאחר שסגן תומר שלח את סמל רומן למשימה אחרת, היה על המערער למצוא משגיח נוסף, יחד עם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 xml:space="preserve">ו, </w:t>
      </w:r>
      <w:r w:rsidRPr="00043FBC">
        <w:rPr>
          <w:rFonts w:ascii="Times New Roman" w:eastAsia="Calibri" w:hAnsi="Times New Roman" w:cs="David"/>
          <w:b/>
          <w:bCs/>
          <w:kern w:val="0"/>
          <w:szCs w:val="28"/>
          <w:rtl/>
          <w14:ligatures w14:val="none"/>
        </w:rPr>
        <w:t>ולוודא שאכן יגיע</w:t>
      </w:r>
      <w:r w:rsidRPr="00043FBC">
        <w:rPr>
          <w:rFonts w:ascii="Times New Roman" w:eastAsia="Calibri" w:hAnsi="Times New Roman" w:cs="David"/>
          <w:kern w:val="0"/>
          <w:szCs w:val="28"/>
          <w:rtl/>
          <w14:ligatures w14:val="none"/>
        </w:rPr>
        <w:t>. הוטעם כי אחריותם של גורמים נוספים שהתרשלו אינה מבטלת את אחריות המערער בעניין זה.</w:t>
      </w:r>
    </w:p>
    <w:p w14:paraId="40C8810B"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בהתאם, נקבע כי משהמערער ידע לאחר השעה 16:00 שסמל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 xml:space="preserve">ו נותר לבדו משגיח, מכיוון שסמל רומן, המשגיח הנוסף, נשלח למטווחים, הרי שהמערער היה מודע </w:t>
      </w:r>
      <w:r w:rsidRPr="00043FBC">
        <w:rPr>
          <w:rFonts w:ascii="Times New Roman" w:eastAsia="Calibri" w:hAnsi="Times New Roman" w:cs="David"/>
          <w:b/>
          <w:bCs/>
          <w:kern w:val="0"/>
          <w:szCs w:val="28"/>
          <w:rtl/>
          <w14:ligatures w14:val="none"/>
        </w:rPr>
        <w:t>להפרה זו</w:t>
      </w:r>
      <w:r w:rsidRPr="00043FBC">
        <w:rPr>
          <w:rFonts w:ascii="Times New Roman" w:eastAsia="Calibri" w:hAnsi="Times New Roman" w:cs="David"/>
          <w:kern w:val="0"/>
          <w:szCs w:val="28"/>
          <w:rtl/>
          <w14:ligatures w14:val="none"/>
        </w:rPr>
        <w:t xml:space="preserve"> של "נוהל ההשגחה". בית הדין קמא הזכיר כי המערער ידע גם שקודם לכן סמל רומן נשא נשק ליד הנפגע ושסרן גילי העירה על כך, וכן היה ער לכך שלא נערכו רשימות שמירה ושלא הוחלפו המשגיחים. נקבע כי מודעותו להפרות הללו הגבירה את החובה שהייתה מוטלת עליו לוודא את מינויו של משגיח חלופי.</w:t>
      </w:r>
    </w:p>
    <w:p w14:paraId="670B47C7"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בית הדין המחוזי קבע כי כאשר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ביקש מהמערער שימצא מחליף לסמל רומן, הפך המערער לגורם הפיקודי שנדרש להחליט בסוגיית החילוף. המערער אכן הורה לסמל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 xml:space="preserve">ו לקרוא לחייל מסוים, טור' לירן, להיות משגיח, </w:t>
      </w:r>
      <w:r w:rsidRPr="00043FBC">
        <w:rPr>
          <w:rFonts w:ascii="Times New Roman" w:eastAsia="Calibri" w:hAnsi="Times New Roman" w:cs="David"/>
          <w:b/>
          <w:bCs/>
          <w:kern w:val="0"/>
          <w:szCs w:val="28"/>
          <w:rtl/>
          <w14:ligatures w14:val="none"/>
        </w:rPr>
        <w:t>אך לא וידא שסמל של</w:t>
      </w:r>
      <w:r w:rsidRPr="00043FBC">
        <w:rPr>
          <w:rFonts w:ascii="David" w:eastAsia="Calibri" w:hAnsi="David" w:cs="David"/>
          <w:b/>
          <w:bCs/>
          <w:kern w:val="0"/>
          <w:szCs w:val="28"/>
          <w:rtl/>
          <w14:ligatures w14:val="none"/>
        </w:rPr>
        <w:t>ֵ</w:t>
      </w:r>
      <w:r w:rsidRPr="00043FBC">
        <w:rPr>
          <w:rFonts w:ascii="Times New Roman" w:eastAsia="Calibri" w:hAnsi="Times New Roman" w:cs="David"/>
          <w:b/>
          <w:bCs/>
          <w:kern w:val="0"/>
          <w:szCs w:val="28"/>
          <w:rtl/>
          <w14:ligatures w14:val="none"/>
        </w:rPr>
        <w:t>ו מילא את הפקודה</w:t>
      </w:r>
      <w:r w:rsidRPr="00043FBC">
        <w:rPr>
          <w:rFonts w:ascii="Times New Roman" w:eastAsia="Calibri" w:hAnsi="Times New Roman" w:cs="David"/>
          <w:kern w:val="0"/>
          <w:szCs w:val="28"/>
          <w:rtl/>
          <w14:ligatures w14:val="none"/>
        </w:rPr>
        <w:t xml:space="preserve">. נקבע כי ההוראה לקרוא לטור' לירן אינה מספיקה לבדה כדי שהמערער יקיים את חובתו </w:t>
      </w:r>
      <w:r w:rsidRPr="00043FBC">
        <w:rPr>
          <w:rFonts w:ascii="Times New Roman" w:eastAsia="Calibri" w:hAnsi="Times New Roman" w:cs="David"/>
          <w:b/>
          <w:bCs/>
          <w:kern w:val="0"/>
          <w:szCs w:val="28"/>
          <w:rtl/>
          <w14:ligatures w14:val="none"/>
        </w:rPr>
        <w:t>והיה עליו לוודא שסמל של</w:t>
      </w:r>
      <w:r w:rsidRPr="00043FBC">
        <w:rPr>
          <w:rFonts w:ascii="David" w:eastAsia="Calibri" w:hAnsi="David" w:cs="David"/>
          <w:b/>
          <w:bCs/>
          <w:kern w:val="0"/>
          <w:szCs w:val="28"/>
          <w:rtl/>
          <w14:ligatures w14:val="none"/>
        </w:rPr>
        <w:t>ֵ</w:t>
      </w:r>
      <w:r w:rsidRPr="00043FBC">
        <w:rPr>
          <w:rFonts w:ascii="Times New Roman" w:eastAsia="Calibri" w:hAnsi="Times New Roman" w:cs="David"/>
          <w:b/>
          <w:bCs/>
          <w:kern w:val="0"/>
          <w:szCs w:val="28"/>
          <w:rtl/>
          <w14:ligatures w14:val="none"/>
        </w:rPr>
        <w:t>ו ממלא את ההוראה</w:t>
      </w:r>
      <w:r w:rsidRPr="00043FBC">
        <w:rPr>
          <w:rFonts w:ascii="Times New Roman" w:eastAsia="Calibri" w:hAnsi="Times New Roman" w:cs="David"/>
          <w:kern w:val="0"/>
          <w:szCs w:val="28"/>
          <w:rtl/>
          <w14:ligatures w14:val="none"/>
        </w:rPr>
        <w:t>. אי מילוי החובה, בשילוב עם הנזק החמור שהיה עלול להתרחש לנפגע, ההסתברות להתרחשותו (שעמדה ביסוד הפעלת "נוהל ההשגחה") והיקף האמצעים למניעתו (וידוא תוך זמן קצר שסמל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קרא לטור' לירן, או הוראה לסמל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 xml:space="preserve">ו לעדכן בעניין) – </w:t>
      </w:r>
      <w:r w:rsidRPr="00043FBC">
        <w:rPr>
          <w:rFonts w:ascii="Times New Roman" w:eastAsia="Calibri" w:hAnsi="Times New Roman" w:cs="David"/>
          <w:b/>
          <w:bCs/>
          <w:kern w:val="0"/>
          <w:szCs w:val="28"/>
          <w:rtl/>
          <w14:ligatures w14:val="none"/>
        </w:rPr>
        <w:t>מלמד על התרשלות מצד המערער</w:t>
      </w:r>
      <w:r w:rsidRPr="00043FBC">
        <w:rPr>
          <w:rFonts w:ascii="Times New Roman" w:eastAsia="Calibri" w:hAnsi="Times New Roman" w:cs="David"/>
          <w:kern w:val="0"/>
          <w:szCs w:val="28"/>
          <w:rtl/>
          <w14:ligatures w14:val="none"/>
        </w:rPr>
        <w:t>.</w:t>
      </w:r>
    </w:p>
    <w:p w14:paraId="36CD93C1"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lastRenderedPageBreak/>
        <w:t xml:space="preserve">עוד נקבע כי הימצאותם של שני משגיחים בקרבת הנפגע הייתה מקשה עליו לחמוק ולירות בעצמו ועל כן </w:t>
      </w:r>
      <w:r w:rsidRPr="00043FBC">
        <w:rPr>
          <w:rFonts w:ascii="Times New Roman" w:eastAsia="Calibri" w:hAnsi="Times New Roman" w:cs="David"/>
          <w:b/>
          <w:bCs/>
          <w:kern w:val="0"/>
          <w:szCs w:val="28"/>
          <w:rtl/>
          <w14:ligatures w14:val="none"/>
        </w:rPr>
        <w:t>בין התרשלות המערער – המחדל לוודא שיש שני משגיחים – לבין החבלה שנגרמה לנפגע, קיים קשר סיבתי, עובדתי ומשפטי</w:t>
      </w:r>
      <w:r w:rsidRPr="00043FBC">
        <w:rPr>
          <w:rFonts w:ascii="Times New Roman" w:eastAsia="Calibri" w:hAnsi="Times New Roman" w:cs="David"/>
          <w:kern w:val="0"/>
          <w:szCs w:val="28"/>
          <w:rtl/>
          <w14:ligatures w14:val="none"/>
        </w:rPr>
        <w:t>. בואר כי הירי של הנפגע בעצמו לא ניתק את הקשר הסיבתי – שהרי הוא הסכנה שמפניה נדרשה זהירות; כי אף שסגן תומר הורה לסמל רומן לחדול ממשימת ההשגחה, המערער היה מודע לכך ונדרש לפתור את הבעיה, ולכן גם כאן לא ניתק הקשר הסיבתי; וכי אמנם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הפר את ההוראה של המערער לצרף את טור' לירן בתור משגיח נוסף, אולם היה על המערער לצפות זאת לנוכח הפרה קודמת של הנוהל שהייתה בידיעתו (הגם שסמל רומן ביצע אותה); ולבסוף, כי נוכח שעות ההשגחה הארוכות היה על המערער לצפות גם שסמל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יירדם. הקשר הסיבתי נותר אפוא על כנו.</w:t>
      </w:r>
    </w:p>
    <w:p w14:paraId="07AA33A0"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לאור האמור קבע בית הדין קמא כי התקיימו יסודותיה של עבירת החבלה ברשלנות. עם זאת, בית הדין קמא נמנע מלהרשיע את המערער בעבירה זו וקבע כי מטעמים של הגנה מן הצדק יש להרשיעו בעבירה של התרשלות, לפי סעיף 124 לחוק השיפוט הצבאי, הרשעה שאינה נושאת שום רישום פלילי. בהקשר זה שב בית הדין והדגיש כי המ"פ, סרן אורי, נותר אחראי על נוהל ההשגחה הכולל (להבדיל ממשימת החילוף הספציפית, כמובא לעיל), ואת חובתו זו לא מימש. לא זו בלבד, בכך שהורה לסמל רומן לצאת באותו בוקר למשימת נהיגה, יצר סרן אורי מצג כאילו ניתן להפר את נוהל ההשגחה שנקבע בפקודת מטכ"ל 33.0219 הנ"ל. לכן נקבע כי תרומתו לנזק אינה נופלת מתרומת המערער, ולפיכך ההחלטה שלא לנקוט כלפי סרן אורי צעדים פליליים (אלא להסתפק בהדחתו מתפקיד, צעד פיקודי שנקטו מפקדיו) מבססת טענה לאכיפה בררנית. עוד נזכר כי סגן תומר הוציא את סמל רומן ממשימת ההשגחה פעם נוספת, בשעות אחר הצהריים; כי המערער היה אחראי אז לבדו, בשטח המטווחים ולא בשטח היחידה, על מטווח באש חיה של 30 חיילים, ומשום כך גם סירבו מפקדיו לבקשתו לבקר את הנפגע; וכי ניסה, בשלט רחוק, לדאוג לשלומו של הנפגע. נקבע כי, לפי תורת התוצאה היחסית, הסעד המתאים במקרה זה הוא להמיר את סעיף האישום לסעיף שהרשעה בו אינה נושאת רישום פלילי: התרשלות לפי סעיף 124 רישה לחוק השיפוט הצבאי, שעונשה זהה לעונש על חבלה ברשלנות ושלמערער הייתה הזדמנות להתגונן מפניה. </w:t>
      </w:r>
    </w:p>
    <w:p w14:paraId="278B32CE"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הוטעם עוד כי תוצאה זו אף עולה בקנה אחד עם המגמה להעדיף בשפיטה צבאית הוראות מחוק השיפוט הצבאי על פני הוראות מהדין הכללי, מפני שחוק השיפוט הצבאי הוא קודקס מקיף לענייני השיפוט הצבאי (בג"ץ 4723/96 </w:t>
      </w:r>
      <w:proofErr w:type="spellStart"/>
      <w:r w:rsidRPr="00043FBC">
        <w:rPr>
          <w:rFonts w:ascii="Times New Roman" w:eastAsia="Calibri" w:hAnsi="Times New Roman" w:cs="David"/>
          <w:b/>
          <w:bCs/>
          <w:kern w:val="0"/>
          <w:szCs w:val="28"/>
          <w:rtl/>
          <w14:ligatures w14:val="none"/>
        </w:rPr>
        <w:t>עטייה</w:t>
      </w:r>
      <w:proofErr w:type="spellEnd"/>
      <w:r w:rsidRPr="00043FBC">
        <w:rPr>
          <w:rFonts w:ascii="Times New Roman" w:eastAsia="Calibri" w:hAnsi="Times New Roman" w:cs="David"/>
          <w:b/>
          <w:bCs/>
          <w:kern w:val="0"/>
          <w:szCs w:val="28"/>
          <w:rtl/>
          <w14:ligatures w14:val="none"/>
        </w:rPr>
        <w:t xml:space="preserve"> נ' היועץ המשפטי לממשלה</w:t>
      </w:r>
      <w:r w:rsidRPr="00043FBC">
        <w:rPr>
          <w:rFonts w:ascii="Times New Roman" w:eastAsia="Calibri" w:hAnsi="Times New Roman" w:cs="David"/>
          <w:kern w:val="0"/>
          <w:szCs w:val="28"/>
          <w:rtl/>
          <w14:ligatures w14:val="none"/>
        </w:rPr>
        <w:t xml:space="preserve">, פ"ד נא(3) 714 (1997)). </w:t>
      </w:r>
    </w:p>
    <w:p w14:paraId="2228CCB9" w14:textId="77777777" w:rsidR="00043FBC" w:rsidRPr="00043FBC" w:rsidRDefault="00043FBC" w:rsidP="00043FBC">
      <w:pPr>
        <w:keepNext/>
        <w:bidi/>
        <w:spacing w:before="360" w:after="120" w:line="360" w:lineRule="auto"/>
        <w:outlineLvl w:val="1"/>
        <w:rPr>
          <w:rFonts w:ascii="Times New Roman" w:eastAsia="Times New Roman" w:hAnsi="Times New Roman" w:cs="David"/>
          <w:b/>
          <w:bCs/>
          <w:kern w:val="0"/>
          <w:sz w:val="28"/>
          <w:szCs w:val="28"/>
          <w14:ligatures w14:val="none"/>
        </w:rPr>
      </w:pPr>
      <w:r w:rsidRPr="00043FBC">
        <w:rPr>
          <w:rFonts w:ascii="Times New Roman" w:eastAsia="Times New Roman" w:hAnsi="Times New Roman" w:cs="David"/>
          <w:b/>
          <w:bCs/>
          <w:kern w:val="0"/>
          <w:sz w:val="28"/>
          <w:szCs w:val="28"/>
          <w:rtl/>
          <w14:ligatures w14:val="none"/>
        </w:rPr>
        <w:t>טענות הצדדים</w:t>
      </w:r>
    </w:p>
    <w:p w14:paraId="2F19EB36" w14:textId="50E28CA6" w:rsidR="008841EA" w:rsidRPr="00334BAB" w:rsidRDefault="00043FBC" w:rsidP="00334BAB">
      <w:pPr>
        <w:numPr>
          <w:ilvl w:val="0"/>
          <w:numId w:val="1"/>
        </w:num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כאמור, שני הצדדים ערערו על הכרעת הדין. המערער מבקש לזכותו כליל ואילו התביעה מבקשת להרשיעו בעבירה שיוחסה לו בכתב האישום.</w:t>
      </w:r>
    </w:p>
    <w:p w14:paraId="20C40DBE" w14:textId="7D408421" w:rsidR="00043FBC" w:rsidRPr="00043FBC" w:rsidRDefault="00043FBC" w:rsidP="00BC4E53">
      <w:pPr>
        <w:keepNext/>
        <w:bidi/>
        <w:spacing w:before="360" w:after="0" w:line="360" w:lineRule="auto"/>
        <w:outlineLvl w:val="2"/>
        <w:rPr>
          <w:rFonts w:ascii="Times New Roman" w:eastAsia="Times New Roman" w:hAnsi="Times New Roman" w:cs="David"/>
          <w:kern w:val="0"/>
          <w:sz w:val="28"/>
          <w:szCs w:val="28"/>
          <w:u w:val="single"/>
          <w14:ligatures w14:val="none"/>
        </w:rPr>
      </w:pPr>
      <w:r w:rsidRPr="00043FBC">
        <w:rPr>
          <w:rFonts w:ascii="Times New Roman" w:eastAsia="Times New Roman" w:hAnsi="Times New Roman" w:cs="David"/>
          <w:kern w:val="0"/>
          <w:sz w:val="28"/>
          <w:szCs w:val="28"/>
          <w:u w:val="single"/>
          <w:rtl/>
          <w14:ligatures w14:val="none"/>
        </w:rPr>
        <w:lastRenderedPageBreak/>
        <w:t>טענות המערער</w:t>
      </w:r>
    </w:p>
    <w:p w14:paraId="1C500592"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ערעור ההגנה מבוסס על שלושה אדנים: העדר התרשלות, ניתוק הקשר הסיבתי ואכיפה בררנית. </w:t>
      </w:r>
    </w:p>
    <w:p w14:paraId="44F279D2"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תחילה מזכיר המערער שסרן אורי, מפקד הפלוגה והאחראי על נוהל ההשגחה, הורה בשעות הבוקר לסמל רומן, אחד המשגיחים שהגדיר, לצאת למשימת נהיגה; ושסגן תומר, סגן מפקד הפלוגה, הורה אף הוא בהמשך לסמל רומן לצאת למטווחים, ונמנע בעצמו מלוודא שחייל אחר החליף אותו. המערער מבקש לראות בהתאם בשני מפקדיו כמי שיכולים היו, כל אחד בפני עצמו, למנוע את הפרת נוהל ההשגחה. לפיכך, לגישתו, יש לדבר השפעה על עצם קיום חובת זהירות שלו בעניין. </w:t>
      </w:r>
    </w:p>
    <w:p w14:paraId="25384794"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אשר לקביעה כי המערער התרשל בכך שלא וידא שסמל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קרא לשומר הנוסף, במקומו של סמל רומן – המערער סבור שאין מדובר בהתרשלות. בהקשר זה נטען כי המחדל של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בעניין אינו בגדר טעות רשלנית, אלא החלטה מודעת להפר פקודה ישירה של מפקדו, המערער. נטען כי לא היה על המערער לצפות החלטה כזו. נוסף על כך,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היה מפקד ותיק שנהג למלא פקודות, והמערער הטיל עליו בעניין זה משימה פשוטה וברורה. בנסיבות אלו, נטען, נחלשת החובה לוודא שסמל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מילא את פקודת המערער. עוד צוין כי המערער לא ידע באותה עת שסרן אורי, האחראי על נוהל ההשגחה, לא קיים בקרה כלשהי על קיום הנוהל. המערער עצמו הכיר רק את הפרתו בידי סמל רומן (עת נשא נשק בסמוך לנפגע) ולא את ההפרה של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(כאשר הוא וסמל רומן לא שהו בצמוד לנפגע, אלא בחדר סמוך שדלתו סגורה). לבסוף, המערער מזכיר כי בזמן האירוע שהה במקום אחר וניהל מטווח באש חיה של כ-30 חיילים, שעה שעמד לרשותו איש סגל נוסף אחד (במקום שלושה). משימה זו דרשה ממנו תשומת לב רבה. נוכח זאת, סבורה ההגנה, אין לראות במערער מי שהתרשל בכך שלא וידא כי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 xml:space="preserve">ו קיים את הפקודה שהמערער נתן לו. </w:t>
      </w:r>
    </w:p>
    <w:p w14:paraId="7B1ECDE2"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כמו כן, לשיטת ההגנה, שני גורמים ניתקו את הקשר הסיבתי בין ההתרשלות המיוחסת למערער, אם קיימת, לבין התוצאה. גורם ראשון הוא ההחלטה של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שלא לקיים את הפקודה שהמערער נתן לו (ובהמשך לכך, גם את פקודתו של סגן תומר באותו עניין) – וכאמור, לשיטת המערער מדובר בהחלטה מודעת ומכוונת. לכן גם שיחת וידוא של המערער עם סמל שלֵו לא הייתה מועילה – שהרי כשלוש שעות לאחר שיחתו עם המערער ראה סגן תומר את סמל שלֵו והורה לו שוב למצוא מחליף נוסף, אך סמל שלֵו החליט כאמור שלא לעשות זאת.</w:t>
      </w:r>
    </w:p>
    <w:p w14:paraId="67CD3E20"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גורם שני הוא הבחירה העצמאית של הנפגע לפגוע בעצמו. נטען בהקשר זה כי מדובר בפעולה רצונית, אוטונומית, במודעות מלאה לסיכון ובלי שהמערער יצר את הסיכון – ולכן ניתק הקשר הסיבתי. המערער אף הפנה לפסקי דין של בית הדין המיוחד שבהם נקבע כי ניתוק קשר סיבתי או העדר קשר סיבתי ישיר מוביל להרשעה בעבירה קלה יותר, מקום שנמצאה רשלנות.</w:t>
      </w:r>
    </w:p>
    <w:p w14:paraId="47D54889"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lastRenderedPageBreak/>
        <w:t>ולבסוף, המערער אומנם תומך במסקנת בית הדין קמא בדבר אכיפה בררנית לנוכח אי נקיטת צעדים משפטיים נגד סרן אורי, אך לשיטתו פגם זה מחייב סעד חריף יותר: זיכוי מלא, חלף הרשעה בעבירה מקילה. ההגנה הדגישה כי הגורם שאחראי לנוהל ההשגחה ולפלוגה כולה, שיצר בעצמו את המצב המסוכן, שהפר את נוהל ההשגחה ואשר לא וידא שיבצעו אותו – לא הועמד לדין. לעומתו, נטען, המערער פעל בתנאי לחץ שעה שהיה אחראי למטווח, ובאופן כללי ניכר כי דאג לנפגע והיה מפקד אכפתי. המערער נתן הוראה ברורה לקרוא למשגיח נוסף אולם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הפר אותה ביודעין וכן, לשיטת ההגנה, קיים ספק בדבר התקיימות הקשר הסיבתי לגביו. בשל כל אלו מבקש המערער לתת לו סעד של זיכוי בגין האכיפה הבררנית.</w:t>
      </w:r>
    </w:p>
    <w:p w14:paraId="5AB7779F" w14:textId="3850B525" w:rsidR="00334BAB" w:rsidRPr="00334BAB" w:rsidRDefault="00043FBC" w:rsidP="00BC4E53">
      <w:pPr>
        <w:keepNext/>
        <w:bidi/>
        <w:spacing w:before="360" w:after="0" w:line="360" w:lineRule="auto"/>
        <w:outlineLvl w:val="2"/>
        <w:rPr>
          <w:rFonts w:ascii="Times New Roman" w:eastAsia="Times New Roman" w:hAnsi="Times New Roman" w:cs="David"/>
          <w:kern w:val="0"/>
          <w:sz w:val="28"/>
          <w:szCs w:val="28"/>
          <w:u w:val="single"/>
          <w14:ligatures w14:val="none"/>
        </w:rPr>
      </w:pPr>
      <w:r w:rsidRPr="00043FBC">
        <w:rPr>
          <w:rFonts w:ascii="Times New Roman" w:eastAsia="Times New Roman" w:hAnsi="Times New Roman" w:cs="David"/>
          <w:kern w:val="0"/>
          <w:sz w:val="28"/>
          <w:szCs w:val="28"/>
          <w:u w:val="single"/>
          <w:rtl/>
          <w14:ligatures w14:val="none"/>
        </w:rPr>
        <w:t>טענות התביעה</w:t>
      </w:r>
    </w:p>
    <w:p w14:paraId="00CC05E4"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התביעה מבקשת להרשיע את המערער בעבירה שהואשם בה בכתב האישום – חבלה ברשלנות – חלף עבירת ההתרשלות שהורשע בה. נטען כי למערער הייתה מעורבות רבה בטיפול בנפגע בכל נקודת מפתח לאורך האירוע, ובמעשיו הוכיח נכונות להיות מעורב אף יותר מכפי חובתו לפי נוהל ההשגחה. מכאן קמה אחריותו לניהול האירוע. מקורות נוספים לחובתו מצויים, לטענת התביעה, בהנחיית המ"פ, סרן אורי, שלפיה המערער יהיה אחראי על "הסדרת הנוהל" – והכוונה הייתה, על פי התמונה הראייתית שהוצגה וכפי שהמערער הבין לפי הנטען בזמן אמת, לכך שהוא "אחראי כללי" לביצוע הנוהל, לרבות סוגיית חילופי המשגיחים. על כן התביעה סבורה שיש מקום להתערב בקביעות העובדה בסוגיה זו – התערבות שלגישתה משפיעה על היקף אחריותו של המערער, על החובה לפעול ועל ההתרשלות הכרוכה בהפרתה. </w:t>
      </w:r>
    </w:p>
    <w:p w14:paraId="2E0A9B99"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זאת ועוד, בין שתתקבל עמדתה לגבי מידת האחריות של המערער ובין שלא, סבורה התביעה שלא היה מקום להמיר את סעיף האישום בעניינו של המערער לסעיף 124 רישה לחוק השיפוט הצבאי. ראשית, סעיף 124 סיפה הוא שמתאים לעניינו של המערער, שכן הוא חל על "מפקד יחידה או חייל בדרגת סמל ומעלה", ואילו </w:t>
      </w:r>
      <w:proofErr w:type="spellStart"/>
      <w:r w:rsidRPr="00043FBC">
        <w:rPr>
          <w:rFonts w:ascii="Times New Roman" w:eastAsia="Calibri" w:hAnsi="Times New Roman" w:cs="David"/>
          <w:kern w:val="0"/>
          <w:szCs w:val="28"/>
          <w:rtl/>
          <w14:ligatures w14:val="none"/>
        </w:rPr>
        <w:t>הרישה</w:t>
      </w:r>
      <w:proofErr w:type="spellEnd"/>
      <w:r w:rsidRPr="00043FBC">
        <w:rPr>
          <w:rFonts w:ascii="Times New Roman" w:eastAsia="Calibri" w:hAnsi="Times New Roman" w:cs="David"/>
          <w:kern w:val="0"/>
          <w:szCs w:val="28"/>
          <w:rtl/>
          <w14:ligatures w14:val="none"/>
        </w:rPr>
        <w:t xml:space="preserve"> חלה על "חייל" סתם. לכן, לשיטת התביעה, החלופה הרלוונטית בעניינו של המערער, אם בכלל, היא לפי סעיף 124 סיפה. דא עקא שהעונש הנקוב לצד חלופה זו הוא שנתיים מאסר – היינו עונש חמור מהעונש הנקוב בצד העבירה המקורית שיוחסה למערער (שנת מאסר; העונש הנקוב בצד </w:t>
      </w:r>
      <w:proofErr w:type="spellStart"/>
      <w:r w:rsidRPr="00043FBC">
        <w:rPr>
          <w:rFonts w:ascii="Times New Roman" w:eastAsia="Calibri" w:hAnsi="Times New Roman" w:cs="David"/>
          <w:kern w:val="0"/>
          <w:szCs w:val="28"/>
          <w:rtl/>
          <w14:ligatures w14:val="none"/>
        </w:rPr>
        <w:t>הרישה</w:t>
      </w:r>
      <w:proofErr w:type="spellEnd"/>
      <w:r w:rsidRPr="00043FBC">
        <w:rPr>
          <w:rFonts w:ascii="Times New Roman" w:eastAsia="Calibri" w:hAnsi="Times New Roman" w:cs="David"/>
          <w:kern w:val="0"/>
          <w:szCs w:val="28"/>
          <w:rtl/>
          <w14:ligatures w14:val="none"/>
        </w:rPr>
        <w:t xml:space="preserve"> לסעיף 124 גם הוא שנת מאסר), ולכן לא ניתן להרשיעו בה, לפי סעיף 378 לחוק השיפוט הצבאי. שנית, לשיטת התביעה, אחריותו של סרן אורי שונה מהותית מהאחריות של המערער. סרן אורי יצא לחופשה מחוץ למחנה באותו יום, ולכן פקודיו היו מעורבים בהפעלת נוהל ההשגחה והפכו לאחראים לביצועו. התביעה טוענת כי גם אם הייתה לסרן אורי אחריות מסוימת – הרי שהקשר הסיבתי בין התנהלותו לבין התוצאה ניתק, משום ששלושה מפקדים תחתיו הפרו את נוהל ההשגחה. לכן נטען כי האחריות של סרן אורי מצויה </w:t>
      </w:r>
      <w:r w:rsidRPr="00043FBC">
        <w:rPr>
          <w:rFonts w:ascii="Times New Roman" w:eastAsia="Calibri" w:hAnsi="Times New Roman" w:cs="David"/>
          <w:kern w:val="0"/>
          <w:szCs w:val="28"/>
          <w:rtl/>
          <w14:ligatures w14:val="none"/>
        </w:rPr>
        <w:lastRenderedPageBreak/>
        <w:t>בהקשר הפיקודי בלבד, ועל כך ננקטו נגדו צעדים פיקודיים. צוין עוד כי המערער לא עמד לדין לבדו, שהרי גם סגן תומר וסמל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 xml:space="preserve">ו הועמדו לדין בבית הדין הצבאי בגין אותה עבירה. בכל אלו, נטען, יש כדי לסתור את טענת ההפליה לרעה של המערער. ולבסוף, נטען כי אף אם אי ההעמדה לדין של סרן אורי היא פגם שמשפיע על עניינו של המערער, הסעד הראוי אינו המרת סעיף אישום, כי אם הקלה בעונש. מסקנה זו נובעת ממידת האחריות של המערער לתוצאה ומכך שממילא עתירת התביעה לעניין העונש מכניסה את עניינו של המערער לתחום "הרישום הפלילי המופחת" שהשלכותיו מצומצמות. </w:t>
      </w:r>
    </w:p>
    <w:p w14:paraId="68001705" w14:textId="77777777" w:rsidR="00043FBC" w:rsidRPr="00043FBC" w:rsidRDefault="00043FBC" w:rsidP="00043FBC">
      <w:pPr>
        <w:keepNext/>
        <w:bidi/>
        <w:spacing w:before="360" w:after="120" w:line="360" w:lineRule="auto"/>
        <w:outlineLvl w:val="1"/>
        <w:rPr>
          <w:rFonts w:ascii="Times New Roman" w:eastAsia="Times New Roman" w:hAnsi="Times New Roman" w:cs="David"/>
          <w:b/>
          <w:bCs/>
          <w:kern w:val="0"/>
          <w:sz w:val="28"/>
          <w:szCs w:val="28"/>
          <w14:ligatures w14:val="none"/>
        </w:rPr>
      </w:pPr>
      <w:r w:rsidRPr="00043FBC">
        <w:rPr>
          <w:rFonts w:ascii="Times New Roman" w:eastAsia="Times New Roman" w:hAnsi="Times New Roman" w:cs="David"/>
          <w:b/>
          <w:bCs/>
          <w:kern w:val="0"/>
          <w:sz w:val="28"/>
          <w:szCs w:val="28"/>
          <w:rtl/>
          <w14:ligatures w14:val="none"/>
        </w:rPr>
        <w:t>דיון והכרעה</w:t>
      </w:r>
    </w:p>
    <w:p w14:paraId="6680095F" w14:textId="77777777" w:rsidR="00043FBC" w:rsidRPr="00043FBC" w:rsidRDefault="00043FBC" w:rsidP="00BC4E53">
      <w:pPr>
        <w:keepNext/>
        <w:bidi/>
        <w:spacing w:after="120" w:line="360" w:lineRule="auto"/>
        <w:outlineLvl w:val="2"/>
        <w:rPr>
          <w:rFonts w:ascii="Times New Roman" w:eastAsia="Times New Roman" w:hAnsi="Times New Roman" w:cs="David"/>
          <w:kern w:val="0"/>
          <w:sz w:val="28"/>
          <w:szCs w:val="28"/>
          <w:u w:val="single"/>
          <w:rtl/>
          <w14:ligatures w14:val="none"/>
        </w:rPr>
      </w:pPr>
      <w:r w:rsidRPr="00043FBC">
        <w:rPr>
          <w:rFonts w:ascii="Times New Roman" w:eastAsia="Times New Roman" w:hAnsi="Times New Roman" w:cs="David"/>
          <w:kern w:val="0"/>
          <w:sz w:val="28"/>
          <w:szCs w:val="28"/>
          <w:u w:val="single"/>
          <w:rtl/>
          <w14:ligatures w14:val="none"/>
        </w:rPr>
        <w:t>המסגרת העובדתית</w:t>
      </w:r>
    </w:p>
    <w:p w14:paraId="58F46EE8"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הלכה רבת שנים היא כי אין דרכה של ערכאת הערעור להתערב בממצאי עובדה ומהימנות של הערכאה הדיונית. הטעם העיקרי לכך נעוץ ביתרונה של הערכאה המבררת – מי ששמעה את העדים שהובאו לפניה והתרשמה מהם ישירות (ע"פ 9352/99 </w:t>
      </w:r>
      <w:proofErr w:type="spellStart"/>
      <w:r w:rsidRPr="00043FBC">
        <w:rPr>
          <w:rFonts w:ascii="Times New Roman" w:eastAsia="Calibri" w:hAnsi="Times New Roman" w:cs="David"/>
          <w:b/>
          <w:bCs/>
          <w:kern w:val="0"/>
          <w:szCs w:val="28"/>
          <w:rtl/>
          <w14:ligatures w14:val="none"/>
        </w:rPr>
        <w:t>יומטוביאן</w:t>
      </w:r>
      <w:proofErr w:type="spellEnd"/>
      <w:r w:rsidRPr="00043FBC">
        <w:rPr>
          <w:rFonts w:ascii="Times New Roman" w:eastAsia="Calibri" w:hAnsi="Times New Roman" w:cs="David"/>
          <w:b/>
          <w:bCs/>
          <w:kern w:val="0"/>
          <w:szCs w:val="28"/>
          <w:rtl/>
          <w14:ligatures w14:val="none"/>
        </w:rPr>
        <w:t xml:space="preserve"> נ' מדינת ישראל</w:t>
      </w:r>
      <w:r w:rsidRPr="00043FBC">
        <w:rPr>
          <w:rFonts w:ascii="Times New Roman" w:eastAsia="Calibri" w:hAnsi="Times New Roman" w:cs="David"/>
          <w:kern w:val="0"/>
          <w:szCs w:val="28"/>
          <w:rtl/>
          <w14:ligatures w14:val="none"/>
        </w:rPr>
        <w:t xml:space="preserve">, פ"ד נד(4) 632, 640 (2000); ע"פ 6443/23 </w:t>
      </w:r>
      <w:r w:rsidRPr="00043FBC">
        <w:rPr>
          <w:rFonts w:ascii="Times New Roman" w:eastAsia="Calibri" w:hAnsi="Times New Roman" w:cs="David"/>
          <w:b/>
          <w:bCs/>
          <w:kern w:val="0"/>
          <w:szCs w:val="28"/>
          <w:rtl/>
          <w14:ligatures w14:val="none"/>
        </w:rPr>
        <w:t>פלוני נ' מדינת ישראל</w:t>
      </w:r>
      <w:r w:rsidRPr="00043FBC">
        <w:rPr>
          <w:rFonts w:ascii="Times New Roman" w:eastAsia="Calibri" w:hAnsi="Times New Roman" w:cs="David"/>
          <w:kern w:val="0"/>
          <w:szCs w:val="28"/>
          <w:rtl/>
          <w14:ligatures w14:val="none"/>
        </w:rPr>
        <w:t xml:space="preserve">, פסקה 17 (9.12.2025); ע"פ 7880/19 </w:t>
      </w:r>
      <w:r w:rsidRPr="00043FBC">
        <w:rPr>
          <w:rFonts w:ascii="Times New Roman" w:eastAsia="Calibri" w:hAnsi="Times New Roman" w:cs="David"/>
          <w:b/>
          <w:bCs/>
          <w:kern w:val="0"/>
          <w:szCs w:val="28"/>
          <w:rtl/>
          <w14:ligatures w14:val="none"/>
        </w:rPr>
        <w:t>פלוני נ' מדינת ישראל</w:t>
      </w:r>
      <w:r w:rsidRPr="00043FBC">
        <w:rPr>
          <w:rFonts w:ascii="Times New Roman" w:eastAsia="Calibri" w:hAnsi="Times New Roman" w:cs="David"/>
          <w:kern w:val="0"/>
          <w:szCs w:val="28"/>
          <w:rtl/>
          <w14:ligatures w14:val="none"/>
        </w:rPr>
        <w:t xml:space="preserve">, פסקה 63 (2.8.2022)). לצד האמור, כידוע, לכלל זה חריגים, ובהם בראש ובראשונה המקרים שבהם מתבטל או מצטמצם באופן ניכר היתרון שיש לערכאה הדיונית על פני ערכאת הערעור בקביעת ממצאי עובדה ומהימנות (ע"פ 2050/21 </w:t>
      </w:r>
      <w:proofErr w:type="spellStart"/>
      <w:r w:rsidRPr="00043FBC">
        <w:rPr>
          <w:rFonts w:ascii="Times New Roman" w:eastAsia="Calibri" w:hAnsi="Times New Roman" w:cs="David"/>
          <w:b/>
          <w:bCs/>
          <w:kern w:val="0"/>
          <w:szCs w:val="28"/>
          <w:rtl/>
          <w14:ligatures w14:val="none"/>
        </w:rPr>
        <w:t>אלהואשלה</w:t>
      </w:r>
      <w:proofErr w:type="spellEnd"/>
      <w:r w:rsidRPr="00043FBC">
        <w:rPr>
          <w:rFonts w:ascii="Times New Roman" w:eastAsia="Calibri" w:hAnsi="Times New Roman" w:cs="David"/>
          <w:b/>
          <w:bCs/>
          <w:kern w:val="0"/>
          <w:szCs w:val="28"/>
          <w:rtl/>
          <w14:ligatures w14:val="none"/>
        </w:rPr>
        <w:t xml:space="preserve"> נ' מדינת ישראל</w:t>
      </w:r>
      <w:r w:rsidRPr="00043FBC">
        <w:rPr>
          <w:rFonts w:ascii="Times New Roman" w:eastAsia="Calibri" w:hAnsi="Times New Roman" w:cs="David"/>
          <w:kern w:val="0"/>
          <w:szCs w:val="28"/>
          <w:rtl/>
          <w14:ligatures w14:val="none"/>
        </w:rPr>
        <w:t xml:space="preserve"> (16.5.2023); ע"פ 754/23 </w:t>
      </w:r>
      <w:r w:rsidRPr="00043FBC">
        <w:rPr>
          <w:rFonts w:ascii="Times New Roman" w:eastAsia="Calibri" w:hAnsi="Times New Roman" w:cs="David"/>
          <w:b/>
          <w:bCs/>
          <w:kern w:val="0"/>
          <w:szCs w:val="28"/>
          <w:rtl/>
          <w14:ligatures w14:val="none"/>
        </w:rPr>
        <w:t>פלוני נ' מדינת ישראל</w:t>
      </w:r>
      <w:r w:rsidRPr="00043FBC">
        <w:rPr>
          <w:rFonts w:ascii="Times New Roman" w:eastAsia="Calibri" w:hAnsi="Times New Roman" w:cs="David"/>
          <w:kern w:val="0"/>
          <w:szCs w:val="28"/>
          <w:rtl/>
          <w14:ligatures w14:val="none"/>
        </w:rPr>
        <w:t xml:space="preserve">, פסקה 51 (1.5.2024); ע/55/23 </w:t>
      </w:r>
      <w:r w:rsidRPr="00043FBC">
        <w:rPr>
          <w:rFonts w:ascii="Times New Roman" w:eastAsia="Calibri" w:hAnsi="Times New Roman" w:cs="David"/>
          <w:b/>
          <w:bCs/>
          <w:kern w:val="0"/>
          <w:szCs w:val="28"/>
          <w:rtl/>
          <w14:ligatures w14:val="none"/>
        </w:rPr>
        <w:t xml:space="preserve">רס"ל </w:t>
      </w:r>
      <w:proofErr w:type="spellStart"/>
      <w:r w:rsidRPr="00043FBC">
        <w:rPr>
          <w:rFonts w:ascii="Times New Roman" w:eastAsia="Calibri" w:hAnsi="Times New Roman" w:cs="David"/>
          <w:b/>
          <w:bCs/>
          <w:kern w:val="0"/>
          <w:szCs w:val="28"/>
          <w:rtl/>
          <w14:ligatures w14:val="none"/>
        </w:rPr>
        <w:t>ענטנברג</w:t>
      </w:r>
      <w:proofErr w:type="spellEnd"/>
      <w:r w:rsidRPr="00043FBC">
        <w:rPr>
          <w:rFonts w:ascii="Times New Roman" w:eastAsia="Calibri" w:hAnsi="Times New Roman" w:cs="David"/>
          <w:b/>
          <w:bCs/>
          <w:kern w:val="0"/>
          <w:szCs w:val="28"/>
          <w:rtl/>
          <w14:ligatures w14:val="none"/>
        </w:rPr>
        <w:t xml:space="preserve"> נ' התובע הצבאי הראשי</w:t>
      </w:r>
      <w:r w:rsidRPr="00043FBC">
        <w:rPr>
          <w:rFonts w:ascii="Times New Roman" w:eastAsia="Calibri" w:hAnsi="Times New Roman" w:cs="David"/>
          <w:kern w:val="0"/>
          <w:szCs w:val="28"/>
          <w:rtl/>
          <w14:ligatures w14:val="none"/>
        </w:rPr>
        <w:t xml:space="preserve">, פסקה 31 (2023); ע/68/24 </w:t>
      </w:r>
      <w:r w:rsidRPr="00043FBC">
        <w:rPr>
          <w:rFonts w:ascii="Times New Roman" w:eastAsia="Calibri" w:hAnsi="Times New Roman" w:cs="David"/>
          <w:b/>
          <w:bCs/>
          <w:kern w:val="0"/>
          <w:szCs w:val="28"/>
          <w:rtl/>
          <w14:ligatures w14:val="none"/>
        </w:rPr>
        <w:t xml:space="preserve">טור' </w:t>
      </w:r>
      <w:proofErr w:type="spellStart"/>
      <w:r w:rsidRPr="00043FBC">
        <w:rPr>
          <w:rFonts w:ascii="Times New Roman" w:eastAsia="Calibri" w:hAnsi="Times New Roman" w:cs="David"/>
          <w:b/>
          <w:bCs/>
          <w:kern w:val="0"/>
          <w:szCs w:val="28"/>
          <w:rtl/>
          <w14:ligatures w14:val="none"/>
        </w:rPr>
        <w:t>טספאי</w:t>
      </w:r>
      <w:proofErr w:type="spellEnd"/>
      <w:r w:rsidRPr="00043FBC">
        <w:rPr>
          <w:rFonts w:ascii="Times New Roman" w:eastAsia="Calibri" w:hAnsi="Times New Roman" w:cs="David"/>
          <w:b/>
          <w:bCs/>
          <w:kern w:val="0"/>
          <w:szCs w:val="28"/>
          <w:rtl/>
          <w14:ligatures w14:val="none"/>
        </w:rPr>
        <w:t xml:space="preserve"> נ' התובע הצבאי הראשי</w:t>
      </w:r>
      <w:r w:rsidRPr="00043FBC">
        <w:rPr>
          <w:rFonts w:ascii="Times New Roman" w:eastAsia="Calibri" w:hAnsi="Times New Roman" w:cs="David"/>
          <w:kern w:val="0"/>
          <w:szCs w:val="28"/>
          <w:rtl/>
          <w14:ligatures w14:val="none"/>
        </w:rPr>
        <w:t xml:space="preserve">, פסקות 20–21 (2025)). דוגמה לכך היא כאשר הממצא העובדתי מתבסס על מסמכים בכתב (ע"פ 2439/10 </w:t>
      </w:r>
      <w:r w:rsidRPr="00043FBC">
        <w:rPr>
          <w:rFonts w:ascii="Times New Roman" w:eastAsia="Calibri" w:hAnsi="Times New Roman" w:cs="David"/>
          <w:b/>
          <w:bCs/>
          <w:kern w:val="0"/>
          <w:szCs w:val="28"/>
          <w:rtl/>
          <w14:ligatures w14:val="none"/>
        </w:rPr>
        <w:t>פלוני נ' מדינת ישראל</w:t>
      </w:r>
      <w:r w:rsidRPr="00043FBC">
        <w:rPr>
          <w:rFonts w:ascii="Times New Roman" w:eastAsia="Calibri" w:hAnsi="Times New Roman" w:cs="David"/>
          <w:kern w:val="0"/>
          <w:szCs w:val="28"/>
          <w:rtl/>
          <w14:ligatures w14:val="none"/>
        </w:rPr>
        <w:t>, פסקה 4 (6.6.2012)), כבענייננו (למעט עדותו של המערער שנמצאה מהימנה).</w:t>
      </w:r>
      <w:r w:rsidRPr="00043FBC">
        <w:rPr>
          <w:rFonts w:ascii="Times New Roman" w:eastAsia="Calibri" w:hAnsi="Times New Roman" w:cs="David"/>
          <w:kern w:val="0"/>
          <w:szCs w:val="28"/>
          <w14:ligatures w14:val="none"/>
        </w:rPr>
        <w:t xml:space="preserve"> </w:t>
      </w:r>
    </w:p>
    <w:p w14:paraId="344F9B9D"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בחינת מלוא חומר החקירה שהוצג לבית הדין קמא ופרוטוקול הדיונים, בראי טענות הצדדים, מעלה כי אין להתערב בממצאים שבעובדה שקבע בית הדין. בית הדין נדרש לכל האמרות שהוצגו לפניו ולעדותו של המערער, השווה בין הדברים ובחן לעומק את השתלבותם (ראו פסקאות 43–48 להכרעת הדין, הפירוט וההפניות בהן).</w:t>
      </w:r>
    </w:p>
    <w:p w14:paraId="2D8F09C0" w14:textId="571F5A46" w:rsidR="00334BAB" w:rsidRPr="00BF2BE0" w:rsidRDefault="00043FBC" w:rsidP="00BF2BE0">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בהתאם, אין בידינו לקבל את טענתה המרכזית של התביעה בשלב הערעור במישור קביעת העובדות. כאמור, התביעה טוענת כי המערער הוא שהיה אחראי למימוש נוהל ההשגחה. אלא שבדין קבע בית הדין קמא כי ברגיל, היה המ"פ אחראי, כנהוג ביחידה, על ביצוע הנוהל, וכי לא הוכח במידת הוודאות הנדרשת בפלילים שלאחר שהמ"פ עזב את שטח היחידה, "[המערער] ... </w:t>
      </w:r>
      <w:r w:rsidRPr="00043FBC">
        <w:rPr>
          <w:rFonts w:ascii="Times New Roman" w:eastAsia="Calibri" w:hAnsi="Times New Roman" w:cs="David"/>
          <w:b/>
          <w:bCs/>
          <w:kern w:val="0"/>
          <w:szCs w:val="28"/>
          <w:rtl/>
          <w14:ligatures w14:val="none"/>
        </w:rPr>
        <w:t>הוגדר</w:t>
      </w:r>
      <w:r w:rsidRPr="00043FBC">
        <w:rPr>
          <w:rFonts w:ascii="Times New Roman" w:eastAsia="Calibri" w:hAnsi="Times New Roman" w:cs="David"/>
          <w:kern w:val="0"/>
          <w:szCs w:val="28"/>
          <w:rtl/>
          <w14:ligatures w14:val="none"/>
        </w:rPr>
        <w:t xml:space="preserve"> מפורשות על ידי המ"פ </w:t>
      </w:r>
      <w:r w:rsidRPr="00043FBC">
        <w:rPr>
          <w:rFonts w:ascii="Times New Roman" w:eastAsia="Calibri" w:hAnsi="Times New Roman" w:cs="David"/>
          <w:b/>
          <w:bCs/>
          <w:kern w:val="0"/>
          <w:szCs w:val="28"/>
          <w:u w:val="single"/>
          <w:rtl/>
          <w14:ligatures w14:val="none"/>
        </w:rPr>
        <w:t>כאחראי</w:t>
      </w:r>
      <w:r w:rsidRPr="00043FBC">
        <w:rPr>
          <w:rFonts w:ascii="Times New Roman" w:eastAsia="Calibri" w:hAnsi="Times New Roman" w:cs="David"/>
          <w:kern w:val="0"/>
          <w:szCs w:val="28"/>
          <w:rtl/>
          <w14:ligatures w14:val="none"/>
        </w:rPr>
        <w:t xml:space="preserve"> </w:t>
      </w:r>
      <w:r w:rsidRPr="00043FBC">
        <w:rPr>
          <w:rFonts w:ascii="Times New Roman" w:eastAsia="Calibri" w:hAnsi="Times New Roman" w:cs="David"/>
          <w:b/>
          <w:bCs/>
          <w:kern w:val="0"/>
          <w:szCs w:val="28"/>
          <w:rtl/>
          <w14:ligatures w14:val="none"/>
        </w:rPr>
        <w:t>על</w:t>
      </w:r>
      <w:r w:rsidRPr="00043FBC">
        <w:rPr>
          <w:rFonts w:ascii="Times New Roman" w:eastAsia="Calibri" w:hAnsi="Times New Roman" w:cs="David"/>
          <w:kern w:val="0"/>
          <w:szCs w:val="28"/>
          <w:rtl/>
          <w14:ligatures w14:val="none"/>
        </w:rPr>
        <w:t xml:space="preserve"> </w:t>
      </w:r>
      <w:r w:rsidRPr="00043FBC">
        <w:rPr>
          <w:rFonts w:ascii="Times New Roman" w:eastAsia="Calibri" w:hAnsi="Times New Roman" w:cs="David"/>
          <w:b/>
          <w:bCs/>
          <w:kern w:val="0"/>
          <w:szCs w:val="28"/>
          <w:rtl/>
          <w14:ligatures w14:val="none"/>
        </w:rPr>
        <w:t>נוהל</w:t>
      </w:r>
      <w:r w:rsidRPr="00043FBC">
        <w:rPr>
          <w:rFonts w:ascii="Times New Roman" w:eastAsia="Calibri" w:hAnsi="Times New Roman" w:cs="David"/>
          <w:kern w:val="0"/>
          <w:szCs w:val="28"/>
          <w:rtl/>
          <w14:ligatures w14:val="none"/>
        </w:rPr>
        <w:t xml:space="preserve"> </w:t>
      </w:r>
      <w:r w:rsidRPr="00043FBC">
        <w:rPr>
          <w:rFonts w:ascii="Times New Roman" w:eastAsia="Calibri" w:hAnsi="Times New Roman" w:cs="David"/>
          <w:b/>
          <w:bCs/>
          <w:kern w:val="0"/>
          <w:szCs w:val="28"/>
          <w:rtl/>
          <w14:ligatures w14:val="none"/>
        </w:rPr>
        <w:t>ההשגחה</w:t>
      </w:r>
      <w:r w:rsidRPr="00043FBC">
        <w:rPr>
          <w:rFonts w:ascii="Times New Roman" w:eastAsia="Calibri" w:hAnsi="Times New Roman" w:cs="David"/>
          <w:kern w:val="0"/>
          <w:szCs w:val="28"/>
          <w:rtl/>
          <w14:ligatures w14:val="none"/>
        </w:rPr>
        <w:t>" (פסקה 44 להכרעת הדין; הדגשות במקור)</w:t>
      </w:r>
      <w:r w:rsidR="00334BAB">
        <w:rPr>
          <w:rFonts w:ascii="Times New Roman" w:eastAsia="Calibri" w:hAnsi="Times New Roman" w:cs="David" w:hint="cs"/>
          <w:kern w:val="0"/>
          <w:szCs w:val="28"/>
          <w:rtl/>
          <w14:ligatures w14:val="none"/>
        </w:rPr>
        <w:t>.</w:t>
      </w:r>
    </w:p>
    <w:p w14:paraId="5A4D1947" w14:textId="77777777" w:rsidR="00043FBC" w:rsidRPr="00043FBC" w:rsidRDefault="00043FBC" w:rsidP="00BF2BE0">
      <w:pPr>
        <w:bidi/>
        <w:spacing w:after="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lastRenderedPageBreak/>
        <w:t>המערער הסביר בעדותו בנוגע לנוהל ההשגחה:</w:t>
      </w:r>
    </w:p>
    <w:p w14:paraId="5ACFAC8E" w14:textId="77777777" w:rsid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"בדרך כלל מי שמנהל אותו זה המ"פ כי הוא לא נמצא </w:t>
      </w:r>
      <w:proofErr w:type="spellStart"/>
      <w:r w:rsidRPr="00043FBC">
        <w:rPr>
          <w:rFonts w:ascii="Times New Roman" w:eastAsia="Calibri" w:hAnsi="Times New Roman" w:cs="David"/>
          <w:kern w:val="0"/>
          <w:szCs w:val="28"/>
          <w:rtl/>
          <w14:ligatures w14:val="none"/>
        </w:rPr>
        <w:t>בלו"ז</w:t>
      </w:r>
      <w:proofErr w:type="spellEnd"/>
      <w:r w:rsidRPr="00043FBC">
        <w:rPr>
          <w:rFonts w:ascii="Times New Roman" w:eastAsia="Calibri" w:hAnsi="Times New Roman" w:cs="David"/>
          <w:kern w:val="0"/>
          <w:szCs w:val="28"/>
          <w:rtl/>
          <w14:ligatures w14:val="none"/>
        </w:rPr>
        <w:t xml:space="preserve"> אלא מעל </w:t>
      </w:r>
      <w:proofErr w:type="spellStart"/>
      <w:r w:rsidRPr="00043FBC">
        <w:rPr>
          <w:rFonts w:ascii="Times New Roman" w:eastAsia="Calibri" w:hAnsi="Times New Roman" w:cs="David"/>
          <w:kern w:val="0"/>
          <w:szCs w:val="28"/>
          <w:rtl/>
          <w14:ligatures w14:val="none"/>
        </w:rPr>
        <w:t>הלו"ז</w:t>
      </w:r>
      <w:proofErr w:type="spellEnd"/>
      <w:r w:rsidRPr="00043FBC">
        <w:rPr>
          <w:rFonts w:ascii="Times New Roman" w:eastAsia="Calibri" w:hAnsi="Times New Roman" w:cs="David"/>
          <w:kern w:val="0"/>
          <w:szCs w:val="28"/>
          <w:rtl/>
          <w14:ligatures w14:val="none"/>
        </w:rPr>
        <w:t xml:space="preserve"> והוא לא נמצא במגע ישיר עם החיילים בתוך </w:t>
      </w:r>
      <w:proofErr w:type="spellStart"/>
      <w:r w:rsidRPr="00043FBC">
        <w:rPr>
          <w:rFonts w:ascii="Times New Roman" w:eastAsia="Calibri" w:hAnsi="Times New Roman" w:cs="David"/>
          <w:kern w:val="0"/>
          <w:szCs w:val="28"/>
          <w:rtl/>
          <w14:ligatures w14:val="none"/>
        </w:rPr>
        <w:t>הלו"ז</w:t>
      </w:r>
      <w:proofErr w:type="spellEnd"/>
      <w:r w:rsidRPr="00043FBC">
        <w:rPr>
          <w:rFonts w:ascii="Times New Roman" w:eastAsia="Calibri" w:hAnsi="Times New Roman" w:cs="David"/>
          <w:kern w:val="0"/>
          <w:szCs w:val="28"/>
          <w:rtl/>
          <w14:ligatures w14:val="none"/>
        </w:rPr>
        <w:t xml:space="preserve"> אז לרוב מי שנמצא גם בקשר עם הקב"נית ומדבר איתה זה המ"פ" (עמ' 8, ש' 3–5).</w:t>
      </w:r>
    </w:p>
    <w:p w14:paraId="38237C54" w14:textId="77777777" w:rsidR="00334BAB" w:rsidRPr="00BF2BE0" w:rsidRDefault="00334BAB" w:rsidP="00334BAB">
      <w:pPr>
        <w:bidi/>
        <w:spacing w:before="180" w:after="120" w:line="240" w:lineRule="auto"/>
        <w:ind w:left="1106" w:right="1138"/>
        <w:contextualSpacing/>
        <w:jc w:val="both"/>
        <w:rPr>
          <w:rFonts w:ascii="Times New Roman" w:eastAsia="Calibri" w:hAnsi="Times New Roman" w:cs="David"/>
          <w:kern w:val="0"/>
          <w:sz w:val="8"/>
          <w:szCs w:val="10"/>
          <w14:ligatures w14:val="none"/>
        </w:rPr>
      </w:pPr>
    </w:p>
    <w:p w14:paraId="6C1BB5C6" w14:textId="77777777" w:rsidR="00043FBC" w:rsidRPr="00043FBC" w:rsidRDefault="00043FBC" w:rsidP="00043FBC">
      <w:p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בדומה, מסר סגן המ"פ, סגן תומר, בחקירתו במצ"ח כי "בכללי מ"פ מתעסק בכל העניינים </w:t>
      </w:r>
      <w:proofErr w:type="spellStart"/>
      <w:r w:rsidRPr="00043FBC">
        <w:rPr>
          <w:rFonts w:ascii="Times New Roman" w:eastAsia="Calibri" w:hAnsi="Times New Roman" w:cs="David"/>
          <w:kern w:val="0"/>
          <w:szCs w:val="28"/>
          <w:rtl/>
          <w14:ligatures w14:val="none"/>
        </w:rPr>
        <w:t>הברה"נים</w:t>
      </w:r>
      <w:proofErr w:type="spellEnd"/>
      <w:r w:rsidRPr="00043FBC">
        <w:rPr>
          <w:rFonts w:ascii="Times New Roman" w:eastAsia="Calibri" w:hAnsi="Times New Roman" w:cs="David"/>
          <w:kern w:val="0"/>
          <w:szCs w:val="28"/>
          <w:rtl/>
          <w14:ligatures w14:val="none"/>
        </w:rPr>
        <w:t xml:space="preserve"> בפלוגה. כל ציר בריאות הנפש עובר דרך המ"פ" (ת/19, ע' 6, ש' 146–147). ראו גם את דברי מפקד המסלול, רס"ן נתן, בעדותו במצ"ח: "בנוהל השגחה המ"פ הוא זה שהאחראי על הביצוע שלו" (ת/20, ע' 9, ש' 221–222). </w:t>
      </w:r>
    </w:p>
    <w:p w14:paraId="7E19663C" w14:textId="77777777" w:rsidR="00043FBC" w:rsidRPr="00043FBC" w:rsidRDefault="00043FBC" w:rsidP="00BF2BE0">
      <w:pPr>
        <w:numPr>
          <w:ilvl w:val="0"/>
          <w:numId w:val="1"/>
        </w:numPr>
        <w:bidi/>
        <w:spacing w:after="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למעשה, לא הוכח כי בפועל היה מי שסבר שהאחריות בנושא עברה מהמ"פ אל המערער. אף שהמערער פעל רבות בקשר לטיפול בנפגע, אחרים לא ראו בו אחראי למימוש הנוהל וחלקיו השונים. כפי שקבע בית הדין המחוזי, ההוראה של המ"פ למערער "להסדיר את נוהל ההשגחה", לא שינתה את אותה תפיסה בזמן אמת. כך, המ"פ </w:t>
      </w:r>
      <w:proofErr w:type="spellStart"/>
      <w:r w:rsidRPr="00043FBC">
        <w:rPr>
          <w:rFonts w:ascii="Times New Roman" w:eastAsia="Calibri" w:hAnsi="Times New Roman" w:cs="David"/>
          <w:kern w:val="0"/>
          <w:szCs w:val="28"/>
          <w:rtl/>
          <w14:ligatures w14:val="none"/>
        </w:rPr>
        <w:t>וסגנו</w:t>
      </w:r>
      <w:proofErr w:type="spellEnd"/>
      <w:r w:rsidRPr="00043FBC">
        <w:rPr>
          <w:rFonts w:ascii="Times New Roman" w:eastAsia="Calibri" w:hAnsi="Times New Roman" w:cs="David"/>
          <w:kern w:val="0"/>
          <w:szCs w:val="28"/>
          <w:rtl/>
          <w14:ligatures w14:val="none"/>
        </w:rPr>
        <w:t xml:space="preserve"> – מפקדיו של המערער – הורו, כל אחד בתורו, לסמל רומן לעזוב את משמרתו בצוות ההשגחה. אילו חשבו שהמערער אחראי לנושא, היו מתייעצים </w:t>
      </w:r>
      <w:proofErr w:type="spellStart"/>
      <w:r w:rsidRPr="00043FBC">
        <w:rPr>
          <w:rFonts w:ascii="Times New Roman" w:eastAsia="Calibri" w:hAnsi="Times New Roman" w:cs="David"/>
          <w:kern w:val="0"/>
          <w:szCs w:val="28"/>
          <w:rtl/>
          <w14:ligatures w14:val="none"/>
        </w:rPr>
        <w:t>איתו</w:t>
      </w:r>
      <w:proofErr w:type="spellEnd"/>
      <w:r w:rsidRPr="00043FBC">
        <w:rPr>
          <w:rFonts w:ascii="Times New Roman" w:eastAsia="Calibri" w:hAnsi="Times New Roman" w:cs="David"/>
          <w:kern w:val="0"/>
          <w:szCs w:val="28"/>
          <w:rtl/>
          <w14:ligatures w14:val="none"/>
        </w:rPr>
        <w:t xml:space="preserve"> מראש ולכל הפחות מעדכנים אותו בדיעבד. המערער עצמו לא הבין שקיבל אחריות רחבה על כל חלקי הנוהל, ואפילו לא "אחריות כללית לסוגיית המשגיחים", כטענת התביעה. בעדותו, שנמצאה כאמור מהימנה – קביעה שאינה מצדיקה התערבות של ערכאת הערעור – עמד המערער על המשמעות המוגבלת של שיחתו עם המ"פ:</w:t>
      </w:r>
    </w:p>
    <w:p w14:paraId="2F740EFF"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"הדבר הזה של ההחלפות ש[המ"פ] מדבר איתי שבמקרה ומישהו צריך החלפה, להחליף אותו. וזה מה שעשיתי. רומן היה צריך החלפה החלפתי אותו, אם הוא היה מבקש ממני רשימת שמירה הוא היה מקבל ממני רשימת שמירה" (פרוטוקול דיון 31.12.2024, ע' 20, ש' 30–33).</w:t>
      </w:r>
    </w:p>
    <w:p w14:paraId="12702894" w14:textId="77777777" w:rsidR="00043FBC" w:rsidRPr="00BF2BE0" w:rsidRDefault="00043FBC" w:rsidP="00043FBC">
      <w:pPr>
        <w:bidi/>
        <w:spacing w:before="180" w:after="120" w:line="360" w:lineRule="auto"/>
        <w:ind w:left="1134" w:right="1134"/>
        <w:contextualSpacing/>
        <w:jc w:val="both"/>
        <w:rPr>
          <w:rFonts w:ascii="Times New Roman" w:eastAsia="Calibri" w:hAnsi="Times New Roman" w:cs="David"/>
          <w:kern w:val="0"/>
          <w:sz w:val="16"/>
          <w:szCs w:val="18"/>
          <w:rtl/>
          <w14:ligatures w14:val="none"/>
        </w:rPr>
      </w:pPr>
    </w:p>
    <w:p w14:paraId="73D1645E"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"ת:</w:t>
      </w:r>
      <w:r w:rsidRPr="00043FBC">
        <w:rPr>
          <w:rFonts w:ascii="Times New Roman" w:eastAsia="Calibri" w:hAnsi="Times New Roman" w:cs="David"/>
          <w:kern w:val="0"/>
          <w:szCs w:val="28"/>
          <w:rtl/>
          <w14:ligatures w14:val="none"/>
        </w:rPr>
        <w:tab/>
        <w:t>מה אתה הבנת ש[המ"פ] אמר לך באותה שיחת טלפון?</w:t>
      </w:r>
    </w:p>
    <w:p w14:paraId="4304699A"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נ:</w:t>
      </w:r>
      <w:r w:rsidRPr="00043FBC">
        <w:rPr>
          <w:rFonts w:ascii="Times New Roman" w:eastAsia="Calibri" w:hAnsi="Times New Roman" w:cs="David"/>
          <w:kern w:val="0"/>
          <w:szCs w:val="28"/>
          <w:rtl/>
          <w14:ligatures w14:val="none"/>
        </w:rPr>
        <w:tab/>
        <w:t xml:space="preserve">שאם אני נתקע עם בן אדם שלא יחליף, לדבר עם מרום </w:t>
      </w:r>
      <w:proofErr w:type="spellStart"/>
      <w:r w:rsidRPr="00043FBC">
        <w:rPr>
          <w:rFonts w:ascii="Times New Roman" w:eastAsia="Calibri" w:hAnsi="Times New Roman" w:cs="David"/>
          <w:kern w:val="0"/>
          <w:szCs w:val="28"/>
          <w:rtl/>
          <w14:ligatures w14:val="none"/>
        </w:rPr>
        <w:t>הרס"פ</w:t>
      </w:r>
      <w:proofErr w:type="spellEnd"/>
      <w:r w:rsidRPr="00043FBC">
        <w:rPr>
          <w:rFonts w:ascii="Times New Roman" w:eastAsia="Calibri" w:hAnsi="Times New Roman" w:cs="David"/>
          <w:kern w:val="0"/>
          <w:szCs w:val="28"/>
          <w:rtl/>
          <w14:ligatures w14:val="none"/>
        </w:rPr>
        <w:t xml:space="preserve"> או אחד המ"מים או משהו כזה.</w:t>
      </w:r>
    </w:p>
    <w:p w14:paraId="1B5411BD"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ת:</w:t>
      </w:r>
      <w:r w:rsidRPr="00043FBC">
        <w:rPr>
          <w:rFonts w:ascii="Times New Roman" w:eastAsia="Calibri" w:hAnsi="Times New Roman" w:cs="David"/>
          <w:kern w:val="0"/>
          <w:szCs w:val="28"/>
          <w:rtl/>
          <w14:ligatures w14:val="none"/>
        </w:rPr>
        <w:tab/>
        <w:t>כלומר הבנת שאם יש קושי בעניין של שיבוץ משגיחים יש לך למי לפנות בפלוגה?</w:t>
      </w:r>
    </w:p>
    <w:p w14:paraId="03393C82" w14:textId="77777777" w:rsid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נ:</w:t>
      </w:r>
      <w:r w:rsidRPr="00043FBC">
        <w:rPr>
          <w:rFonts w:ascii="Times New Roman" w:eastAsia="Calibri" w:hAnsi="Times New Roman" w:cs="David"/>
          <w:kern w:val="0"/>
          <w:szCs w:val="28"/>
          <w:rtl/>
          <w14:ligatures w14:val="none"/>
        </w:rPr>
        <w:tab/>
        <w:t>אם חסר לי משגיח ואין לי שם אני מדבר עם [המ"פ]" (שם, ע' 24, ש' 1–4).</w:t>
      </w:r>
    </w:p>
    <w:p w14:paraId="320D0203" w14:textId="77777777" w:rsidR="00334BAB" w:rsidRPr="00BF2BE0" w:rsidRDefault="00334BAB" w:rsidP="00334BAB">
      <w:pPr>
        <w:bidi/>
        <w:spacing w:before="180" w:after="120" w:line="240" w:lineRule="auto"/>
        <w:ind w:left="1106" w:right="1138"/>
        <w:contextualSpacing/>
        <w:jc w:val="both"/>
        <w:rPr>
          <w:rFonts w:ascii="Times New Roman" w:eastAsia="Calibri" w:hAnsi="Times New Roman" w:cs="David"/>
          <w:kern w:val="0"/>
          <w:sz w:val="8"/>
          <w:szCs w:val="10"/>
          <w14:ligatures w14:val="none"/>
        </w:rPr>
      </w:pPr>
    </w:p>
    <w:p w14:paraId="45D2E739"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חיזוק למסקנה זו נמצא באמרות של המ"פ עצמו במצ"ח. אומנם במקומות מסוימים אמר על שיחתו עם המערער: "חידדתי לו את הנהלים, שידאג שיש </w:t>
      </w:r>
      <w:proofErr w:type="spellStart"/>
      <w:r w:rsidRPr="00043FBC">
        <w:rPr>
          <w:rFonts w:ascii="Times New Roman" w:eastAsia="Calibri" w:hAnsi="Times New Roman" w:cs="David"/>
          <w:kern w:val="0"/>
          <w:szCs w:val="28"/>
          <w:rtl/>
          <w14:ligatures w14:val="none"/>
        </w:rPr>
        <w:t>איתו</w:t>
      </w:r>
      <w:proofErr w:type="spellEnd"/>
      <w:r w:rsidRPr="00043FBC">
        <w:rPr>
          <w:rFonts w:ascii="Times New Roman" w:eastAsia="Calibri" w:hAnsi="Times New Roman" w:cs="David"/>
          <w:kern w:val="0"/>
          <w:szCs w:val="28"/>
          <w:rtl/>
          <w14:ligatures w14:val="none"/>
        </w:rPr>
        <w:t xml:space="preserve"> 2 אנשים ללא נשק ואם יש בעיות שיתקשר אלי" (ת/18, ע' 15, ש' 375–376); "התקשרתי אליו ואמרתי לו על התקלה שהיה משגיח עם נשק ושידאג שיהיו 2 אנשים עם [הנפגע] </w:t>
      </w:r>
      <w:r w:rsidRPr="00043FBC">
        <w:rPr>
          <w:rFonts w:ascii="Times New Roman" w:eastAsia="Calibri" w:hAnsi="Times New Roman" w:cs="David"/>
          <w:b/>
          <w:bCs/>
          <w:kern w:val="0"/>
          <w:szCs w:val="28"/>
          <w:rtl/>
          <w14:ligatures w14:val="none"/>
        </w:rPr>
        <w:t xml:space="preserve">ושאם צריך </w:t>
      </w:r>
      <w:r w:rsidRPr="00043FBC">
        <w:rPr>
          <w:rFonts w:ascii="Times New Roman" w:eastAsia="Calibri" w:hAnsi="Times New Roman" w:cs="David"/>
          <w:kern w:val="0"/>
          <w:szCs w:val="28"/>
          <w:rtl/>
          <w14:ligatures w14:val="none"/>
        </w:rPr>
        <w:t xml:space="preserve">ידבר עם המ"מ או עם </w:t>
      </w:r>
      <w:proofErr w:type="spellStart"/>
      <w:r w:rsidRPr="00043FBC">
        <w:rPr>
          <w:rFonts w:ascii="Times New Roman" w:eastAsia="Calibri" w:hAnsi="Times New Roman" w:cs="David"/>
          <w:kern w:val="0"/>
          <w:szCs w:val="28"/>
          <w:rtl/>
          <w14:ligatures w14:val="none"/>
        </w:rPr>
        <w:t>הרס"פ</w:t>
      </w:r>
      <w:proofErr w:type="spellEnd"/>
      <w:r w:rsidRPr="00043FBC">
        <w:rPr>
          <w:rFonts w:ascii="Times New Roman" w:eastAsia="Calibri" w:hAnsi="Times New Roman" w:cs="David"/>
          <w:kern w:val="0"/>
          <w:szCs w:val="28"/>
          <w:rtl/>
          <w14:ligatures w14:val="none"/>
        </w:rPr>
        <w:t xml:space="preserve"> לגבי חילופים בשמירות" (ת/18, ע' 17, ש' 426–427); "אמרתי לו שצריך לדאוג לנוהל השגחה כמו שצריך, שיהיו 2 חיילים ללא נשקים, אם הוא צריך הוא יכול להיעזר במ"מ </w:t>
      </w:r>
      <w:proofErr w:type="spellStart"/>
      <w:r w:rsidRPr="00043FBC">
        <w:rPr>
          <w:rFonts w:ascii="Times New Roman" w:eastAsia="Calibri" w:hAnsi="Times New Roman" w:cs="David"/>
          <w:kern w:val="0"/>
          <w:szCs w:val="28"/>
          <w:rtl/>
          <w14:ligatures w14:val="none"/>
        </w:rPr>
        <w:t>והרס"פ</w:t>
      </w:r>
      <w:proofErr w:type="spellEnd"/>
      <w:r w:rsidRPr="00043FBC">
        <w:rPr>
          <w:rFonts w:ascii="Times New Roman" w:eastAsia="Calibri" w:hAnsi="Times New Roman" w:cs="David"/>
          <w:kern w:val="0"/>
          <w:szCs w:val="28"/>
          <w:rtl/>
          <w14:ligatures w14:val="none"/>
        </w:rPr>
        <w:t xml:space="preserve"> ואם יש בעיות הוא יכול להתקשר אלי" (ת/18, ע' 19, ש' 487–489). אולם כשנשאל מי אחראי להגדיר מחליפים למשגיחים, </w:t>
      </w:r>
      <w:r w:rsidRPr="00043FBC">
        <w:rPr>
          <w:rFonts w:ascii="Times New Roman" w:eastAsia="Calibri" w:hAnsi="Times New Roman" w:cs="David"/>
          <w:kern w:val="0"/>
          <w:szCs w:val="28"/>
          <w:rtl/>
          <w14:ligatures w14:val="none"/>
        </w:rPr>
        <w:lastRenderedPageBreak/>
        <w:t xml:space="preserve">המ"פ לא השיב ישירות, אלא ציין: "אמרתי ל[המערער] שאם הוא צריך בזה עזרה שידבר עם המקבילים שלו או עם </w:t>
      </w:r>
      <w:proofErr w:type="spellStart"/>
      <w:r w:rsidRPr="00043FBC">
        <w:rPr>
          <w:rFonts w:ascii="Times New Roman" w:eastAsia="Calibri" w:hAnsi="Times New Roman" w:cs="David"/>
          <w:kern w:val="0"/>
          <w:szCs w:val="28"/>
          <w:rtl/>
          <w14:ligatures w14:val="none"/>
        </w:rPr>
        <w:t>הרס"פ</w:t>
      </w:r>
      <w:proofErr w:type="spellEnd"/>
      <w:r w:rsidRPr="00043FBC">
        <w:rPr>
          <w:rFonts w:ascii="Times New Roman" w:eastAsia="Calibri" w:hAnsi="Times New Roman" w:cs="David"/>
          <w:kern w:val="0"/>
          <w:szCs w:val="28"/>
          <w:rtl/>
          <w14:ligatures w14:val="none"/>
        </w:rPr>
        <w:t xml:space="preserve">" (ת/ 11, ע' 7, ש' 112–116). כלומר, גם לדברי המ"פ עצמו, הוא הגדיר שההתערבות הנדרשת מצידו של המערער אופציונלית ("אם צריך"), ובוודאי לא אחריות כללית לסוגיית המשגיחים, שעות השמירה שלהם וכיו"ב. זאת ועוד: במקומות אחרים סיפר המ"פ על הוראות מפורטות אפילו פחות. כשנשאל אם צריך לקבוע החלפות או תורנויות למפקדים שמשגיחים על חייל בהשגחה, שב והשיב: "צריך להתבצע, במקרה הזה לא הוגדר מפקד שיחליף, למרות שאמרתי ל[מערער] שאם הוא צריך עזרה בדברים שינהל שיח עם מ"מים מקבילים ועם </w:t>
      </w:r>
      <w:proofErr w:type="spellStart"/>
      <w:r w:rsidRPr="00043FBC">
        <w:rPr>
          <w:rFonts w:ascii="Times New Roman" w:eastAsia="Calibri" w:hAnsi="Times New Roman" w:cs="David"/>
          <w:kern w:val="0"/>
          <w:szCs w:val="28"/>
          <w:rtl/>
          <w14:ligatures w14:val="none"/>
        </w:rPr>
        <w:t>הרס"פ</w:t>
      </w:r>
      <w:proofErr w:type="spellEnd"/>
      <w:r w:rsidRPr="00043FBC">
        <w:rPr>
          <w:rFonts w:ascii="Times New Roman" w:eastAsia="Calibri" w:hAnsi="Times New Roman" w:cs="David"/>
          <w:kern w:val="0"/>
          <w:szCs w:val="28"/>
          <w:rtl/>
          <w14:ligatures w14:val="none"/>
        </w:rPr>
        <w:t xml:space="preserve"> שיעזרו לו, ושבמידה והוא לא מסתדר, שיעדכן אותי ואני אגדיר להם" (ת/11, ע' 6, ש' 69–72). וגם: "דיברתי עם [המערער] ושם גם הנחיתי אותו להיעזר במ"מים האחרים שיעזרו בנוהל" (ת/18, ע' 8, ש' 174). ובמקום אחר: "לא אני מיניתי אחראי [להסדיר את החילופים בין המשגיחים ולוודא שהנוהל מתנהל לפי הפקודה] אבל [המערער] המ"מ שלו הכיר את כל הנוהל ואני גם התקשרתי ל[מערער] לחדד לו את אופן הטיפול בחילופים ושאם הוא צריך עזרה שיפנה למ"מים" (ת/18, ע' 13, ש' 320–321). היינו, המ"פ שוחח עם המערער רק על החילופים, ואף זאת </w:t>
      </w:r>
      <w:r w:rsidRPr="00043FBC">
        <w:rPr>
          <w:rFonts w:ascii="Times New Roman" w:eastAsia="Calibri" w:hAnsi="Times New Roman" w:cs="David"/>
          <w:b/>
          <w:bCs/>
          <w:kern w:val="0"/>
          <w:szCs w:val="28"/>
          <w:rtl/>
          <w14:ligatures w14:val="none"/>
        </w:rPr>
        <w:t>במקרה הצורך</w:t>
      </w:r>
      <w:r w:rsidRPr="00043FBC">
        <w:rPr>
          <w:rFonts w:ascii="Times New Roman" w:eastAsia="Calibri" w:hAnsi="Times New Roman" w:cs="David"/>
          <w:kern w:val="0"/>
          <w:szCs w:val="28"/>
          <w:rtl/>
          <w14:ligatures w14:val="none"/>
        </w:rPr>
        <w:t xml:space="preserve"> כאמור – ולא מינה אחראי במקומו לביצוע כולל של הנוהל, או להגדרת המשמרות של המשגיחים (ראו גם מייד בהמשך, שם, ש' 322–324: המ"פ נשאל "מדוע לא מונה קצין/מפקד", והשיב שהיה "אצל המח"ט" וכי כאשר הגיעו לבסיס עם הנפגע, כבר עזב את הפלוגה; לאחר מכן נשאל, ש' 338-328, "מדוע לא מינית קצין/מפקד שיהיה אחראי על נוהל ההשגחה על [הנפגע]?", והתחמק ממתן תשובה). בהמשך ביקש להיוועץ בסנגור ולאחר מכן טען בחקירתו שהמערער אחראי לנוהל ההשגחה מפני שהנפגע "חייל שלו" (שם, ע' 14, ש' 343). אולם כשנשאל "האם מישהו הנחה את [המערער] ואמר לו שהוא האחראי על תפעולו התקין של נוהל ההשגחה על [הנפגע]?", השיב: "</w:t>
      </w:r>
      <w:r w:rsidRPr="00043FBC">
        <w:rPr>
          <w:rFonts w:ascii="Times New Roman" w:eastAsia="Calibri" w:hAnsi="Times New Roman" w:cs="David"/>
          <w:b/>
          <w:bCs/>
          <w:kern w:val="0"/>
          <w:szCs w:val="28"/>
          <w:rtl/>
          <w14:ligatures w14:val="none"/>
        </w:rPr>
        <w:t>לא שאני יודע</w:t>
      </w:r>
      <w:r w:rsidRPr="00043FBC">
        <w:rPr>
          <w:rFonts w:ascii="Times New Roman" w:eastAsia="Calibri" w:hAnsi="Times New Roman" w:cs="David"/>
          <w:kern w:val="0"/>
          <w:szCs w:val="28"/>
          <w:rtl/>
          <w14:ligatures w14:val="none"/>
        </w:rPr>
        <w:t xml:space="preserve">", והוסיף שלא וידא זאת, ושאינו יודע אם </w:t>
      </w:r>
      <w:proofErr w:type="spellStart"/>
      <w:r w:rsidRPr="00043FBC">
        <w:rPr>
          <w:rFonts w:ascii="Times New Roman" w:eastAsia="Calibri" w:hAnsi="Times New Roman" w:cs="David"/>
          <w:kern w:val="0"/>
          <w:szCs w:val="28"/>
          <w:rtl/>
          <w14:ligatures w14:val="none"/>
        </w:rPr>
        <w:t>סגנו</w:t>
      </w:r>
      <w:proofErr w:type="spellEnd"/>
      <w:r w:rsidRPr="00043FBC">
        <w:rPr>
          <w:rFonts w:ascii="Times New Roman" w:eastAsia="Calibri" w:hAnsi="Times New Roman" w:cs="David"/>
          <w:kern w:val="0"/>
          <w:szCs w:val="28"/>
          <w:rtl/>
          <w14:ligatures w14:val="none"/>
        </w:rPr>
        <w:t xml:space="preserve">, סגן תומר, וידא זאת (שם, ש' 344–354). דומה כי תשובה אחרונה זו </w:t>
      </w:r>
      <w:r w:rsidRPr="00043FBC">
        <w:rPr>
          <w:rFonts w:ascii="Times New Roman" w:eastAsia="Calibri" w:hAnsi="Times New Roman" w:cs="David"/>
          <w:b/>
          <w:bCs/>
          <w:kern w:val="0"/>
          <w:szCs w:val="28"/>
          <w:rtl/>
          <w14:ligatures w14:val="none"/>
        </w:rPr>
        <w:t>מדברת בעד עצמה</w:t>
      </w:r>
      <w:r w:rsidRPr="00043FBC">
        <w:rPr>
          <w:rFonts w:ascii="Times New Roman" w:eastAsia="Calibri" w:hAnsi="Times New Roman" w:cs="David"/>
          <w:kern w:val="0"/>
          <w:szCs w:val="28"/>
          <w:rtl/>
          <w14:ligatures w14:val="none"/>
        </w:rPr>
        <w:t>.</w:t>
      </w:r>
    </w:p>
    <w:p w14:paraId="46FD3EB0"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לצד זאת, חשוב להדגיש כי המערער היה מפקד המחלקה. הוא היה מפקדו של מפקד הכיתה, סמל שלֵו, שנקבע בידי המ"פ למשגיח לפי נוהל ההשגחה, ושהיה מפקדו של הנפגע. המערער הכיר את הסיכון לחיי הנפגע שנזקק להשגחה, והיה ער לפרק הזמן המתמשך שבו שימש סמל שלֵו משגיח. </w:t>
      </w:r>
    </w:p>
    <w:p w14:paraId="7C5AD3A1"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להשלמת המסגרת העובדתית ובטרם ניגש לבחינת המסגרת הנורמטיבית וליישומה בראי העובדות, נרחיב מעט את התמונה הרלוונטית על פי חומר הראיות שהוצג לבית הדין קמא. </w:t>
      </w:r>
    </w:p>
    <w:p w14:paraId="4375C4B2"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כאמור, המערער, אשר שימש מפקד מחלקה בהכשרת לוחמים, מונה לפקד על המטווחים ובפרק הזמן המדובר שהה מחוץ לשטח הפלוגה. בעדותו תיאר כי היה אחראי על מטווח באש חיה של למעלה מ-30 חיילים, וכי בשל נסיבות חיצוניות עמדו לרשותו במטווח רק סמל ומ"כ (במקום סמל ושלושה מ"כים. אחד מהם, סמל שלֵו, שהה בבסיס עם הנפגע. פרוטוקול דיון 31.12.2024, ע' 3, ש' </w:t>
      </w:r>
      <w:r w:rsidRPr="00043FBC">
        <w:rPr>
          <w:rFonts w:ascii="Times New Roman" w:eastAsia="Calibri" w:hAnsi="Times New Roman" w:cs="David"/>
          <w:kern w:val="0"/>
          <w:szCs w:val="28"/>
          <w:rtl/>
          <w14:ligatures w14:val="none"/>
        </w:rPr>
        <w:lastRenderedPageBreak/>
        <w:t xml:space="preserve">11–18, 24–25). המטווחים היו הפעילות העיקרית של המחלקה באותו השבוע ולמעשה, כבר ביום ראשון, 8 בינואר 2023, "ירדה" המחלקה ל"שטח" וביצעה שם "... מקצים ... מסובכים, ירי מאחורי מחסות או דברים כאלה" (שם, ע' 7, ש' 5), כולל מקצה לילה (שם, ש' 20–22) ו"ירי בתזוזה" (ע' 3). בגלל מורכבות המטווחים והסיכון הנלווה להם, רק המערער היה רשאי לנהל את המטווח (ע' 3, ש' 22–24) ולכן מרבית זמנו ותשומת ליבו הוקדשו לכך (ע' 11, ש' 30–ע' 12, ש' 2; ע' 6, ש' 27–ע' 7 ש' 2). המערער הסביר כי אומנם המטווחים לא היו בעיניו מחסום לטיפול בעניינים אחרים, אבל יצרו מגבלות בעניין (ע' 24, ש' 15–27) ומכאן שהעיסוק העיקרי שלו באותו שבוע היה ניהול המטווחים. </w:t>
      </w:r>
    </w:p>
    <w:p w14:paraId="1807A839"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עולה אפוא כי אחריותו של המערער לשלומם של יותר מ-30 חיילים המבצעים ירי באש חיה הייתה בלעדית, ויכולתו להיעזר בכפופים לו הייתה מוגבלת, הן מספרית הן מבחינת הפעולות שיכלו לבצע. עם זאת, המערער העיד על עצמו כי עניינים מסוימים – כמו הדאגה לנפגע – זכו לתשומת ליבו והיו "יותר חשובים ממטווחים" (ע' 24, ש' 15–27).</w:t>
      </w:r>
    </w:p>
    <w:p w14:paraId="78CD5816" w14:textId="77777777" w:rsidR="00043FBC" w:rsidRPr="00043FBC" w:rsidRDefault="00043FBC" w:rsidP="00BF2BE0">
      <w:pPr>
        <w:numPr>
          <w:ilvl w:val="0"/>
          <w:numId w:val="1"/>
        </w:numPr>
        <w:bidi/>
        <w:spacing w:after="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השהות במטווחים ואחריותו להם מנעו מהמערער להגיע לבסיס ולהשגיח מקרוב על הנעשה בנוגע לנפגע (ע' 21, ש' 3–7). המערער גם הסביר, ברקע הטענה כי סמל שלֵו לא הוחלף אף ש"לא ישן בלילה כמו שצריך", כי "כולנו היינו בלילות בלי שינה, אני הייתי רק עם הסמל שלי במטווח ובאופן כללי אז עבדנו כפול 2 מכולם וישנו פחות מכולם" (עמ' 8, ש' 2, 5–6). בכל זאת, המערער ביקש לנסוע לבסיס כדי לפגוש את פקודו – אולם מפקדו, סרן אורי, אסר עליו זאת והורה לו להישאר במטווח ולהשגיח על חיילי המחלקה:</w:t>
      </w:r>
    </w:p>
    <w:p w14:paraId="78B94BD6" w14:textId="77777777" w:rsid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"אני הייתי במטווחים בשטח, שלֵו ורומן שומרים על [הנפגע] למעלה בבסיס... אני בשיח ישיר תמיד עם שלֵו, אני מטלפן אליו לדבר </w:t>
      </w:r>
      <w:proofErr w:type="spellStart"/>
      <w:r w:rsidRPr="00043FBC">
        <w:rPr>
          <w:rFonts w:ascii="Times New Roman" w:eastAsia="Calibri" w:hAnsi="Times New Roman" w:cs="David"/>
          <w:kern w:val="0"/>
          <w:szCs w:val="28"/>
          <w:rtl/>
          <w14:ligatures w14:val="none"/>
        </w:rPr>
        <w:t>איתו</w:t>
      </w:r>
      <w:proofErr w:type="spellEnd"/>
      <w:r w:rsidRPr="00043FBC">
        <w:rPr>
          <w:rFonts w:ascii="Times New Roman" w:eastAsia="Calibri" w:hAnsi="Times New Roman" w:cs="David"/>
          <w:kern w:val="0"/>
          <w:szCs w:val="28"/>
          <w:rtl/>
          <w14:ligatures w14:val="none"/>
        </w:rPr>
        <w:t xml:space="preserve">, ביקשתי מ[המ"פ סרן אורי] לעלות כמה פעמים לראות את [הנפגע] כי רציתי לראות מה קורה </w:t>
      </w:r>
      <w:proofErr w:type="spellStart"/>
      <w:r w:rsidRPr="00043FBC">
        <w:rPr>
          <w:rFonts w:ascii="Times New Roman" w:eastAsia="Calibri" w:hAnsi="Times New Roman" w:cs="David"/>
          <w:kern w:val="0"/>
          <w:szCs w:val="28"/>
          <w:rtl/>
          <w14:ligatures w14:val="none"/>
        </w:rPr>
        <w:t>איתו</w:t>
      </w:r>
      <w:proofErr w:type="spellEnd"/>
      <w:r w:rsidRPr="00043FBC">
        <w:rPr>
          <w:rFonts w:ascii="Times New Roman" w:eastAsia="Calibri" w:hAnsi="Times New Roman" w:cs="David"/>
          <w:kern w:val="0"/>
          <w:szCs w:val="28"/>
          <w:rtl/>
          <w14:ligatures w14:val="none"/>
        </w:rPr>
        <w:t xml:space="preserve"> ולא ראיתי אותו עוד מהחזרה שלו מהמיון, רציתי לדבר </w:t>
      </w:r>
      <w:proofErr w:type="spellStart"/>
      <w:r w:rsidRPr="00043FBC">
        <w:rPr>
          <w:rFonts w:ascii="Times New Roman" w:eastAsia="Calibri" w:hAnsi="Times New Roman" w:cs="David"/>
          <w:kern w:val="0"/>
          <w:szCs w:val="28"/>
          <w:rtl/>
          <w14:ligatures w14:val="none"/>
        </w:rPr>
        <w:t>איתו</w:t>
      </w:r>
      <w:proofErr w:type="spellEnd"/>
      <w:r w:rsidRPr="00043FBC">
        <w:rPr>
          <w:rFonts w:ascii="Times New Roman" w:eastAsia="Calibri" w:hAnsi="Times New Roman" w:cs="David"/>
          <w:kern w:val="0"/>
          <w:szCs w:val="28"/>
          <w:rtl/>
          <w14:ligatures w14:val="none"/>
        </w:rPr>
        <w:t xml:space="preserve"> ולראות מה קורה </w:t>
      </w:r>
      <w:proofErr w:type="spellStart"/>
      <w:r w:rsidRPr="00043FBC">
        <w:rPr>
          <w:rFonts w:ascii="Times New Roman" w:eastAsia="Calibri" w:hAnsi="Times New Roman" w:cs="David"/>
          <w:kern w:val="0"/>
          <w:szCs w:val="28"/>
          <w:rtl/>
          <w14:ligatures w14:val="none"/>
        </w:rPr>
        <w:t>איתו</w:t>
      </w:r>
      <w:proofErr w:type="spellEnd"/>
      <w:r w:rsidRPr="00043FBC">
        <w:rPr>
          <w:rFonts w:ascii="Times New Roman" w:eastAsia="Calibri" w:hAnsi="Times New Roman" w:cs="David"/>
          <w:kern w:val="0"/>
          <w:szCs w:val="28"/>
          <w:rtl/>
          <w14:ligatures w14:val="none"/>
        </w:rPr>
        <w:t xml:space="preserve"> ולא הרשו לי. זה היה בשלישי בבוקר ו[המ"פ] אמר לי כמו שהוא אמר פעם קודמת שאני לא יכול ושיש לי מחלקה ושאני </w:t>
      </w:r>
      <w:proofErr w:type="spellStart"/>
      <w:r w:rsidRPr="00043FBC">
        <w:rPr>
          <w:rFonts w:ascii="Times New Roman" w:eastAsia="Calibri" w:hAnsi="Times New Roman" w:cs="David"/>
          <w:kern w:val="0"/>
          <w:szCs w:val="28"/>
          <w:rtl/>
          <w14:ligatures w14:val="none"/>
        </w:rPr>
        <w:t>אשאר</w:t>
      </w:r>
      <w:proofErr w:type="spellEnd"/>
      <w:r w:rsidRPr="00043FBC">
        <w:rPr>
          <w:rFonts w:ascii="Times New Roman" w:eastAsia="Calibri" w:hAnsi="Times New Roman" w:cs="David"/>
          <w:kern w:val="0"/>
          <w:szCs w:val="28"/>
          <w:rtl/>
          <w14:ligatures w14:val="none"/>
        </w:rPr>
        <w:t xml:space="preserve"> איתה וששלֵו כרגע עם [הנפגע] כי אני רציתי להצטרף גם לנסיעה אליו הביתה. הוא אמר לי[:] </w:t>
      </w:r>
      <w:proofErr w:type="spellStart"/>
      <w:r w:rsidRPr="00043FBC">
        <w:rPr>
          <w:rFonts w:ascii="Times New Roman" w:eastAsia="Calibri" w:hAnsi="Times New Roman" w:cs="David"/>
          <w:kern w:val="0"/>
          <w:szCs w:val="28"/>
          <w:rtl/>
          <w14:ligatures w14:val="none"/>
        </w:rPr>
        <w:t>הכל</w:t>
      </w:r>
      <w:proofErr w:type="spellEnd"/>
      <w:r w:rsidRPr="00043FBC">
        <w:rPr>
          <w:rFonts w:ascii="Times New Roman" w:eastAsia="Calibri" w:hAnsi="Times New Roman" w:cs="David"/>
          <w:kern w:val="0"/>
          <w:szCs w:val="28"/>
          <w:rtl/>
          <w14:ligatures w14:val="none"/>
        </w:rPr>
        <w:t xml:space="preserve"> בסדר שלֵו נמצא </w:t>
      </w:r>
      <w:proofErr w:type="spellStart"/>
      <w:r w:rsidRPr="00043FBC">
        <w:rPr>
          <w:rFonts w:ascii="Times New Roman" w:eastAsia="Calibri" w:hAnsi="Times New Roman" w:cs="David"/>
          <w:kern w:val="0"/>
          <w:szCs w:val="28"/>
          <w:rtl/>
          <w14:ligatures w14:val="none"/>
        </w:rPr>
        <w:t>איתו</w:t>
      </w:r>
      <w:proofErr w:type="spellEnd"/>
      <w:r w:rsidRPr="00043FBC">
        <w:rPr>
          <w:rFonts w:ascii="Times New Roman" w:eastAsia="Calibri" w:hAnsi="Times New Roman" w:cs="David"/>
          <w:kern w:val="0"/>
          <w:szCs w:val="28"/>
          <w:rtl/>
          <w14:ligatures w14:val="none"/>
        </w:rPr>
        <w:t xml:space="preserve"> אתה תישאר עם המחלקה. פעם ראשונה שאני מגלה שהנוהל כביכול לא קורה זה כששלֵו מתקשר אליי ואומר לי שתומר לקח את רומן והוריד אותו לשטח" (עמ' 6, ש' 10–18).</w:t>
      </w:r>
    </w:p>
    <w:p w14:paraId="4AF5618A" w14:textId="77777777" w:rsidR="00334BAB" w:rsidRPr="00BF2BE0" w:rsidRDefault="00334BAB" w:rsidP="00334BAB">
      <w:pPr>
        <w:bidi/>
        <w:spacing w:before="180" w:after="120" w:line="240" w:lineRule="auto"/>
        <w:ind w:left="1106" w:right="1138"/>
        <w:contextualSpacing/>
        <w:jc w:val="both"/>
        <w:rPr>
          <w:rFonts w:ascii="Times New Roman" w:eastAsia="Calibri" w:hAnsi="Times New Roman" w:cs="David"/>
          <w:kern w:val="0"/>
          <w:sz w:val="8"/>
          <w:szCs w:val="10"/>
          <w:rtl/>
          <w14:ligatures w14:val="none"/>
        </w:rPr>
      </w:pPr>
    </w:p>
    <w:p w14:paraId="779F36B7"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המערער הסביר בעדותו שסמך על מפקדיו ומילא את הוראותיהם, לרבות בנוגע לעניינים הקשורים בנוהל ההשגחה: "סמכתי עליהם שהם יודעים מה הם עושים" (ע' 16, ש' 32–ע' 17, ש' 8). כמו כן ציין כי תכנן לשוב לבסיס בערב האירוע אך נאלץ להמתין עד שסגן המ"פ, סגן תומר, יגיע ברכב, בסביבות השעה 22:00, כדי לנסוע עימו (ע' 7, ש' 14–15; ע' 15, ש' 33–ע' 16, ש' 4).</w:t>
      </w:r>
    </w:p>
    <w:p w14:paraId="320312ED"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הוא אכן למד מפי המ"פ על הפרת נוהל ההשגחה בידי סמל רומן, המשגיח האחר, עת נשא נשק בסמוך לנפגע בשעות הבוקר המוקדמות. אך הוא לא הכיר (אלא בדיעבד) שהמ"פ עצמו הפר את נוהל ההשגחה והורה לאותו סמל רומן לצאת למשימה אחרת (כשהוא מותיר את סמל שלֵו משגיח יחיד); </w:t>
      </w:r>
      <w:r w:rsidRPr="00043FBC">
        <w:rPr>
          <w:rFonts w:ascii="Times New Roman" w:eastAsia="Calibri" w:hAnsi="Times New Roman" w:cs="David"/>
          <w:kern w:val="0"/>
          <w:szCs w:val="28"/>
          <w:rtl/>
          <w14:ligatures w14:val="none"/>
        </w:rPr>
        <w:lastRenderedPageBreak/>
        <w:t xml:space="preserve">ולא הכיר שסגן תומר, סגן מפקד הפלוגה, הבחין בשעות אחר הצהריים שסמל שלֵו וסמל רומן, המשגיחים, לא שהו בצמוד לנפגע, אלא בחדר סמוך שדלתו סגורה. </w:t>
      </w:r>
    </w:p>
    <w:p w14:paraId="3AF9DF19"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בשעה 16:00 לערך, כפי שקבע בית הדין קמא, פנה המשגיח, המ"כ סמל שלֵו, בהוראתו של סגן תומר, בשיחת טלפון אל המערער. סמל שלֵו עדכן על כך שהמשגיח הנוסף נשלח למשימה ושיש צורך לצרף אליו משגיח חלופי. במענה לכך מסר המערער לסמל שלֵו – שנחשב מפקד כיתה מיומן ומקצועי – שם ספציפי של חייל שנכח בשטח הפלוגה, לביצוע המשימה, ואף הדגיש לסמל שלֵו "לא לזוז מן הנפגע". </w:t>
      </w:r>
    </w:p>
    <w:p w14:paraId="1EF0831F"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בשעות הערב הבחין סגן מפקד הפלוגה, סגן תומר, שסמל שלֵו עדיין משגיח יחידי, והעיר לו על כך. סגן תומר דרש מסמל שלֵו לשוחח שוב עם המערער ולצרף משגיח נוסף. סמל שלֵו לא מילא את ההנחיה ונמנע מלפנות אל החייל שהמערער הזכיר בתור משגיח נוסף. בהמשך, לאחר שסמל שלֵו נרדם, השיג הנפגע נשק, ירה בעצמו ונפצע פציעות חמורות.</w:t>
      </w:r>
    </w:p>
    <w:p w14:paraId="0BE30937" w14:textId="77777777" w:rsidR="00043FBC" w:rsidRPr="00043FBC" w:rsidRDefault="00043FBC" w:rsidP="00BF2BE0">
      <w:pPr>
        <w:numPr>
          <w:ilvl w:val="0"/>
          <w:numId w:val="1"/>
        </w:numPr>
        <w:bidi/>
        <w:spacing w:after="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בהשיבו לשאלה מדוע לא פעל לוודא שהוראתו לסמל שלֵו בוצעה, מסר המערער בעדותו בבית הדין שכמה גורמים חברו לכך. ראשית, הוא היה עסוק בניהול המטווח במשך כמה שעות (ע' 7, ש' 15–21; ע' 25, ש' 9–10). שנית, המערער תכנן לשוב עם סגן תומר לבסיס סמוך לאחר אותו פרק זמן ("מבחינתי אני אמור לעלות עם תומר לראות מה קורה שם": ע' 25, ש' 10–11; "אני הייתי אמור לפגוש את שלֵו ברגע שתומר היה אמור לעלות מהשטח לבסיס באותו היום", ע' 7, ש' 13–19; "אמרתי אני עוד שניה רואה אותו </w:t>
      </w:r>
      <w:proofErr w:type="spellStart"/>
      <w:r w:rsidRPr="00043FBC">
        <w:rPr>
          <w:rFonts w:ascii="Times New Roman" w:eastAsia="Calibri" w:hAnsi="Times New Roman" w:cs="David"/>
          <w:kern w:val="0"/>
          <w:szCs w:val="28"/>
          <w:rtl/>
          <w14:ligatures w14:val="none"/>
        </w:rPr>
        <w:t>הכל</w:t>
      </w:r>
      <w:proofErr w:type="spellEnd"/>
      <w:r w:rsidRPr="00043FBC">
        <w:rPr>
          <w:rFonts w:ascii="Times New Roman" w:eastAsia="Calibri" w:hAnsi="Times New Roman" w:cs="David"/>
          <w:kern w:val="0"/>
          <w:szCs w:val="28"/>
          <w:rtl/>
          <w14:ligatures w14:val="none"/>
        </w:rPr>
        <w:t xml:space="preserve"> בסדר", ע' 25, ש' 12–13). שלישית, המערער סמך על מפקד הכיתה שלו,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 עקב היכרותו את ההתנהלות הכללית של סמל של</w:t>
      </w:r>
      <w:r w:rsidRPr="00043FBC">
        <w:rPr>
          <w:rFonts w:ascii="David" w:eastAsia="Calibri" w:hAnsi="David" w:cs="David"/>
          <w:kern w:val="0"/>
          <w:szCs w:val="28"/>
          <w:rtl/>
          <w14:ligatures w14:val="none"/>
        </w:rPr>
        <w:t>ֵ</w:t>
      </w:r>
      <w:r w:rsidRPr="00043FBC">
        <w:rPr>
          <w:rFonts w:ascii="Times New Roman" w:eastAsia="Calibri" w:hAnsi="Times New Roman" w:cs="David"/>
          <w:kern w:val="0"/>
          <w:szCs w:val="28"/>
          <w:rtl/>
          <w14:ligatures w14:val="none"/>
        </w:rPr>
        <w:t>ו:</w:t>
      </w:r>
    </w:p>
    <w:p w14:paraId="1FE54B5D"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"נ:</w:t>
      </w:r>
      <w:r w:rsidRPr="00043FBC">
        <w:rPr>
          <w:rFonts w:ascii="Times New Roman" w:eastAsia="Calibri" w:hAnsi="Times New Roman" w:cs="David"/>
          <w:kern w:val="0"/>
          <w:szCs w:val="28"/>
          <w:rtl/>
          <w14:ligatures w14:val="none"/>
        </w:rPr>
        <w:tab/>
        <w:t xml:space="preserve">... שלֵו קיבל את ההוראה ולא העלה לי פער אז מבחינתי </w:t>
      </w:r>
      <w:proofErr w:type="spellStart"/>
      <w:r w:rsidRPr="00043FBC">
        <w:rPr>
          <w:rFonts w:ascii="Times New Roman" w:eastAsia="Calibri" w:hAnsi="Times New Roman" w:cs="David"/>
          <w:kern w:val="0"/>
          <w:szCs w:val="28"/>
          <w:rtl/>
          <w14:ligatures w14:val="none"/>
        </w:rPr>
        <w:t>הכל</w:t>
      </w:r>
      <w:proofErr w:type="spellEnd"/>
      <w:r w:rsidRPr="00043FBC">
        <w:rPr>
          <w:rFonts w:ascii="Times New Roman" w:eastAsia="Calibri" w:hAnsi="Times New Roman" w:cs="David"/>
          <w:kern w:val="0"/>
          <w:szCs w:val="28"/>
          <w:rtl/>
          <w14:ligatures w14:val="none"/>
        </w:rPr>
        <w:t xml:space="preserve"> בסדר ...</w:t>
      </w:r>
    </w:p>
    <w:p w14:paraId="3A88F418"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ת:</w:t>
      </w:r>
      <w:r w:rsidRPr="00043FBC">
        <w:rPr>
          <w:rFonts w:ascii="Times New Roman" w:eastAsia="Calibri" w:hAnsi="Times New Roman" w:cs="David"/>
          <w:kern w:val="0"/>
          <w:szCs w:val="28"/>
          <w:rtl/>
          <w14:ligatures w14:val="none"/>
        </w:rPr>
        <w:tab/>
        <w:t>אבל ב-20:00 למה לא כתבת לשלֵו לשאול אותו אם [לירן] הגיע?</w:t>
      </w:r>
    </w:p>
    <w:p w14:paraId="3309173C"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נ:</w:t>
      </w:r>
      <w:r w:rsidRPr="00043FBC">
        <w:rPr>
          <w:rFonts w:ascii="Times New Roman" w:eastAsia="Calibri" w:hAnsi="Times New Roman" w:cs="David"/>
          <w:kern w:val="0"/>
          <w:szCs w:val="28"/>
          <w:rtl/>
          <w14:ligatures w14:val="none"/>
        </w:rPr>
        <w:tab/>
        <w:t xml:space="preserve">לא יודע פשוט לא נראה לי שזה עלה לי לראש. אמרתי אני עוד שניה רואה אותו </w:t>
      </w:r>
      <w:proofErr w:type="spellStart"/>
      <w:r w:rsidRPr="00043FBC">
        <w:rPr>
          <w:rFonts w:ascii="Times New Roman" w:eastAsia="Calibri" w:hAnsi="Times New Roman" w:cs="David"/>
          <w:kern w:val="0"/>
          <w:szCs w:val="28"/>
          <w:rtl/>
          <w14:ligatures w14:val="none"/>
        </w:rPr>
        <w:t>הכל</w:t>
      </w:r>
      <w:proofErr w:type="spellEnd"/>
      <w:r w:rsidRPr="00043FBC">
        <w:rPr>
          <w:rFonts w:ascii="Times New Roman" w:eastAsia="Calibri" w:hAnsi="Times New Roman" w:cs="David"/>
          <w:kern w:val="0"/>
          <w:szCs w:val="28"/>
          <w:rtl/>
          <w14:ligatures w14:val="none"/>
        </w:rPr>
        <w:t xml:space="preserve"> בסדר, הוא לא הציף לי בעיה אז מבחינתי </w:t>
      </w:r>
      <w:proofErr w:type="spellStart"/>
      <w:r w:rsidRPr="00043FBC">
        <w:rPr>
          <w:rFonts w:ascii="Times New Roman" w:eastAsia="Calibri" w:hAnsi="Times New Roman" w:cs="David"/>
          <w:kern w:val="0"/>
          <w:szCs w:val="28"/>
          <w:rtl/>
          <w14:ligatures w14:val="none"/>
        </w:rPr>
        <w:t>הכל</w:t>
      </w:r>
      <w:proofErr w:type="spellEnd"/>
      <w:r w:rsidRPr="00043FBC">
        <w:rPr>
          <w:rFonts w:ascii="Times New Roman" w:eastAsia="Calibri" w:hAnsi="Times New Roman" w:cs="David"/>
          <w:kern w:val="0"/>
          <w:szCs w:val="28"/>
          <w:rtl/>
          <w14:ligatures w14:val="none"/>
        </w:rPr>
        <w:t xml:space="preserve"> בסדר.</w:t>
      </w:r>
    </w:p>
    <w:p w14:paraId="7ECD1C74"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ת:</w:t>
      </w:r>
      <w:r w:rsidRPr="00043FBC">
        <w:rPr>
          <w:rFonts w:ascii="Times New Roman" w:eastAsia="Calibri" w:hAnsi="Times New Roman" w:cs="David"/>
          <w:kern w:val="0"/>
          <w:szCs w:val="28"/>
          <w:rtl/>
          <w14:ligatures w14:val="none"/>
        </w:rPr>
        <w:tab/>
        <w:t>אני רגע מחזיר אותך אחורה, אני שאלתי על המ"כ במטווח שאתה מוודא אותו, למה לא וידאת את שלֵו?</w:t>
      </w:r>
    </w:p>
    <w:p w14:paraId="1DC98F2B" w14:textId="77777777" w:rsid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נ:</w:t>
      </w:r>
      <w:r w:rsidRPr="00043FBC">
        <w:rPr>
          <w:rFonts w:ascii="Times New Roman" w:eastAsia="Calibri" w:hAnsi="Times New Roman" w:cs="David"/>
          <w:kern w:val="0"/>
          <w:szCs w:val="28"/>
          <w:rtl/>
          <w14:ligatures w14:val="none"/>
        </w:rPr>
        <w:tab/>
        <w:t xml:space="preserve">אני מוודא אנשים בדברים שאני יודע שהם חלשים בהם ובדברים שהם לא טובים בהם או שהם לא מצליחים, כשבן אדם רוכש את האמון שלי אז אני סומך עליו. כמו כל דבר בצבא, אם חייל מסתבך באירוע מסוים או משימה הוא פונה למפקד שלו אז הוא לא פנה וחשבתי </w:t>
      </w:r>
      <w:proofErr w:type="spellStart"/>
      <w:r w:rsidRPr="00043FBC">
        <w:rPr>
          <w:rFonts w:ascii="Times New Roman" w:eastAsia="Calibri" w:hAnsi="Times New Roman" w:cs="David"/>
          <w:kern w:val="0"/>
          <w:szCs w:val="28"/>
          <w:rtl/>
          <w14:ligatures w14:val="none"/>
        </w:rPr>
        <w:t>שהכל</w:t>
      </w:r>
      <w:proofErr w:type="spellEnd"/>
      <w:r w:rsidRPr="00043FBC">
        <w:rPr>
          <w:rFonts w:ascii="Times New Roman" w:eastAsia="Calibri" w:hAnsi="Times New Roman" w:cs="David"/>
          <w:kern w:val="0"/>
          <w:szCs w:val="28"/>
          <w:rtl/>
          <w14:ligatures w14:val="none"/>
        </w:rPr>
        <w:t xml:space="preserve"> בסדר" (ע' 25, ש' 1–19).</w:t>
      </w:r>
    </w:p>
    <w:p w14:paraId="552B998C" w14:textId="77777777" w:rsidR="00334BAB" w:rsidRPr="00BF2BE0" w:rsidRDefault="00334BAB" w:rsidP="00334BAB">
      <w:pPr>
        <w:bidi/>
        <w:spacing w:before="180" w:after="120" w:line="240" w:lineRule="auto"/>
        <w:ind w:left="1106" w:right="1138"/>
        <w:contextualSpacing/>
        <w:jc w:val="both"/>
        <w:rPr>
          <w:rFonts w:ascii="Times New Roman" w:eastAsia="Calibri" w:hAnsi="Times New Roman" w:cs="David"/>
          <w:kern w:val="0"/>
          <w:sz w:val="8"/>
          <w:szCs w:val="10"/>
          <w14:ligatures w14:val="none"/>
        </w:rPr>
      </w:pPr>
    </w:p>
    <w:p w14:paraId="5886365E" w14:textId="77777777" w:rsidR="00043FBC" w:rsidRPr="00043FBC" w:rsidRDefault="00043FBC" w:rsidP="00BF2BE0">
      <w:pPr>
        <w:bidi/>
        <w:spacing w:after="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המערער הבהיר ששלושת הגורמים פעלו יחדיו: "אז אני אומר זו לא סיבה אחת זה כמה דברים במעורבב" (ע' 25, ש' 8):</w:t>
      </w:r>
    </w:p>
    <w:p w14:paraId="2FE09482"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"ת:</w:t>
      </w:r>
      <w:r w:rsidRPr="00043FBC">
        <w:rPr>
          <w:rFonts w:ascii="Times New Roman" w:eastAsia="Calibri" w:hAnsi="Times New Roman" w:cs="David"/>
          <w:kern w:val="0"/>
          <w:szCs w:val="28"/>
          <w:rtl/>
          <w14:ligatures w14:val="none"/>
        </w:rPr>
        <w:tab/>
        <w:t xml:space="preserve">אז אני אומר לך ואני רוצה שתגיב זה פעם ראשונה שלשלֵו יש פקודים והוא נורא קשור ל[נפגע], אתה יודע שהוא לא ישן הרבה ושהוא נמצא בלחץ בלתי יאומן. אתה אומר שהם כל כך חשובים לך, למה לא הרמת טלפון לשלו לוודא שמישהו יהיה </w:t>
      </w:r>
      <w:proofErr w:type="spellStart"/>
      <w:r w:rsidRPr="00043FBC">
        <w:rPr>
          <w:rFonts w:ascii="Times New Roman" w:eastAsia="Calibri" w:hAnsi="Times New Roman" w:cs="David"/>
          <w:kern w:val="0"/>
          <w:szCs w:val="28"/>
          <w:rtl/>
          <w14:ligatures w14:val="none"/>
        </w:rPr>
        <w:t>איתו</w:t>
      </w:r>
      <w:proofErr w:type="spellEnd"/>
      <w:r w:rsidRPr="00043FBC">
        <w:rPr>
          <w:rFonts w:ascii="Times New Roman" w:eastAsia="Calibri" w:hAnsi="Times New Roman" w:cs="David"/>
          <w:kern w:val="0"/>
          <w:szCs w:val="28"/>
          <w:rtl/>
          <w14:ligatures w14:val="none"/>
        </w:rPr>
        <w:t xml:space="preserve">? </w:t>
      </w:r>
    </w:p>
    <w:p w14:paraId="55AE0954"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lastRenderedPageBreak/>
        <w:t>נ:</w:t>
      </w:r>
      <w:r w:rsidRPr="00043FBC">
        <w:rPr>
          <w:rFonts w:ascii="Times New Roman" w:eastAsia="Calibri" w:hAnsi="Times New Roman" w:cs="David"/>
          <w:kern w:val="0"/>
          <w:szCs w:val="28"/>
          <w:rtl/>
          <w14:ligatures w14:val="none"/>
        </w:rPr>
        <w:tab/>
        <w:t>כי שלֵו לא הציף לי שום בעיה אחרי שאמרתי שייקח את [לירן]. ואני מבחינתי כרגע שלֵו נמצא עם [לירן] ושניהם שומרים על [הנפגע] אני מזכיר שבזמן זה אני עם חיילים במטווחים ועובד.</w:t>
      </w:r>
    </w:p>
    <w:p w14:paraId="10A8CE02"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ת:</w:t>
      </w:r>
      <w:r w:rsidRPr="00043FBC">
        <w:rPr>
          <w:rFonts w:ascii="Times New Roman" w:eastAsia="Calibri" w:hAnsi="Times New Roman" w:cs="David"/>
          <w:kern w:val="0"/>
          <w:szCs w:val="28"/>
          <w:rtl/>
          <w14:ligatures w14:val="none"/>
        </w:rPr>
        <w:tab/>
        <w:t>מצד אחד אתה אומר לי לא התקשרתי כי סמכתי עליו ומצד שני לא התקשרתי כי הייתי עסוק וגם אמרת לנו מקודם שיכול להיות שאם הנוהל השגחה היה בשבוע יותר רגוע אז כן הייתי מתקשר. אתה מבין את הפער? לא התקשרת כי הייתה עסוק או כי סמכת עליו?</w:t>
      </w:r>
    </w:p>
    <w:p w14:paraId="36F3EB2F" w14:textId="77777777" w:rsidR="00043FBC" w:rsidRPr="00043FBC" w:rsidRDefault="00043FBC" w:rsidP="00043FBC">
      <w:pPr>
        <w:bidi/>
        <w:spacing w:before="180" w:after="120" w:line="240" w:lineRule="auto"/>
        <w:ind w:left="1106" w:right="1138"/>
        <w:contextualSpacing/>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נ:</w:t>
      </w:r>
      <w:r w:rsidRPr="00043FBC">
        <w:rPr>
          <w:rFonts w:ascii="Times New Roman" w:eastAsia="Calibri" w:hAnsi="Times New Roman" w:cs="David"/>
          <w:kern w:val="0"/>
          <w:szCs w:val="28"/>
          <w:rtl/>
          <w14:ligatures w14:val="none"/>
        </w:rPr>
        <w:tab/>
        <w:t>זה לא סותר אחד את השני. החיים זה לא שחור או לבן, יכולות להיות כמה סיבות לדברים. אני גם סמכתי על שלֵו וגם הייתי עסוק במטווחים" (ע' 28, ש' 15–24).</w:t>
      </w:r>
    </w:p>
    <w:p w14:paraId="4692365A" w14:textId="77777777" w:rsidR="00043FBC" w:rsidRPr="00043FBC" w:rsidRDefault="00043FBC" w:rsidP="00BC4E53">
      <w:pPr>
        <w:keepNext/>
        <w:bidi/>
        <w:spacing w:before="360" w:after="0" w:line="360" w:lineRule="auto"/>
        <w:outlineLvl w:val="2"/>
        <w:rPr>
          <w:rFonts w:ascii="Times New Roman" w:eastAsia="Times New Roman" w:hAnsi="Times New Roman" w:cs="David"/>
          <w:kern w:val="0"/>
          <w:sz w:val="28"/>
          <w:szCs w:val="28"/>
          <w:u w:val="single"/>
          <w14:ligatures w14:val="none"/>
        </w:rPr>
      </w:pPr>
      <w:r w:rsidRPr="00043FBC">
        <w:rPr>
          <w:rFonts w:ascii="Times New Roman" w:eastAsia="Times New Roman" w:hAnsi="Times New Roman" w:cs="David"/>
          <w:kern w:val="0"/>
          <w:sz w:val="28"/>
          <w:szCs w:val="28"/>
          <w:u w:val="single"/>
          <w:rtl/>
          <w14:ligatures w14:val="none"/>
        </w:rPr>
        <w:t>המסגרת הנורמטיבית</w:t>
      </w:r>
    </w:p>
    <w:p w14:paraId="723BF116" w14:textId="77777777" w:rsidR="00043FBC" w:rsidRPr="00043FBC" w:rsidRDefault="00043FBC" w:rsidP="00BF2BE0">
      <w:pPr>
        <w:numPr>
          <w:ilvl w:val="0"/>
          <w:numId w:val="1"/>
        </w:numPr>
        <w:bidi/>
        <w:spacing w:after="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סעיף 341 לחוק העונשין, שכותרתו חבלה ברשלנות, קובע כדלקמן:</w:t>
      </w:r>
    </w:p>
    <w:p w14:paraId="009CC365" w14:textId="77777777" w:rsid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"העושה מעשה שלא כדין, או נמנע מעשות מעשה שחובתו לעשותו, והמעשה או המחדל אינם מן המפורטים בסעיפים 338 עד 340, ונגרמה בהם חבלה לאדם, דינו – מאסר שנה".</w:t>
      </w:r>
    </w:p>
    <w:p w14:paraId="04AEB960" w14:textId="77777777" w:rsidR="00BF2BE0" w:rsidRPr="00BF2BE0" w:rsidRDefault="00BF2BE0" w:rsidP="00BF2BE0">
      <w:pPr>
        <w:bidi/>
        <w:spacing w:before="180" w:after="120" w:line="240" w:lineRule="auto"/>
        <w:ind w:left="1106" w:right="1138"/>
        <w:contextualSpacing/>
        <w:jc w:val="both"/>
        <w:rPr>
          <w:rFonts w:ascii="Times New Roman" w:eastAsia="Calibri" w:hAnsi="Times New Roman" w:cs="David"/>
          <w:kern w:val="0"/>
          <w:sz w:val="8"/>
          <w:szCs w:val="10"/>
          <w14:ligatures w14:val="none"/>
        </w:rPr>
      </w:pPr>
    </w:p>
    <w:p w14:paraId="1900AA79"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זוהי עבירה </w:t>
      </w:r>
      <w:proofErr w:type="spellStart"/>
      <w:r w:rsidRPr="00043FBC">
        <w:rPr>
          <w:rFonts w:ascii="Times New Roman" w:eastAsia="Calibri" w:hAnsi="Times New Roman" w:cs="David"/>
          <w:kern w:val="0"/>
          <w:szCs w:val="28"/>
          <w:rtl/>
          <w14:ligatures w14:val="none"/>
        </w:rPr>
        <w:t>תוצאתית</w:t>
      </w:r>
      <w:proofErr w:type="spellEnd"/>
      <w:r w:rsidRPr="00043FBC">
        <w:rPr>
          <w:rFonts w:ascii="Times New Roman" w:eastAsia="Calibri" w:hAnsi="Times New Roman" w:cs="David"/>
          <w:kern w:val="0"/>
          <w:szCs w:val="28"/>
          <w:rtl/>
          <w14:ligatures w14:val="none"/>
        </w:rPr>
        <w:t xml:space="preserve"> שלצורך היסוד העובדתי בה יש להוכיח, לענייננו, מחדל שהוא "הימנעות מעשייה שהיא חובה לפי כל דין או חוזה" (סעיף 18(ג) לחוק העונשין), שגרם, על פי מבחני הקשר הסיבתי המקובלים, לתוצאה של </w:t>
      </w:r>
      <w:r w:rsidRPr="00043FBC">
        <w:rPr>
          <w:rFonts w:ascii="Times New Roman" w:eastAsia="Calibri" w:hAnsi="Times New Roman" w:cs="David"/>
          <w:kern w:val="0"/>
          <w:szCs w:val="28"/>
          <w14:ligatures w14:val="none"/>
        </w:rPr>
        <w:t>"</w:t>
      </w:r>
      <w:r w:rsidRPr="00043FBC">
        <w:rPr>
          <w:rFonts w:ascii="Times New Roman" w:eastAsia="Calibri" w:hAnsi="Times New Roman" w:cs="David"/>
          <w:kern w:val="0"/>
          <w:szCs w:val="28"/>
          <w:rtl/>
          <w14:ligatures w14:val="none"/>
        </w:rPr>
        <w:t>חבלה", שהיא "מכאוב, מחלה או ליקוי גופניים, בין קבועים ובין עוברים" (סעיף 34כד לחוק העונשין). לעניין היסוד הנפשי בעבירה יש לפנות לסעיף 21(א) לחוק העונשין, שכותרתו "רשלנות" ולפיו יש להוכיח "אי מודעות לטיב המעשה, לקיום הנסיבות או לאפשרות הגרימה לתוצאות המעשה, הנמנים עם פרטי העבירה, כשאדם מן היישוב יכול היה, בנסיבות העניין, להיות מודע לאותו פרט, ובלבד</w:t>
      </w:r>
      <w:r w:rsidRPr="00043FBC">
        <w:rPr>
          <w:rFonts w:ascii="Times New Roman" w:eastAsia="Calibri" w:hAnsi="Times New Roman" w:cs="David"/>
          <w:kern w:val="0"/>
          <w:szCs w:val="28"/>
          <w14:ligatures w14:val="none"/>
        </w:rPr>
        <w:t xml:space="preserve"> </w:t>
      </w:r>
      <w:r w:rsidRPr="00043FBC">
        <w:rPr>
          <w:rFonts w:ascii="Times New Roman" w:eastAsia="Calibri" w:hAnsi="Times New Roman" w:cs="David"/>
          <w:kern w:val="0"/>
          <w:szCs w:val="28"/>
          <w:rtl/>
          <w14:ligatures w14:val="none"/>
        </w:rPr>
        <w:t xml:space="preserve">שלעניין הפרטים הנותרים הייתה לפחות רשלנות כאמור" (להרחבה בנושא ראו ע"פ 2352/19 </w:t>
      </w:r>
      <w:proofErr w:type="spellStart"/>
      <w:r w:rsidRPr="00043FBC">
        <w:rPr>
          <w:rFonts w:ascii="Times New Roman" w:eastAsia="Calibri" w:hAnsi="Times New Roman" w:cs="David"/>
          <w:b/>
          <w:bCs/>
          <w:kern w:val="0"/>
          <w:szCs w:val="28"/>
          <w:rtl/>
          <w14:ligatures w14:val="none"/>
        </w:rPr>
        <w:t>דנילוב</w:t>
      </w:r>
      <w:proofErr w:type="spellEnd"/>
      <w:r w:rsidRPr="00043FBC">
        <w:rPr>
          <w:rFonts w:ascii="Times New Roman" w:eastAsia="Calibri" w:hAnsi="Times New Roman" w:cs="David"/>
          <w:b/>
          <w:bCs/>
          <w:kern w:val="0"/>
          <w:szCs w:val="28"/>
          <w:rtl/>
          <w14:ligatures w14:val="none"/>
        </w:rPr>
        <w:t xml:space="preserve"> נ' מדינת ישראל</w:t>
      </w:r>
      <w:r w:rsidRPr="00043FBC">
        <w:rPr>
          <w:rFonts w:ascii="Times New Roman" w:eastAsia="Calibri" w:hAnsi="Times New Roman" w:cs="David"/>
          <w:kern w:val="0"/>
          <w:szCs w:val="28"/>
          <w:rtl/>
          <w14:ligatures w14:val="none"/>
        </w:rPr>
        <w:t xml:space="preserve"> (15.10.2019); </w:t>
      </w:r>
      <w:proofErr w:type="spellStart"/>
      <w:r w:rsidRPr="00043FBC">
        <w:rPr>
          <w:rFonts w:ascii="Times New Roman" w:eastAsia="Calibri" w:hAnsi="Times New Roman" w:cs="David"/>
          <w:kern w:val="0"/>
          <w:szCs w:val="28"/>
          <w:rtl/>
          <w14:ligatures w14:val="none"/>
        </w:rPr>
        <w:t>רע"פ</w:t>
      </w:r>
      <w:proofErr w:type="spellEnd"/>
      <w:r w:rsidRPr="00043FBC">
        <w:rPr>
          <w:rFonts w:ascii="Times New Roman" w:eastAsia="Calibri" w:hAnsi="Times New Roman" w:cs="David"/>
          <w:kern w:val="0"/>
          <w:szCs w:val="28"/>
          <w:rtl/>
          <w14:ligatures w14:val="none"/>
        </w:rPr>
        <w:t xml:space="preserve"> 4348/08 </w:t>
      </w:r>
      <w:r w:rsidRPr="00043FBC">
        <w:rPr>
          <w:rFonts w:ascii="Times New Roman" w:eastAsia="Calibri" w:hAnsi="Times New Roman" w:cs="David"/>
          <w:b/>
          <w:bCs/>
          <w:kern w:val="0"/>
          <w:szCs w:val="28"/>
          <w:rtl/>
          <w14:ligatures w14:val="none"/>
        </w:rPr>
        <w:t>מאיר נ' מדינת ישראל</w:t>
      </w:r>
      <w:r w:rsidRPr="00043FBC">
        <w:rPr>
          <w:rFonts w:ascii="Times New Roman" w:eastAsia="Calibri" w:hAnsi="Times New Roman" w:cs="David"/>
          <w:kern w:val="0"/>
          <w:szCs w:val="28"/>
          <w:rtl/>
          <w14:ligatures w14:val="none"/>
        </w:rPr>
        <w:t xml:space="preserve">, פסקה 31 לפסק הדין של השופטת </w:t>
      </w:r>
      <w:proofErr w:type="spellStart"/>
      <w:r w:rsidRPr="00043FBC">
        <w:rPr>
          <w:rFonts w:ascii="Times New Roman" w:eastAsia="Calibri" w:hAnsi="Times New Roman" w:cs="David"/>
          <w:kern w:val="0"/>
          <w:szCs w:val="28"/>
          <w:rtl/>
          <w14:ligatures w14:val="none"/>
        </w:rPr>
        <w:t>פרוקצ'יה</w:t>
      </w:r>
      <w:proofErr w:type="spellEnd"/>
      <w:r w:rsidRPr="00043FBC">
        <w:rPr>
          <w:rFonts w:ascii="Times New Roman" w:eastAsia="Calibri" w:hAnsi="Times New Roman" w:cs="David"/>
          <w:kern w:val="0"/>
          <w:szCs w:val="28"/>
          <w:rtl/>
          <w14:ligatures w14:val="none"/>
        </w:rPr>
        <w:t xml:space="preserve"> (8.7.2010); ע/87/05 </w:t>
      </w:r>
      <w:r w:rsidRPr="00043FBC">
        <w:rPr>
          <w:rFonts w:ascii="Times New Roman" w:eastAsia="Calibri" w:hAnsi="Times New Roman" w:cs="David"/>
          <w:b/>
          <w:bCs/>
          <w:kern w:val="0"/>
          <w:szCs w:val="28"/>
          <w:rtl/>
          <w14:ligatures w14:val="none"/>
        </w:rPr>
        <w:t>סמל</w:t>
      </w:r>
      <w:r w:rsidRPr="00043FBC">
        <w:rPr>
          <w:rFonts w:ascii="Times New Roman" w:eastAsia="Calibri" w:hAnsi="Times New Roman" w:cs="David"/>
          <w:kern w:val="0"/>
          <w:szCs w:val="28"/>
          <w:rtl/>
          <w14:ligatures w14:val="none"/>
        </w:rPr>
        <w:t xml:space="preserve"> </w:t>
      </w:r>
      <w:r w:rsidRPr="00043FBC">
        <w:rPr>
          <w:rFonts w:ascii="Times New Roman" w:eastAsia="Calibri" w:hAnsi="Times New Roman" w:cs="David"/>
          <w:b/>
          <w:bCs/>
          <w:kern w:val="0"/>
          <w:szCs w:val="28"/>
          <w:rtl/>
          <w14:ligatures w14:val="none"/>
        </w:rPr>
        <w:t xml:space="preserve">סופר נ' התובע הצבאי הראשי </w:t>
      </w:r>
      <w:r w:rsidRPr="00043FBC">
        <w:rPr>
          <w:rFonts w:ascii="Times New Roman" w:eastAsia="Calibri" w:hAnsi="Times New Roman" w:cs="David"/>
          <w:kern w:val="0"/>
          <w:szCs w:val="28"/>
          <w:rtl/>
          <w14:ligatures w14:val="none"/>
        </w:rPr>
        <w:t xml:space="preserve">(2006); ע/64/04 </w:t>
      </w:r>
      <w:r w:rsidRPr="00043FBC">
        <w:rPr>
          <w:rFonts w:ascii="Times New Roman" w:eastAsia="Calibri" w:hAnsi="Times New Roman" w:cs="David"/>
          <w:b/>
          <w:bCs/>
          <w:kern w:val="0"/>
          <w:szCs w:val="28"/>
          <w:rtl/>
          <w14:ligatures w14:val="none"/>
        </w:rPr>
        <w:t xml:space="preserve">סרן </w:t>
      </w:r>
      <w:proofErr w:type="spellStart"/>
      <w:r w:rsidRPr="00043FBC">
        <w:rPr>
          <w:rFonts w:ascii="Times New Roman" w:eastAsia="Calibri" w:hAnsi="Times New Roman" w:cs="David"/>
          <w:b/>
          <w:bCs/>
          <w:kern w:val="0"/>
          <w:szCs w:val="28"/>
          <w:rtl/>
          <w14:ligatures w14:val="none"/>
        </w:rPr>
        <w:t>קורצקי</w:t>
      </w:r>
      <w:proofErr w:type="spellEnd"/>
      <w:r w:rsidRPr="00043FBC">
        <w:rPr>
          <w:rFonts w:ascii="Times New Roman" w:eastAsia="Calibri" w:hAnsi="Times New Roman" w:cs="David"/>
          <w:b/>
          <w:bCs/>
          <w:kern w:val="0"/>
          <w:szCs w:val="28"/>
          <w:rtl/>
          <w14:ligatures w14:val="none"/>
        </w:rPr>
        <w:t xml:space="preserve"> נ' התובע הצבאי הראשי </w:t>
      </w:r>
      <w:r w:rsidRPr="00043FBC">
        <w:rPr>
          <w:rFonts w:ascii="Times New Roman" w:eastAsia="Calibri" w:hAnsi="Times New Roman" w:cs="David"/>
          <w:kern w:val="0"/>
          <w:szCs w:val="28"/>
          <w:rtl/>
          <w14:ligatures w14:val="none"/>
        </w:rPr>
        <w:t xml:space="preserve">(2004)). </w:t>
      </w:r>
    </w:p>
    <w:p w14:paraId="4998A0F3"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הוטעם בפסיקה כי "בבסיס ההגדרה של עבירת הרשלנות מונח יסוד נורמטיבי-ערכי, המשותף ליסוד העובדתי וליסוד הנפשי" (</w:t>
      </w:r>
      <w:proofErr w:type="spellStart"/>
      <w:r w:rsidRPr="00043FBC">
        <w:rPr>
          <w:rFonts w:ascii="Times New Roman" w:eastAsia="Calibri" w:hAnsi="Times New Roman" w:cs="David"/>
          <w:kern w:val="0"/>
          <w:szCs w:val="28"/>
          <w:rtl/>
          <w14:ligatures w14:val="none"/>
        </w:rPr>
        <w:t>רע"פ</w:t>
      </w:r>
      <w:proofErr w:type="spellEnd"/>
      <w:r w:rsidRPr="00043FBC">
        <w:rPr>
          <w:rFonts w:ascii="Times New Roman" w:eastAsia="Calibri" w:hAnsi="Times New Roman" w:cs="David"/>
          <w:kern w:val="0"/>
          <w:szCs w:val="28"/>
          <w:rtl/>
          <w14:ligatures w14:val="none"/>
        </w:rPr>
        <w:t xml:space="preserve"> 9188/06 </w:t>
      </w:r>
      <w:r w:rsidRPr="00043FBC">
        <w:rPr>
          <w:rFonts w:ascii="Times New Roman" w:eastAsia="Calibri" w:hAnsi="Times New Roman" w:cs="David"/>
          <w:b/>
          <w:bCs/>
          <w:kern w:val="0"/>
          <w:szCs w:val="28"/>
          <w:rtl/>
          <w14:ligatures w14:val="none"/>
        </w:rPr>
        <w:t>עדי נ' מדינת ישראל</w:t>
      </w:r>
      <w:r w:rsidRPr="00043FBC">
        <w:rPr>
          <w:rFonts w:ascii="Times New Roman" w:eastAsia="Calibri" w:hAnsi="Times New Roman" w:cs="David"/>
          <w:kern w:val="0"/>
          <w:szCs w:val="28"/>
          <w:rtl/>
          <w14:ligatures w14:val="none"/>
        </w:rPr>
        <w:t xml:space="preserve"> (5.7.2010)). כמו כן, בשנת 2016 נכנס לתוקפו תיקון 126 לחוק העונשין, אשר בעקבותיו נקבע בסעיף 21(א)(2) לחוק העונשין כי "בעבירה שעם פרטיה נמנית תוצאה שנגרמה על ידי המעשה או סכנה העלולה להיגרם בשלו" יש להראות כי "העושה נטל סיכון בלתי סביר להתרחשות התוצאה או לגרימת הסכנה כאמור". בדברי ההסבר לתיקון 126 הנ"ל נאמר, בין היתר, כי "התיקון המוצע נועד ... להביא לשינוי הרף הנורמטיבי הקיים, באופן שהאחריות ברשלנות תוטל רק במצבים שבהם דבק בהתנהגות העושה אשם חמור יותר המצדיק נקיטת הליכים פליליים" (הצעת חוק העונשין (תיקון מס' 124) (עבירות המתה), התשע"ו-2015, </w:t>
      </w:r>
      <w:proofErr w:type="spellStart"/>
      <w:r w:rsidRPr="00043FBC">
        <w:rPr>
          <w:rFonts w:ascii="Times New Roman" w:eastAsia="Calibri" w:hAnsi="Times New Roman" w:cs="David"/>
          <w:kern w:val="0"/>
          <w:szCs w:val="28"/>
          <w:rtl/>
          <w14:ligatures w14:val="none"/>
        </w:rPr>
        <w:t>ה"ח</w:t>
      </w:r>
      <w:proofErr w:type="spellEnd"/>
      <w:r w:rsidRPr="00043FBC">
        <w:rPr>
          <w:rFonts w:ascii="Times New Roman" w:eastAsia="Calibri" w:hAnsi="Times New Roman" w:cs="David"/>
          <w:kern w:val="0"/>
          <w:szCs w:val="28"/>
          <w:rtl/>
          <w14:ligatures w14:val="none"/>
        </w:rPr>
        <w:t xml:space="preserve"> הממשלה 166, 168. ראו גם </w:t>
      </w:r>
      <w:proofErr w:type="spellStart"/>
      <w:r w:rsidRPr="00043FBC">
        <w:rPr>
          <w:rFonts w:ascii="Times New Roman" w:eastAsia="Calibri" w:hAnsi="Times New Roman" w:cs="David"/>
          <w:kern w:val="0"/>
          <w:szCs w:val="28"/>
          <w:rtl/>
          <w14:ligatures w14:val="none"/>
        </w:rPr>
        <w:t>רע"פ</w:t>
      </w:r>
      <w:proofErr w:type="spellEnd"/>
      <w:r w:rsidRPr="00043FBC">
        <w:rPr>
          <w:rFonts w:ascii="Times New Roman" w:eastAsia="Calibri" w:hAnsi="Times New Roman" w:cs="David"/>
          <w:kern w:val="0"/>
          <w:szCs w:val="28"/>
          <w:rtl/>
          <w14:ligatures w14:val="none"/>
        </w:rPr>
        <w:t xml:space="preserve"> 6716/17 </w:t>
      </w:r>
      <w:proofErr w:type="spellStart"/>
      <w:r w:rsidRPr="00043FBC">
        <w:rPr>
          <w:rFonts w:ascii="Times New Roman" w:eastAsia="Calibri" w:hAnsi="Times New Roman" w:cs="David"/>
          <w:b/>
          <w:bCs/>
          <w:kern w:val="0"/>
          <w:szCs w:val="28"/>
          <w:rtl/>
          <w14:ligatures w14:val="none"/>
        </w:rPr>
        <w:t>מירז</w:t>
      </w:r>
      <w:proofErr w:type="spellEnd"/>
      <w:r w:rsidRPr="00043FBC">
        <w:rPr>
          <w:rFonts w:ascii="Times New Roman" w:eastAsia="Calibri" w:hAnsi="Times New Roman" w:cs="David"/>
          <w:b/>
          <w:bCs/>
          <w:kern w:val="0"/>
          <w:szCs w:val="28"/>
          <w:rtl/>
          <w14:ligatures w14:val="none"/>
        </w:rPr>
        <w:t xml:space="preserve"> נ' מדינת ישראל</w:t>
      </w:r>
      <w:r w:rsidRPr="00043FBC">
        <w:rPr>
          <w:rFonts w:ascii="Times New Roman" w:eastAsia="Calibri" w:hAnsi="Times New Roman" w:cs="David"/>
          <w:kern w:val="0"/>
          <w:szCs w:val="28"/>
          <w:rtl/>
          <w14:ligatures w14:val="none"/>
        </w:rPr>
        <w:t> (10.4.2018)).</w:t>
      </w:r>
    </w:p>
    <w:p w14:paraId="7F636A12" w14:textId="77777777" w:rsidR="00043FBC" w:rsidRPr="00043FBC" w:rsidRDefault="00043FBC" w:rsidP="00BF2BE0">
      <w:pPr>
        <w:numPr>
          <w:ilvl w:val="0"/>
          <w:numId w:val="1"/>
        </w:numPr>
        <w:bidi/>
        <w:spacing w:after="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lastRenderedPageBreak/>
        <w:t>כאמור, למערער יוחסה עבירת רשלנות במחדל – שלא נקט צעדים נדרשים למנוע את החבלה על אף חובה שהוטלה עליו בדין. הלכה מושרשת היא כי חובה לפי דין עשויה להיות גם "חובת הזהירות הכללית הנהוגה בבחינה הנזיקית של הרשלנות" – כלומר, חובת זהירות מושגית וחובת זהירות קונקרטית (</w:t>
      </w:r>
      <w:proofErr w:type="spellStart"/>
      <w:r w:rsidRPr="00043FBC">
        <w:rPr>
          <w:rFonts w:ascii="Times New Roman" w:eastAsia="Calibri" w:hAnsi="Times New Roman" w:cs="David"/>
          <w:kern w:val="0"/>
          <w:szCs w:val="28"/>
          <w:rtl/>
          <w14:ligatures w14:val="none"/>
        </w:rPr>
        <w:t>רע"פ</w:t>
      </w:r>
      <w:proofErr w:type="spellEnd"/>
      <w:r w:rsidRPr="00043FBC">
        <w:rPr>
          <w:rFonts w:ascii="Times New Roman" w:eastAsia="Calibri" w:hAnsi="Times New Roman" w:cs="David"/>
          <w:kern w:val="0"/>
          <w:szCs w:val="28"/>
          <w:rtl/>
          <w14:ligatures w14:val="none"/>
        </w:rPr>
        <w:t xml:space="preserve"> 1007/05 </w:t>
      </w:r>
      <w:r w:rsidRPr="00043FBC">
        <w:rPr>
          <w:rFonts w:ascii="Times New Roman" w:eastAsia="Calibri" w:hAnsi="Times New Roman" w:cs="David"/>
          <w:b/>
          <w:bCs/>
          <w:kern w:val="0"/>
          <w:szCs w:val="28"/>
          <w:rtl/>
          <w14:ligatures w14:val="none"/>
        </w:rPr>
        <w:t>מדינת ישראל נ' בוחבוט</w:t>
      </w:r>
      <w:r w:rsidRPr="00043FBC">
        <w:rPr>
          <w:rFonts w:ascii="Times New Roman" w:eastAsia="Calibri" w:hAnsi="Times New Roman" w:cs="David"/>
          <w:kern w:val="0"/>
          <w:szCs w:val="28"/>
          <w:rtl/>
          <w14:ligatures w14:val="none"/>
        </w:rPr>
        <w:t xml:space="preserve">, פ"ד </w:t>
      </w:r>
      <w:proofErr w:type="spellStart"/>
      <w:r w:rsidRPr="00043FBC">
        <w:rPr>
          <w:rFonts w:ascii="Times New Roman" w:eastAsia="Calibri" w:hAnsi="Times New Roman" w:cs="David"/>
          <w:kern w:val="0"/>
          <w:szCs w:val="28"/>
          <w:rtl/>
          <w14:ligatures w14:val="none"/>
        </w:rPr>
        <w:t>סג</w:t>
      </w:r>
      <w:proofErr w:type="spellEnd"/>
      <w:r w:rsidRPr="00043FBC">
        <w:rPr>
          <w:rFonts w:ascii="Times New Roman" w:eastAsia="Calibri" w:hAnsi="Times New Roman" w:cs="David"/>
          <w:kern w:val="0"/>
          <w:szCs w:val="28"/>
          <w:rtl/>
          <w14:ligatures w14:val="none"/>
        </w:rPr>
        <w:t xml:space="preserve">(1) 63, 87, 132 (2008)). בהקשר זה נקבע בפסיקה כי מפקד חב חובת זהירות כלפי חייליו: "מקור החובה נעוץ ביחסים המיוחדים השוררים בין מפקד לפקוד, שהאחרון מצומצם חופש פעולתו ומצווה להישמע לכל פקודה חוקית של מפקדו", ומשום כך המפקד נדרש "בכל ענין המצוי בתחום סמכותו לדאוג לשלומו ולביטחונו של החייל הנתון לפיקודו" (ע/37/89 </w:t>
      </w:r>
      <w:r w:rsidRPr="00043FBC">
        <w:rPr>
          <w:rFonts w:ascii="Times New Roman" w:eastAsia="Calibri" w:hAnsi="Times New Roman" w:cs="David"/>
          <w:b/>
          <w:bCs/>
          <w:kern w:val="0"/>
          <w:szCs w:val="28"/>
          <w:rtl/>
          <w14:ligatures w14:val="none"/>
        </w:rPr>
        <w:t xml:space="preserve">התובע הצבאי הראשי נ' סגן </w:t>
      </w:r>
      <w:proofErr w:type="spellStart"/>
      <w:r w:rsidRPr="00043FBC">
        <w:rPr>
          <w:rFonts w:ascii="Times New Roman" w:eastAsia="Calibri" w:hAnsi="Times New Roman" w:cs="David"/>
          <w:b/>
          <w:bCs/>
          <w:kern w:val="0"/>
          <w:szCs w:val="28"/>
          <w:rtl/>
          <w14:ligatures w14:val="none"/>
        </w:rPr>
        <w:t>פירסטר</w:t>
      </w:r>
      <w:proofErr w:type="spellEnd"/>
      <w:r w:rsidRPr="00043FBC">
        <w:rPr>
          <w:rFonts w:ascii="Times New Roman" w:eastAsia="Calibri" w:hAnsi="Times New Roman" w:cs="David"/>
          <w:kern w:val="0"/>
          <w:szCs w:val="28"/>
          <w:rtl/>
          <w14:ligatures w14:val="none"/>
        </w:rPr>
        <w:t xml:space="preserve"> (1989). ראו גם ע/55/76 </w:t>
      </w:r>
      <w:r w:rsidRPr="00043FBC">
        <w:rPr>
          <w:rFonts w:ascii="Times New Roman" w:eastAsia="Calibri" w:hAnsi="Times New Roman" w:cs="David"/>
          <w:b/>
          <w:bCs/>
          <w:kern w:val="0"/>
          <w:szCs w:val="28"/>
          <w:rtl/>
          <w14:ligatures w14:val="none"/>
        </w:rPr>
        <w:t>התובע הצבאי הראשי נ' ראובן</w:t>
      </w:r>
      <w:r w:rsidRPr="00043FBC">
        <w:rPr>
          <w:rFonts w:ascii="Times New Roman" w:eastAsia="Calibri" w:hAnsi="Times New Roman" w:cs="David"/>
          <w:kern w:val="0"/>
          <w:szCs w:val="28"/>
          <w:rtl/>
          <w14:ligatures w14:val="none"/>
        </w:rPr>
        <w:t xml:space="preserve"> (1976)). ברוח האמור נפסק זה מכבר:</w:t>
      </w:r>
    </w:p>
    <w:p w14:paraId="23E92A54" w14:textId="77777777" w:rsid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"ערכי היסוד הקיימים בצבא לגבי יחסי מפקד ופקודו מטילים לכן על המפקד אחריות לדאוג לשלום פקודו והוא חייב בין השאר, לפעול באופן סביר כדי להמעיט עד המינימום האפשרי את הסכנה לחיים שפעולת הפקוד במסגרת הצבאית גוררת אחריה" (ע/19/58 </w:t>
      </w:r>
      <w:r w:rsidRPr="00043FBC">
        <w:rPr>
          <w:rFonts w:ascii="Times New Roman" w:eastAsia="Calibri" w:hAnsi="Times New Roman" w:cs="David"/>
          <w:b/>
          <w:bCs/>
          <w:kern w:val="0"/>
          <w:szCs w:val="28"/>
          <w:rtl/>
          <w14:ligatures w14:val="none"/>
        </w:rPr>
        <w:t>התובע הצבאי הראשי נ' סרן פז</w:t>
      </w:r>
      <w:r w:rsidRPr="00043FBC">
        <w:rPr>
          <w:rFonts w:ascii="Times New Roman" w:eastAsia="Calibri" w:hAnsi="Times New Roman" w:cs="David"/>
          <w:kern w:val="0"/>
          <w:szCs w:val="28"/>
          <w:rtl/>
          <w14:ligatures w14:val="none"/>
        </w:rPr>
        <w:t xml:space="preserve">, </w:t>
      </w:r>
      <w:proofErr w:type="spellStart"/>
      <w:r w:rsidRPr="00043FBC">
        <w:rPr>
          <w:rFonts w:ascii="Times New Roman" w:eastAsia="Calibri" w:hAnsi="Times New Roman" w:cs="David"/>
          <w:kern w:val="0"/>
          <w:szCs w:val="28"/>
          <w:rtl/>
          <w14:ligatures w14:val="none"/>
        </w:rPr>
        <w:t>פד"צ</w:t>
      </w:r>
      <w:proofErr w:type="spellEnd"/>
      <w:r w:rsidRPr="00043FBC">
        <w:rPr>
          <w:rFonts w:ascii="Times New Roman" w:eastAsia="Calibri" w:hAnsi="Times New Roman" w:cs="David"/>
          <w:kern w:val="0"/>
          <w:szCs w:val="28"/>
          <w:rtl/>
          <w14:ligatures w14:val="none"/>
        </w:rPr>
        <w:t xml:space="preserve"> 1958, 207, 314 (1958)).</w:t>
      </w:r>
    </w:p>
    <w:p w14:paraId="5FE546C4" w14:textId="77777777" w:rsidR="00BC4E53" w:rsidRPr="00BF2BE0" w:rsidRDefault="00BC4E53" w:rsidP="00BC4E53">
      <w:pPr>
        <w:bidi/>
        <w:spacing w:before="180" w:after="120" w:line="240" w:lineRule="auto"/>
        <w:ind w:left="1106" w:right="1138"/>
        <w:contextualSpacing/>
        <w:jc w:val="both"/>
        <w:rPr>
          <w:rFonts w:ascii="Times New Roman" w:eastAsia="Calibri" w:hAnsi="Times New Roman" w:cs="David"/>
          <w:kern w:val="0"/>
          <w:sz w:val="8"/>
          <w:szCs w:val="10"/>
          <w14:ligatures w14:val="none"/>
        </w:rPr>
      </w:pPr>
    </w:p>
    <w:p w14:paraId="4309A0AC"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החובה שחלה על המפקד להבטיח את שלום חייליו, כוללת ככלל גם חובה לוודא שקיימו את פקודותיו. מפקד "לא יצא ידי חובתו בכך שסמך כאילו על אחרים. הסתמכות על אחרים – יכולה לפטור מאחריות רק אם היא כרוכה בפיקוח ובווידוא ביצוע... ושלובה עמם; ההסתמכות הסתמית על מאן דהוא אחר... אינה אלא פריקת אחריות ונושאת עמה הפרה של חובת הזהירות" (ע"פ 876/76 </w:t>
      </w:r>
      <w:proofErr w:type="spellStart"/>
      <w:r w:rsidRPr="00043FBC">
        <w:rPr>
          <w:rFonts w:ascii="Times New Roman" w:eastAsia="Calibri" w:hAnsi="Times New Roman" w:cs="David"/>
          <w:b/>
          <w:bCs/>
          <w:kern w:val="0"/>
          <w:szCs w:val="28"/>
          <w:rtl/>
          <w14:ligatures w14:val="none"/>
        </w:rPr>
        <w:t>ויינגרטן</w:t>
      </w:r>
      <w:proofErr w:type="spellEnd"/>
      <w:r w:rsidRPr="00043FBC">
        <w:rPr>
          <w:rFonts w:ascii="Times New Roman" w:eastAsia="Calibri" w:hAnsi="Times New Roman" w:cs="David"/>
          <w:b/>
          <w:bCs/>
          <w:kern w:val="0"/>
          <w:szCs w:val="28"/>
          <w:rtl/>
          <w14:ligatures w14:val="none"/>
        </w:rPr>
        <w:t xml:space="preserve"> נ' מדינת ישראל</w:t>
      </w:r>
      <w:r w:rsidRPr="00043FBC">
        <w:rPr>
          <w:rFonts w:ascii="Times New Roman" w:eastAsia="Calibri" w:hAnsi="Times New Roman" w:cs="David"/>
          <w:kern w:val="0"/>
          <w:szCs w:val="28"/>
          <w:rtl/>
          <w14:ligatures w14:val="none"/>
        </w:rPr>
        <w:t xml:space="preserve">, פ"ד לב(2) 29, 37 (1978). ראו ע/193/94 </w:t>
      </w:r>
      <w:r w:rsidRPr="00043FBC">
        <w:rPr>
          <w:rFonts w:ascii="Times New Roman" w:eastAsia="Calibri" w:hAnsi="Times New Roman" w:cs="David"/>
          <w:b/>
          <w:bCs/>
          <w:kern w:val="0"/>
          <w:szCs w:val="28"/>
          <w:rtl/>
          <w14:ligatures w14:val="none"/>
        </w:rPr>
        <w:t>סא"ל שלו נ' התובע הצבאי הראשי</w:t>
      </w:r>
      <w:r w:rsidRPr="00043FBC">
        <w:rPr>
          <w:rFonts w:ascii="Times New Roman" w:eastAsia="Calibri" w:hAnsi="Times New Roman" w:cs="David"/>
          <w:kern w:val="0"/>
          <w:szCs w:val="28"/>
          <w:rtl/>
          <w14:ligatures w14:val="none"/>
        </w:rPr>
        <w:t xml:space="preserve"> (1995); ע/286/79 </w:t>
      </w:r>
      <w:r w:rsidRPr="00043FBC">
        <w:rPr>
          <w:rFonts w:ascii="Times New Roman" w:eastAsia="Calibri" w:hAnsi="Times New Roman" w:cs="David"/>
          <w:b/>
          <w:bCs/>
          <w:kern w:val="0"/>
          <w:szCs w:val="28"/>
          <w:rtl/>
          <w14:ligatures w14:val="none"/>
        </w:rPr>
        <w:t xml:space="preserve">סא"ל </w:t>
      </w:r>
      <w:proofErr w:type="spellStart"/>
      <w:r w:rsidRPr="00043FBC">
        <w:rPr>
          <w:rFonts w:ascii="Times New Roman" w:eastAsia="Calibri" w:hAnsi="Times New Roman" w:cs="David"/>
          <w:b/>
          <w:bCs/>
          <w:kern w:val="0"/>
          <w:szCs w:val="28"/>
          <w:rtl/>
          <w14:ligatures w14:val="none"/>
        </w:rPr>
        <w:t>מרשק</w:t>
      </w:r>
      <w:proofErr w:type="spellEnd"/>
      <w:r w:rsidRPr="00043FBC">
        <w:rPr>
          <w:rFonts w:ascii="Times New Roman" w:eastAsia="Calibri" w:hAnsi="Times New Roman" w:cs="David"/>
          <w:b/>
          <w:bCs/>
          <w:kern w:val="0"/>
          <w:szCs w:val="28"/>
          <w:rtl/>
          <w14:ligatures w14:val="none"/>
        </w:rPr>
        <w:t xml:space="preserve"> נ' התובע הצבאי הראשי</w:t>
      </w:r>
      <w:r w:rsidRPr="00043FBC">
        <w:rPr>
          <w:rFonts w:ascii="Times New Roman" w:eastAsia="Calibri" w:hAnsi="Times New Roman" w:cs="David"/>
          <w:kern w:val="0"/>
          <w:szCs w:val="28"/>
          <w:rtl/>
          <w14:ligatures w14:val="none"/>
        </w:rPr>
        <w:t xml:space="preserve">, פסקה 7 (1980)). </w:t>
      </w:r>
    </w:p>
    <w:p w14:paraId="6365BD40" w14:textId="77777777" w:rsidR="00043FBC" w:rsidRPr="00043FBC" w:rsidRDefault="00043FBC" w:rsidP="00043FBC">
      <w:p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עם זאת, היקף חובת הווידוא ואופן קיומה יוגדרו בהתאם לנסיבות העניין. למשל, במקרה שבו החייל היה ותיק ומנוסה, והמשימה פשוטה – נפסק כי המפקד לא התרשל באי וידוא קיומה של ההוראה (עניין </w:t>
      </w:r>
      <w:r w:rsidRPr="00043FBC">
        <w:rPr>
          <w:rFonts w:ascii="Times New Roman" w:eastAsia="Calibri" w:hAnsi="Times New Roman" w:cs="David"/>
          <w:b/>
          <w:bCs/>
          <w:kern w:val="0"/>
          <w:szCs w:val="28"/>
          <w:rtl/>
          <w14:ligatures w14:val="none"/>
        </w:rPr>
        <w:t>סרן פז</w:t>
      </w:r>
      <w:r w:rsidRPr="00043FBC">
        <w:rPr>
          <w:rFonts w:ascii="Times New Roman" w:eastAsia="Calibri" w:hAnsi="Times New Roman" w:cs="David"/>
          <w:kern w:val="0"/>
          <w:szCs w:val="28"/>
          <w:rtl/>
          <w14:ligatures w14:val="none"/>
        </w:rPr>
        <w:t xml:space="preserve"> לעיל, בעמוד 323).</w:t>
      </w:r>
    </w:p>
    <w:p w14:paraId="511A2720" w14:textId="77777777" w:rsidR="00043FBC" w:rsidRPr="00043FBC" w:rsidRDefault="00043FBC" w:rsidP="00BC4E53">
      <w:pPr>
        <w:keepNext/>
        <w:bidi/>
        <w:spacing w:before="360" w:after="0" w:line="360" w:lineRule="auto"/>
        <w:outlineLvl w:val="2"/>
        <w:rPr>
          <w:rFonts w:ascii="Times New Roman" w:eastAsia="Times New Roman" w:hAnsi="Times New Roman" w:cs="David"/>
          <w:kern w:val="0"/>
          <w:sz w:val="28"/>
          <w:szCs w:val="28"/>
          <w:u w:val="single"/>
          <w:rtl/>
          <w14:ligatures w14:val="none"/>
        </w:rPr>
      </w:pPr>
      <w:r w:rsidRPr="00043FBC">
        <w:rPr>
          <w:rFonts w:ascii="Times New Roman" w:eastAsia="Times New Roman" w:hAnsi="Times New Roman" w:cs="David"/>
          <w:kern w:val="0"/>
          <w:sz w:val="28"/>
          <w:szCs w:val="28"/>
          <w:u w:val="single"/>
          <w:rtl/>
          <w14:ligatures w14:val="none"/>
        </w:rPr>
        <w:t>יישום הדין על העובדות</w:t>
      </w:r>
    </w:p>
    <w:p w14:paraId="735BDF86" w14:textId="77777777" w:rsidR="00043FBC" w:rsidRPr="00043FBC" w:rsidRDefault="00043FBC" w:rsidP="00BC4E53">
      <w:pPr>
        <w:keepNext/>
        <w:bidi/>
        <w:spacing w:after="120" w:line="360" w:lineRule="auto"/>
        <w:outlineLvl w:val="2"/>
        <w:rPr>
          <w:rFonts w:ascii="Times New Roman" w:eastAsia="Times New Roman" w:hAnsi="Times New Roman" w:cs="David"/>
          <w:b/>
          <w:bCs/>
          <w:kern w:val="0"/>
          <w:sz w:val="28"/>
          <w:szCs w:val="28"/>
          <w14:ligatures w14:val="none"/>
        </w:rPr>
      </w:pPr>
      <w:r w:rsidRPr="00043FBC">
        <w:rPr>
          <w:rFonts w:ascii="Times New Roman" w:eastAsia="Times New Roman" w:hAnsi="Times New Roman" w:cs="David"/>
          <w:b/>
          <w:bCs/>
          <w:kern w:val="0"/>
          <w:sz w:val="28"/>
          <w:szCs w:val="28"/>
          <w:rtl/>
          <w14:ligatures w14:val="none"/>
        </w:rPr>
        <w:t>הגדרת השאלה</w:t>
      </w:r>
    </w:p>
    <w:p w14:paraId="269AFCE9"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‏מתיאור העובדות ומטענות הצדדים בערעור עולה תמונה מורכבת אשר מעוררת שאלות שונות בהיבטי אחריות המפקדים באירוע, הן במישור הפיקודי והן במישור המשפטי. אפשר בהחלט שהאחריות לתוצאה הסופית רובצת בו-זמנית על כמה מהם. אחריותו של מפקד אחד אינה מבטלת בהכרח את אחריות האחר או מפחיתה ממנה. אך מאחר שהתביעה בחרה – מטעמיה – להאשים שלושה מפקדים, כאמור, ובנפרד זה מזה, נדונו ההליכים לפני שלושה הרכבים שונים. כל הרכב, על פי הראיות שהוצגו לפניו, בחן את אחריותו של הנאשם במשפט, במנותק מאחריות אפשרית של </w:t>
      </w:r>
      <w:r w:rsidRPr="00043FBC">
        <w:rPr>
          <w:rFonts w:ascii="Times New Roman" w:eastAsia="Calibri" w:hAnsi="Times New Roman" w:cs="David"/>
          <w:kern w:val="0"/>
          <w:szCs w:val="28"/>
          <w:rtl/>
          <w14:ligatures w14:val="none"/>
        </w:rPr>
        <w:lastRenderedPageBreak/>
        <w:t xml:space="preserve">אחרים, ולא נדרש לבחון את התמונה המלאה ו"לדרג" את מידת האחריות היחסית של כל נאשם בחשבון כולל. משעניינו של כל מפקד נבחן בנפרד, השאלה בדיון שלפנינו ממוקדת: </w:t>
      </w:r>
      <w:r w:rsidRPr="00043FBC">
        <w:rPr>
          <w:rFonts w:ascii="Times New Roman" w:eastAsia="Calibri" w:hAnsi="Times New Roman" w:cs="David"/>
          <w:b/>
          <w:bCs/>
          <w:kern w:val="0"/>
          <w:szCs w:val="28"/>
          <w:rtl/>
          <w14:ligatures w14:val="none"/>
        </w:rPr>
        <w:t xml:space="preserve">מהי אחריותו הפלילית </w:t>
      </w:r>
      <w:r w:rsidRPr="00043FBC">
        <w:rPr>
          <w:rFonts w:ascii="Times New Roman" w:eastAsia="Calibri" w:hAnsi="Times New Roman" w:cs="David"/>
          <w:kern w:val="0"/>
          <w:szCs w:val="28"/>
          <w:rtl/>
          <w14:ligatures w14:val="none"/>
        </w:rPr>
        <w:t xml:space="preserve">(לבדיל מאחריות משמעתית או פיקודית) </w:t>
      </w:r>
      <w:r w:rsidRPr="00043FBC">
        <w:rPr>
          <w:rFonts w:ascii="Times New Roman" w:eastAsia="Calibri" w:hAnsi="Times New Roman" w:cs="David"/>
          <w:b/>
          <w:bCs/>
          <w:kern w:val="0"/>
          <w:szCs w:val="28"/>
          <w:rtl/>
          <w14:ligatures w14:val="none"/>
        </w:rPr>
        <w:t>של המערער בלבד, והכול – בראי העובדות שהוכחו במשפטו</w:t>
      </w:r>
      <w:r w:rsidRPr="00043FBC">
        <w:rPr>
          <w:rFonts w:ascii="Times New Roman" w:eastAsia="Calibri" w:hAnsi="Times New Roman" w:cs="David"/>
          <w:kern w:val="0"/>
          <w:szCs w:val="28"/>
          <w:rtl/>
          <w14:ligatures w14:val="none"/>
        </w:rPr>
        <w:t xml:space="preserve"> (לדיון נרחב בשאלת הגבול בין המרחב הפלילי למרחב המשמעתי ראו ע/123/02 </w:t>
      </w:r>
      <w:r w:rsidRPr="00043FBC">
        <w:rPr>
          <w:rFonts w:ascii="Times New Roman" w:eastAsia="Calibri" w:hAnsi="Times New Roman" w:cs="David"/>
          <w:b/>
          <w:bCs/>
          <w:kern w:val="0"/>
          <w:szCs w:val="28"/>
          <w:rtl/>
          <w14:ligatures w14:val="none"/>
        </w:rPr>
        <w:t>אל"ם ישי נ' התובע הצבאי הראשי</w:t>
      </w:r>
      <w:r w:rsidRPr="00043FBC">
        <w:rPr>
          <w:rFonts w:ascii="Times New Roman" w:eastAsia="Calibri" w:hAnsi="Times New Roman" w:cs="David"/>
          <w:kern w:val="0"/>
          <w:szCs w:val="28"/>
          <w:rtl/>
          <w14:ligatures w14:val="none"/>
        </w:rPr>
        <w:t xml:space="preserve"> (2004); וכן, אגב דיון בשאלת אחריות מפקדים ברשלנות למעשה אובדנות של חייל, בג"ץ 88/10 </w:t>
      </w:r>
      <w:r w:rsidRPr="00043FBC">
        <w:rPr>
          <w:rFonts w:ascii="Times New Roman" w:eastAsia="Calibri" w:hAnsi="Times New Roman" w:cs="David"/>
          <w:b/>
          <w:bCs/>
          <w:kern w:val="0"/>
          <w:szCs w:val="28"/>
          <w:rtl/>
          <w14:ligatures w14:val="none"/>
        </w:rPr>
        <w:t>שוורץ נ' היועץ המשפטי לממשלה</w:t>
      </w:r>
      <w:r w:rsidRPr="00043FBC">
        <w:rPr>
          <w:rFonts w:ascii="Times New Roman" w:eastAsia="Calibri" w:hAnsi="Times New Roman" w:cs="David"/>
          <w:kern w:val="0"/>
          <w:szCs w:val="28"/>
          <w:rtl/>
          <w14:ligatures w14:val="none"/>
        </w:rPr>
        <w:t> ‏(12.7.2010‏)‏‏).</w:t>
      </w:r>
    </w:p>
    <w:p w14:paraId="22E53968"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לגופו של עניין, אין חולק כי המערער, בהיותו מפקד מחלקה בהכשרת לוחמים, חב חובת זהירות מושגית וקונקרטית כלפי פקודו הנפגע, והיה אחראי לשלומו ולבריאותו (להבחנה בין חובת זהירות מושגית לחובת זהירות קונקרטית וליחסי הגומלין ביניהן ראו ע"פ 7193/04 </w:t>
      </w:r>
      <w:proofErr w:type="spellStart"/>
      <w:r w:rsidRPr="00043FBC">
        <w:rPr>
          <w:rFonts w:ascii="Times New Roman" w:eastAsia="Calibri" w:hAnsi="Times New Roman" w:cs="David"/>
          <w:b/>
          <w:bCs/>
          <w:kern w:val="0"/>
          <w:szCs w:val="28"/>
          <w:rtl/>
          <w14:ligatures w14:val="none"/>
        </w:rPr>
        <w:t>יקירביץ</w:t>
      </w:r>
      <w:proofErr w:type="spellEnd"/>
      <w:r w:rsidRPr="00043FBC">
        <w:rPr>
          <w:rFonts w:ascii="Times New Roman" w:eastAsia="Calibri" w:hAnsi="Times New Roman" w:cs="David"/>
          <w:b/>
          <w:bCs/>
          <w:kern w:val="0"/>
          <w:szCs w:val="28"/>
          <w:rtl/>
          <w14:ligatures w14:val="none"/>
        </w:rPr>
        <w:t>' נ' מדינת ישראל</w:t>
      </w:r>
      <w:r w:rsidRPr="00043FBC">
        <w:rPr>
          <w:rFonts w:ascii="Times New Roman" w:eastAsia="Calibri" w:hAnsi="Times New Roman" w:cs="David"/>
          <w:kern w:val="0"/>
          <w:szCs w:val="28"/>
          <w:rtl/>
          <w14:ligatures w14:val="none"/>
        </w:rPr>
        <w:t xml:space="preserve">, פסקה 54 ‏(30.4.2007‏); ע"פ 186/80 </w:t>
      </w:r>
      <w:r w:rsidRPr="00043FBC">
        <w:rPr>
          <w:rFonts w:ascii="Times New Roman" w:eastAsia="Calibri" w:hAnsi="Times New Roman" w:cs="David"/>
          <w:b/>
          <w:bCs/>
          <w:kern w:val="0"/>
          <w:szCs w:val="28"/>
          <w:rtl/>
          <w14:ligatures w14:val="none"/>
        </w:rPr>
        <w:t>יערי נ' מדינת ישראל</w:t>
      </w:r>
      <w:r w:rsidRPr="00043FBC">
        <w:rPr>
          <w:rFonts w:ascii="Times New Roman" w:eastAsia="Calibri" w:hAnsi="Times New Roman" w:cs="David"/>
          <w:kern w:val="0"/>
          <w:szCs w:val="28"/>
          <w:rtl/>
          <w14:ligatures w14:val="none"/>
        </w:rPr>
        <w:t xml:space="preserve">, פ"ד לה(1) 769, 775–782 (1980); ע"פ 119/93 </w:t>
      </w:r>
      <w:r w:rsidRPr="00043FBC">
        <w:rPr>
          <w:rFonts w:ascii="Times New Roman" w:eastAsia="Calibri" w:hAnsi="Times New Roman" w:cs="David"/>
          <w:b/>
          <w:bCs/>
          <w:kern w:val="0"/>
          <w:szCs w:val="28"/>
          <w:rtl/>
          <w14:ligatures w14:val="none"/>
        </w:rPr>
        <w:t>לורנס נ' מדינת ישראל</w:t>
      </w:r>
      <w:r w:rsidRPr="00043FBC">
        <w:rPr>
          <w:rFonts w:ascii="Times New Roman" w:eastAsia="Calibri" w:hAnsi="Times New Roman" w:cs="David"/>
          <w:kern w:val="0"/>
          <w:szCs w:val="28"/>
          <w:rtl/>
          <w14:ligatures w14:val="none"/>
        </w:rPr>
        <w:t xml:space="preserve">, פ"ד מח(4) 1, 13–25 (1994)). </w:t>
      </w:r>
    </w:p>
    <w:p w14:paraId="4ED81E8D" w14:textId="77777777" w:rsidR="00043FBC" w:rsidRPr="00043FBC" w:rsidRDefault="00043FBC" w:rsidP="00043FBC">
      <w:pPr>
        <w:numPr>
          <w:ilvl w:val="0"/>
          <w:numId w:val="1"/>
        </w:numPr>
        <w:bidi/>
        <w:spacing w:after="120" w:line="360" w:lineRule="auto"/>
        <w:jc w:val="both"/>
        <w:rPr>
          <w:rFonts w:ascii="David" w:eastAsia="Calibri" w:hAnsi="David" w:cs="David"/>
          <w:kern w:val="0"/>
          <w:szCs w:val="28"/>
          <w14:ligatures w14:val="none"/>
        </w:rPr>
      </w:pPr>
      <w:r w:rsidRPr="00043FBC">
        <w:rPr>
          <w:rFonts w:ascii="Times New Roman" w:eastAsia="Calibri" w:hAnsi="Times New Roman" w:cs="David"/>
          <w:kern w:val="0"/>
          <w:szCs w:val="28"/>
          <w:rtl/>
          <w14:ligatures w14:val="none"/>
        </w:rPr>
        <w:t xml:space="preserve">ואכן, כפי שפירט בית הדין קמא, המערער הפגין אכפתיות ודאגה לנפגע לאורך כל הדרך (פסקה 18 להכרעת הדין) – עוד </w:t>
      </w:r>
      <w:r w:rsidRPr="00043FBC">
        <w:rPr>
          <w:rFonts w:ascii="David" w:eastAsia="Calibri" w:hAnsi="David" w:cs="David"/>
          <w:kern w:val="0"/>
          <w:szCs w:val="28"/>
          <w:rtl/>
          <w14:ligatures w14:val="none"/>
        </w:rPr>
        <w:t>קודם להפעלת נוהל ההשגחה פנה המערער לקב"נית כדי להתייעץ עימה בעניינו של הנפג</w:t>
      </w:r>
      <w:r w:rsidRPr="00043FBC">
        <w:rPr>
          <w:rFonts w:ascii="David" w:eastAsia="Calibri" w:hAnsi="David" w:cs="David"/>
          <w:kern w:val="0"/>
          <w:sz w:val="28"/>
          <w:szCs w:val="28"/>
          <w:rtl/>
          <w14:ligatures w14:val="none"/>
        </w:rPr>
        <w:t>ע.</w:t>
      </w:r>
      <w:r w:rsidRPr="00043FBC">
        <w:rPr>
          <w:rFonts w:ascii="David" w:eastAsia="Times New Roman" w:hAnsi="David" w:cs="David"/>
          <w:kern w:val="0"/>
          <w:sz w:val="28"/>
          <w:szCs w:val="28"/>
          <w:rtl/>
          <w14:ligatures w14:val="none"/>
        </w:rPr>
        <w:t xml:space="preserve"> הוא התקשר אל הנפגע</w:t>
      </w:r>
      <w:r w:rsidRPr="00043FBC">
        <w:rPr>
          <w:rFonts w:ascii="David" w:eastAsia="Calibri" w:hAnsi="David" w:cs="David"/>
          <w:kern w:val="0"/>
          <w:szCs w:val="28"/>
          <w:rtl/>
          <w14:ligatures w14:val="none"/>
        </w:rPr>
        <w:t xml:space="preserve">, עירב את מפקדיו ואף ביקש אישור לנסוע לביתו, אך מפקדיו דחו את בקשתו והורו לשלוח אל הנפגע את סמל שלֵו וסמל רומן, מפקדי הכיתות. גם בהמשך, במהלך המטווחים שניהל, ביקש לצאת ולפגוש את הנפגע אך מפקדיו סירבו (ראו ת/16 ש' 7–29, ש' 302–306, ש' 380–383). מתכתובות </w:t>
      </w:r>
      <w:proofErr w:type="spellStart"/>
      <w:r w:rsidRPr="00043FBC">
        <w:rPr>
          <w:rFonts w:ascii="David" w:eastAsia="Calibri" w:hAnsi="David" w:cs="David"/>
          <w:kern w:val="0"/>
          <w:szCs w:val="28"/>
          <w:rtl/>
          <w14:ligatures w14:val="none"/>
        </w:rPr>
        <w:t>וואטסאפ</w:t>
      </w:r>
      <w:proofErr w:type="spellEnd"/>
      <w:r w:rsidRPr="00043FBC">
        <w:rPr>
          <w:rFonts w:ascii="David" w:eastAsia="Calibri" w:hAnsi="David" w:cs="David"/>
          <w:kern w:val="0"/>
          <w:szCs w:val="28"/>
          <w:rtl/>
          <w14:ligatures w14:val="none"/>
        </w:rPr>
        <w:t xml:space="preserve"> בין המערער לקב"נית עלה עוד כי המערער עמד עימה בקשר גם ביום האירוע (בשעה 16:07), ושאל לשלומו של הנפגע. בשיחתו עם סמל שלֵו, עת נדרש להצביע על חייל שיחליף את סמל רומן במשימת ההשגחה, אמר כאמור המערער לסמל שלֵו להימנע מלזוז מהנפגע (ת/22, ש' 115).</w:t>
      </w:r>
    </w:p>
    <w:p w14:paraId="5418E3E8"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מאחר שלא הוכח כי המערער היה אחראי לנוהל ההשגחה על חלקיו השונים, אין לקבוע כי המערער היה אחראי על קביעת רשימות מסודרות של משגיחים ועל ההחלפה ביניהם, ואף אין לייחס לו אחריות כאמור בגין דאגתו לנפגע והתעניינותו בשלומו. אחריות זו, כמו האחריות הכוללת לביצוע נוהל ההשגחה, רבצה מנקודת מבטו של המערער לפתחם של מפקדיו, והללו – כמפורט לעיל – לא הגדירו זאת אחרת, אלא השתתפו כל אחד ביישום הנוהל (או בהפרתו). כפי שקבע בית הדין קמא, חובתו של המערער הייתה לסייע בידי מפקדיו ולבצע את שהנחו אותו כחלק מיישום הנוהל, ובמקרה זה – לשלוח חייל אחר להחליף את סמל רומן, אחד משני המשגיחים, אשר נשלח בעצמו, בידי סגן מפקד הפלוגה, סגן תומר, למשימה אחרת.</w:t>
      </w:r>
    </w:p>
    <w:p w14:paraId="59EC2F92"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המערער, שהיה בעיצומו של המטווח ובאזור מרוחק, הקצה למשימת ההשגחה, כפי שהתבקש, חייל מסוים, טור' לירן, ומסר את פרטיו לסמל שלֵו, שפנה אליו בעניין זה בשם מפקדיו. הוא לא </w:t>
      </w:r>
      <w:r w:rsidRPr="00043FBC">
        <w:rPr>
          <w:rFonts w:ascii="Times New Roman" w:eastAsia="Calibri" w:hAnsi="Times New Roman" w:cs="David"/>
          <w:kern w:val="0"/>
          <w:szCs w:val="28"/>
          <w:rtl/>
          <w14:ligatures w14:val="none"/>
        </w:rPr>
        <w:lastRenderedPageBreak/>
        <w:t xml:space="preserve">הותיר לסמל שלֵו שיקול דעת כלשהו בבחירת המשגיח הנוסף. לצד זאת, המערער </w:t>
      </w:r>
      <w:r w:rsidRPr="00043FBC">
        <w:rPr>
          <w:rFonts w:ascii="Times New Roman" w:eastAsia="Calibri" w:hAnsi="Times New Roman" w:cs="David"/>
          <w:b/>
          <w:bCs/>
          <w:kern w:val="0"/>
          <w:szCs w:val="28"/>
          <w:rtl/>
          <w14:ligatures w14:val="none"/>
        </w:rPr>
        <w:t>לא וידא</w:t>
      </w:r>
      <w:r w:rsidRPr="00043FBC">
        <w:rPr>
          <w:rFonts w:ascii="Times New Roman" w:eastAsia="Calibri" w:hAnsi="Times New Roman" w:cs="David"/>
          <w:kern w:val="0"/>
          <w:szCs w:val="28"/>
          <w:rtl/>
          <w14:ligatures w14:val="none"/>
        </w:rPr>
        <w:t xml:space="preserve"> שהוראתו לסמל שלֵו, פקודו, המוכר לו היטב והנחשב למפקד מיומן ומקצועי – בוצעה. למעשה, </w:t>
      </w:r>
      <w:r w:rsidRPr="00043FBC">
        <w:rPr>
          <w:rFonts w:ascii="Times New Roman" w:eastAsia="Calibri" w:hAnsi="Times New Roman" w:cs="David"/>
          <w:b/>
          <w:bCs/>
          <w:kern w:val="0"/>
          <w:szCs w:val="28"/>
          <w:rtl/>
          <w14:ligatures w14:val="none"/>
        </w:rPr>
        <w:t>המפתח לשאלת אחריותו בפלילים עניינו בשאלה האם התנהלות זו של המערער היא בבחינת מימוש חובתו על פי דין – האם אי וידוא ההוראה שנתן היא בבחינת התרשלות המצויה במרחב הפלילי</w:t>
      </w:r>
      <w:r w:rsidRPr="00043FBC">
        <w:rPr>
          <w:rFonts w:ascii="Times New Roman" w:eastAsia="Calibri" w:hAnsi="Times New Roman" w:cs="David"/>
          <w:kern w:val="0"/>
          <w:szCs w:val="28"/>
          <w:rtl/>
          <w14:ligatures w14:val="none"/>
        </w:rPr>
        <w:t xml:space="preserve"> (להבדיל מהמרחב הפיקודי-משמעתי). </w:t>
      </w:r>
    </w:p>
    <w:p w14:paraId="54E9CA48"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כדי לקבוע אם אי-וידוא ההנחיה המדויקת שנתן לסמל שלֵו – עולה כדי הפרת חובת הזהירות מצד המערער ופעולה ברשלנות, כהגדרתם בפלילים, יש לבחון </w:t>
      </w:r>
      <w:r w:rsidRPr="00043FBC">
        <w:rPr>
          <w:rFonts w:ascii="Times New Roman" w:eastAsia="Calibri" w:hAnsi="Times New Roman" w:cs="David"/>
          <w:b/>
          <w:bCs/>
          <w:kern w:val="0"/>
          <w:szCs w:val="28"/>
          <w:rtl/>
          <w14:ligatures w14:val="none"/>
        </w:rPr>
        <w:t xml:space="preserve">כיצד היה נוהג מפקד סביר </w:t>
      </w:r>
      <w:r w:rsidRPr="00043FBC">
        <w:rPr>
          <w:rFonts w:ascii="Times New Roman" w:eastAsia="Calibri" w:hAnsi="Times New Roman" w:cs="David"/>
          <w:b/>
          <w:bCs/>
          <w:kern w:val="0"/>
          <w:szCs w:val="28"/>
          <w:u w:val="single"/>
          <w:rtl/>
          <w14:ligatures w14:val="none"/>
        </w:rPr>
        <w:t>בנסיבות העניין</w:t>
      </w:r>
      <w:r w:rsidRPr="00043FBC">
        <w:rPr>
          <w:rFonts w:ascii="Times New Roman" w:eastAsia="Calibri" w:hAnsi="Times New Roman" w:cs="David"/>
          <w:b/>
          <w:bCs/>
          <w:kern w:val="0"/>
          <w:szCs w:val="28"/>
          <w:rtl/>
          <w14:ligatures w14:val="none"/>
        </w:rPr>
        <w:t xml:space="preserve"> במקומו</w:t>
      </w:r>
      <w:r w:rsidRPr="00043FBC">
        <w:rPr>
          <w:rFonts w:ascii="Times New Roman" w:eastAsia="Calibri" w:hAnsi="Times New Roman" w:cs="David"/>
          <w:kern w:val="0"/>
          <w:szCs w:val="28"/>
          <w:rtl/>
          <w14:ligatures w14:val="none"/>
        </w:rPr>
        <w:t xml:space="preserve">. </w:t>
      </w:r>
    </w:p>
    <w:p w14:paraId="2802089F" w14:textId="77777777" w:rsidR="00043FBC" w:rsidRPr="00043FBC" w:rsidRDefault="00043FBC" w:rsidP="00043FBC">
      <w:pPr>
        <w:numPr>
          <w:ilvl w:val="0"/>
          <w:numId w:val="1"/>
        </w:numPr>
        <w:bidi/>
        <w:spacing w:after="120" w:line="360" w:lineRule="auto"/>
        <w:jc w:val="both"/>
        <w:rPr>
          <w:rFonts w:ascii="Times New Roman" w:eastAsia="Times New Roman" w:hAnsi="Times New Roman" w:cs="David"/>
          <w:kern w:val="0"/>
          <w:sz w:val="28"/>
          <w:szCs w:val="28"/>
          <w:rtl/>
          <w14:ligatures w14:val="none"/>
        </w:rPr>
      </w:pPr>
      <w:r w:rsidRPr="00043FBC">
        <w:rPr>
          <w:rFonts w:ascii="Times New Roman" w:eastAsia="Times New Roman" w:hAnsi="Times New Roman" w:cs="David"/>
          <w:kern w:val="0"/>
          <w:sz w:val="28"/>
          <w:szCs w:val="28"/>
          <w:rtl/>
          <w14:ligatures w14:val="none"/>
        </w:rPr>
        <w:t xml:space="preserve">כידוע, על הערכאה השיפוטית לנקוט זהירות בבואה לבחון בדיעבד את סבירותן של פעולות (או אי נקיטתן) המתקבלות בתנאי לחץ (ע"פ 6168/20 </w:t>
      </w:r>
      <w:r w:rsidRPr="00043FBC">
        <w:rPr>
          <w:rFonts w:ascii="Times New Roman" w:eastAsia="Times New Roman" w:hAnsi="Times New Roman" w:cs="David"/>
          <w:b/>
          <w:bCs/>
          <w:kern w:val="0"/>
          <w:sz w:val="28"/>
          <w:szCs w:val="28"/>
          <w:rtl/>
          <w14:ligatures w14:val="none"/>
        </w:rPr>
        <w:t>מדינת ישראל</w:t>
      </w:r>
      <w:r w:rsidRPr="00043FBC">
        <w:rPr>
          <w:rFonts w:ascii="Times New Roman" w:eastAsia="Times New Roman" w:hAnsi="Times New Roman" w:cs="David"/>
          <w:kern w:val="0"/>
          <w:sz w:val="28"/>
          <w:szCs w:val="28"/>
          <w14:ligatures w14:val="none"/>
        </w:rPr>
        <w:t xml:space="preserve"> </w:t>
      </w:r>
      <w:r w:rsidRPr="00043FBC">
        <w:rPr>
          <w:rFonts w:ascii="Times New Roman" w:eastAsia="Times New Roman" w:hAnsi="Times New Roman" w:cs="David"/>
          <w:b/>
          <w:bCs/>
          <w:kern w:val="0"/>
          <w:sz w:val="28"/>
          <w:szCs w:val="28"/>
          <w:rtl/>
          <w14:ligatures w14:val="none"/>
        </w:rPr>
        <w:t xml:space="preserve">נ' </w:t>
      </w:r>
      <w:proofErr w:type="spellStart"/>
      <w:r w:rsidRPr="00043FBC">
        <w:rPr>
          <w:rFonts w:ascii="Times New Roman" w:eastAsia="Times New Roman" w:hAnsi="Times New Roman" w:cs="David"/>
          <w:b/>
          <w:bCs/>
          <w:kern w:val="0"/>
          <w:sz w:val="28"/>
          <w:szCs w:val="28"/>
          <w:rtl/>
          <w14:ligatures w14:val="none"/>
        </w:rPr>
        <w:t>שמבה</w:t>
      </w:r>
      <w:proofErr w:type="spellEnd"/>
      <w:r w:rsidRPr="00043FBC">
        <w:rPr>
          <w:rFonts w:ascii="Times New Roman" w:eastAsia="Times New Roman" w:hAnsi="Times New Roman" w:cs="David"/>
          <w:kern w:val="0"/>
          <w:sz w:val="28"/>
          <w:szCs w:val="28"/>
          <w:rtl/>
          <w14:ligatures w14:val="none"/>
        </w:rPr>
        <w:t xml:space="preserve"> (9.2.2022); ע"פ 4497/18 </w:t>
      </w:r>
      <w:r w:rsidRPr="00043FBC">
        <w:rPr>
          <w:rFonts w:ascii="Times New Roman" w:eastAsia="Times New Roman" w:hAnsi="Times New Roman" w:cs="David"/>
          <w:bCs/>
          <w:kern w:val="0"/>
          <w:sz w:val="28"/>
          <w:szCs w:val="28"/>
          <w:rtl/>
          <w14:ligatures w14:val="none"/>
        </w:rPr>
        <w:t>מדינת ישראל נ' דרי</w:t>
      </w:r>
      <w:r w:rsidRPr="00043FBC">
        <w:rPr>
          <w:rFonts w:ascii="Times New Roman" w:eastAsia="Times New Roman" w:hAnsi="Times New Roman" w:cs="David"/>
          <w:kern w:val="0"/>
          <w:sz w:val="28"/>
          <w:szCs w:val="28"/>
          <w:rtl/>
          <w14:ligatures w14:val="none"/>
        </w:rPr>
        <w:t xml:space="preserve"> (19.8.2018)). למשל, ביחס לפעילות מבצעית הוטעם לגבי מפקדים כי "ניתן וצריך לנקוט גישה סלחנית כלפי שגיאה מקצועית, בוודאי כלפי זו הנעשית בעת פעילות מבצעית, ובלבד שהטעות הינה בבחירת חלופה ראויה במרחב – ואולי אף בשולי המרחב – של שיקול הדעת המקצועי" (ע/153/03 </w:t>
      </w:r>
      <w:r w:rsidRPr="00043FBC">
        <w:rPr>
          <w:rFonts w:ascii="Times New Roman" w:eastAsia="Times New Roman" w:hAnsi="Times New Roman" w:cs="David"/>
          <w:b/>
          <w:bCs/>
          <w:kern w:val="0"/>
          <w:sz w:val="28"/>
          <w:szCs w:val="28"/>
          <w:rtl/>
          <w14:ligatures w14:val="none"/>
        </w:rPr>
        <w:t>סא"ל שגיא נ' התובע הצבאי הראשי</w:t>
      </w:r>
      <w:r w:rsidRPr="00043FBC">
        <w:rPr>
          <w:rFonts w:ascii="Times New Roman" w:eastAsia="Times New Roman" w:hAnsi="Times New Roman" w:cs="David"/>
          <w:kern w:val="0"/>
          <w:sz w:val="28"/>
          <w:szCs w:val="28"/>
          <w:rtl/>
          <w14:ligatures w14:val="none"/>
        </w:rPr>
        <w:t xml:space="preserve">, פסקה 39 (2004). ראו גם </w:t>
      </w:r>
      <w:r w:rsidRPr="00043FBC">
        <w:rPr>
          <w:rFonts w:ascii="Times New Roman" w:eastAsia="Calibri" w:hAnsi="Times New Roman" w:cs="David"/>
          <w:kern w:val="0"/>
          <w:sz w:val="28"/>
          <w:szCs w:val="28"/>
          <w:rtl/>
          <w14:ligatures w14:val="none"/>
        </w:rPr>
        <w:t xml:space="preserve">ע"א 3889/00 </w:t>
      </w:r>
      <w:r w:rsidRPr="00043FBC">
        <w:rPr>
          <w:rFonts w:ascii="Times New Roman" w:eastAsia="Calibri" w:hAnsi="Times New Roman" w:cs="David"/>
          <w:b/>
          <w:bCs/>
          <w:kern w:val="0"/>
          <w:sz w:val="28"/>
          <w:szCs w:val="28"/>
          <w:rtl/>
          <w14:ligatures w14:val="none"/>
        </w:rPr>
        <w:t>לרנר נ'</w:t>
      </w:r>
      <w:r w:rsidRPr="00043FBC">
        <w:rPr>
          <w:rFonts w:ascii="Times New Roman" w:eastAsia="Calibri" w:hAnsi="Times New Roman" w:cs="David"/>
          <w:kern w:val="0"/>
          <w:sz w:val="28"/>
          <w:szCs w:val="28"/>
          <w14:ligatures w14:val="none"/>
        </w:rPr>
        <w:t> </w:t>
      </w:r>
      <w:r w:rsidRPr="00043FBC">
        <w:rPr>
          <w:rFonts w:ascii="Times New Roman" w:eastAsia="Calibri" w:hAnsi="Times New Roman" w:cs="David"/>
          <w:b/>
          <w:bCs/>
          <w:kern w:val="0"/>
          <w:sz w:val="28"/>
          <w:szCs w:val="28"/>
          <w:rtl/>
          <w14:ligatures w14:val="none"/>
        </w:rPr>
        <w:t>מדינת ישראל</w:t>
      </w:r>
      <w:r w:rsidRPr="00043FBC">
        <w:rPr>
          <w:rFonts w:ascii="Times New Roman" w:eastAsia="Calibri" w:hAnsi="Times New Roman" w:cs="David"/>
          <w:kern w:val="0"/>
          <w:sz w:val="28"/>
          <w:szCs w:val="28"/>
          <w:rtl/>
          <w14:ligatures w14:val="none"/>
        </w:rPr>
        <w:t>, פ"ד נו(4) 304 (2002)).</w:t>
      </w:r>
    </w:p>
    <w:p w14:paraId="1920EBB8" w14:textId="415432DC" w:rsidR="00BF2BE0" w:rsidRDefault="00043FBC" w:rsidP="00BF2BE0">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Times New Roman" w:hAnsi="Times New Roman" w:cs="David"/>
          <w:kern w:val="0"/>
          <w:sz w:val="28"/>
          <w:szCs w:val="28"/>
          <w:rtl/>
          <w14:ligatures w14:val="none"/>
        </w:rPr>
        <w:t xml:space="preserve">לצד נסיבות כמו תנאי עומס ולחץ, נקבע כי יש להתחשב בריחוק מבחינת מקום, ביכולתו המוגבלת של המפקד להיות מודע לכל הנסיבות של האירוע ואף באפשרותו המצומצמת לשלוט בנעשה במקום (ע/353/82 </w:t>
      </w:r>
      <w:r w:rsidRPr="00043FBC">
        <w:rPr>
          <w:rFonts w:ascii="Times New Roman" w:eastAsia="Times New Roman" w:hAnsi="Times New Roman" w:cs="David"/>
          <w:b/>
          <w:bCs/>
          <w:kern w:val="0"/>
          <w:sz w:val="28"/>
          <w:szCs w:val="28"/>
          <w:rtl/>
          <w14:ligatures w14:val="none"/>
        </w:rPr>
        <w:t>סמל ברוכי נ' התובע הצבאי הראשי</w:t>
      </w:r>
      <w:r w:rsidRPr="00043FBC">
        <w:rPr>
          <w:rFonts w:ascii="Times New Roman" w:eastAsia="Times New Roman" w:hAnsi="Times New Roman" w:cs="David"/>
          <w:kern w:val="0"/>
          <w:sz w:val="28"/>
          <w:szCs w:val="28"/>
          <w:rtl/>
          <w14:ligatures w14:val="none"/>
        </w:rPr>
        <w:t xml:space="preserve"> (1982). ראו והשוו בג"ץ 11058/08 </w:t>
      </w:r>
      <w:r w:rsidRPr="00043FBC">
        <w:rPr>
          <w:rFonts w:ascii="Times New Roman" w:eastAsia="Times New Roman" w:hAnsi="Times New Roman" w:cs="David"/>
          <w:b/>
          <w:bCs/>
          <w:kern w:val="0"/>
          <w:sz w:val="28"/>
          <w:szCs w:val="28"/>
          <w:rtl/>
          <w14:ligatures w14:val="none"/>
        </w:rPr>
        <w:t>שניאור נ' היועץ המשפטי לממשלה</w:t>
      </w:r>
      <w:r w:rsidRPr="00043FBC">
        <w:rPr>
          <w:rFonts w:ascii="Times New Roman" w:eastAsia="Times New Roman" w:hAnsi="Times New Roman" w:cs="David"/>
          <w:kern w:val="0"/>
          <w:sz w:val="28"/>
          <w:szCs w:val="28"/>
          <w:rtl/>
          <w14:ligatures w14:val="none"/>
        </w:rPr>
        <w:t xml:space="preserve">, פסקה 45 ‏(29.8.2010‏)‏‏). </w:t>
      </w:r>
    </w:p>
    <w:p w14:paraId="0A92313D" w14:textId="77777777" w:rsidR="00BF2BE0" w:rsidRPr="00BF2BE0" w:rsidRDefault="00BF2BE0" w:rsidP="00BF2BE0">
      <w:pPr>
        <w:bidi/>
        <w:spacing w:after="120" w:line="360" w:lineRule="auto"/>
        <w:jc w:val="both"/>
        <w:rPr>
          <w:rFonts w:ascii="Times New Roman" w:eastAsia="Calibri" w:hAnsi="Times New Roman" w:cs="David"/>
          <w:kern w:val="0"/>
          <w:szCs w:val="28"/>
          <w:rtl/>
          <w14:ligatures w14:val="none"/>
        </w:rPr>
      </w:pPr>
    </w:p>
    <w:p w14:paraId="45B9FF43" w14:textId="228E93E0" w:rsidR="00043FBC" w:rsidRPr="00BC4E53" w:rsidRDefault="00043FBC" w:rsidP="00BF2BE0">
      <w:pPr>
        <w:bidi/>
        <w:spacing w:after="0" w:line="360" w:lineRule="auto"/>
        <w:jc w:val="both"/>
        <w:rPr>
          <w:rFonts w:ascii="Times New Roman" w:eastAsia="Calibri" w:hAnsi="Times New Roman" w:cs="David"/>
          <w:kern w:val="0"/>
          <w:szCs w:val="28"/>
          <w:rtl/>
          <w14:ligatures w14:val="none"/>
        </w:rPr>
      </w:pPr>
      <w:r w:rsidRPr="00BC4E53">
        <w:rPr>
          <w:rFonts w:ascii="Times New Roman" w:eastAsia="Times New Roman" w:hAnsi="Times New Roman" w:cs="David"/>
          <w:b/>
          <w:bCs/>
          <w:kern w:val="0"/>
          <w:sz w:val="28"/>
          <w:szCs w:val="28"/>
          <w:rtl/>
          <w14:ligatures w14:val="none"/>
        </w:rPr>
        <w:t>בחינת הדברים</w:t>
      </w:r>
    </w:p>
    <w:p w14:paraId="0B8288AE" w14:textId="77777777" w:rsidR="00043FBC" w:rsidRPr="00043FBC" w:rsidRDefault="00043FBC" w:rsidP="00BF2BE0">
      <w:pPr>
        <w:numPr>
          <w:ilvl w:val="0"/>
          <w:numId w:val="1"/>
        </w:numPr>
        <w:bidi/>
        <w:spacing w:after="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כאמור, לא יכולה להיות מחלוקת כי המערער, מפקד המחלקה, חב חובת זהירות מושגית ואף קונקרטית לשלומו של פקודו, הנפגע. מושכלות יסוד במורשת צה"ל הן כי "</w:t>
      </w:r>
      <w:r w:rsidRPr="00043FBC">
        <w:rPr>
          <w:rFonts w:ascii="Times New Roman" w:eastAsia="Calibri" w:hAnsi="Times New Roman" w:cs="David"/>
          <w:b/>
          <w:bCs/>
          <w:kern w:val="0"/>
          <w:szCs w:val="28"/>
          <w:rtl/>
          <w14:ligatures w14:val="none"/>
        </w:rPr>
        <w:t>הראשונה בחובותיו של המפקד</w:t>
      </w:r>
      <w:r w:rsidRPr="00043FBC">
        <w:rPr>
          <w:rFonts w:ascii="Times New Roman" w:eastAsia="Calibri" w:hAnsi="Times New Roman" w:cs="David"/>
          <w:kern w:val="0"/>
          <w:szCs w:val="28"/>
          <w:rtl/>
          <w14:ligatures w14:val="none"/>
        </w:rPr>
        <w:t xml:space="preserve"> ... </w:t>
      </w:r>
      <w:r w:rsidRPr="00043FBC">
        <w:rPr>
          <w:rFonts w:ascii="Times New Roman" w:eastAsia="Calibri" w:hAnsi="Times New Roman" w:cs="David"/>
          <w:b/>
          <w:bCs/>
          <w:kern w:val="0"/>
          <w:szCs w:val="28"/>
          <w:rtl/>
          <w14:ligatures w14:val="none"/>
        </w:rPr>
        <w:t>היא חובת הטיפול באנשיו</w:t>
      </w:r>
      <w:r w:rsidRPr="00043FBC">
        <w:rPr>
          <w:rFonts w:ascii="Times New Roman" w:eastAsia="Calibri" w:hAnsi="Times New Roman" w:cs="David"/>
          <w:kern w:val="0"/>
          <w:szCs w:val="28"/>
          <w:rtl/>
          <w14:ligatures w14:val="none"/>
        </w:rPr>
        <w:t xml:space="preserve">" (חיים </w:t>
      </w:r>
      <w:proofErr w:type="spellStart"/>
      <w:r w:rsidRPr="00043FBC">
        <w:rPr>
          <w:rFonts w:ascii="Times New Roman" w:eastAsia="Calibri" w:hAnsi="Times New Roman" w:cs="David"/>
          <w:kern w:val="0"/>
          <w:szCs w:val="28"/>
          <w:rtl/>
          <w14:ligatures w14:val="none"/>
        </w:rPr>
        <w:t>לסקוב</w:t>
      </w:r>
      <w:proofErr w:type="spellEnd"/>
      <w:r w:rsidRPr="00043FBC">
        <w:rPr>
          <w:rFonts w:ascii="Times New Roman" w:eastAsia="Calibri" w:hAnsi="Times New Roman" w:cs="David"/>
          <w:kern w:val="0"/>
          <w:szCs w:val="28"/>
          <w:rtl/>
          <w14:ligatures w14:val="none"/>
        </w:rPr>
        <w:t> </w:t>
      </w:r>
      <w:r w:rsidRPr="00043FBC">
        <w:rPr>
          <w:rFonts w:ascii="Times New Roman" w:eastAsia="Calibri" w:hAnsi="Times New Roman" w:cs="David"/>
          <w:b/>
          <w:bCs/>
          <w:kern w:val="0"/>
          <w:szCs w:val="28"/>
          <w:rtl/>
          <w14:ligatures w14:val="none"/>
        </w:rPr>
        <w:t>מנהיגות צבאית</w:t>
      </w:r>
      <w:r w:rsidRPr="00043FBC">
        <w:rPr>
          <w:rFonts w:ascii="Times New Roman" w:eastAsia="Calibri" w:hAnsi="Times New Roman" w:cs="David"/>
          <w:kern w:val="0"/>
          <w:szCs w:val="28"/>
          <w:rtl/>
          <w14:ligatures w14:val="none"/>
        </w:rPr>
        <w:t xml:space="preserve"> 37 (מהדורה שמינית 1997); הדגשה הוספה). ומעל כל אלה מצויה החובה לדאוג לחייו של החייל ולשלמות גופו ונפשו. שנאמר:</w:t>
      </w:r>
    </w:p>
    <w:p w14:paraId="29C23ECC" w14:textId="77777777" w:rsidR="00043FBC" w:rsidRDefault="00043FBC" w:rsidP="00043FBC">
      <w:pPr>
        <w:bidi/>
        <w:spacing w:before="180" w:after="120" w:line="240" w:lineRule="auto"/>
        <w:ind w:left="1106" w:right="1138"/>
        <w:contextualSpacing/>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"חשוב להדגיש ... לכל מפקדי צבא ההגנה לישראל, כי מוטלת עליהם אחריות כבדה ביותר לדאוג לשלום פקודיהם בכל מקום, בכל זמן, ומפני כל איום, ועליהם להיות להם לעזר ולתמיכה במשך שירותם ... על כן, חייבים המפקדים והקצינים להיות קשובים לרחשי ליבם ולמצוקותיהם של החיילים ... עליהם לתת לחייליהם את מלוא תשומת הלב והעזרה במקרים הדרושים ..</w:t>
      </w:r>
      <w:r w:rsidRPr="00043FBC">
        <w:rPr>
          <w:rFonts w:ascii="Times New Roman" w:eastAsia="Calibri" w:hAnsi="Times New Roman" w:cs="David"/>
          <w:kern w:val="0"/>
          <w:szCs w:val="28"/>
          <w14:ligatures w14:val="none"/>
        </w:rPr>
        <w:t>.</w:t>
      </w:r>
      <w:r w:rsidRPr="00043FBC">
        <w:rPr>
          <w:rFonts w:ascii="Times New Roman" w:eastAsia="Calibri" w:hAnsi="Times New Roman" w:cs="David"/>
          <w:kern w:val="0"/>
          <w:szCs w:val="28"/>
          <w:rtl/>
          <w14:ligatures w14:val="none"/>
        </w:rPr>
        <w:t xml:space="preserve">" (עניין </w:t>
      </w:r>
      <w:r w:rsidRPr="00043FBC">
        <w:rPr>
          <w:rFonts w:ascii="Times New Roman" w:eastAsia="Calibri" w:hAnsi="Times New Roman" w:cs="David"/>
          <w:b/>
          <w:bCs/>
          <w:kern w:val="0"/>
          <w:szCs w:val="28"/>
          <w:rtl/>
          <w14:ligatures w14:val="none"/>
        </w:rPr>
        <w:t>שוורץ</w:t>
      </w:r>
      <w:r w:rsidRPr="00043FBC">
        <w:rPr>
          <w:rFonts w:ascii="Times New Roman" w:eastAsia="Calibri" w:hAnsi="Times New Roman" w:cs="David"/>
          <w:kern w:val="0"/>
          <w:szCs w:val="28"/>
          <w:rtl/>
          <w14:ligatures w14:val="none"/>
        </w:rPr>
        <w:t xml:space="preserve"> לעיל, בפסקה 30).</w:t>
      </w:r>
    </w:p>
    <w:p w14:paraId="08C95472" w14:textId="77777777" w:rsidR="00BC4E53" w:rsidRPr="00BC4E53" w:rsidRDefault="00BC4E53" w:rsidP="00BC4E53">
      <w:pPr>
        <w:bidi/>
        <w:spacing w:before="180" w:after="120" w:line="240" w:lineRule="auto"/>
        <w:ind w:left="1106" w:right="1138"/>
        <w:contextualSpacing/>
        <w:jc w:val="both"/>
        <w:rPr>
          <w:rFonts w:ascii="Times New Roman" w:eastAsia="Calibri" w:hAnsi="Times New Roman" w:cs="David"/>
          <w:kern w:val="0"/>
          <w:sz w:val="16"/>
          <w:szCs w:val="18"/>
          <w14:ligatures w14:val="none"/>
        </w:rPr>
      </w:pPr>
    </w:p>
    <w:p w14:paraId="1BEFEBCF" w14:textId="77777777" w:rsidR="00043FBC" w:rsidRPr="00043FBC" w:rsidRDefault="00043FBC" w:rsidP="00043FBC">
      <w:pPr>
        <w:bidi/>
        <w:spacing w:after="120" w:line="360" w:lineRule="auto"/>
        <w:jc w:val="both"/>
        <w:rPr>
          <w:rFonts w:ascii="Times New Roman" w:eastAsia="Calibri" w:hAnsi="Times New Roman" w:cs="David"/>
          <w:kern w:val="0"/>
          <w:szCs w:val="28"/>
          <w14:ligatures w14:val="none"/>
        </w:rPr>
      </w:pPr>
      <w:r w:rsidRPr="00043FBC">
        <w:rPr>
          <w:rFonts w:ascii="Times New Roman" w:eastAsia="Times New Roman" w:hAnsi="Times New Roman" w:cs="David"/>
          <w:kern w:val="0"/>
          <w:sz w:val="28"/>
          <w:szCs w:val="28"/>
          <w:rtl/>
          <w14:ligatures w14:val="none"/>
        </w:rPr>
        <w:lastRenderedPageBreak/>
        <w:t>לכן כאשר האינטרס המוגן הוא קדושת החיים, כבענייננו, טיב הסיכון מחייב לקבוע אמת מידה קפדנית ומחמירה בדבר התנהגות ראויה.</w:t>
      </w:r>
    </w:p>
    <w:p w14:paraId="5E36138D"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עם זאת, לאחר שבחנו את הדברים לעומק, ולא בלי התלבטות, הגענו למסקנה שבנסיבות המיוחדות של המקרה, כפי שהן עולות מחומר הראיות שלפנינו, על אף הסיכון לחיי אדם ולשלמות גופו שלמרבה הצער התממש – התנהלותו של המערער לא חצתה את הרף הפלילי, ולו מחמת הספק. מכלול הפעולות שנקט המערער – ובראשן הנחייתו המדויקת לסמל שלֵו, מפקד כיתה ותיק ומוערך, שנחשב מיומן ומקצועי,</w:t>
      </w:r>
      <w:r w:rsidRPr="00043FBC" w:rsidDel="00F15A53">
        <w:rPr>
          <w:rFonts w:ascii="Times New Roman" w:eastAsia="Calibri" w:hAnsi="Times New Roman" w:cs="David"/>
          <w:kern w:val="0"/>
          <w:szCs w:val="28"/>
          <w:rtl/>
          <w14:ligatures w14:val="none"/>
        </w:rPr>
        <w:t xml:space="preserve"> </w:t>
      </w:r>
      <w:r w:rsidRPr="00043FBC">
        <w:rPr>
          <w:rFonts w:ascii="Times New Roman" w:eastAsia="Calibri" w:hAnsi="Times New Roman" w:cs="David"/>
          <w:kern w:val="0"/>
          <w:szCs w:val="28"/>
          <w:rtl/>
          <w14:ligatures w14:val="none"/>
        </w:rPr>
        <w:t xml:space="preserve">לצרף משגיח ספציפי שנכח במקום (לצד הנחיה נוספת לסמל שלו, "שלא לזוז מן הנפגע") – אינו עולה כדי הפרת החובה שהמערער היה חייב בה </w:t>
      </w:r>
      <w:r w:rsidRPr="00043FBC">
        <w:rPr>
          <w:rFonts w:ascii="Times New Roman" w:eastAsia="Calibri" w:hAnsi="Times New Roman" w:cs="David"/>
          <w:b/>
          <w:bCs/>
          <w:kern w:val="0"/>
          <w:szCs w:val="28"/>
          <w:rtl/>
          <w14:ligatures w14:val="none"/>
        </w:rPr>
        <w:t>במרחב הפלילי</w:t>
      </w:r>
      <w:r w:rsidRPr="00043FBC">
        <w:rPr>
          <w:rFonts w:ascii="Times New Roman" w:eastAsia="Calibri" w:hAnsi="Times New Roman" w:cs="David"/>
          <w:kern w:val="0"/>
          <w:szCs w:val="28"/>
          <w:rtl/>
          <w14:ligatures w14:val="none"/>
        </w:rPr>
        <w:t xml:space="preserve">, אך בשל אי-וידוא ביצועה של ההנחיה בדבר צירוף המשגיח הנוסף. </w:t>
      </w:r>
    </w:p>
    <w:p w14:paraId="5B9900A2"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נזכיר שוב כי המערער לא היה אחראי על נוהל ההשגחה ואף לא שהה בסמוך לנפגע. מפקדיו דחו את בקשותיו לפגוש בנפגע במהלך הימים הרלוונטיים. מפקדיו הם שניהלו את נוהל ההשגחה על הנפגע והם ששלחו, כל אחד בנפרד, את אחד משני המשגיחים למשימות אחרות. בד בבד, המערער היה אחראי על פעילות עצימה, אינטנסיבית וכרוכה בירי חי</w:t>
      </w:r>
      <w:r w:rsidRPr="00043FBC">
        <w:rPr>
          <w:rFonts w:ascii="Times New Roman" w:eastAsia="Calibri" w:hAnsi="Times New Roman" w:cs="David"/>
          <w:b/>
          <w:bCs/>
          <w:kern w:val="0"/>
          <w:szCs w:val="28"/>
          <w:rtl/>
          <w14:ligatures w14:val="none"/>
        </w:rPr>
        <w:t xml:space="preserve"> </w:t>
      </w:r>
      <w:r w:rsidRPr="00043FBC">
        <w:rPr>
          <w:rFonts w:ascii="Times New Roman" w:eastAsia="Calibri" w:hAnsi="Times New Roman" w:cs="David"/>
          <w:kern w:val="0"/>
          <w:szCs w:val="28"/>
          <w:rtl/>
          <w14:ligatures w14:val="none"/>
        </w:rPr>
        <w:t>של 30 חיילים שהיו תחת פיקודו. המסר הפיקודי שהועבר למערער היה כי הוא נחוץ יותר במטווחים.</w:t>
      </w:r>
    </w:p>
    <w:p w14:paraId="17BA1CB9"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לצד האמור, המערער לא התנער מחובותיו כלפי הנפגע. הוא הפגין כלפיו דאגה ואכפתיות, ואף תכנן לנסוע לבסיס ולפגוש בו באותו הערב, עם סיום המטווחים. </w:t>
      </w:r>
    </w:p>
    <w:p w14:paraId="59EC9ED3"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ולבסוף, המשימה – הגעת חייל מחליף להשגחה – הייתה פשוטה. לאחר שמסר את שמו של החייל המחליף לסמל שלֵו, מפקד כיתה מקצועי ומיומן – </w:t>
      </w:r>
      <w:r w:rsidRPr="00043FBC">
        <w:rPr>
          <w:rFonts w:ascii="Times New Roman" w:eastAsia="Calibri" w:hAnsi="Times New Roman" w:cs="David"/>
          <w:b/>
          <w:bCs/>
          <w:kern w:val="0"/>
          <w:szCs w:val="28"/>
          <w:rtl/>
          <w14:ligatures w14:val="none"/>
        </w:rPr>
        <w:t>מפקד סביר</w:t>
      </w:r>
      <w:r w:rsidRPr="00043FBC">
        <w:rPr>
          <w:rFonts w:ascii="Times New Roman" w:eastAsia="Calibri" w:hAnsi="Times New Roman" w:cs="David"/>
          <w:kern w:val="0"/>
          <w:szCs w:val="28"/>
          <w:rtl/>
          <w14:ligatures w14:val="none"/>
        </w:rPr>
        <w:t xml:space="preserve"> במקומו של המערער היה יכול להניח כי תבוצע. </w:t>
      </w:r>
    </w:p>
    <w:p w14:paraId="6595F8A4"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אכן, ראוי ונכון היה כי המערער, בתור מפקד, יוסיף ויוודא שהמשימה בוצעה. אך </w:t>
      </w:r>
      <w:r w:rsidRPr="00043FBC">
        <w:rPr>
          <w:rFonts w:ascii="Times New Roman" w:eastAsia="Calibri" w:hAnsi="Times New Roman" w:cs="David"/>
          <w:b/>
          <w:bCs/>
          <w:kern w:val="0"/>
          <w:szCs w:val="28"/>
          <w:rtl/>
          <w14:ligatures w14:val="none"/>
        </w:rPr>
        <w:t>בנסיבות הכוללות של המקרה</w:t>
      </w:r>
      <w:r w:rsidRPr="00043FBC">
        <w:rPr>
          <w:rFonts w:ascii="Times New Roman" w:eastAsia="Calibri" w:hAnsi="Times New Roman" w:cs="David"/>
          <w:kern w:val="0"/>
          <w:szCs w:val="28"/>
          <w:rtl/>
          <w14:ligatures w14:val="none"/>
        </w:rPr>
        <w:t xml:space="preserve"> אי וידוא ביצועה </w:t>
      </w:r>
      <w:r w:rsidRPr="00043FBC">
        <w:rPr>
          <w:rFonts w:ascii="Times New Roman" w:eastAsia="Calibri" w:hAnsi="Times New Roman" w:cs="David"/>
          <w:b/>
          <w:bCs/>
          <w:kern w:val="0"/>
          <w:szCs w:val="28"/>
          <w:rtl/>
          <w14:ligatures w14:val="none"/>
        </w:rPr>
        <w:t>אינו מצוי במרחב הפלילי</w:t>
      </w:r>
      <w:r w:rsidRPr="00043FBC">
        <w:rPr>
          <w:rFonts w:ascii="Times New Roman" w:eastAsia="Calibri" w:hAnsi="Times New Roman" w:cs="David"/>
          <w:kern w:val="0"/>
          <w:szCs w:val="28"/>
          <w:rtl/>
          <w14:ligatures w14:val="none"/>
        </w:rPr>
        <w:t xml:space="preserve"> ואינו מסוג מקרי הרשלנות שבהם דבק בהתנהגות העושה אשם חמור יותר המצדיק נקיטת הליכים פליליים (להבדיל מצעדים פיקודיים או משמעתיים). כידוע, "לא כל טעות בשיקול דעת תיחשב כחריגה ממתחם הסבירות העולה כדי רשלנות. סבירות התנהגותו של הרופא במקרה נתון וסבירות שיקול הדעת שהפעיל נקבעים על פי אמות מידה אובייקטיביות-מקצועיות הנבחנות </w:t>
      </w:r>
      <w:r w:rsidRPr="00043FBC">
        <w:rPr>
          <w:rFonts w:ascii="Times New Roman" w:eastAsia="Calibri" w:hAnsi="Times New Roman" w:cs="David"/>
          <w:b/>
          <w:bCs/>
          <w:kern w:val="0"/>
          <w:szCs w:val="28"/>
          <w:rtl/>
          <w14:ligatures w14:val="none"/>
        </w:rPr>
        <w:t>על רקע מכלול נסיבות המקרה</w:t>
      </w:r>
      <w:r w:rsidRPr="00043FBC">
        <w:rPr>
          <w:rFonts w:ascii="Times New Roman" w:eastAsia="Calibri" w:hAnsi="Times New Roman" w:cs="David"/>
          <w:kern w:val="0"/>
          <w:szCs w:val="28"/>
          <w:rtl/>
          <w14:ligatures w14:val="none"/>
        </w:rPr>
        <w:t>" (ע"פ 7193/04 </w:t>
      </w:r>
      <w:proofErr w:type="spellStart"/>
      <w:r w:rsidRPr="00043FBC">
        <w:rPr>
          <w:rFonts w:ascii="Times New Roman" w:eastAsia="Calibri" w:hAnsi="Times New Roman" w:cs="David"/>
          <w:b/>
          <w:bCs/>
          <w:kern w:val="0"/>
          <w:szCs w:val="28"/>
          <w:rtl/>
          <w14:ligatures w14:val="none"/>
        </w:rPr>
        <w:t>יקירביץ</w:t>
      </w:r>
      <w:proofErr w:type="spellEnd"/>
      <w:r w:rsidRPr="00043FBC">
        <w:rPr>
          <w:rFonts w:ascii="Times New Roman" w:eastAsia="Calibri" w:hAnsi="Times New Roman" w:cs="David"/>
          <w:b/>
          <w:bCs/>
          <w:kern w:val="0"/>
          <w:szCs w:val="28"/>
          <w:rtl/>
          <w14:ligatures w14:val="none"/>
        </w:rPr>
        <w:t>'</w:t>
      </w:r>
      <w:r w:rsidRPr="00043FBC">
        <w:rPr>
          <w:rFonts w:ascii="Times New Roman" w:eastAsia="Calibri" w:hAnsi="Times New Roman" w:cs="David"/>
          <w:kern w:val="0"/>
          <w:szCs w:val="28"/>
          <w:rtl/>
          <w14:ligatures w14:val="none"/>
        </w:rPr>
        <w:t xml:space="preserve"> הנ"ל, בפסקה 70; הדגשה הוספה). גם בענייננו סברנו כי גם אם שגה המערער בכך שלא וידא את מילוי הנחייתו, טעות זו, </w:t>
      </w:r>
      <w:r w:rsidRPr="00043FBC">
        <w:rPr>
          <w:rFonts w:ascii="Times New Roman" w:eastAsia="Calibri" w:hAnsi="Times New Roman" w:cs="David"/>
          <w:b/>
          <w:bCs/>
          <w:kern w:val="0"/>
          <w:szCs w:val="28"/>
          <w:rtl/>
          <w14:ligatures w14:val="none"/>
        </w:rPr>
        <w:t>במכלול הנסיבות</w:t>
      </w:r>
      <w:r w:rsidRPr="00043FBC">
        <w:rPr>
          <w:rFonts w:ascii="Times New Roman" w:eastAsia="Calibri" w:hAnsi="Times New Roman" w:cs="David"/>
          <w:kern w:val="0"/>
          <w:szCs w:val="28"/>
          <w:rtl/>
          <w14:ligatures w14:val="none"/>
        </w:rPr>
        <w:t xml:space="preserve"> ולו מחמת הספק, אינה חורגת ממתחם הסבירות במרחב הפלילי.</w:t>
      </w:r>
    </w:p>
    <w:p w14:paraId="45708C4F"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משהגענו למסקנה זו, אין עוד צורך לדון בסוגיות של קשר סיבתי עובדתי ומשפטי, ובטענות בנוגע להגנה מן הצדק, אכיפה בררנית וסעד של הרשעה בסעיף חלופי כאמור. למעלה מן הנדרש נציין </w:t>
      </w:r>
      <w:r w:rsidRPr="00043FBC">
        <w:rPr>
          <w:rFonts w:ascii="Times New Roman" w:eastAsia="Calibri" w:hAnsi="Times New Roman" w:cs="David"/>
          <w:kern w:val="0"/>
          <w:szCs w:val="28"/>
          <w:rtl/>
          <w14:ligatures w14:val="none"/>
        </w:rPr>
        <w:lastRenderedPageBreak/>
        <w:t>כי כל אחת מן הסוגיות הללו מעוררת כשלעצמה שאלות מורכבות. למשל, בכל הנוגע לסוגיה של קשר סיבתי עובדתי ניתן לתהות מהי המשמעות הראייתית של העובדה שנקבעה במשפטו של המערער, כי גם לאחר שסגן המ"פ, סרן תומר, פגש במ"כ המשגיח, סמל שלֵו, פעם נוספת ושב והעיר לו כי עליו לצרף אליו משגיח נוסף – נמנע סמל שלֵו מלעשות כן. הערתו הנוספת של סגן תומר לסמל שלֵו נכנסת, על פני הדברים, בנעלי הווידוא שהמערער לא ביצע – והינה אף בכך, למרבה הצער, לא היה כדי להועיל. מבלי לקבוע מסמרות, נראה כי בכך יש כדי לכרסם בקיומו של קשר סיבתי עובדתי על פי מבחן "</w:t>
      </w:r>
      <w:proofErr w:type="spellStart"/>
      <w:r w:rsidRPr="00043FBC">
        <w:rPr>
          <w:rFonts w:ascii="Times New Roman" w:eastAsia="Calibri" w:hAnsi="Times New Roman" w:cs="David"/>
          <w:kern w:val="0"/>
          <w:szCs w:val="28"/>
          <w:rtl/>
          <w14:ligatures w14:val="none"/>
        </w:rPr>
        <w:t>האלמלא</w:t>
      </w:r>
      <w:proofErr w:type="spellEnd"/>
      <w:r w:rsidRPr="00043FBC">
        <w:rPr>
          <w:rFonts w:ascii="Times New Roman" w:eastAsia="Calibri" w:hAnsi="Times New Roman" w:cs="David"/>
          <w:kern w:val="0"/>
          <w:szCs w:val="28"/>
          <w:rtl/>
          <w14:ligatures w14:val="none"/>
        </w:rPr>
        <w:t xml:space="preserve">" ("הסיבה שבלעדיה אין") בין העובדה שהמערער לא וידא את ביצוע ההוראה לבין התוצאה הקשה (לניתוח רכיב הקשר הסיבתי העובדתי בעבירה לפי סעיף 341 לחוק העונשין, ראו עניין </w:t>
      </w:r>
      <w:r w:rsidRPr="00043FBC">
        <w:rPr>
          <w:rFonts w:ascii="Times New Roman" w:eastAsia="Calibri" w:hAnsi="Times New Roman" w:cs="David"/>
          <w:b/>
          <w:bCs/>
          <w:kern w:val="0"/>
          <w:szCs w:val="28"/>
          <w:rtl/>
          <w14:ligatures w14:val="none"/>
        </w:rPr>
        <w:t>עדי</w:t>
      </w:r>
      <w:r w:rsidRPr="00043FBC">
        <w:rPr>
          <w:rFonts w:ascii="Times New Roman" w:eastAsia="Calibri" w:hAnsi="Times New Roman" w:cs="David"/>
          <w:kern w:val="0"/>
          <w:szCs w:val="28"/>
          <w:rtl/>
          <w14:ligatures w14:val="none"/>
        </w:rPr>
        <w:t xml:space="preserve"> לעיל, בפסקה 29).</w:t>
      </w:r>
    </w:p>
    <w:p w14:paraId="09C39FA6" w14:textId="77777777" w:rsidR="00043FBC" w:rsidRPr="00043FBC" w:rsidRDefault="00043FBC" w:rsidP="00BC4E53">
      <w:pPr>
        <w:keepNext/>
        <w:bidi/>
        <w:spacing w:before="360" w:after="0" w:line="360" w:lineRule="auto"/>
        <w:outlineLvl w:val="2"/>
        <w:rPr>
          <w:rFonts w:ascii="Times New Roman" w:eastAsia="Times New Roman" w:hAnsi="Times New Roman" w:cs="David"/>
          <w:kern w:val="0"/>
          <w:sz w:val="28"/>
          <w:szCs w:val="28"/>
          <w:u w:val="single"/>
          <w14:ligatures w14:val="none"/>
        </w:rPr>
      </w:pPr>
      <w:r w:rsidRPr="00043FBC">
        <w:rPr>
          <w:rFonts w:ascii="Times New Roman" w:eastAsia="Times New Roman" w:hAnsi="Times New Roman" w:cs="David"/>
          <w:kern w:val="0"/>
          <w:sz w:val="28"/>
          <w:szCs w:val="28"/>
          <w:u w:val="single"/>
          <w:rtl/>
          <w14:ligatures w14:val="none"/>
        </w:rPr>
        <w:t>סוף דבר</w:t>
      </w:r>
    </w:p>
    <w:p w14:paraId="30D05AD4"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עולה מן המקובץ כי המערער מזוכה מחמת הספק מן העבירה שבה הורשע. </w:t>
      </w:r>
    </w:p>
    <w:p w14:paraId="44394158"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נדגיש: ההכרעה בעניינו של המערער, שניסה, לשווא, לדאוג מרחוק לשלום פקודו, נטועה בדל"ת אמותיו של ההליך שלפנינו. זיכויו מחמת הספק מבוסס כולו על המסכת העובדתית שהוכחה במשפט של המערער ועל הכללים שבדין הפלילי. אין בה כדי להפחית מאחריותו של מפקד, באשר הוא, לחייו של פקודו ולשלמות גופו ונפשו. דבריו של ראש הממשלה הראשון, כי</w:t>
      </w:r>
      <w:r w:rsidRPr="00043FBC">
        <w:rPr>
          <w:rFonts w:ascii="Times New Roman" w:eastAsia="Calibri" w:hAnsi="Times New Roman" w:cs="David"/>
          <w:kern w:val="0"/>
          <w:szCs w:val="28"/>
          <w14:ligatures w14:val="none"/>
        </w:rPr>
        <w:t xml:space="preserve"> </w:t>
      </w:r>
      <w:r w:rsidRPr="00043FBC">
        <w:rPr>
          <w:rFonts w:ascii="Times New Roman" w:eastAsia="Calibri" w:hAnsi="Times New Roman" w:cs="David"/>
          <w:kern w:val="0"/>
          <w:szCs w:val="28"/>
          <w:rtl/>
          <w14:ligatures w14:val="none"/>
        </w:rPr>
        <w:t>"</w:t>
      </w:r>
      <w:r w:rsidRPr="00043FBC">
        <w:rPr>
          <w:rFonts w:ascii="Times New Roman" w:eastAsia="Calibri" w:hAnsi="Times New Roman" w:cs="David"/>
          <w:b/>
          <w:bCs/>
          <w:kern w:val="0"/>
          <w:szCs w:val="28"/>
          <w:rtl/>
          <w14:ligatures w14:val="none"/>
        </w:rPr>
        <w:t>לא די שיידע המפקד את מלאכתו ... עליו להיות אוהב את האדם, שחיי הפקוד שלו יהיו יקרים לו והחייל שנשלח אליו יהיה יקר לו, שיאהב אותו</w:t>
      </w:r>
      <w:r w:rsidRPr="00043FBC">
        <w:rPr>
          <w:rFonts w:ascii="Times New Roman" w:eastAsia="Calibri" w:hAnsi="Times New Roman" w:cs="David"/>
          <w:kern w:val="0"/>
          <w:szCs w:val="28"/>
          <w:rtl/>
          <w14:ligatures w14:val="none"/>
        </w:rPr>
        <w:t xml:space="preserve">" (דוד בן-גוריון </w:t>
      </w:r>
      <w:r w:rsidRPr="00043FBC">
        <w:rPr>
          <w:rFonts w:ascii="Times New Roman" w:eastAsia="Calibri" w:hAnsi="Times New Roman" w:cs="David"/>
          <w:b/>
          <w:bCs/>
          <w:kern w:val="0"/>
          <w:szCs w:val="28"/>
          <w:rtl/>
          <w14:ligatures w14:val="none"/>
        </w:rPr>
        <w:t>יחוד וייעוד</w:t>
      </w:r>
      <w:r w:rsidRPr="00043FBC">
        <w:rPr>
          <w:rFonts w:ascii="Times New Roman" w:eastAsia="Calibri" w:hAnsi="Times New Roman" w:cs="David"/>
          <w:kern w:val="0"/>
          <w:szCs w:val="28"/>
          <w:rtl/>
          <w14:ligatures w14:val="none"/>
        </w:rPr>
        <w:t xml:space="preserve"> 733–734 (1971); הדגשה הוספה) – הם נר לרגלינו! </w:t>
      </w:r>
    </w:p>
    <w:p w14:paraId="638CAE00" w14:textId="77777777" w:rsidR="00043FBC" w:rsidRPr="00043FBC" w:rsidRDefault="00043FBC" w:rsidP="00043FBC">
      <w:pPr>
        <w:numPr>
          <w:ilvl w:val="0"/>
          <w:numId w:val="1"/>
        </w:numPr>
        <w:bidi/>
        <w:spacing w:after="120" w:line="360" w:lineRule="auto"/>
        <w:jc w:val="both"/>
        <w:rPr>
          <w:rFonts w:ascii="Times New Roman" w:eastAsia="Calibri" w:hAnsi="Times New Roman" w:cs="David"/>
          <w:kern w:val="0"/>
          <w:szCs w:val="28"/>
          <w14:ligatures w14:val="none"/>
        </w:rPr>
      </w:pPr>
      <w:r w:rsidRPr="00043FBC">
        <w:rPr>
          <w:rFonts w:ascii="Times New Roman" w:eastAsia="Calibri" w:hAnsi="Times New Roman" w:cs="David"/>
          <w:kern w:val="0"/>
          <w:szCs w:val="28"/>
          <w:rtl/>
          <w14:ligatures w14:val="none"/>
        </w:rPr>
        <w:t xml:space="preserve">סוף דבר, ערעור ההגנה על הכרעת הדין מתקבל. ערעור התביעה נדחה. </w:t>
      </w:r>
    </w:p>
    <w:p w14:paraId="26FC1875" w14:textId="77777777" w:rsidR="00043FBC" w:rsidRPr="00BF0011" w:rsidRDefault="00043FBC" w:rsidP="00043FBC">
      <w:pPr>
        <w:bidi/>
        <w:spacing w:after="120" w:line="360" w:lineRule="auto"/>
        <w:jc w:val="both"/>
        <w:rPr>
          <w:rFonts w:ascii="Times New Roman" w:eastAsia="Calibri" w:hAnsi="Times New Roman" w:cs="David"/>
          <w:kern w:val="0"/>
          <w:sz w:val="14"/>
          <w:szCs w:val="16"/>
          <w:rtl/>
          <w14:ligatures w14:val="none"/>
        </w:rPr>
      </w:pPr>
    </w:p>
    <w:p w14:paraId="1779491D" w14:textId="1C775048" w:rsidR="00043FBC" w:rsidRDefault="00043FBC" w:rsidP="00BF0011">
      <w:p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ניתן והודע היום, כ"ב בתמוז </w:t>
      </w:r>
      <w:proofErr w:type="spellStart"/>
      <w:r w:rsidRPr="00043FBC">
        <w:rPr>
          <w:rFonts w:ascii="Times New Roman" w:eastAsia="Calibri" w:hAnsi="Times New Roman" w:cs="David"/>
          <w:kern w:val="0"/>
          <w:szCs w:val="28"/>
          <w:rtl/>
          <w14:ligatures w14:val="none"/>
        </w:rPr>
        <w:t>התשפ"ו</w:t>
      </w:r>
      <w:proofErr w:type="spellEnd"/>
      <w:r w:rsidRPr="00043FBC">
        <w:rPr>
          <w:rFonts w:ascii="Times New Roman" w:eastAsia="Calibri" w:hAnsi="Times New Roman" w:cs="David"/>
          <w:kern w:val="0"/>
          <w:szCs w:val="28"/>
          <w:rtl/>
          <w14:ligatures w14:val="none"/>
        </w:rPr>
        <w:t xml:space="preserve">, 7 ביולי 2026, בפומבי ובמעמד הצדדים. </w:t>
      </w:r>
    </w:p>
    <w:p w14:paraId="0F6F2C39" w14:textId="77777777" w:rsidR="00BF0011" w:rsidRPr="00043FBC" w:rsidRDefault="00BF0011" w:rsidP="00BF0011">
      <w:pPr>
        <w:bidi/>
        <w:spacing w:after="120" w:line="360" w:lineRule="auto"/>
        <w:jc w:val="both"/>
        <w:rPr>
          <w:rFonts w:ascii="Times New Roman" w:eastAsia="Calibri" w:hAnsi="Times New Roman" w:cs="David"/>
          <w:kern w:val="0"/>
          <w:szCs w:val="28"/>
          <w:rtl/>
          <w14:ligatures w14:val="none"/>
        </w:rPr>
      </w:pPr>
    </w:p>
    <w:p w14:paraId="22F68A1F" w14:textId="6563D066" w:rsidR="00043FBC" w:rsidRPr="00043FBC" w:rsidRDefault="00043FBC" w:rsidP="00043FBC">
      <w:pPr>
        <w:bidi/>
        <w:spacing w:after="120" w:line="360" w:lineRule="auto"/>
        <w:jc w:val="both"/>
        <w:rPr>
          <w:rFonts w:ascii="Times New Roman" w:eastAsia="Calibri" w:hAnsi="Times New Roman" w:cs="David"/>
          <w:kern w:val="0"/>
          <w:szCs w:val="28"/>
          <w:rtl/>
          <w14:ligatures w14:val="none"/>
        </w:rPr>
      </w:pPr>
      <w:r w:rsidRPr="00043FBC">
        <w:rPr>
          <w:rFonts w:ascii="Times New Roman" w:eastAsia="Calibri" w:hAnsi="Times New Roman" w:cs="David"/>
          <w:kern w:val="0"/>
          <w:szCs w:val="28"/>
          <w:rtl/>
          <w14:ligatures w14:val="none"/>
        </w:rPr>
        <w:t xml:space="preserve">    ______________</w:t>
      </w:r>
      <w:r w:rsidRPr="00043FBC">
        <w:rPr>
          <w:rFonts w:ascii="Times New Roman" w:eastAsia="Calibri" w:hAnsi="Times New Roman" w:cs="David"/>
          <w:kern w:val="0"/>
          <w:szCs w:val="28"/>
          <w:rtl/>
          <w14:ligatures w14:val="none"/>
        </w:rPr>
        <w:tab/>
      </w:r>
      <w:r>
        <w:rPr>
          <w:rFonts w:ascii="Times New Roman" w:eastAsia="Calibri" w:hAnsi="Times New Roman" w:cs="David"/>
          <w:kern w:val="0"/>
          <w:szCs w:val="28"/>
          <w14:ligatures w14:val="none"/>
        </w:rPr>
        <w:t xml:space="preserve">          </w:t>
      </w:r>
      <w:r w:rsidRPr="00043FBC">
        <w:rPr>
          <w:rFonts w:ascii="Times New Roman" w:eastAsia="Calibri" w:hAnsi="Times New Roman" w:cs="David"/>
          <w:kern w:val="0"/>
          <w:szCs w:val="28"/>
          <w:rtl/>
          <w14:ligatures w14:val="none"/>
        </w:rPr>
        <w:t xml:space="preserve">     ______________</w:t>
      </w:r>
      <w:r w:rsidRPr="00043FBC">
        <w:rPr>
          <w:rFonts w:ascii="Times New Roman" w:eastAsia="Calibri" w:hAnsi="Times New Roman" w:cs="David"/>
          <w:kern w:val="0"/>
          <w:szCs w:val="28"/>
          <w:rtl/>
          <w14:ligatures w14:val="none"/>
        </w:rPr>
        <w:tab/>
      </w:r>
      <w:r>
        <w:rPr>
          <w:rFonts w:ascii="Times New Roman" w:eastAsia="Calibri" w:hAnsi="Times New Roman" w:cs="David"/>
          <w:kern w:val="0"/>
          <w:szCs w:val="28"/>
          <w14:ligatures w14:val="none"/>
        </w:rPr>
        <w:t xml:space="preserve">                  </w:t>
      </w:r>
      <w:r w:rsidRPr="00043FBC">
        <w:rPr>
          <w:rFonts w:ascii="Times New Roman" w:eastAsia="Calibri" w:hAnsi="Times New Roman" w:cs="David"/>
          <w:kern w:val="0"/>
          <w:szCs w:val="28"/>
          <w:rtl/>
          <w14:ligatures w14:val="none"/>
        </w:rPr>
        <w:t xml:space="preserve">   ______________</w:t>
      </w:r>
    </w:p>
    <w:p w14:paraId="671D7DA8" w14:textId="38D7EE7C" w:rsidR="00043FBC" w:rsidRDefault="00043FBC" w:rsidP="00043FBC">
      <w:pPr>
        <w:bidi/>
        <w:spacing w:after="120" w:line="360" w:lineRule="auto"/>
        <w:jc w:val="both"/>
        <w:rPr>
          <w:rFonts w:ascii="Times New Roman" w:eastAsia="Calibri" w:hAnsi="Times New Roman" w:cs="David"/>
          <w:b/>
          <w:bCs/>
          <w:kern w:val="0"/>
          <w:szCs w:val="28"/>
          <w:rtl/>
          <w14:ligatures w14:val="none"/>
        </w:rPr>
      </w:pPr>
      <w:r w:rsidRPr="00043FBC">
        <w:rPr>
          <w:rFonts w:ascii="Times New Roman" w:eastAsia="Calibri" w:hAnsi="Times New Roman" w:cs="David"/>
          <w:b/>
          <w:bCs/>
          <w:kern w:val="0"/>
          <w:szCs w:val="28"/>
          <w:rtl/>
          <w14:ligatures w14:val="none"/>
        </w:rPr>
        <w:t xml:space="preserve">   </w:t>
      </w:r>
      <w:r>
        <w:rPr>
          <w:rFonts w:ascii="Times New Roman" w:eastAsia="Calibri" w:hAnsi="Times New Roman" w:cs="David" w:hint="cs"/>
          <w:b/>
          <w:bCs/>
          <w:kern w:val="0"/>
          <w:szCs w:val="28"/>
          <w:rtl/>
          <w14:ligatures w14:val="none"/>
        </w:rPr>
        <w:t xml:space="preserve"> </w:t>
      </w:r>
      <w:r w:rsidRPr="00043FBC">
        <w:rPr>
          <w:rFonts w:ascii="Times New Roman" w:eastAsia="Calibri" w:hAnsi="Times New Roman" w:cs="David"/>
          <w:b/>
          <w:bCs/>
          <w:kern w:val="0"/>
          <w:szCs w:val="28"/>
          <w:rtl/>
          <w14:ligatures w14:val="none"/>
        </w:rPr>
        <w:t xml:space="preserve">  המשנה</w:t>
      </w:r>
      <w:r>
        <w:rPr>
          <w:rFonts w:ascii="Times New Roman" w:eastAsia="Calibri" w:hAnsi="Times New Roman" w:cs="David"/>
          <w:b/>
          <w:bCs/>
          <w:kern w:val="0"/>
          <w:szCs w:val="28"/>
          <w14:ligatures w14:val="none"/>
        </w:rPr>
        <w:t xml:space="preserve"> </w:t>
      </w:r>
      <w:r>
        <w:rPr>
          <w:rFonts w:ascii="Times New Roman" w:eastAsia="Calibri" w:hAnsi="Times New Roman" w:cs="David" w:hint="cs"/>
          <w:b/>
          <w:bCs/>
          <w:kern w:val="0"/>
          <w:szCs w:val="28"/>
          <w:rtl/>
          <w14:ligatures w14:val="none"/>
        </w:rPr>
        <w:t>לנשיאה</w:t>
      </w:r>
      <w:r w:rsidRPr="00043FBC">
        <w:rPr>
          <w:rFonts w:ascii="Times New Roman" w:eastAsia="Calibri" w:hAnsi="Times New Roman" w:cs="David"/>
          <w:b/>
          <w:bCs/>
          <w:kern w:val="0"/>
          <w:szCs w:val="28"/>
          <w:rtl/>
          <w14:ligatures w14:val="none"/>
        </w:rPr>
        <w:t xml:space="preserve">  </w:t>
      </w:r>
      <w:r w:rsidRPr="00043FBC">
        <w:rPr>
          <w:rFonts w:ascii="Times New Roman" w:eastAsia="Calibri" w:hAnsi="Times New Roman" w:cs="David"/>
          <w:b/>
          <w:bCs/>
          <w:kern w:val="0"/>
          <w:szCs w:val="28"/>
          <w:rtl/>
          <w14:ligatures w14:val="none"/>
        </w:rPr>
        <w:tab/>
        <w:t xml:space="preserve">                     </w:t>
      </w:r>
      <w:r w:rsidRPr="00043FBC">
        <w:rPr>
          <w:rFonts w:ascii="Times New Roman" w:eastAsia="Calibri" w:hAnsi="Times New Roman" w:cs="David"/>
          <w:b/>
          <w:bCs/>
          <w:kern w:val="0"/>
          <w:szCs w:val="28"/>
          <w14:ligatures w14:val="none"/>
        </w:rPr>
        <w:t xml:space="preserve">           </w:t>
      </w:r>
      <w:r w:rsidRPr="00043FBC">
        <w:rPr>
          <w:rFonts w:ascii="Times New Roman" w:eastAsia="Calibri" w:hAnsi="Times New Roman" w:cs="David"/>
          <w:b/>
          <w:bCs/>
          <w:kern w:val="0"/>
          <w:szCs w:val="28"/>
          <w:rtl/>
          <w14:ligatures w14:val="none"/>
        </w:rPr>
        <w:t xml:space="preserve">   </w:t>
      </w:r>
      <w:r>
        <w:rPr>
          <w:rFonts w:ascii="Times New Roman" w:eastAsia="Calibri" w:hAnsi="Times New Roman" w:cs="David" w:hint="cs"/>
          <w:b/>
          <w:bCs/>
          <w:kern w:val="0"/>
          <w:szCs w:val="28"/>
          <w:rtl/>
          <w14:ligatures w14:val="none"/>
        </w:rPr>
        <w:t>ה</w:t>
      </w:r>
      <w:r w:rsidRPr="00043FBC">
        <w:rPr>
          <w:rFonts w:ascii="Times New Roman" w:eastAsia="Calibri" w:hAnsi="Times New Roman" w:cs="David"/>
          <w:b/>
          <w:bCs/>
          <w:kern w:val="0"/>
          <w:szCs w:val="28"/>
          <w:rtl/>
          <w14:ligatures w14:val="none"/>
        </w:rPr>
        <w:t>נשיאה</w:t>
      </w:r>
      <w:r w:rsidRPr="00043FBC">
        <w:rPr>
          <w:rFonts w:ascii="Times New Roman" w:eastAsia="Calibri" w:hAnsi="Times New Roman" w:cs="David"/>
          <w:b/>
          <w:bCs/>
          <w:kern w:val="0"/>
          <w:szCs w:val="28"/>
          <w:rtl/>
          <w14:ligatures w14:val="none"/>
        </w:rPr>
        <w:tab/>
      </w:r>
      <w:r w:rsidRPr="00043FBC">
        <w:rPr>
          <w:rFonts w:ascii="Times New Roman" w:eastAsia="Calibri" w:hAnsi="Times New Roman" w:cs="David"/>
          <w:b/>
          <w:bCs/>
          <w:kern w:val="0"/>
          <w:szCs w:val="28"/>
          <w:rtl/>
          <w14:ligatures w14:val="none"/>
        </w:rPr>
        <w:tab/>
      </w:r>
      <w:r w:rsidRPr="00043FBC">
        <w:rPr>
          <w:rFonts w:ascii="Times New Roman" w:eastAsia="Calibri" w:hAnsi="Times New Roman" w:cs="David"/>
          <w:b/>
          <w:bCs/>
          <w:kern w:val="0"/>
          <w:szCs w:val="28"/>
          <w:rtl/>
          <w14:ligatures w14:val="none"/>
        </w:rPr>
        <w:tab/>
        <w:t xml:space="preserve">   </w:t>
      </w:r>
      <w:r w:rsidRPr="00043FBC">
        <w:rPr>
          <w:rFonts w:ascii="Times New Roman" w:eastAsia="Calibri" w:hAnsi="Times New Roman" w:cs="David"/>
          <w:b/>
          <w:bCs/>
          <w:kern w:val="0"/>
          <w:szCs w:val="28"/>
          <w14:ligatures w14:val="none"/>
        </w:rPr>
        <w:t xml:space="preserve">              </w:t>
      </w:r>
      <w:r>
        <w:rPr>
          <w:rFonts w:ascii="Times New Roman" w:eastAsia="Calibri" w:hAnsi="Times New Roman" w:cs="David" w:hint="cs"/>
          <w:b/>
          <w:bCs/>
          <w:kern w:val="0"/>
          <w:szCs w:val="28"/>
          <w:rtl/>
          <w14:ligatures w14:val="none"/>
        </w:rPr>
        <w:t xml:space="preserve"> </w:t>
      </w:r>
      <w:r w:rsidRPr="00043FBC">
        <w:rPr>
          <w:rFonts w:ascii="Times New Roman" w:eastAsia="Calibri" w:hAnsi="Times New Roman" w:cs="David"/>
          <w:b/>
          <w:bCs/>
          <w:kern w:val="0"/>
          <w:szCs w:val="28"/>
          <w:rtl/>
          <w14:ligatures w14:val="none"/>
        </w:rPr>
        <w:t xml:space="preserve"> שופטת</w:t>
      </w:r>
    </w:p>
    <w:p w14:paraId="7CC44C2D" w14:textId="77777777" w:rsidR="00BF0011" w:rsidRDefault="00BF0011" w:rsidP="00BF0011">
      <w:pPr>
        <w:bidi/>
        <w:spacing w:after="120" w:line="360" w:lineRule="auto"/>
        <w:jc w:val="both"/>
        <w:rPr>
          <w:rFonts w:ascii="Times New Roman" w:eastAsia="Calibri" w:hAnsi="Times New Roman" w:cs="David"/>
          <w:b/>
          <w:bCs/>
          <w:kern w:val="0"/>
          <w:sz w:val="16"/>
          <w:szCs w:val="18"/>
          <w:rtl/>
          <w14:ligatures w14:val="none"/>
        </w:rPr>
      </w:pPr>
    </w:p>
    <w:p w14:paraId="7A9A8B62" w14:textId="77777777" w:rsidR="00BF2BE0" w:rsidRPr="00BF0011" w:rsidRDefault="00BF2BE0" w:rsidP="00BF2BE0">
      <w:pPr>
        <w:bidi/>
        <w:spacing w:after="120" w:line="360" w:lineRule="auto"/>
        <w:jc w:val="both"/>
        <w:rPr>
          <w:rFonts w:ascii="Times New Roman" w:eastAsia="Calibri" w:hAnsi="Times New Roman" w:cs="David"/>
          <w:b/>
          <w:bCs/>
          <w:kern w:val="0"/>
          <w:sz w:val="16"/>
          <w:szCs w:val="18"/>
          <w:rtl/>
          <w14:ligatures w14:val="none"/>
        </w:rPr>
      </w:pPr>
    </w:p>
    <w:p w14:paraId="17C0A4CC" w14:textId="6E3D4875" w:rsidR="00BF0011" w:rsidRPr="005425B8" w:rsidRDefault="00BF0011" w:rsidP="00BF0011">
      <w:pPr>
        <w:ind w:left="-58" w:right="-567"/>
        <w:rPr>
          <w:rFonts w:ascii="David" w:hAnsi="David" w:cs="David"/>
          <w:b/>
          <w:bCs/>
          <w:sz w:val="28"/>
          <w:szCs w:val="28"/>
          <w:rtl/>
        </w:rPr>
      </w:pPr>
      <w:bookmarkStart w:id="2" w:name="_Hlk122599666"/>
      <w:bookmarkStart w:id="3" w:name="_Hlk141797760"/>
      <w:r w:rsidRPr="005425B8">
        <w:rPr>
          <w:rFonts w:ascii="David" w:hAnsi="David" w:cs="David"/>
          <w:b/>
          <w:bCs/>
          <w:sz w:val="28"/>
          <w:szCs w:val="28"/>
          <w:rtl/>
        </w:rPr>
        <w:t xml:space="preserve">חתימת המגיה: </w:t>
      </w:r>
      <w:r>
        <w:rPr>
          <w:rFonts w:ascii="David" w:hAnsi="David" w:cs="David" w:hint="cs"/>
          <w:b/>
          <w:bCs/>
          <w:sz w:val="28"/>
          <w:szCs w:val="28"/>
          <w:rtl/>
        </w:rPr>
        <w:t xml:space="preserve">   </w:t>
      </w:r>
      <w:r w:rsidRPr="005425B8">
        <w:rPr>
          <w:rFonts w:ascii="David" w:hAnsi="David" w:cs="David"/>
          <w:b/>
          <w:bCs/>
          <w:sz w:val="28"/>
          <w:szCs w:val="28"/>
          <w:rtl/>
        </w:rPr>
        <w:t xml:space="preserve">_______________________________     </w:t>
      </w:r>
      <w:r>
        <w:rPr>
          <w:rFonts w:ascii="David" w:hAnsi="David" w:cs="David" w:hint="cs"/>
          <w:b/>
          <w:bCs/>
          <w:sz w:val="28"/>
          <w:szCs w:val="28"/>
          <w:rtl/>
        </w:rPr>
        <w:t xml:space="preserve"> </w:t>
      </w:r>
      <w:r w:rsidRPr="005425B8">
        <w:rPr>
          <w:rFonts w:ascii="David" w:hAnsi="David" w:cs="David"/>
          <w:b/>
          <w:bCs/>
          <w:sz w:val="28"/>
          <w:szCs w:val="28"/>
          <w:rtl/>
        </w:rPr>
        <w:t xml:space="preserve">העתק    </w:t>
      </w:r>
      <w:r>
        <w:rPr>
          <w:rFonts w:ascii="David" w:hAnsi="David" w:cs="David" w:hint="cs"/>
          <w:b/>
          <w:bCs/>
          <w:sz w:val="28"/>
          <w:szCs w:val="28"/>
          <w:rtl/>
        </w:rPr>
        <w:t xml:space="preserve"> </w:t>
      </w:r>
      <w:r w:rsidRPr="005425B8">
        <w:rPr>
          <w:rFonts w:ascii="David" w:hAnsi="David" w:cs="David"/>
          <w:b/>
          <w:bCs/>
          <w:sz w:val="28"/>
          <w:szCs w:val="28"/>
          <w:rtl/>
        </w:rPr>
        <w:t xml:space="preserve">   נאמן       </w:t>
      </w:r>
      <w:r>
        <w:rPr>
          <w:rFonts w:ascii="David" w:hAnsi="David" w:cs="David" w:hint="cs"/>
          <w:b/>
          <w:bCs/>
          <w:sz w:val="28"/>
          <w:szCs w:val="28"/>
          <w:rtl/>
        </w:rPr>
        <w:t xml:space="preserve"> </w:t>
      </w:r>
      <w:r w:rsidRPr="005425B8">
        <w:rPr>
          <w:rFonts w:ascii="David" w:hAnsi="David" w:cs="David"/>
          <w:b/>
          <w:bCs/>
          <w:sz w:val="28"/>
          <w:szCs w:val="28"/>
          <w:rtl/>
        </w:rPr>
        <w:t>למקור</w:t>
      </w:r>
    </w:p>
    <w:p w14:paraId="547EF010" w14:textId="77777777" w:rsidR="00BF0011" w:rsidRPr="005425B8" w:rsidRDefault="00BF0011" w:rsidP="00BF0011">
      <w:pPr>
        <w:ind w:left="-58" w:right="-567"/>
        <w:rPr>
          <w:rFonts w:ascii="David" w:hAnsi="David" w:cs="David"/>
          <w:b/>
          <w:bCs/>
          <w:sz w:val="28"/>
          <w:szCs w:val="28"/>
          <w:rtl/>
        </w:rPr>
      </w:pPr>
      <w:r w:rsidRPr="005425B8">
        <w:rPr>
          <w:rFonts w:ascii="David" w:hAnsi="David" w:cs="David"/>
          <w:b/>
          <w:bCs/>
          <w:sz w:val="28"/>
          <w:szCs w:val="28"/>
          <w:rtl/>
        </w:rPr>
        <w:t xml:space="preserve">                                                                                                       </w:t>
      </w:r>
      <w:r>
        <w:rPr>
          <w:rFonts w:ascii="David" w:hAnsi="David" w:cs="David" w:hint="cs"/>
          <w:b/>
          <w:bCs/>
          <w:sz w:val="28"/>
          <w:szCs w:val="28"/>
          <w:rtl/>
        </w:rPr>
        <w:t xml:space="preserve">   </w:t>
      </w:r>
      <w:r w:rsidRPr="005425B8">
        <w:rPr>
          <w:rFonts w:ascii="David" w:hAnsi="David" w:cs="David"/>
          <w:b/>
          <w:bCs/>
          <w:sz w:val="28"/>
          <w:szCs w:val="28"/>
          <w:rtl/>
        </w:rPr>
        <w:t xml:space="preserve">רס"ל       </w:t>
      </w:r>
      <w:r>
        <w:rPr>
          <w:rFonts w:ascii="David" w:hAnsi="David" w:cs="David" w:hint="cs"/>
          <w:b/>
          <w:bCs/>
          <w:sz w:val="28"/>
          <w:szCs w:val="28"/>
          <w:rtl/>
        </w:rPr>
        <w:t xml:space="preserve"> </w:t>
      </w:r>
      <w:r w:rsidRPr="005425B8">
        <w:rPr>
          <w:rFonts w:ascii="David" w:hAnsi="David" w:cs="David"/>
          <w:b/>
          <w:bCs/>
          <w:sz w:val="28"/>
          <w:szCs w:val="28"/>
          <w:rtl/>
        </w:rPr>
        <w:t xml:space="preserve">מיקה    </w:t>
      </w:r>
      <w:r>
        <w:rPr>
          <w:rFonts w:ascii="David" w:hAnsi="David" w:cs="David" w:hint="cs"/>
          <w:b/>
          <w:bCs/>
          <w:sz w:val="28"/>
          <w:szCs w:val="28"/>
          <w:rtl/>
        </w:rPr>
        <w:t xml:space="preserve"> </w:t>
      </w:r>
      <w:r w:rsidRPr="005425B8">
        <w:rPr>
          <w:rFonts w:ascii="David" w:hAnsi="David" w:cs="David"/>
          <w:b/>
          <w:bCs/>
          <w:sz w:val="28"/>
          <w:szCs w:val="28"/>
          <w:rtl/>
        </w:rPr>
        <w:t xml:space="preserve">  </w:t>
      </w:r>
      <w:proofErr w:type="spellStart"/>
      <w:r w:rsidRPr="005425B8">
        <w:rPr>
          <w:rFonts w:ascii="David" w:hAnsi="David" w:cs="David"/>
          <w:b/>
          <w:bCs/>
          <w:sz w:val="28"/>
          <w:szCs w:val="28"/>
          <w:rtl/>
        </w:rPr>
        <w:t>אשרוב</w:t>
      </w:r>
      <w:proofErr w:type="spellEnd"/>
    </w:p>
    <w:p w14:paraId="2F775A6D" w14:textId="1F9551E1" w:rsidR="00B75346" w:rsidRPr="00F61F79" w:rsidRDefault="00BF0011" w:rsidP="00F61F79">
      <w:pPr>
        <w:bidi/>
        <w:ind w:left="-58" w:right="-567"/>
        <w:rPr>
          <w:rFonts w:ascii="David" w:hAnsi="David" w:cs="David"/>
          <w:b/>
          <w:bCs/>
          <w:sz w:val="28"/>
          <w:szCs w:val="28"/>
        </w:rPr>
      </w:pPr>
      <w:r>
        <w:rPr>
          <w:rFonts w:ascii="David" w:hAnsi="David" w:cs="David" w:hint="cs"/>
          <w:b/>
          <w:bCs/>
          <w:sz w:val="28"/>
          <w:szCs w:val="28"/>
          <w:rtl/>
        </w:rPr>
        <w:t xml:space="preserve">        </w:t>
      </w:r>
      <w:r w:rsidRPr="005425B8">
        <w:rPr>
          <w:rFonts w:ascii="David" w:hAnsi="David" w:cs="David"/>
          <w:b/>
          <w:bCs/>
          <w:sz w:val="28"/>
          <w:szCs w:val="28"/>
          <w:rtl/>
        </w:rPr>
        <w:t xml:space="preserve">תאריך: </w:t>
      </w:r>
      <w:r>
        <w:rPr>
          <w:rFonts w:ascii="David" w:hAnsi="David" w:cs="David" w:hint="cs"/>
          <w:b/>
          <w:bCs/>
          <w:sz w:val="28"/>
          <w:szCs w:val="28"/>
          <w:rtl/>
        </w:rPr>
        <w:t xml:space="preserve">  </w:t>
      </w:r>
      <w:r w:rsidRPr="005425B8">
        <w:rPr>
          <w:rFonts w:ascii="David" w:hAnsi="David" w:cs="David"/>
          <w:b/>
          <w:bCs/>
          <w:sz w:val="28"/>
          <w:szCs w:val="28"/>
          <w:rtl/>
        </w:rPr>
        <w:t xml:space="preserve">____________________________________     </w:t>
      </w:r>
      <w:r>
        <w:rPr>
          <w:rFonts w:ascii="David" w:hAnsi="David" w:cs="David" w:hint="cs"/>
          <w:b/>
          <w:bCs/>
          <w:sz w:val="28"/>
          <w:szCs w:val="28"/>
          <w:rtl/>
        </w:rPr>
        <w:t xml:space="preserve">    </w:t>
      </w:r>
      <w:r w:rsidRPr="005425B8">
        <w:rPr>
          <w:rFonts w:ascii="David" w:hAnsi="David" w:cs="David"/>
          <w:b/>
          <w:bCs/>
          <w:sz w:val="28"/>
          <w:szCs w:val="28"/>
          <w:rtl/>
        </w:rPr>
        <w:t xml:space="preserve">קצינת       </w:t>
      </w:r>
      <w:r>
        <w:rPr>
          <w:rFonts w:ascii="David" w:hAnsi="David" w:cs="David" w:hint="cs"/>
          <w:b/>
          <w:bCs/>
          <w:sz w:val="28"/>
          <w:szCs w:val="28"/>
          <w:rtl/>
        </w:rPr>
        <w:t xml:space="preserve"> </w:t>
      </w:r>
      <w:r w:rsidRPr="005425B8">
        <w:rPr>
          <w:rFonts w:ascii="David" w:hAnsi="David" w:cs="David"/>
          <w:b/>
          <w:bCs/>
          <w:sz w:val="28"/>
          <w:szCs w:val="28"/>
          <w:rtl/>
        </w:rPr>
        <w:t xml:space="preserve"> בית         </w:t>
      </w:r>
      <w:r>
        <w:rPr>
          <w:rFonts w:ascii="David" w:hAnsi="David" w:cs="David" w:hint="cs"/>
          <w:b/>
          <w:bCs/>
          <w:sz w:val="28"/>
          <w:szCs w:val="28"/>
          <w:rtl/>
        </w:rPr>
        <w:t xml:space="preserve"> </w:t>
      </w:r>
      <w:r w:rsidRPr="005425B8">
        <w:rPr>
          <w:rFonts w:ascii="David" w:hAnsi="David" w:cs="David"/>
          <w:b/>
          <w:bCs/>
          <w:sz w:val="28"/>
          <w:szCs w:val="28"/>
          <w:rtl/>
        </w:rPr>
        <w:t>הדי</w:t>
      </w:r>
      <w:bookmarkEnd w:id="2"/>
      <w:bookmarkEnd w:id="3"/>
      <w:r>
        <w:rPr>
          <w:rFonts w:ascii="David" w:hAnsi="David" w:cs="David" w:hint="cs"/>
          <w:b/>
          <w:bCs/>
          <w:sz w:val="28"/>
          <w:szCs w:val="28"/>
          <w:rtl/>
        </w:rPr>
        <w:t>ן</w:t>
      </w:r>
    </w:p>
    <w:sectPr w:rsidR="00B75346" w:rsidRPr="00F61F79" w:rsidSect="00043FBC">
      <w:headerReference w:type="even" r:id="rId10"/>
      <w:headerReference w:type="default" r:id="rId11"/>
      <w:footerReference w:type="default" r:id="rId12"/>
      <w:headerReference w:type="first" r:id="rId13"/>
      <w:pgSz w:w="12240" w:h="15840"/>
      <w:pgMar w:top="1247" w:right="1247" w:bottom="1247"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CE501" w14:textId="77777777" w:rsidR="00752EFE" w:rsidRDefault="00752EFE" w:rsidP="00E81710">
      <w:pPr>
        <w:spacing w:after="0" w:line="240" w:lineRule="auto"/>
      </w:pPr>
      <w:r>
        <w:separator/>
      </w:r>
    </w:p>
  </w:endnote>
  <w:endnote w:type="continuationSeparator" w:id="0">
    <w:p w14:paraId="0DA1B729" w14:textId="77777777" w:rsidR="00752EFE" w:rsidRDefault="00752EFE" w:rsidP="00E8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cs="David"/>
        <w:sz w:val="28"/>
        <w:szCs w:val="28"/>
      </w:rPr>
      <w:id w:val="757785327"/>
      <w:docPartObj>
        <w:docPartGallery w:val="Page Numbers (Bottom of Page)"/>
        <w:docPartUnique/>
      </w:docPartObj>
    </w:sdtPr>
    <w:sdtEndPr/>
    <w:sdtContent>
      <w:p w14:paraId="71D7A447" w14:textId="77777777" w:rsidR="00BC4E53" w:rsidRDefault="00BC4E53">
        <w:pPr>
          <w:pStyle w:val="Footer"/>
          <w:jc w:val="center"/>
          <w:rPr>
            <w:rFonts w:ascii="David" w:hAnsi="David" w:cs="David"/>
            <w:sz w:val="28"/>
            <w:szCs w:val="28"/>
          </w:rPr>
        </w:pPr>
      </w:p>
      <w:p w14:paraId="43480402" w14:textId="65510FCA" w:rsidR="00F9783F" w:rsidRPr="00F9783F" w:rsidRDefault="00F9783F">
        <w:pPr>
          <w:pStyle w:val="Footer"/>
          <w:jc w:val="center"/>
          <w:rPr>
            <w:rFonts w:ascii="David" w:hAnsi="David" w:cs="David"/>
            <w:sz w:val="28"/>
            <w:szCs w:val="28"/>
          </w:rPr>
        </w:pPr>
        <w:r w:rsidRPr="00F9783F">
          <w:rPr>
            <w:rFonts w:ascii="David" w:hAnsi="David" w:cs="David"/>
            <w:sz w:val="28"/>
            <w:szCs w:val="28"/>
          </w:rPr>
          <w:fldChar w:fldCharType="begin"/>
        </w:r>
        <w:r w:rsidRPr="00F9783F">
          <w:rPr>
            <w:rFonts w:ascii="David" w:hAnsi="David" w:cs="David"/>
            <w:sz w:val="28"/>
            <w:szCs w:val="28"/>
          </w:rPr>
          <w:instrText>PAGE   \* MERGEFORMAT</w:instrText>
        </w:r>
        <w:r w:rsidRPr="00F9783F">
          <w:rPr>
            <w:rFonts w:ascii="David" w:hAnsi="David" w:cs="David"/>
            <w:sz w:val="28"/>
            <w:szCs w:val="28"/>
          </w:rPr>
          <w:fldChar w:fldCharType="separate"/>
        </w:r>
        <w:r w:rsidRPr="00F9783F">
          <w:rPr>
            <w:rFonts w:ascii="David" w:hAnsi="David" w:cs="David"/>
            <w:sz w:val="28"/>
            <w:szCs w:val="28"/>
            <w:rtl/>
            <w:lang w:val="he-IL"/>
          </w:rPr>
          <w:t>2</w:t>
        </w:r>
        <w:r w:rsidRPr="00F9783F">
          <w:rPr>
            <w:rFonts w:ascii="David" w:hAnsi="David" w:cs="David"/>
            <w:sz w:val="28"/>
            <w:szCs w:val="28"/>
          </w:rPr>
          <w:fldChar w:fldCharType="end"/>
        </w:r>
      </w:p>
    </w:sdtContent>
  </w:sdt>
  <w:p w14:paraId="54A078AB" w14:textId="586F5CCD" w:rsidR="00AA29AD" w:rsidRPr="00AA29AD" w:rsidRDefault="00AA29AD" w:rsidP="00AA29AD">
    <w:pPr>
      <w:pStyle w:val="Footer"/>
      <w:jc w:val="center"/>
      <w:rPr>
        <w:rFonts w:ascii="David" w:hAnsi="David" w:cs="David"/>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29F2" w14:textId="77777777" w:rsidR="00752EFE" w:rsidRDefault="00752EFE" w:rsidP="00E81710">
      <w:pPr>
        <w:spacing w:after="0" w:line="240" w:lineRule="auto"/>
      </w:pPr>
      <w:r>
        <w:separator/>
      </w:r>
    </w:p>
  </w:footnote>
  <w:footnote w:type="continuationSeparator" w:id="0">
    <w:p w14:paraId="4A8D2D12" w14:textId="77777777" w:rsidR="00752EFE" w:rsidRDefault="00752EFE" w:rsidP="00E81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0142" w14:textId="707FDEF0" w:rsidR="00AA29AD" w:rsidRDefault="00AA29AD">
    <w:pPr>
      <w:pStyle w:val="Header"/>
    </w:pPr>
    <w:r>
      <w:rPr>
        <w:noProof/>
      </w:rPr>
      <mc:AlternateContent>
        <mc:Choice Requires="wps">
          <w:drawing>
            <wp:anchor distT="0" distB="0" distL="0" distR="0" simplePos="0" relativeHeight="251659264" behindDoc="0" locked="0" layoutInCell="1" allowOverlap="1" wp14:anchorId="74989E70" wp14:editId="5D09555C">
              <wp:simplePos x="635" y="635"/>
              <wp:positionH relativeFrom="page">
                <wp:align>center</wp:align>
              </wp:positionH>
              <wp:positionV relativeFrom="page">
                <wp:align>top</wp:align>
              </wp:positionV>
              <wp:extent cx="462280" cy="370205"/>
              <wp:effectExtent l="0" t="0" r="13970" b="10795"/>
              <wp:wrapNone/>
              <wp:docPr id="189347744" name="Text Box 6"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2280" cy="370205"/>
                      </a:xfrm>
                      <a:prstGeom prst="rect">
                        <a:avLst/>
                      </a:prstGeom>
                      <a:noFill/>
                      <a:ln>
                        <a:noFill/>
                      </a:ln>
                    </wps:spPr>
                    <wps:txbx>
                      <w:txbxContent>
                        <w:p w14:paraId="5E001B27" w14:textId="451E8A99" w:rsidR="00AA29AD" w:rsidRPr="00AA29AD" w:rsidRDefault="00AA29AD" w:rsidP="00AA29AD">
                          <w:pPr>
                            <w:spacing w:after="0"/>
                            <w:rPr>
                              <w:rFonts w:ascii="Aptos" w:eastAsia="Aptos" w:hAnsi="Aptos" w:cs="Aptos"/>
                              <w:noProof/>
                              <w:color w:val="000000"/>
                              <w:sz w:val="20"/>
                              <w:szCs w:val="20"/>
                            </w:rPr>
                          </w:pPr>
                          <w:r w:rsidRPr="00AA29AD">
                            <w:rPr>
                              <w:rFonts w:ascii="Aptos" w:eastAsia="Aptos" w:hAnsi="Aptos" w:cs="Aptos"/>
                              <w:noProof/>
                              <w:color w:val="000000"/>
                              <w:sz w:val="20"/>
                              <w:szCs w:val="20"/>
                            </w:rPr>
                            <w:t xml:space="preserve">- </w:t>
                          </w:r>
                          <w:r w:rsidRPr="00AA29AD">
                            <w:rPr>
                              <w:rFonts w:ascii="Aptos" w:eastAsia="Aptos" w:hAnsi="Aptos" w:cs="Aptos"/>
                              <w:noProof/>
                              <w:color w:val="000000"/>
                              <w:sz w:val="20"/>
                              <w:szCs w:val="20"/>
                              <w:rtl/>
                            </w:rPr>
                            <w:t>בלמ"ס</w:t>
                          </w:r>
                          <w:r w:rsidRPr="00AA29AD">
                            <w:rPr>
                              <w:rFonts w:ascii="Aptos" w:eastAsia="Aptos" w:hAnsi="Aptos" w:cs="Aptos"/>
                              <w:noProof/>
                              <w:color w:val="000000"/>
                              <w:sz w:val="20"/>
                              <w:szCs w:val="2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989E70" id="_x0000_t202" coordsize="21600,21600" o:spt="202" path="m,l,21600r21600,l21600,xe">
              <v:stroke joinstyle="miter"/>
              <v:path gradientshapeok="t" o:connecttype="rect"/>
            </v:shapetype>
            <v:shape id="Text Box 6" o:spid="_x0000_s1026" type="#_x0000_t202" alt="- בלמ&quot;ס -" style="position:absolute;margin-left:0;margin-top:0;width:36.4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" filled="f" stroked="f">
              <v:textbox style="mso-fit-shape-to-text:t" inset="0,15pt,0,0">
                <w:txbxContent>
                  <w:p w14:paraId="5E001B27" w14:textId="451E8A99" w:rsidR="00AA29AD" w:rsidRPr="00AA29AD" w:rsidRDefault="00AA29AD" w:rsidP="00AA29AD">
                    <w:pPr>
                      <w:spacing w:after="0"/>
                      <w:rPr>
                        <w:rFonts w:ascii="Aptos" w:eastAsia="Aptos" w:hAnsi="Aptos" w:cs="Aptos"/>
                        <w:noProof/>
                        <w:color w:val="000000"/>
                        <w:sz w:val="20"/>
                        <w:szCs w:val="20"/>
                      </w:rPr>
                    </w:pPr>
                    <w:r w:rsidRPr="00AA29AD">
                      <w:rPr>
                        <w:rFonts w:ascii="Aptos" w:eastAsia="Aptos" w:hAnsi="Aptos" w:cs="Aptos"/>
                        <w:noProof/>
                        <w:color w:val="000000"/>
                        <w:sz w:val="20"/>
                        <w:szCs w:val="20"/>
                      </w:rPr>
                      <w:t xml:space="preserve">- </w:t>
                    </w:r>
                    <w:r w:rsidRPr="00AA29AD">
                      <w:rPr>
                        <w:rFonts w:ascii="Aptos" w:eastAsia="Aptos" w:hAnsi="Aptos" w:cs="Aptos"/>
                        <w:noProof/>
                        <w:color w:val="000000"/>
                        <w:sz w:val="20"/>
                        <w:szCs w:val="20"/>
                        <w:rtl/>
                      </w:rPr>
                      <w:t>בלמ"ס</w:t>
                    </w:r>
                    <w:r w:rsidRPr="00AA29AD">
                      <w:rPr>
                        <w:rFonts w:ascii="Aptos" w:eastAsia="Aptos" w:hAnsi="Aptos" w:cs="Aptos"/>
                        <w:noProof/>
                        <w:color w:val="000000"/>
                        <w:sz w:val="20"/>
                        <w:szCs w:val="20"/>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26D6" w14:textId="491C2426" w:rsidR="00E81710" w:rsidRPr="00E81710" w:rsidRDefault="00AA29AD" w:rsidP="00AA29AD">
    <w:pPr>
      <w:pStyle w:val="Header"/>
      <w:bidi/>
      <w:rPr>
        <w:rFonts w:ascii="David" w:hAnsi="David" w:cs="David"/>
        <w:sz w:val="28"/>
        <w:szCs w:val="28"/>
        <w:rtl/>
      </w:rPr>
    </w:pPr>
    <w:r>
      <w:rPr>
        <w:rFonts w:ascii="David" w:hAnsi="David" w:cs="David"/>
        <w:noProof/>
        <w:sz w:val="28"/>
        <w:szCs w:val="28"/>
      </w:rPr>
      <mc:AlternateContent>
        <mc:Choice Requires="wps">
          <w:drawing>
            <wp:anchor distT="0" distB="0" distL="0" distR="0" simplePos="0" relativeHeight="251660288" behindDoc="0" locked="0" layoutInCell="1" allowOverlap="1" wp14:anchorId="3DB15FE9" wp14:editId="59449D69">
              <wp:simplePos x="635" y="635"/>
              <wp:positionH relativeFrom="page">
                <wp:align>center</wp:align>
              </wp:positionH>
              <wp:positionV relativeFrom="page">
                <wp:align>top</wp:align>
              </wp:positionV>
              <wp:extent cx="462280" cy="370205"/>
              <wp:effectExtent l="0" t="0" r="13970" b="10795"/>
              <wp:wrapNone/>
              <wp:docPr id="433180811" name="Text Box 7"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2280" cy="370205"/>
                      </a:xfrm>
                      <a:prstGeom prst="rect">
                        <a:avLst/>
                      </a:prstGeom>
                      <a:noFill/>
                      <a:ln>
                        <a:noFill/>
                      </a:ln>
                    </wps:spPr>
                    <wps:txbx>
                      <w:txbxContent>
                        <w:p w14:paraId="0C7F1D4D" w14:textId="1E909CE4" w:rsidR="00AA29AD" w:rsidRPr="00AA29AD" w:rsidRDefault="00AA29AD" w:rsidP="00AA29AD">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B15FE9" id="_x0000_t202" coordsize="21600,21600" o:spt="202" path="m,l,21600r21600,l21600,xe">
              <v:stroke joinstyle="miter"/>
              <v:path gradientshapeok="t" o:connecttype="rect"/>
            </v:shapetype>
            <v:shape id="Text Box 7" o:spid="_x0000_s1027" type="#_x0000_t202" alt="- בלמ&quot;ס -" style="position:absolute;left:0;text-align:left;margin-left:0;margin-top:0;width:36.4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" filled="f" stroked="f">
              <v:textbox style="mso-fit-shape-to-text:t" inset="0,15pt,0,0">
                <w:txbxContent>
                  <w:p w14:paraId="0C7F1D4D" w14:textId="1E909CE4" w:rsidR="00AA29AD" w:rsidRPr="00AA29AD" w:rsidRDefault="00AA29AD" w:rsidP="00AA29AD">
                    <w:pPr>
                      <w:spacing w:after="0"/>
                      <w:rPr>
                        <w:rFonts w:ascii="Aptos" w:eastAsia="Aptos" w:hAnsi="Aptos" w:cs="Aptos"/>
                        <w:noProof/>
                        <w:color w:val="000000"/>
                        <w:sz w:val="20"/>
                        <w:szCs w:val="20"/>
                      </w:rPr>
                    </w:pPr>
                  </w:p>
                </w:txbxContent>
              </v:textbox>
              <w10:wrap anchorx="page" anchory="page"/>
            </v:shape>
          </w:pict>
        </mc:Fallback>
      </mc:AlternateContent>
    </w:r>
    <w:r>
      <w:rPr>
        <w:rFonts w:ascii="David" w:hAnsi="David" w:cs="David"/>
        <w:sz w:val="28"/>
        <w:szCs w:val="28"/>
      </w:rPr>
      <w:t xml:space="preserve">                                                                        </w:t>
    </w:r>
    <w:r w:rsidR="00F9783F">
      <w:rPr>
        <w:rFonts w:ascii="David" w:hAnsi="David" w:cs="David" w:hint="cs"/>
        <w:sz w:val="28"/>
        <w:szCs w:val="28"/>
        <w:rtl/>
      </w:rPr>
      <w:t>ב ל מ " ס</w:t>
    </w:r>
    <w:r>
      <w:rPr>
        <w:rFonts w:ascii="David" w:hAnsi="David" w:cs="David"/>
        <w:sz w:val="28"/>
        <w:szCs w:val="28"/>
      </w:rPr>
      <w:t xml:space="preserve">   </w:t>
    </w:r>
    <w:r w:rsidR="00E81710">
      <w:rPr>
        <w:rFonts w:ascii="David" w:hAnsi="David" w:cs="David" w:hint="cs"/>
        <w:sz w:val="28"/>
        <w:szCs w:val="28"/>
        <w:rtl/>
      </w:rPr>
      <w:t xml:space="preserve">         </w:t>
    </w:r>
    <w:r>
      <w:rPr>
        <w:rFonts w:ascii="David" w:hAnsi="David" w:cs="David"/>
        <w:sz w:val="28"/>
        <w:szCs w:val="28"/>
      </w:rPr>
      <w:t xml:space="preserve">        </w:t>
    </w:r>
    <w:r w:rsidR="00E81710" w:rsidRPr="00E81710">
      <w:rPr>
        <w:rFonts w:ascii="David" w:hAnsi="David" w:cs="David"/>
        <w:sz w:val="28"/>
        <w:szCs w:val="28"/>
        <w:rtl/>
      </w:rPr>
      <w:t>ע"פ 64094-11-25, 4474-10-25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5886" w14:textId="1C871431" w:rsidR="00AA29AD" w:rsidRDefault="00AA29AD">
    <w:pPr>
      <w:pStyle w:val="Header"/>
    </w:pPr>
    <w:r>
      <w:rPr>
        <w:noProof/>
      </w:rPr>
      <mc:AlternateContent>
        <mc:Choice Requires="wps">
          <w:drawing>
            <wp:anchor distT="0" distB="0" distL="0" distR="0" simplePos="0" relativeHeight="251658240" behindDoc="0" locked="0" layoutInCell="1" allowOverlap="1" wp14:anchorId="051E6948" wp14:editId="3113D917">
              <wp:simplePos x="635" y="635"/>
              <wp:positionH relativeFrom="page">
                <wp:align>center</wp:align>
              </wp:positionH>
              <wp:positionV relativeFrom="page">
                <wp:align>top</wp:align>
              </wp:positionV>
              <wp:extent cx="462280" cy="370205"/>
              <wp:effectExtent l="0" t="0" r="13970" b="10795"/>
              <wp:wrapNone/>
              <wp:docPr id="1764117153" name="Text Box 5"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2280" cy="370205"/>
                      </a:xfrm>
                      <a:prstGeom prst="rect">
                        <a:avLst/>
                      </a:prstGeom>
                      <a:noFill/>
                      <a:ln>
                        <a:noFill/>
                      </a:ln>
                    </wps:spPr>
                    <wps:txbx>
                      <w:txbxContent>
                        <w:p w14:paraId="41A9F659" w14:textId="305C85B5" w:rsidR="00AA29AD" w:rsidRPr="00AA29AD" w:rsidRDefault="00AA29AD" w:rsidP="00AA29AD">
                          <w:pPr>
                            <w:spacing w:after="0"/>
                            <w:rPr>
                              <w:rFonts w:ascii="Aptos" w:eastAsia="Aptos" w:hAnsi="Aptos" w:cs="Aptos"/>
                              <w:noProof/>
                              <w:color w:val="000000"/>
                              <w:sz w:val="20"/>
                              <w:szCs w:val="20"/>
                            </w:rPr>
                          </w:pPr>
                          <w:r w:rsidRPr="00AA29AD">
                            <w:rPr>
                              <w:rFonts w:ascii="Aptos" w:eastAsia="Aptos" w:hAnsi="Aptos" w:cs="Aptos"/>
                              <w:noProof/>
                              <w:color w:val="000000"/>
                              <w:sz w:val="20"/>
                              <w:szCs w:val="20"/>
                            </w:rPr>
                            <w:t xml:space="preserve">- </w:t>
                          </w:r>
                          <w:r w:rsidRPr="00AA29AD">
                            <w:rPr>
                              <w:rFonts w:ascii="Aptos" w:eastAsia="Aptos" w:hAnsi="Aptos" w:cs="Aptos"/>
                              <w:noProof/>
                              <w:color w:val="000000"/>
                              <w:sz w:val="20"/>
                              <w:szCs w:val="20"/>
                              <w:rtl/>
                            </w:rPr>
                            <w:t>בלמ"ס</w:t>
                          </w:r>
                          <w:r w:rsidRPr="00AA29AD">
                            <w:rPr>
                              <w:rFonts w:ascii="Aptos" w:eastAsia="Aptos" w:hAnsi="Aptos" w:cs="Aptos"/>
                              <w:noProof/>
                              <w:color w:val="000000"/>
                              <w:sz w:val="20"/>
                              <w:szCs w:val="2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1E6948" id="_x0000_t202" coordsize="21600,21600" o:spt="202" path="m,l,21600r21600,l21600,xe">
              <v:stroke joinstyle="miter"/>
              <v:path gradientshapeok="t" o:connecttype="rect"/>
            </v:shapetype>
            <v:shape id="Text Box 5" o:spid="_x0000_s1028" type="#_x0000_t202" alt="- בלמ&quot;ס -" style="position:absolute;margin-left:0;margin-top:0;width:36.4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" filled="f" stroked="f">
              <v:textbox style="mso-fit-shape-to-text:t" inset="0,15pt,0,0">
                <w:txbxContent>
                  <w:p w14:paraId="41A9F659" w14:textId="305C85B5" w:rsidR="00AA29AD" w:rsidRPr="00AA29AD" w:rsidRDefault="00AA29AD" w:rsidP="00AA29AD">
                    <w:pPr>
                      <w:spacing w:after="0"/>
                      <w:rPr>
                        <w:rFonts w:ascii="Aptos" w:eastAsia="Aptos" w:hAnsi="Aptos" w:cs="Aptos"/>
                        <w:noProof/>
                        <w:color w:val="000000"/>
                        <w:sz w:val="20"/>
                        <w:szCs w:val="20"/>
                      </w:rPr>
                    </w:pPr>
                    <w:r w:rsidRPr="00AA29AD">
                      <w:rPr>
                        <w:rFonts w:ascii="Aptos" w:eastAsia="Aptos" w:hAnsi="Aptos" w:cs="Aptos"/>
                        <w:noProof/>
                        <w:color w:val="000000"/>
                        <w:sz w:val="20"/>
                        <w:szCs w:val="20"/>
                      </w:rPr>
                      <w:t xml:space="preserve">- </w:t>
                    </w:r>
                    <w:r w:rsidRPr="00AA29AD">
                      <w:rPr>
                        <w:rFonts w:ascii="Aptos" w:eastAsia="Aptos" w:hAnsi="Aptos" w:cs="Aptos"/>
                        <w:noProof/>
                        <w:color w:val="000000"/>
                        <w:sz w:val="20"/>
                        <w:szCs w:val="20"/>
                        <w:rtl/>
                      </w:rPr>
                      <w:t>בלמ"ס</w:t>
                    </w:r>
                    <w:r w:rsidRPr="00AA29AD">
                      <w:rPr>
                        <w:rFonts w:ascii="Aptos" w:eastAsia="Aptos" w:hAnsi="Aptos" w:cs="Aptos"/>
                        <w:noProof/>
                        <w:color w:val="000000"/>
                        <w:sz w:val="20"/>
                        <w:szCs w:val="20"/>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81769"/>
    <w:multiLevelType w:val="multilevel"/>
    <w:tmpl w:val="15FE3686"/>
    <w:lvl w:ilvl="0">
      <w:start w:val="1"/>
      <w:numFmt w:val="decimal"/>
      <w:suff w:val="space"/>
      <w:lvlText w:val="%1."/>
      <w:lvlJc w:val="left"/>
      <w:pPr>
        <w:ind w:left="0" w:firstLine="0"/>
      </w:pPr>
      <w:rPr>
        <w:rFonts w:ascii="David" w:hAnsi="David" w:cs="David" w:hint="default"/>
        <w:b w:val="0"/>
        <w:bCs w:val="0"/>
        <w:sz w:val="28"/>
        <w:szCs w:val="28"/>
      </w:rPr>
    </w:lvl>
    <w:lvl w:ilvl="1">
      <w:start w:val="1"/>
      <w:numFmt w:val="hebrew1"/>
      <w:lvlText w:val="%2."/>
      <w:lvlJc w:val="left"/>
      <w:pPr>
        <w:ind w:left="922" w:hanging="360"/>
      </w:pPr>
      <w:rPr>
        <w:rFonts w:hint="default"/>
      </w:rPr>
    </w:lvl>
    <w:lvl w:ilvl="2">
      <w:start w:val="1"/>
      <w:numFmt w:val="lowerRoman"/>
      <w:lvlText w:val="%3."/>
      <w:lvlJc w:val="right"/>
      <w:pPr>
        <w:ind w:left="1124" w:hanging="360"/>
      </w:pPr>
      <w:rPr>
        <w:rFonts w:hint="default"/>
      </w:rPr>
    </w:lvl>
    <w:lvl w:ilvl="3">
      <w:start w:val="1"/>
      <w:numFmt w:val="decimal"/>
      <w:lvlText w:val="%4."/>
      <w:lvlJc w:val="left"/>
      <w:pPr>
        <w:ind w:left="1326" w:hanging="360"/>
      </w:pPr>
      <w:rPr>
        <w:rFonts w:hint="default"/>
      </w:rPr>
    </w:lvl>
    <w:lvl w:ilvl="4">
      <w:start w:val="1"/>
      <w:numFmt w:val="lowerLetter"/>
      <w:lvlText w:val="%5."/>
      <w:lvlJc w:val="left"/>
      <w:pPr>
        <w:ind w:left="1528" w:hanging="360"/>
      </w:pPr>
      <w:rPr>
        <w:rFonts w:hint="default"/>
      </w:rPr>
    </w:lvl>
    <w:lvl w:ilvl="5">
      <w:start w:val="1"/>
      <w:numFmt w:val="lowerRoman"/>
      <w:lvlText w:val="%6."/>
      <w:lvlJc w:val="right"/>
      <w:pPr>
        <w:ind w:left="1730" w:hanging="360"/>
      </w:pPr>
      <w:rPr>
        <w:rFonts w:hint="default"/>
      </w:rPr>
    </w:lvl>
    <w:lvl w:ilvl="6">
      <w:start w:val="1"/>
      <w:numFmt w:val="decimal"/>
      <w:lvlText w:val="%7."/>
      <w:lvlJc w:val="left"/>
      <w:pPr>
        <w:ind w:left="1932" w:hanging="360"/>
      </w:pPr>
      <w:rPr>
        <w:rFonts w:hint="default"/>
      </w:rPr>
    </w:lvl>
    <w:lvl w:ilvl="7">
      <w:start w:val="1"/>
      <w:numFmt w:val="lowerLetter"/>
      <w:lvlText w:val="%8."/>
      <w:lvlJc w:val="left"/>
      <w:pPr>
        <w:ind w:left="2134" w:hanging="360"/>
      </w:pPr>
      <w:rPr>
        <w:rFonts w:hint="default"/>
      </w:rPr>
    </w:lvl>
    <w:lvl w:ilvl="8">
      <w:start w:val="1"/>
      <w:numFmt w:val="lowerRoman"/>
      <w:lvlText w:val="%9."/>
      <w:lvlJc w:val="right"/>
      <w:pPr>
        <w:ind w:left="2336" w:hanging="360"/>
      </w:pPr>
      <w:rPr>
        <w:rFonts w:hint="default"/>
      </w:rPr>
    </w:lvl>
  </w:abstractNum>
  <w:num w:numId="1" w16cid:durableId="1202404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10"/>
    <w:rsid w:val="00043FBC"/>
    <w:rsid w:val="00056796"/>
    <w:rsid w:val="0007489F"/>
    <w:rsid w:val="00221AD4"/>
    <w:rsid w:val="0022516C"/>
    <w:rsid w:val="002C055C"/>
    <w:rsid w:val="002D0BEF"/>
    <w:rsid w:val="00334BAB"/>
    <w:rsid w:val="00353B81"/>
    <w:rsid w:val="00477D79"/>
    <w:rsid w:val="00495CB7"/>
    <w:rsid w:val="00633DD4"/>
    <w:rsid w:val="00643D85"/>
    <w:rsid w:val="00752EFE"/>
    <w:rsid w:val="007559C3"/>
    <w:rsid w:val="008841EA"/>
    <w:rsid w:val="0088513E"/>
    <w:rsid w:val="0092591E"/>
    <w:rsid w:val="009A1B4F"/>
    <w:rsid w:val="00A13BFB"/>
    <w:rsid w:val="00AA29AD"/>
    <w:rsid w:val="00B75346"/>
    <w:rsid w:val="00BC4E53"/>
    <w:rsid w:val="00BF0011"/>
    <w:rsid w:val="00BF2BE0"/>
    <w:rsid w:val="00C34A42"/>
    <w:rsid w:val="00CB6853"/>
    <w:rsid w:val="00D41F4E"/>
    <w:rsid w:val="00D8054B"/>
    <w:rsid w:val="00E17AA8"/>
    <w:rsid w:val="00E452F5"/>
    <w:rsid w:val="00E81710"/>
    <w:rsid w:val="00EB7A5F"/>
    <w:rsid w:val="00F61F79"/>
    <w:rsid w:val="00F978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12872"/>
  <w15:chartTrackingRefBased/>
  <w15:docId w15:val="{4AA65F6B-3BEA-4E0C-83B0-31CFFFD4E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1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17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17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17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7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7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7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7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17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7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7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710"/>
    <w:rPr>
      <w:rFonts w:eastAsiaTheme="majorEastAsia" w:cstheme="majorBidi"/>
      <w:color w:val="272727" w:themeColor="text1" w:themeTint="D8"/>
    </w:rPr>
  </w:style>
  <w:style w:type="paragraph" w:styleId="Title">
    <w:name w:val="Title"/>
    <w:basedOn w:val="Normal"/>
    <w:next w:val="Normal"/>
    <w:link w:val="TitleChar"/>
    <w:uiPriority w:val="10"/>
    <w:qFormat/>
    <w:rsid w:val="00E81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710"/>
    <w:pPr>
      <w:spacing w:before="160"/>
      <w:jc w:val="center"/>
    </w:pPr>
    <w:rPr>
      <w:i/>
      <w:iCs/>
      <w:color w:val="404040" w:themeColor="text1" w:themeTint="BF"/>
    </w:rPr>
  </w:style>
  <w:style w:type="character" w:customStyle="1" w:styleId="QuoteChar">
    <w:name w:val="Quote Char"/>
    <w:basedOn w:val="DefaultParagraphFont"/>
    <w:link w:val="Quote"/>
    <w:uiPriority w:val="29"/>
    <w:rsid w:val="00E81710"/>
    <w:rPr>
      <w:i/>
      <w:iCs/>
      <w:color w:val="404040" w:themeColor="text1" w:themeTint="BF"/>
    </w:rPr>
  </w:style>
  <w:style w:type="paragraph" w:styleId="ListParagraph">
    <w:name w:val="List Paragraph"/>
    <w:basedOn w:val="Normal"/>
    <w:uiPriority w:val="34"/>
    <w:qFormat/>
    <w:rsid w:val="00E81710"/>
    <w:pPr>
      <w:ind w:left="720"/>
      <w:contextualSpacing/>
    </w:pPr>
  </w:style>
  <w:style w:type="character" w:styleId="IntenseEmphasis">
    <w:name w:val="Intense Emphasis"/>
    <w:basedOn w:val="DefaultParagraphFont"/>
    <w:uiPriority w:val="21"/>
    <w:qFormat/>
    <w:rsid w:val="00E81710"/>
    <w:rPr>
      <w:i/>
      <w:iCs/>
      <w:color w:val="0F4761" w:themeColor="accent1" w:themeShade="BF"/>
    </w:rPr>
  </w:style>
  <w:style w:type="paragraph" w:styleId="IntenseQuote">
    <w:name w:val="Intense Quote"/>
    <w:basedOn w:val="Normal"/>
    <w:next w:val="Normal"/>
    <w:link w:val="IntenseQuoteChar"/>
    <w:uiPriority w:val="30"/>
    <w:qFormat/>
    <w:rsid w:val="00E8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1710"/>
    <w:rPr>
      <w:i/>
      <w:iCs/>
      <w:color w:val="0F4761" w:themeColor="accent1" w:themeShade="BF"/>
    </w:rPr>
  </w:style>
  <w:style w:type="character" w:styleId="IntenseReference">
    <w:name w:val="Intense Reference"/>
    <w:basedOn w:val="DefaultParagraphFont"/>
    <w:uiPriority w:val="32"/>
    <w:qFormat/>
    <w:rsid w:val="00E81710"/>
    <w:rPr>
      <w:b/>
      <w:bCs/>
      <w:smallCaps/>
      <w:color w:val="0F4761" w:themeColor="accent1" w:themeShade="BF"/>
      <w:spacing w:val="5"/>
    </w:rPr>
  </w:style>
  <w:style w:type="paragraph" w:styleId="Header">
    <w:name w:val="header"/>
    <w:basedOn w:val="Normal"/>
    <w:link w:val="HeaderChar"/>
    <w:uiPriority w:val="99"/>
    <w:unhideWhenUsed/>
    <w:rsid w:val="00E817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1710"/>
  </w:style>
  <w:style w:type="paragraph" w:styleId="Footer">
    <w:name w:val="footer"/>
    <w:basedOn w:val="Normal"/>
    <w:link w:val="FooterChar"/>
    <w:uiPriority w:val="99"/>
    <w:unhideWhenUsed/>
    <w:rsid w:val="00E817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1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35BFB-DEB9-4E02-A8CD-67F835938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6494</Words>
  <Characters>37016</Characters>
  <Application>Microsoft Office Word</Application>
  <DocSecurity>0</DocSecurity>
  <Lines>308</Lines>
  <Paragraphs>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אמילי נאימן</dc:creator>
  <cp:keywords/>
  <dc:description/>
  <cp:lastModifiedBy>אמילי נאימן</cp:lastModifiedBy>
  <cp:revision>3</cp:revision>
  <dcterms:created xsi:type="dcterms:W3CDTF">2026-07-07T14:53:00Z</dcterms:created>
  <dcterms:modified xsi:type="dcterms:W3CDTF">2026-07-08T05:41:00Z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69264aa1,b4937a0,19d1d08b</vt:lpwstr>
  </property>
  <property fmtid="{D5CDD505-2E9C-101B-9397-08002B2CF9AE}" pid="3" name="ClassificationContentMarkingHeaderFontProps">
    <vt:lpwstr>#000000,10,Aptos</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2026-07-07T09:24:55Z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e8f003da-a400-4c78-8c9c-c5a00386386d</vt:lpwstr>
  </property>
  <property fmtid="{D5CDD505-2E9C-101B-9397-08002B2CF9AE}" pid="11" name="MSIP_Label_701b9bfc-c426-492e-a46c-1a922d5fe54b_ContentBits">
    <vt:lpwstr>1</vt:lpwstr>
  </property>
  <property fmtid="{D5CDD505-2E9C-101B-9397-08002B2CF9AE}" pid="12" name="MSIP_Label_701b9bfc-c426-492e-a46c-1a922d5fe54b_Tag">
    <vt:lpwstr>10, 0, 1, 1</vt:lpwstr>
  </property>
</Properties>
</file>