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bidi/>
        <w:spacing w:before="0" w:after="0"/>
        <w:jc w:val="right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דרום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מחוזי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133/19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בלמ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</w:p>
    <w:p>
      <w:pPr>
        <w:bidi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after="0" w:line="360" w:lineRule="auto"/>
        <w:jc w:val="both"/>
        <w:rPr>
          <w:rFonts w:ascii="Tahoma" w:eastAsia="Tahoma" w:hAnsi="Tahoma" w:cs="Tahoma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38450" cy="828675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17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בית הדין הצבאי המחוזי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מחוז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שיפוטי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דרום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ז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</w:t>
      </w:r>
    </w:p>
    <w:tbl>
      <w:tblPr>
        <w:bidiVisual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30"/>
        <w:gridCol w:w="2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סא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ל מאיר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ויגיסר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ן ליאור בנימין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ן נדב דוק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סגן סתיו תורג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סמל מ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א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ן עומר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קנולבר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הכרעת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 פי הודאתו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מורשע הנאשם בעבירה של גניבה מחייל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לפי סעיף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84 </w:t>
      </w:r>
      <w:r>
        <w:rPr>
          <w:rFonts w:ascii="David" w:eastAsia="David" w:hAnsi="David" w:cs="David"/>
          <w:sz w:val="28"/>
          <w:szCs w:val="28"/>
          <w:rtl/>
        </w:rPr>
        <w:t>לחוק השיפוט הצבאי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התשט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- 1955, </w:t>
      </w:r>
      <w:r>
        <w:rPr>
          <w:rFonts w:ascii="David" w:eastAsia="David" w:hAnsi="David" w:cs="David"/>
          <w:sz w:val="28"/>
          <w:szCs w:val="28"/>
          <w:rtl/>
        </w:rPr>
        <w:t>בהתאם לכתב האישום המתוקן ולפרטים הנוספים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ניתנה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 בשבט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19/02/2020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והודעה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 xml:space="preserve">_____( - )_____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tbl>
      <w:tblPr>
        <w:bidiVisual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30"/>
        <w:gridCol w:w="2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סא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ל רונן שור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רותם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ולצמן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סרן שלמה גולדשטיין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סרן אמיר גונמן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סמל מ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א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ן עומר קנובלר</w:t>
      </w:r>
      <w:r>
        <w:rPr>
          <w:rFonts w:ascii="Tahoma" w:eastAsia="Tahoma" w:hAnsi="Tahoma" w:cs="Tahoma"/>
          <w:sz w:val="28"/>
          <w:szCs w:val="28"/>
          <w:rtl/>
        </w:rPr>
        <w:t>)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גזר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>–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 הורשע על פי הודאתו בעבירה של גניבה מחייל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בכך שבשתי הזדמנויות שונות בשנת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2018 </w:t>
      </w:r>
      <w:r>
        <w:rPr>
          <w:rFonts w:ascii="David" w:eastAsia="David" w:hAnsi="David" w:cs="David"/>
          <w:sz w:val="28"/>
          <w:szCs w:val="28"/>
          <w:rtl/>
        </w:rPr>
        <w:t xml:space="preserve">בעת שירותו בבסיסים צבאיים גנב שני מכשירים </w:t>
      </w:r>
      <w:r>
        <w:rPr>
          <w:rFonts w:ascii="David" w:eastAsia="David" w:hAnsi="David" w:cs="David"/>
          <w:sz w:val="28"/>
          <w:szCs w:val="28"/>
          <w:rtl/>
        </w:rPr>
        <w:t>סלולארים</w:t>
      </w:r>
      <w:r>
        <w:rPr>
          <w:rFonts w:ascii="David" w:eastAsia="David" w:hAnsi="David" w:cs="David"/>
          <w:sz w:val="28"/>
          <w:szCs w:val="28"/>
          <w:rtl/>
        </w:rPr>
        <w:t xml:space="preserve"> של חיילים אחרים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אין בידינו פרטים באשר לגורלם של המכשירים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עם זאת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הצדדים עמדו על קיומם של קשיים ראייתיים שונים שהובילו להסדר טיעון בתיק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בצד האמור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הנאשם הודה וחסך בזמן שיפוטי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חלף פרק זמן משמעותי מאז ביצוע העבירה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כאשר הנאשם כיום משוחרר מזה תקופה ארוכה משירות צבאי ועובד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הוא הביע חרטה על ביצוע העבירה ונמסר כי נפגעי העבירה נתנו את בירכתם להסדר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 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בנסיבות אלה מצאנו לכבד את עתירתם המשותפת של הצדדים ולאמץ את הסדר הטיעון שהוצג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 הנאשם נגזרים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אפוא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העונשים הבאים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>
      <w:pPr>
        <w:numPr>
          <w:ilvl w:val="0"/>
          <w:numId w:val="1"/>
        </w:numPr>
        <w:pBdr>
          <w:right w:val="none" w:sz="0" w:space="1" w:color="auto"/>
        </w:pBdr>
        <w:bidi/>
        <w:spacing w:before="0" w:line="360" w:lineRule="auto"/>
        <w:ind w:left="720" w:right="0" w:hanging="336"/>
        <w:jc w:val="both"/>
        <w:rPr>
          <w:rFonts w:ascii="Arial" w:eastAsia="Arial" w:hAnsi="Arial" w:cs="Arial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עונש מאסר מותנה בן </w:t>
      </w:r>
      <w:r>
        <w:rPr>
          <w:rFonts w:ascii="David" w:eastAsia="David" w:hAnsi="David" w:cs="David"/>
          <w:sz w:val="28"/>
          <w:szCs w:val="28"/>
          <w:rtl/>
        </w:rPr>
        <w:t xml:space="preserve">שישים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(60)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ימים למשך שלוש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(3)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שנים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שלא יעבור עבירה שיש בה יסוד של שליחת יד ברכוש הזולת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line="360" w:lineRule="auto"/>
        <w:ind w:left="72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קנס בסך</w:t>
      </w:r>
      <w:r>
        <w:rPr>
          <w:rFonts w:ascii="David" w:eastAsia="David" w:hAnsi="David" w:cs="David"/>
          <w:sz w:val="28"/>
          <w:szCs w:val="28"/>
          <w:rtl/>
        </w:rPr>
        <w:t xml:space="preserve"> חמשת אלפים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(5000)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ח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הקנס ישולם על ידי</w:t>
      </w:r>
      <w:r>
        <w:rPr>
          <w:rFonts w:ascii="David" w:eastAsia="David" w:hAnsi="David" w:cs="David"/>
          <w:sz w:val="28"/>
          <w:szCs w:val="28"/>
          <w:rtl/>
        </w:rPr>
        <w:t xml:space="preserve"> הנאשם ב</w:t>
      </w:r>
      <w:r>
        <w:rPr>
          <w:rFonts w:ascii="David" w:eastAsia="David" w:hAnsi="David" w:cs="David"/>
          <w:sz w:val="28"/>
          <w:szCs w:val="28"/>
          <w:rtl/>
        </w:rPr>
        <w:t>עשרה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(10)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תשלומים שווים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חודשיים ועוקבים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החל מיום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25/08/2020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, </w:t>
      </w:r>
      <w:r>
        <w:rPr>
          <w:rFonts w:ascii="David" w:eastAsia="David" w:hAnsi="David" w:cs="David"/>
          <w:sz w:val="28"/>
          <w:szCs w:val="28"/>
          <w:rtl/>
        </w:rPr>
        <w:t>על פי שוברי תשלום שתמציא מזכירות בית הדין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אם לא ישלם הנאשם את אחד התשלומים במועד יועמד הקנס כולו לפירעון מידי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line="360" w:lineRule="auto"/>
        <w:ind w:left="72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הורדה לדרגת טוראי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after="0" w:line="360" w:lineRule="auto"/>
        <w:ind w:left="72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פיצויים בסך </w:t>
      </w:r>
      <w:r>
        <w:rPr>
          <w:rFonts w:ascii="David" w:eastAsia="David" w:hAnsi="David" w:cs="David"/>
          <w:sz w:val="28"/>
          <w:szCs w:val="28"/>
          <w:rtl/>
        </w:rPr>
        <w:t xml:space="preserve">אלפיים חמש מאות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(2500) </w:t>
      </w:r>
      <w:r>
        <w:rPr>
          <w:rFonts w:ascii="David" w:eastAsia="David" w:hAnsi="David" w:cs="David"/>
          <w:sz w:val="28"/>
          <w:szCs w:val="28"/>
          <w:rtl/>
        </w:rPr>
        <w:t>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ח</w:t>
      </w:r>
      <w:r>
        <w:rPr>
          <w:rFonts w:ascii="David" w:eastAsia="David" w:hAnsi="David" w:cs="David"/>
          <w:sz w:val="28"/>
          <w:szCs w:val="28"/>
          <w:rtl/>
        </w:rPr>
        <w:t xml:space="preserve"> לכל אחד מנפגעי העבירה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הצדדים מסרו כי הנאשם שילם את הפיצויים כנדרש עובר לגזר הדין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זכות ערעור כחוק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ן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 בסיון 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פ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17/06/2020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 xml:space="preserve">_____( - )_____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העתק נכון מן המקור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ליבי יעקובי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סרן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משפטית לנשיאת ביה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חתימת המגיה </w:t>
      </w:r>
      <w:r>
        <w:rPr>
          <w:rFonts w:ascii="David" w:eastAsia="David" w:hAnsi="David" w:cs="David"/>
          <w:sz w:val="28"/>
          <w:szCs w:val="28"/>
        </w:rPr>
        <w:br/>
      </w:r>
      <w:r>
        <w:rPr>
          <w:rFonts w:ascii="David" w:eastAsia="David" w:hAnsi="David" w:cs="David"/>
          <w:sz w:val="28"/>
          <w:szCs w:val="28"/>
          <w:rtl/>
        </w:rPr>
        <w:t xml:space="preserve">נערך על ידי </w:t>
      </w:r>
      <w:r>
        <w:rPr>
          <w:rFonts w:ascii="David" w:eastAsia="David" w:hAnsi="David" w:cs="David"/>
          <w:sz w:val="28"/>
          <w:szCs w:val="28"/>
          <w:rtl/>
        </w:rPr>
        <w:t>א</w:t>
      </w:r>
      <w:r>
        <w:rPr>
          <w:rFonts w:ascii="Tahoma" w:eastAsia="Tahoma" w:hAnsi="Tahoma" w:cs="Tahoma"/>
          <w:sz w:val="28"/>
          <w:szCs w:val="28"/>
          <w:rtl/>
        </w:rPr>
        <w:t>.</w:t>
      </w:r>
      <w:r>
        <w:rPr>
          <w:rFonts w:ascii="David" w:eastAsia="David" w:hAnsi="David" w:cs="David"/>
          <w:sz w:val="28"/>
          <w:szCs w:val="28"/>
          <w:rtl/>
        </w:rPr>
        <w:t>ר</w:t>
      </w:r>
      <w:r>
        <w:rPr>
          <w:rFonts w:ascii="David" w:eastAsia="David" w:hAnsi="David" w:cs="David"/>
          <w:sz w:val="28"/>
          <w:szCs w:val="28"/>
        </w:rPr>
        <w:br/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>
      <w:pPr>
        <w:bidi/>
        <w:spacing w:before="0" w:after="0"/>
        <w:jc w:val="right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תאריך הדפסה</w:t>
      </w:r>
      <w:r>
        <w:rPr>
          <w:rFonts w:ascii="Tahoma" w:eastAsia="Tahoma" w:hAnsi="Tahoma" w:cs="Tahoma"/>
          <w:sz w:val="28"/>
          <w:szCs w:val="28"/>
          <w:rtl/>
        </w:rPr>
        <w:t xml:space="preserve">: </w:t>
      </w:r>
      <w:r>
        <w:rPr>
          <w:rFonts w:ascii="Tahoma" w:eastAsia="Tahoma" w:hAnsi="Tahoma" w:cs="Tahoma"/>
          <w:sz w:val="28"/>
          <w:szCs w:val="28"/>
          <w:rtl/>
          <w:lang w:bidi="he-IL"/>
        </w:rPr>
        <w:t>17/06/2020</w:t>
      </w:r>
    </w:p>
    <w:p>
      <w:pPr>
        <w:bidi/>
        <w:spacing w:before="0" w:after="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ahoma" w:eastAsia="Tahoma" w:hAnsi="Tahoma" w:cs="Tahoma"/>
          <w:rtl/>
        </w:rPr>
        <w:t> </w:t>
      </w:r>
    </w:p>
    <w:p>
      <w:pPr>
        <w:bidi/>
        <w:spacing w:before="0" w:after="0"/>
        <w:jc w:val="both"/>
      </w:pPr>
      <w:r>
        <w:rPr>
          <w:rFonts w:ascii="Tahoma" w:eastAsia="Tahoma" w:hAnsi="Tahoma" w:cs="Tahoma"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bidi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