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C8A62" w14:textId="3ECD4CD1" w:rsidR="00F539EA" w:rsidRPr="00EE1B24" w:rsidRDefault="00267E8E" w:rsidP="00F539EA">
      <w:pPr>
        <w:jc w:val="center"/>
        <w:rPr>
          <w:rFonts w:ascii="David" w:hAnsi="David"/>
          <w:b/>
          <w:bCs/>
          <w:sz w:val="28"/>
          <w:u w:val="single"/>
        </w:rPr>
      </w:pPr>
      <w:r>
        <w:rPr>
          <w:noProof/>
        </w:rPr>
        <w:drawing>
          <wp:anchor distT="0" distB="0" distL="114300" distR="114300" simplePos="0" relativeHeight="251659264" behindDoc="0" locked="0" layoutInCell="1" allowOverlap="1" wp14:anchorId="68138FC0" wp14:editId="46582697">
            <wp:simplePos x="0" y="0"/>
            <wp:positionH relativeFrom="column">
              <wp:posOffset>3076575</wp:posOffset>
            </wp:positionH>
            <wp:positionV relativeFrom="paragraph">
              <wp:posOffset>0</wp:posOffset>
            </wp:positionV>
            <wp:extent cx="866775" cy="790575"/>
            <wp:effectExtent l="0" t="0" r="0" b="0"/>
            <wp:wrapTopAndBottom/>
            <wp:docPr id="3" name="Picture 4" descr="za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a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6775" cy="790575"/>
                    </a:xfrm>
                    <a:prstGeom prst="rect">
                      <a:avLst/>
                    </a:prstGeom>
                    <a:solidFill>
                      <a:srgbClr val="FFCC00"/>
                    </a:solid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16A8DED3" wp14:editId="5B59E19C">
            <wp:simplePos x="0" y="0"/>
            <wp:positionH relativeFrom="column">
              <wp:posOffset>1852930</wp:posOffset>
            </wp:positionH>
            <wp:positionV relativeFrom="paragraph">
              <wp:posOffset>0</wp:posOffset>
            </wp:positionV>
            <wp:extent cx="581025" cy="790575"/>
            <wp:effectExtent l="0" t="0" r="0" b="0"/>
            <wp:wrapTopAndBottom/>
            <wp:docPr id="2" name="Picture 3" descr="סמ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סמל"/>
                    <pic:cNvPicPr>
                      <a:picLocks noChangeAspect="1" noChangeArrowheads="1"/>
                    </pic:cNvPicPr>
                  </pic:nvPicPr>
                  <pic:blipFill>
                    <a:blip r:embed="rId8">
                      <a:lum bright="42000" contrast="6000"/>
                      <a:grayscl/>
                      <a:extLst>
                        <a:ext uri="{28A0092B-C50C-407E-A947-70E740481C1C}">
                          <a14:useLocalDpi xmlns:a14="http://schemas.microsoft.com/office/drawing/2010/main" val="0"/>
                        </a:ext>
                      </a:extLst>
                    </a:blip>
                    <a:srcRect/>
                    <a:stretch>
                      <a:fillRect/>
                    </a:stretch>
                  </pic:blipFill>
                  <pic:spPr bwMode="auto">
                    <a:xfrm>
                      <a:off x="0" y="0"/>
                      <a:ext cx="581025"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49821736"/>
      <w:bookmarkStart w:id="1" w:name="_Hlk149824479"/>
    </w:p>
    <w:p w14:paraId="3FF5C5E4" w14:textId="77777777" w:rsidR="00F539EA" w:rsidRPr="00EE1B24" w:rsidRDefault="00F539EA" w:rsidP="00F539EA">
      <w:pPr>
        <w:jc w:val="center"/>
        <w:rPr>
          <w:rFonts w:ascii="David" w:hAnsi="David"/>
          <w:b/>
          <w:bCs/>
          <w:sz w:val="28"/>
          <w:u w:val="single"/>
        </w:rPr>
      </w:pPr>
      <w:r w:rsidRPr="00EE1B24">
        <w:rPr>
          <w:rFonts w:ascii="David" w:hAnsi="David"/>
          <w:b/>
          <w:bCs/>
          <w:sz w:val="28"/>
          <w:u w:val="single"/>
          <w:rtl/>
        </w:rPr>
        <w:t>בבית הדין הצבאי לערעורים</w:t>
      </w:r>
    </w:p>
    <w:p w14:paraId="52B59212" w14:textId="77777777" w:rsidR="00F539EA" w:rsidRPr="00EE1B24" w:rsidRDefault="00F539EA" w:rsidP="00F539EA">
      <w:pPr>
        <w:rPr>
          <w:rFonts w:ascii="David" w:hAnsi="David"/>
          <w:sz w:val="28"/>
        </w:rPr>
      </w:pPr>
      <w:r w:rsidRPr="00EE1B24">
        <w:rPr>
          <w:rFonts w:ascii="David" w:hAnsi="David"/>
          <w:sz w:val="28"/>
          <w:rtl/>
        </w:rPr>
        <w:t>בפני:</w:t>
      </w:r>
    </w:p>
    <w:p w14:paraId="1AB19901" w14:textId="77777777" w:rsidR="00F539EA" w:rsidRPr="00EE1B24" w:rsidRDefault="00F539EA" w:rsidP="00F539EA">
      <w:pPr>
        <w:jc w:val="center"/>
        <w:rPr>
          <w:rFonts w:ascii="David" w:hAnsi="David"/>
          <w:sz w:val="20"/>
          <w:szCs w:val="20"/>
          <w:rtl/>
        </w:rPr>
      </w:pPr>
    </w:p>
    <w:p w14:paraId="2A477463" w14:textId="77777777" w:rsidR="00F539EA" w:rsidRPr="00EE1B24" w:rsidRDefault="00F539EA" w:rsidP="00F539EA">
      <w:pPr>
        <w:spacing w:line="480" w:lineRule="auto"/>
        <w:jc w:val="center"/>
        <w:rPr>
          <w:rFonts w:ascii="David" w:hAnsi="David"/>
          <w:sz w:val="28"/>
          <w:rtl/>
        </w:rPr>
      </w:pPr>
      <w:r w:rsidRPr="00EE1B24">
        <w:rPr>
          <w:rFonts w:ascii="David" w:hAnsi="David"/>
          <w:b/>
          <w:bCs/>
          <w:sz w:val="28"/>
          <w:rtl/>
        </w:rPr>
        <w:t>אלופה    אורלי     מרקמן   –</w:t>
      </w:r>
      <w:r w:rsidRPr="00EE1B24">
        <w:rPr>
          <w:rFonts w:ascii="David" w:hAnsi="David"/>
          <w:sz w:val="28"/>
          <w:rtl/>
        </w:rPr>
        <w:t xml:space="preserve">               הנשיאה</w:t>
      </w:r>
    </w:p>
    <w:p w14:paraId="1248B636" w14:textId="77777777" w:rsidR="00F539EA" w:rsidRPr="00EE1B24" w:rsidRDefault="00F539EA" w:rsidP="00F539EA">
      <w:pPr>
        <w:spacing w:line="480" w:lineRule="auto"/>
        <w:jc w:val="center"/>
        <w:rPr>
          <w:rFonts w:ascii="David" w:hAnsi="David"/>
          <w:sz w:val="28"/>
          <w:rtl/>
        </w:rPr>
      </w:pPr>
      <w:r w:rsidRPr="00EE1B24">
        <w:rPr>
          <w:rFonts w:ascii="David" w:hAnsi="David"/>
          <w:b/>
          <w:bCs/>
          <w:sz w:val="28"/>
          <w:rtl/>
        </w:rPr>
        <w:t>תא"ל      נועה        זומר     –</w:t>
      </w:r>
      <w:r w:rsidRPr="00EE1B24">
        <w:rPr>
          <w:rFonts w:ascii="David" w:hAnsi="David"/>
          <w:sz w:val="28"/>
          <w:rtl/>
        </w:rPr>
        <w:t xml:space="preserve">   המשנה לנשיאה</w:t>
      </w:r>
    </w:p>
    <w:p w14:paraId="0A82EA98" w14:textId="77777777" w:rsidR="00F539EA" w:rsidRPr="00EE1B24" w:rsidRDefault="00F539EA" w:rsidP="00F539EA">
      <w:pPr>
        <w:spacing w:line="480" w:lineRule="auto"/>
        <w:jc w:val="center"/>
        <w:rPr>
          <w:rFonts w:ascii="David" w:hAnsi="David"/>
          <w:sz w:val="28"/>
          <w:rtl/>
        </w:rPr>
      </w:pPr>
      <w:r w:rsidRPr="00EE1B24">
        <w:rPr>
          <w:rFonts w:ascii="David" w:hAnsi="David"/>
          <w:b/>
          <w:bCs/>
          <w:sz w:val="28"/>
          <w:rtl/>
        </w:rPr>
        <w:t>אל"ם מאיה גולדשמידט   –</w:t>
      </w:r>
      <w:r w:rsidRPr="00EE1B24">
        <w:rPr>
          <w:rFonts w:ascii="David" w:hAnsi="David"/>
          <w:sz w:val="28"/>
          <w:rtl/>
        </w:rPr>
        <w:t xml:space="preserve">                 שופטת</w:t>
      </w:r>
    </w:p>
    <w:p w14:paraId="5B6E8CCD" w14:textId="77777777" w:rsidR="00F539EA" w:rsidRPr="00EE1B24" w:rsidRDefault="00F539EA" w:rsidP="00F539EA">
      <w:pPr>
        <w:jc w:val="center"/>
        <w:rPr>
          <w:rFonts w:ascii="David" w:hAnsi="David"/>
          <w:sz w:val="28"/>
          <w:rtl/>
        </w:rPr>
      </w:pPr>
    </w:p>
    <w:p w14:paraId="3B1C8E88" w14:textId="77777777" w:rsidR="00F539EA" w:rsidRDefault="00F539EA" w:rsidP="00F539EA">
      <w:pPr>
        <w:rPr>
          <w:rFonts w:ascii="David" w:hAnsi="David"/>
          <w:sz w:val="28"/>
        </w:rPr>
      </w:pPr>
      <w:r w:rsidRPr="00EE1B24">
        <w:rPr>
          <w:rFonts w:ascii="David" w:hAnsi="David"/>
          <w:sz w:val="28"/>
          <w:rtl/>
        </w:rPr>
        <w:t>בעניין:</w:t>
      </w:r>
    </w:p>
    <w:p w14:paraId="5CFDEA0C" w14:textId="77777777" w:rsidR="00F539EA" w:rsidRDefault="00F539EA" w:rsidP="00F539EA">
      <w:pPr>
        <w:rPr>
          <w:rFonts w:ascii="David" w:hAnsi="David"/>
          <w:sz w:val="28"/>
          <w:rtl/>
        </w:rPr>
      </w:pPr>
    </w:p>
    <w:p w14:paraId="5194CD20" w14:textId="77777777" w:rsidR="00F539EA" w:rsidRPr="00AC41FD" w:rsidRDefault="00F539EA" w:rsidP="00F539EA">
      <w:pPr>
        <w:rPr>
          <w:rFonts w:ascii="David" w:hAnsi="David"/>
          <w:sz w:val="2"/>
          <w:szCs w:val="2"/>
        </w:rPr>
      </w:pPr>
    </w:p>
    <w:p w14:paraId="548E16AC" w14:textId="7F40AC87" w:rsidR="00F539EA" w:rsidRPr="00EE1B24" w:rsidRDefault="005F0387" w:rsidP="00F539EA">
      <w:pPr>
        <w:jc w:val="center"/>
        <w:rPr>
          <w:rFonts w:ascii="David" w:hAnsi="David"/>
          <w:sz w:val="28"/>
        </w:rPr>
      </w:pPr>
      <w:r>
        <w:rPr>
          <w:rFonts w:ascii="David" w:hAnsi="David"/>
          <w:b/>
          <w:bCs/>
          <w:sz w:val="28"/>
        </w:rPr>
        <w:t>X</w:t>
      </w:r>
      <w:r w:rsidR="00F539EA">
        <w:rPr>
          <w:rFonts w:ascii="David" w:hAnsi="David" w:hint="cs"/>
          <w:b/>
          <w:bCs/>
          <w:sz w:val="28"/>
          <w:rtl/>
        </w:rPr>
        <w:t>/</w:t>
      </w:r>
      <w:r>
        <w:rPr>
          <w:rFonts w:ascii="David" w:hAnsi="David"/>
          <w:b/>
          <w:bCs/>
          <w:sz w:val="28"/>
        </w:rPr>
        <w:t>XXXXXXX</w:t>
      </w:r>
      <w:r w:rsidR="00F539EA">
        <w:rPr>
          <w:rFonts w:ascii="David" w:hAnsi="David" w:hint="cs"/>
          <w:b/>
          <w:bCs/>
          <w:sz w:val="28"/>
          <w:rtl/>
        </w:rPr>
        <w:t xml:space="preserve"> </w:t>
      </w:r>
      <w:r w:rsidR="00F539EA" w:rsidRPr="00EE1B24">
        <w:rPr>
          <w:rFonts w:ascii="David" w:hAnsi="David"/>
          <w:b/>
          <w:bCs/>
          <w:sz w:val="28"/>
          <w:rtl/>
        </w:rPr>
        <w:t>סמ</w:t>
      </w:r>
      <w:r w:rsidR="00F539EA">
        <w:rPr>
          <w:rFonts w:ascii="David" w:hAnsi="David" w:hint="cs"/>
          <w:b/>
          <w:bCs/>
          <w:sz w:val="28"/>
          <w:rtl/>
        </w:rPr>
        <w:t>ל (מיל') ש</w:t>
      </w:r>
      <w:r w:rsidR="003A4A3F">
        <w:rPr>
          <w:rFonts w:ascii="David" w:hAnsi="David" w:hint="cs"/>
          <w:b/>
          <w:bCs/>
          <w:sz w:val="28"/>
          <w:rtl/>
        </w:rPr>
        <w:t>'</w:t>
      </w:r>
      <w:r w:rsidR="00F539EA">
        <w:rPr>
          <w:rFonts w:ascii="David" w:hAnsi="David" w:hint="cs"/>
          <w:b/>
          <w:bCs/>
          <w:sz w:val="28"/>
          <w:rtl/>
        </w:rPr>
        <w:t xml:space="preserve"> ע</w:t>
      </w:r>
      <w:r w:rsidR="003A4A3F">
        <w:rPr>
          <w:rFonts w:ascii="David" w:hAnsi="David" w:hint="cs"/>
          <w:b/>
          <w:bCs/>
          <w:sz w:val="28"/>
          <w:rtl/>
        </w:rPr>
        <w:t>'</w:t>
      </w:r>
      <w:r w:rsidR="00F539EA">
        <w:rPr>
          <w:rFonts w:ascii="David" w:hAnsi="David" w:hint="cs"/>
          <w:b/>
          <w:bCs/>
          <w:sz w:val="28"/>
          <w:rtl/>
        </w:rPr>
        <w:t xml:space="preserve"> </w:t>
      </w:r>
      <w:r w:rsidR="00F539EA" w:rsidRPr="00EE1B24">
        <w:rPr>
          <w:rFonts w:ascii="David" w:hAnsi="David"/>
          <w:b/>
          <w:bCs/>
          <w:sz w:val="28"/>
          <w:rtl/>
        </w:rPr>
        <w:t>–</w:t>
      </w:r>
      <w:r w:rsidR="00F539EA" w:rsidRPr="00EE1B24">
        <w:rPr>
          <w:rFonts w:ascii="David" w:hAnsi="David"/>
          <w:sz w:val="28"/>
          <w:rtl/>
        </w:rPr>
        <w:t xml:space="preserve"> המערער (ע"י ב"כ, </w:t>
      </w:r>
      <w:r w:rsidR="00F539EA">
        <w:rPr>
          <w:rFonts w:ascii="David" w:hAnsi="David" w:hint="cs"/>
          <w:sz w:val="28"/>
          <w:rtl/>
        </w:rPr>
        <w:t xml:space="preserve">סא"ל (מיל') עדי </w:t>
      </w:r>
      <w:proofErr w:type="spellStart"/>
      <w:r w:rsidR="00F539EA">
        <w:rPr>
          <w:rFonts w:ascii="David" w:hAnsi="David" w:hint="cs"/>
          <w:sz w:val="28"/>
          <w:rtl/>
        </w:rPr>
        <w:t>ריטיגשטיין</w:t>
      </w:r>
      <w:proofErr w:type="spellEnd"/>
      <w:r w:rsidR="00F539EA">
        <w:rPr>
          <w:rFonts w:ascii="David" w:hAnsi="David" w:hint="cs"/>
          <w:sz w:val="28"/>
          <w:rtl/>
        </w:rPr>
        <w:t xml:space="preserve"> </w:t>
      </w:r>
      <w:proofErr w:type="spellStart"/>
      <w:r w:rsidR="00F539EA">
        <w:rPr>
          <w:rFonts w:ascii="David" w:hAnsi="David" w:hint="cs"/>
          <w:sz w:val="28"/>
          <w:rtl/>
        </w:rPr>
        <w:t>אייזנר</w:t>
      </w:r>
      <w:proofErr w:type="spellEnd"/>
      <w:r w:rsidR="00F539EA" w:rsidRPr="00EE1B24">
        <w:rPr>
          <w:rFonts w:ascii="David" w:hAnsi="David"/>
          <w:sz w:val="28"/>
          <w:rtl/>
        </w:rPr>
        <w:t>)</w:t>
      </w:r>
    </w:p>
    <w:p w14:paraId="6A089A5A" w14:textId="77777777" w:rsidR="00F539EA" w:rsidRPr="00EE1B24" w:rsidRDefault="00F539EA" w:rsidP="00F539EA">
      <w:pPr>
        <w:jc w:val="center"/>
        <w:rPr>
          <w:rFonts w:ascii="David" w:hAnsi="David"/>
          <w:sz w:val="16"/>
          <w:szCs w:val="16"/>
        </w:rPr>
      </w:pPr>
    </w:p>
    <w:p w14:paraId="67164EAD" w14:textId="77777777" w:rsidR="00F539EA" w:rsidRPr="00EE1B24" w:rsidRDefault="00F539EA" w:rsidP="00F539EA">
      <w:pPr>
        <w:jc w:val="center"/>
        <w:rPr>
          <w:rFonts w:ascii="David" w:hAnsi="David"/>
          <w:b/>
          <w:bCs/>
          <w:sz w:val="28"/>
          <w:rtl/>
        </w:rPr>
      </w:pPr>
      <w:r w:rsidRPr="00EE1B24">
        <w:rPr>
          <w:rFonts w:ascii="David" w:hAnsi="David"/>
          <w:b/>
          <w:bCs/>
          <w:sz w:val="28"/>
          <w:rtl/>
        </w:rPr>
        <w:t>נ ג ד</w:t>
      </w:r>
    </w:p>
    <w:p w14:paraId="5DD536D6" w14:textId="77777777" w:rsidR="00F539EA" w:rsidRPr="00EE1B24" w:rsidRDefault="00F539EA" w:rsidP="00F539EA">
      <w:pPr>
        <w:jc w:val="center"/>
        <w:rPr>
          <w:rFonts w:ascii="David" w:hAnsi="David"/>
          <w:b/>
          <w:bCs/>
          <w:sz w:val="16"/>
          <w:szCs w:val="16"/>
          <w:rtl/>
        </w:rPr>
      </w:pPr>
    </w:p>
    <w:p w14:paraId="57A59079" w14:textId="77777777" w:rsidR="00F539EA" w:rsidRDefault="00F539EA" w:rsidP="00F539EA">
      <w:pPr>
        <w:jc w:val="center"/>
        <w:rPr>
          <w:rFonts w:ascii="David" w:hAnsi="David"/>
          <w:sz w:val="28"/>
        </w:rPr>
      </w:pPr>
      <w:r w:rsidRPr="00EE1B24">
        <w:rPr>
          <w:rFonts w:ascii="David" w:hAnsi="David"/>
          <w:b/>
          <w:bCs/>
          <w:sz w:val="28"/>
          <w:rtl/>
        </w:rPr>
        <w:t>התובע הצבאי הראשי –</w:t>
      </w:r>
      <w:r w:rsidRPr="00EE1B24">
        <w:rPr>
          <w:rFonts w:ascii="David" w:hAnsi="David"/>
          <w:sz w:val="28"/>
          <w:rtl/>
        </w:rPr>
        <w:t xml:space="preserve"> המשיב (ע"י ב"כ, רס"ן </w:t>
      </w:r>
      <w:r>
        <w:rPr>
          <w:rFonts w:ascii="David" w:hAnsi="David" w:hint="cs"/>
          <w:sz w:val="28"/>
          <w:rtl/>
        </w:rPr>
        <w:t xml:space="preserve">תכלת מרדכי </w:t>
      </w:r>
      <w:proofErr w:type="spellStart"/>
      <w:r>
        <w:rPr>
          <w:rFonts w:ascii="David" w:hAnsi="David" w:hint="cs"/>
          <w:sz w:val="28"/>
          <w:rtl/>
        </w:rPr>
        <w:t>פיגנסון</w:t>
      </w:r>
      <w:proofErr w:type="spellEnd"/>
      <w:r>
        <w:rPr>
          <w:rFonts w:ascii="David" w:hAnsi="David" w:hint="cs"/>
          <w:sz w:val="28"/>
          <w:rtl/>
        </w:rPr>
        <w:t>,</w:t>
      </w:r>
      <w:r w:rsidRPr="00EE1B24">
        <w:rPr>
          <w:rFonts w:ascii="David" w:hAnsi="David"/>
          <w:sz w:val="28"/>
          <w:rtl/>
        </w:rPr>
        <w:t xml:space="preserve"> סרן הודיה אביב)</w:t>
      </w:r>
    </w:p>
    <w:p w14:paraId="05A45EE8" w14:textId="77777777" w:rsidR="00F539EA" w:rsidRPr="00EE1B24" w:rsidRDefault="00F539EA" w:rsidP="00F539EA">
      <w:pPr>
        <w:jc w:val="center"/>
        <w:rPr>
          <w:rFonts w:ascii="David" w:hAnsi="David"/>
          <w:sz w:val="20"/>
          <w:szCs w:val="20"/>
        </w:rPr>
      </w:pPr>
    </w:p>
    <w:p w14:paraId="0DD9A1CE" w14:textId="77777777" w:rsidR="00F539EA" w:rsidRDefault="00F539EA" w:rsidP="00F539EA">
      <w:pPr>
        <w:rPr>
          <w:rFonts w:ascii="David" w:hAnsi="David"/>
          <w:sz w:val="28"/>
        </w:rPr>
      </w:pPr>
      <w:r>
        <w:rPr>
          <w:rFonts w:ascii="David" w:hAnsi="David" w:hint="cs"/>
          <w:sz w:val="28"/>
          <w:rtl/>
        </w:rPr>
        <w:t>ו</w:t>
      </w:r>
      <w:r w:rsidRPr="00EE1B24">
        <w:rPr>
          <w:rFonts w:ascii="David" w:hAnsi="David"/>
          <w:sz w:val="28"/>
          <w:rtl/>
        </w:rPr>
        <w:t>בעניין:</w:t>
      </w:r>
    </w:p>
    <w:p w14:paraId="71F6CA48" w14:textId="77777777" w:rsidR="00F539EA" w:rsidRDefault="00F539EA" w:rsidP="00F539EA">
      <w:pPr>
        <w:rPr>
          <w:rFonts w:ascii="David" w:hAnsi="David"/>
          <w:sz w:val="28"/>
          <w:rtl/>
        </w:rPr>
      </w:pPr>
    </w:p>
    <w:p w14:paraId="7121262A" w14:textId="77777777" w:rsidR="00F539EA" w:rsidRPr="00AC41FD" w:rsidRDefault="00F539EA" w:rsidP="00F539EA">
      <w:pPr>
        <w:rPr>
          <w:rFonts w:ascii="David" w:hAnsi="David"/>
          <w:sz w:val="2"/>
          <w:szCs w:val="2"/>
        </w:rPr>
      </w:pPr>
    </w:p>
    <w:p w14:paraId="1FC1FA4B" w14:textId="77777777" w:rsidR="00F539EA" w:rsidRPr="00EE1B24" w:rsidRDefault="00F539EA" w:rsidP="00F539EA">
      <w:pPr>
        <w:jc w:val="center"/>
        <w:rPr>
          <w:rFonts w:ascii="David" w:hAnsi="David"/>
          <w:sz w:val="28"/>
          <w:rtl/>
        </w:rPr>
      </w:pPr>
      <w:r w:rsidRPr="00EE1B24">
        <w:rPr>
          <w:rFonts w:ascii="David" w:hAnsi="David"/>
          <w:b/>
          <w:bCs/>
          <w:sz w:val="28"/>
          <w:rtl/>
        </w:rPr>
        <w:t>התובע הצבאי הראשי –</w:t>
      </w:r>
      <w:r w:rsidRPr="00EE1B24">
        <w:rPr>
          <w:rFonts w:ascii="David" w:hAnsi="David"/>
          <w:sz w:val="28"/>
          <w:rtl/>
        </w:rPr>
        <w:t xml:space="preserve"> המ</w:t>
      </w:r>
      <w:r>
        <w:rPr>
          <w:rFonts w:ascii="David" w:hAnsi="David" w:hint="cs"/>
          <w:sz w:val="28"/>
          <w:rtl/>
        </w:rPr>
        <w:t xml:space="preserve">ערער </w:t>
      </w:r>
      <w:r w:rsidRPr="00EE1B24">
        <w:rPr>
          <w:rFonts w:ascii="David" w:hAnsi="David"/>
          <w:sz w:val="28"/>
          <w:rtl/>
        </w:rPr>
        <w:t xml:space="preserve">(ע"י ב"כ, רס"ן </w:t>
      </w:r>
      <w:r>
        <w:rPr>
          <w:rFonts w:ascii="David" w:hAnsi="David" w:hint="cs"/>
          <w:sz w:val="28"/>
          <w:rtl/>
        </w:rPr>
        <w:t xml:space="preserve">תכלת מרדכי </w:t>
      </w:r>
      <w:proofErr w:type="spellStart"/>
      <w:r>
        <w:rPr>
          <w:rFonts w:ascii="David" w:hAnsi="David" w:hint="cs"/>
          <w:sz w:val="28"/>
          <w:rtl/>
        </w:rPr>
        <w:t>פיגנסון</w:t>
      </w:r>
      <w:proofErr w:type="spellEnd"/>
      <w:r w:rsidRPr="00EE1B24">
        <w:rPr>
          <w:rFonts w:ascii="David" w:hAnsi="David"/>
          <w:sz w:val="28"/>
          <w:rtl/>
        </w:rPr>
        <w:t>, סרן הודיה אביב)</w:t>
      </w:r>
    </w:p>
    <w:p w14:paraId="6FABCB69" w14:textId="77777777" w:rsidR="00F539EA" w:rsidRPr="00EE1B24" w:rsidRDefault="00F539EA" w:rsidP="00F539EA">
      <w:pPr>
        <w:jc w:val="center"/>
        <w:rPr>
          <w:rFonts w:ascii="David" w:hAnsi="David"/>
          <w:sz w:val="16"/>
          <w:szCs w:val="16"/>
        </w:rPr>
      </w:pPr>
    </w:p>
    <w:p w14:paraId="2CA775E1" w14:textId="77777777" w:rsidR="00F539EA" w:rsidRPr="00EE1B24" w:rsidRDefault="00F539EA" w:rsidP="00F539EA">
      <w:pPr>
        <w:jc w:val="center"/>
        <w:rPr>
          <w:rFonts w:ascii="David" w:hAnsi="David"/>
          <w:b/>
          <w:bCs/>
          <w:sz w:val="28"/>
          <w:rtl/>
        </w:rPr>
      </w:pPr>
      <w:r w:rsidRPr="00EE1B24">
        <w:rPr>
          <w:rFonts w:ascii="David" w:hAnsi="David"/>
          <w:b/>
          <w:bCs/>
          <w:sz w:val="28"/>
          <w:rtl/>
        </w:rPr>
        <w:t>נ ג ד</w:t>
      </w:r>
    </w:p>
    <w:p w14:paraId="2F620099" w14:textId="77777777" w:rsidR="00F539EA" w:rsidRPr="00EE1B24" w:rsidRDefault="00F539EA" w:rsidP="00F539EA">
      <w:pPr>
        <w:jc w:val="center"/>
        <w:rPr>
          <w:rFonts w:ascii="David" w:hAnsi="David"/>
          <w:b/>
          <w:bCs/>
          <w:sz w:val="16"/>
          <w:szCs w:val="16"/>
          <w:rtl/>
        </w:rPr>
      </w:pPr>
    </w:p>
    <w:p w14:paraId="5DBDA879" w14:textId="2F15DA58" w:rsidR="00F539EA" w:rsidRDefault="005F0387" w:rsidP="00F539EA">
      <w:pPr>
        <w:jc w:val="center"/>
        <w:rPr>
          <w:rFonts w:ascii="David" w:hAnsi="David"/>
          <w:sz w:val="28"/>
        </w:rPr>
      </w:pPr>
      <w:r>
        <w:rPr>
          <w:rFonts w:ascii="David" w:hAnsi="David"/>
          <w:b/>
          <w:bCs/>
          <w:sz w:val="28"/>
        </w:rPr>
        <w:t>X</w:t>
      </w:r>
      <w:r w:rsidR="00F539EA">
        <w:rPr>
          <w:rFonts w:ascii="David" w:hAnsi="David" w:hint="cs"/>
          <w:b/>
          <w:bCs/>
          <w:sz w:val="28"/>
          <w:rtl/>
        </w:rPr>
        <w:t>/</w:t>
      </w:r>
      <w:r>
        <w:rPr>
          <w:rFonts w:ascii="David" w:hAnsi="David"/>
          <w:b/>
          <w:bCs/>
          <w:sz w:val="28"/>
        </w:rPr>
        <w:t>XXXXXXX</w:t>
      </w:r>
      <w:r w:rsidR="00F539EA">
        <w:rPr>
          <w:rFonts w:ascii="David" w:hAnsi="David" w:hint="cs"/>
          <w:b/>
          <w:bCs/>
          <w:sz w:val="28"/>
          <w:rtl/>
        </w:rPr>
        <w:t xml:space="preserve"> </w:t>
      </w:r>
      <w:r w:rsidR="00F539EA" w:rsidRPr="00EE1B24">
        <w:rPr>
          <w:rFonts w:ascii="David" w:hAnsi="David"/>
          <w:b/>
          <w:bCs/>
          <w:sz w:val="28"/>
          <w:rtl/>
        </w:rPr>
        <w:t>סמ</w:t>
      </w:r>
      <w:r w:rsidR="00F539EA">
        <w:rPr>
          <w:rFonts w:ascii="David" w:hAnsi="David" w:hint="cs"/>
          <w:b/>
          <w:bCs/>
          <w:sz w:val="28"/>
          <w:rtl/>
        </w:rPr>
        <w:t>ל (מיל') ש</w:t>
      </w:r>
      <w:r w:rsidR="003A4A3F">
        <w:rPr>
          <w:rFonts w:ascii="David" w:hAnsi="David" w:hint="cs"/>
          <w:b/>
          <w:bCs/>
          <w:sz w:val="28"/>
          <w:rtl/>
        </w:rPr>
        <w:t>'</w:t>
      </w:r>
      <w:r w:rsidR="00F539EA">
        <w:rPr>
          <w:rFonts w:ascii="David" w:hAnsi="David" w:hint="cs"/>
          <w:b/>
          <w:bCs/>
          <w:sz w:val="28"/>
          <w:rtl/>
        </w:rPr>
        <w:t xml:space="preserve"> ע</w:t>
      </w:r>
      <w:r w:rsidR="003A4A3F">
        <w:rPr>
          <w:rFonts w:ascii="David" w:hAnsi="David" w:hint="cs"/>
          <w:b/>
          <w:bCs/>
          <w:sz w:val="28"/>
          <w:rtl/>
        </w:rPr>
        <w:t>'</w:t>
      </w:r>
      <w:r w:rsidR="00F539EA">
        <w:rPr>
          <w:rFonts w:ascii="David" w:hAnsi="David" w:hint="cs"/>
          <w:b/>
          <w:bCs/>
          <w:sz w:val="28"/>
          <w:rtl/>
        </w:rPr>
        <w:t xml:space="preserve"> </w:t>
      </w:r>
      <w:r w:rsidR="00F539EA" w:rsidRPr="00EE1B24">
        <w:rPr>
          <w:rFonts w:ascii="David" w:hAnsi="David"/>
          <w:b/>
          <w:bCs/>
          <w:sz w:val="28"/>
          <w:rtl/>
        </w:rPr>
        <w:t>–</w:t>
      </w:r>
      <w:r w:rsidR="00F539EA" w:rsidRPr="00EE1B24">
        <w:rPr>
          <w:rFonts w:ascii="David" w:hAnsi="David"/>
          <w:sz w:val="28"/>
          <w:rtl/>
        </w:rPr>
        <w:t xml:space="preserve"> המ</w:t>
      </w:r>
      <w:r w:rsidR="00F539EA">
        <w:rPr>
          <w:rFonts w:ascii="David" w:hAnsi="David" w:hint="cs"/>
          <w:sz w:val="28"/>
          <w:rtl/>
        </w:rPr>
        <w:t>שיב</w:t>
      </w:r>
      <w:r w:rsidR="00F539EA" w:rsidRPr="00EE1B24">
        <w:rPr>
          <w:rFonts w:ascii="David" w:hAnsi="David"/>
          <w:sz w:val="28"/>
          <w:rtl/>
        </w:rPr>
        <w:t xml:space="preserve"> (ע"י ב"כ</w:t>
      </w:r>
      <w:r w:rsidR="00F539EA">
        <w:rPr>
          <w:rFonts w:ascii="David" w:hAnsi="David" w:hint="cs"/>
          <w:sz w:val="28"/>
          <w:rtl/>
        </w:rPr>
        <w:t>,</w:t>
      </w:r>
      <w:r w:rsidR="00F539EA" w:rsidRPr="00EE1B24">
        <w:rPr>
          <w:rFonts w:ascii="David" w:hAnsi="David"/>
          <w:sz w:val="28"/>
          <w:rtl/>
        </w:rPr>
        <w:t xml:space="preserve"> </w:t>
      </w:r>
      <w:r w:rsidR="00F539EA">
        <w:rPr>
          <w:rFonts w:ascii="David" w:hAnsi="David" w:hint="cs"/>
          <w:sz w:val="28"/>
          <w:rtl/>
        </w:rPr>
        <w:t xml:space="preserve">סא"ל (מיל') עדי </w:t>
      </w:r>
      <w:proofErr w:type="spellStart"/>
      <w:r w:rsidR="00F539EA">
        <w:rPr>
          <w:rFonts w:ascii="David" w:hAnsi="David" w:hint="cs"/>
          <w:sz w:val="28"/>
          <w:rtl/>
        </w:rPr>
        <w:t>ריטיגשטיין</w:t>
      </w:r>
      <w:proofErr w:type="spellEnd"/>
      <w:r w:rsidR="00F539EA">
        <w:rPr>
          <w:rFonts w:ascii="David" w:hAnsi="David" w:hint="cs"/>
          <w:sz w:val="28"/>
          <w:rtl/>
        </w:rPr>
        <w:t xml:space="preserve"> </w:t>
      </w:r>
      <w:proofErr w:type="spellStart"/>
      <w:r w:rsidR="00F539EA">
        <w:rPr>
          <w:rFonts w:ascii="David" w:hAnsi="David" w:hint="cs"/>
          <w:sz w:val="28"/>
          <w:rtl/>
        </w:rPr>
        <w:t>אייזנר</w:t>
      </w:r>
      <w:proofErr w:type="spellEnd"/>
      <w:r w:rsidR="00F539EA" w:rsidRPr="00EE1B24">
        <w:rPr>
          <w:rFonts w:ascii="David" w:hAnsi="David"/>
          <w:sz w:val="28"/>
          <w:rtl/>
        </w:rPr>
        <w:t>)</w:t>
      </w:r>
    </w:p>
    <w:p w14:paraId="1989DE66" w14:textId="77777777" w:rsidR="00F539EA" w:rsidRDefault="00F539EA" w:rsidP="00F539EA">
      <w:pPr>
        <w:jc w:val="center"/>
        <w:rPr>
          <w:rFonts w:ascii="David" w:hAnsi="David"/>
          <w:sz w:val="28"/>
        </w:rPr>
      </w:pPr>
    </w:p>
    <w:p w14:paraId="13F5CBCA" w14:textId="77777777" w:rsidR="00F539EA" w:rsidRDefault="00F539EA" w:rsidP="00F539EA">
      <w:pPr>
        <w:jc w:val="center"/>
        <w:rPr>
          <w:rFonts w:ascii="David" w:hAnsi="David"/>
          <w:sz w:val="28"/>
          <w:rtl/>
        </w:rPr>
      </w:pPr>
    </w:p>
    <w:p w14:paraId="4FF52151" w14:textId="77777777" w:rsidR="00F539EA" w:rsidRPr="00EE1B24" w:rsidRDefault="00F539EA" w:rsidP="00F539EA">
      <w:pPr>
        <w:jc w:val="center"/>
        <w:rPr>
          <w:rFonts w:ascii="David" w:hAnsi="David"/>
          <w:sz w:val="28"/>
          <w:rtl/>
        </w:rPr>
      </w:pPr>
    </w:p>
    <w:bookmarkEnd w:id="0"/>
    <w:bookmarkEnd w:id="1"/>
    <w:p w14:paraId="0A865113" w14:textId="3BBAAE11" w:rsidR="00F539EA" w:rsidRPr="0036059D" w:rsidRDefault="00F539EA" w:rsidP="0036059D">
      <w:pPr>
        <w:rPr>
          <w:rFonts w:ascii="David" w:hAnsi="David"/>
          <w:b/>
          <w:bCs/>
          <w:sz w:val="28"/>
          <w:u w:val="single"/>
        </w:rPr>
      </w:pPr>
      <w:r w:rsidRPr="00EE1B24">
        <w:rPr>
          <w:rFonts w:ascii="David" w:hAnsi="David"/>
          <w:sz w:val="28"/>
          <w:rtl/>
        </w:rPr>
        <w:t xml:space="preserve">ערעור על פסק דין של בית הדין הצבאי המחוזי במחוז שיפוטי </w:t>
      </w:r>
      <w:r>
        <w:rPr>
          <w:rFonts w:ascii="David" w:hAnsi="David" w:hint="cs"/>
          <w:sz w:val="28"/>
          <w:rtl/>
        </w:rPr>
        <w:t>זרוע היבשה</w:t>
      </w:r>
      <w:r w:rsidRPr="00EE1B24">
        <w:rPr>
          <w:rFonts w:ascii="David" w:hAnsi="David"/>
          <w:sz w:val="28"/>
          <w:rtl/>
        </w:rPr>
        <w:t xml:space="preserve"> שניתן בתיק </w:t>
      </w:r>
      <w:proofErr w:type="spellStart"/>
      <w:r>
        <w:rPr>
          <w:rFonts w:ascii="David" w:hAnsi="David" w:hint="cs"/>
          <w:sz w:val="28"/>
          <w:rtl/>
        </w:rPr>
        <w:t>ז"י</w:t>
      </w:r>
      <w:proofErr w:type="spellEnd"/>
      <w:r w:rsidRPr="00EE1B24">
        <w:rPr>
          <w:rFonts w:ascii="David" w:hAnsi="David"/>
          <w:sz w:val="28"/>
          <w:rtl/>
        </w:rPr>
        <w:t xml:space="preserve"> ת"פ </w:t>
      </w:r>
      <w:r>
        <w:rPr>
          <w:rFonts w:ascii="David" w:hAnsi="David" w:hint="cs"/>
          <w:sz w:val="28"/>
          <w:rtl/>
        </w:rPr>
        <w:t>69218-06-24</w:t>
      </w:r>
      <w:r w:rsidRPr="00EE1B24">
        <w:rPr>
          <w:rFonts w:ascii="David" w:hAnsi="David"/>
          <w:sz w:val="28"/>
          <w:rtl/>
        </w:rPr>
        <w:t xml:space="preserve"> (</w:t>
      </w:r>
      <w:r>
        <w:rPr>
          <w:rFonts w:ascii="David" w:hAnsi="David" w:hint="cs"/>
          <w:sz w:val="28"/>
          <w:rtl/>
        </w:rPr>
        <w:t xml:space="preserve">סא"ל סבסטיאן </w:t>
      </w:r>
      <w:proofErr w:type="spellStart"/>
      <w:r>
        <w:rPr>
          <w:rFonts w:ascii="David" w:hAnsi="David" w:hint="cs"/>
          <w:sz w:val="28"/>
          <w:rtl/>
        </w:rPr>
        <w:t>אוסובסקי</w:t>
      </w:r>
      <w:proofErr w:type="spellEnd"/>
      <w:r w:rsidRPr="00EE1B24">
        <w:rPr>
          <w:rFonts w:ascii="David" w:hAnsi="David"/>
          <w:sz w:val="28"/>
          <w:rtl/>
        </w:rPr>
        <w:t xml:space="preserve"> – אב"ד, </w:t>
      </w:r>
      <w:r>
        <w:rPr>
          <w:rFonts w:ascii="David" w:hAnsi="David" w:hint="cs"/>
          <w:sz w:val="28"/>
          <w:rtl/>
        </w:rPr>
        <w:t>סא"ל (מיל') צבי פרנקל</w:t>
      </w:r>
      <w:r w:rsidRPr="00EE1B24">
        <w:rPr>
          <w:rFonts w:ascii="David" w:hAnsi="David"/>
          <w:sz w:val="28"/>
          <w:rtl/>
        </w:rPr>
        <w:t xml:space="preserve"> – שופט, </w:t>
      </w:r>
      <w:r>
        <w:rPr>
          <w:rFonts w:ascii="David" w:hAnsi="David" w:hint="cs"/>
          <w:sz w:val="28"/>
          <w:rtl/>
        </w:rPr>
        <w:t>רס"ן עמית ממן</w:t>
      </w:r>
      <w:r w:rsidRPr="00EE1B24">
        <w:rPr>
          <w:rFonts w:ascii="David" w:hAnsi="David"/>
          <w:sz w:val="28"/>
          <w:rtl/>
        </w:rPr>
        <w:t xml:space="preserve"> – שופט</w:t>
      </w:r>
      <w:r>
        <w:rPr>
          <w:rFonts w:ascii="David" w:hAnsi="David" w:hint="cs"/>
          <w:sz w:val="28"/>
          <w:rtl/>
        </w:rPr>
        <w:t>ת</w:t>
      </w:r>
      <w:r w:rsidRPr="00EE1B24">
        <w:rPr>
          <w:rFonts w:ascii="David" w:hAnsi="David"/>
          <w:sz w:val="28"/>
          <w:rtl/>
        </w:rPr>
        <w:t xml:space="preserve">) ביום </w:t>
      </w:r>
      <w:r>
        <w:rPr>
          <w:rFonts w:ascii="David" w:hAnsi="David" w:hint="cs"/>
          <w:sz w:val="28"/>
          <w:rtl/>
        </w:rPr>
        <w:t>24.2</w:t>
      </w:r>
      <w:r w:rsidRPr="00EE1B24">
        <w:rPr>
          <w:rFonts w:ascii="David" w:hAnsi="David"/>
          <w:sz w:val="28"/>
          <w:rtl/>
        </w:rPr>
        <w:t>.202</w:t>
      </w:r>
      <w:r>
        <w:rPr>
          <w:rFonts w:ascii="David" w:hAnsi="David" w:hint="cs"/>
          <w:sz w:val="28"/>
          <w:rtl/>
        </w:rPr>
        <w:t>6</w:t>
      </w:r>
      <w:r w:rsidRPr="00EE1B24">
        <w:rPr>
          <w:rFonts w:ascii="David" w:hAnsi="David"/>
          <w:sz w:val="28"/>
          <w:rtl/>
        </w:rPr>
        <w:t xml:space="preserve">. ערעור ההגנה </w:t>
      </w:r>
      <w:r>
        <w:rPr>
          <w:rFonts w:ascii="David" w:hAnsi="David" w:hint="cs"/>
          <w:sz w:val="28"/>
          <w:rtl/>
        </w:rPr>
        <w:t>על הכרעת הדין נדחה</w:t>
      </w:r>
      <w:r w:rsidRPr="00EE1B24">
        <w:rPr>
          <w:rFonts w:ascii="David" w:hAnsi="David"/>
          <w:sz w:val="28"/>
          <w:rtl/>
        </w:rPr>
        <w:t xml:space="preserve">. </w:t>
      </w:r>
      <w:r>
        <w:rPr>
          <w:rFonts w:ascii="David" w:hAnsi="David" w:hint="cs"/>
          <w:sz w:val="28"/>
          <w:rtl/>
        </w:rPr>
        <w:t>ערעור התביעה על גזר הדין נדחה</w:t>
      </w:r>
      <w:r w:rsidRPr="00EE1B24">
        <w:rPr>
          <w:rFonts w:ascii="David" w:hAnsi="David"/>
          <w:sz w:val="28"/>
          <w:rtl/>
        </w:rPr>
        <w:t>.</w:t>
      </w:r>
    </w:p>
    <w:p w14:paraId="43C35296" w14:textId="0D8A37AB" w:rsidR="00D16741" w:rsidRPr="00D16741" w:rsidRDefault="00D16741" w:rsidP="00D16741">
      <w:pPr>
        <w:spacing w:after="240"/>
        <w:jc w:val="center"/>
        <w:rPr>
          <w:b/>
          <w:bCs/>
          <w:u w:val="single"/>
        </w:rPr>
      </w:pPr>
      <w:r>
        <w:rPr>
          <w:rFonts w:hint="cs"/>
          <w:b/>
          <w:bCs/>
          <w:u w:val="single"/>
          <w:rtl/>
        </w:rPr>
        <w:lastRenderedPageBreak/>
        <w:t>פ ס ק - ד י ן</w:t>
      </w:r>
    </w:p>
    <w:p w14:paraId="37441D5C" w14:textId="77777777" w:rsidR="00D033D8" w:rsidRDefault="00C36CF1" w:rsidP="001D64B9">
      <w:pPr>
        <w:pStyle w:val="ListParagraph"/>
        <w:numPr>
          <w:ilvl w:val="0"/>
          <w:numId w:val="1"/>
        </w:numPr>
      </w:pPr>
      <w:r>
        <w:rPr>
          <w:rFonts w:hint="cs"/>
          <w:rtl/>
        </w:rPr>
        <w:t>ב</w:t>
      </w:r>
      <w:r w:rsidR="008476DC">
        <w:rPr>
          <w:rFonts w:hint="cs"/>
          <w:rtl/>
        </w:rPr>
        <w:t xml:space="preserve">חודש </w:t>
      </w:r>
      <w:r w:rsidR="00D033D8">
        <w:rPr>
          <w:rFonts w:hint="cs"/>
          <w:rtl/>
        </w:rPr>
        <w:t>ינואר 2023</w:t>
      </w:r>
      <w:r w:rsidR="006E3961">
        <w:rPr>
          <w:rFonts w:hint="cs"/>
          <w:rtl/>
        </w:rPr>
        <w:t>,</w:t>
      </w:r>
      <w:r w:rsidR="00D033D8">
        <w:rPr>
          <w:rFonts w:hint="cs"/>
          <w:rtl/>
        </w:rPr>
        <w:t xml:space="preserve"> בב</w:t>
      </w:r>
      <w:r w:rsidR="003F28B4">
        <w:rPr>
          <w:rFonts w:hint="cs"/>
          <w:rtl/>
        </w:rPr>
        <w:t xml:space="preserve">סיס האימונים </w:t>
      </w:r>
      <w:r w:rsidR="00616CA5">
        <w:rPr>
          <w:rFonts w:hint="cs"/>
          <w:rtl/>
        </w:rPr>
        <w:t xml:space="preserve">של </w:t>
      </w:r>
      <w:r w:rsidR="003F28B4">
        <w:rPr>
          <w:rFonts w:hint="cs"/>
          <w:rtl/>
        </w:rPr>
        <w:t xml:space="preserve">חטיבת </w:t>
      </w:r>
      <w:r w:rsidR="00D033D8">
        <w:rPr>
          <w:rFonts w:hint="cs"/>
          <w:rtl/>
        </w:rPr>
        <w:t>כפיר</w:t>
      </w:r>
      <w:r w:rsidR="00616CA5">
        <w:rPr>
          <w:rFonts w:hint="cs"/>
          <w:rtl/>
        </w:rPr>
        <w:t xml:space="preserve">, </w:t>
      </w:r>
      <w:r w:rsidR="00A56542">
        <w:rPr>
          <w:rFonts w:hint="cs"/>
          <w:rtl/>
        </w:rPr>
        <w:t xml:space="preserve">הורתה </w:t>
      </w:r>
      <w:r w:rsidR="00A56542" w:rsidRPr="00A56542">
        <w:rPr>
          <w:rtl/>
        </w:rPr>
        <w:t xml:space="preserve">קצינת בריאות הנפש (הקב"ן) היחידתית כי </w:t>
      </w:r>
      <w:r w:rsidR="007821E6">
        <w:rPr>
          <w:rFonts w:hint="cs"/>
          <w:rtl/>
        </w:rPr>
        <w:t xml:space="preserve">טור' מ' ק' (הנפגע) </w:t>
      </w:r>
      <w:r w:rsidR="00A56542" w:rsidRPr="00A56542">
        <w:rPr>
          <w:rtl/>
        </w:rPr>
        <w:t>יהיה תחת פיקוח לפי "נוהל השגחה", מחשש לחייו</w:t>
      </w:r>
      <w:r w:rsidR="007821E6">
        <w:rPr>
          <w:rFonts w:hint="cs"/>
          <w:rtl/>
        </w:rPr>
        <w:t>.</w:t>
      </w:r>
      <w:r w:rsidR="001A6B68">
        <w:rPr>
          <w:rFonts w:hint="cs"/>
          <w:rtl/>
        </w:rPr>
        <w:t xml:space="preserve"> בהתאם, נדרשו </w:t>
      </w:r>
      <w:r w:rsidR="00D033D8">
        <w:rPr>
          <w:rFonts w:hint="cs"/>
          <w:rtl/>
        </w:rPr>
        <w:t xml:space="preserve">מפקדיו לוודא שבכל עת ישגיחו עליו שני מפקדים. הנוהל לא נשמר בקפידה ראויה </w:t>
      </w:r>
      <w:r w:rsidR="000407B5">
        <w:rPr>
          <w:rFonts w:hint="cs"/>
          <w:rtl/>
        </w:rPr>
        <w:t>ו</w:t>
      </w:r>
      <w:r w:rsidR="001C01DF">
        <w:rPr>
          <w:rFonts w:hint="cs"/>
          <w:rtl/>
        </w:rPr>
        <w:t>ה</w:t>
      </w:r>
      <w:r w:rsidR="001A67EA">
        <w:rPr>
          <w:rFonts w:hint="cs"/>
          <w:rtl/>
        </w:rPr>
        <w:t>נפגע נותר עם משג</w:t>
      </w:r>
      <w:r w:rsidR="006145A1">
        <w:rPr>
          <w:rFonts w:hint="cs"/>
          <w:rtl/>
        </w:rPr>
        <w:t>י</w:t>
      </w:r>
      <w:r w:rsidR="001A67EA">
        <w:rPr>
          <w:rFonts w:hint="cs"/>
          <w:rtl/>
        </w:rPr>
        <w:t xml:space="preserve">ח יחיד שנרדם. </w:t>
      </w:r>
      <w:r w:rsidRPr="00C36CF1">
        <w:rPr>
          <w:rtl/>
        </w:rPr>
        <w:t xml:space="preserve">זמן </w:t>
      </w:r>
      <w:r w:rsidR="005B3844">
        <w:rPr>
          <w:rFonts w:hint="cs"/>
          <w:rtl/>
        </w:rPr>
        <w:t xml:space="preserve">מה </w:t>
      </w:r>
      <w:r w:rsidRPr="00C36CF1">
        <w:rPr>
          <w:rtl/>
        </w:rPr>
        <w:t>ל</w:t>
      </w:r>
      <w:r w:rsidR="005B3844">
        <w:rPr>
          <w:rFonts w:hint="cs"/>
          <w:rtl/>
        </w:rPr>
        <w:t xml:space="preserve">אחר מכן, </w:t>
      </w:r>
      <w:r w:rsidR="007821E6" w:rsidRPr="007821E6">
        <w:rPr>
          <w:rtl/>
        </w:rPr>
        <w:t>ירה הנפגע בעצמו, בניסיון להתאבד</w:t>
      </w:r>
      <w:r w:rsidR="006E3961">
        <w:rPr>
          <w:rFonts w:hint="cs"/>
          <w:rtl/>
        </w:rPr>
        <w:t>,</w:t>
      </w:r>
      <w:r w:rsidR="007821E6" w:rsidRPr="007821E6">
        <w:rPr>
          <w:rtl/>
        </w:rPr>
        <w:t xml:space="preserve"> ונפצע קשות</w:t>
      </w:r>
      <w:r w:rsidR="004E68FF">
        <w:rPr>
          <w:rFonts w:hint="cs"/>
          <w:rtl/>
        </w:rPr>
        <w:t>.</w:t>
      </w:r>
    </w:p>
    <w:p w14:paraId="4B27163B" w14:textId="1A2A4DA8" w:rsidR="006D4C0E" w:rsidRDefault="004E68FF" w:rsidP="001D64B9">
      <w:pPr>
        <w:pStyle w:val="ListParagraph"/>
        <w:numPr>
          <w:ilvl w:val="0"/>
          <w:numId w:val="1"/>
        </w:numPr>
      </w:pPr>
      <w:r>
        <w:rPr>
          <w:rFonts w:hint="cs"/>
          <w:rtl/>
        </w:rPr>
        <w:t>בעקבות האירוע ה</w:t>
      </w:r>
      <w:r w:rsidR="008F5DE6">
        <w:rPr>
          <w:rFonts w:hint="cs"/>
          <w:rtl/>
        </w:rPr>
        <w:t xml:space="preserve">גישה </w:t>
      </w:r>
      <w:r w:rsidR="00D033D8">
        <w:rPr>
          <w:rFonts w:hint="cs"/>
          <w:rtl/>
        </w:rPr>
        <w:t xml:space="preserve">התביעה הצבאית שלושה </w:t>
      </w:r>
      <w:r w:rsidR="008F5DE6">
        <w:rPr>
          <w:rFonts w:hint="cs"/>
          <w:rtl/>
        </w:rPr>
        <w:t xml:space="preserve">כתבי אישום נפרדים נגד שלושה </w:t>
      </w:r>
      <w:r w:rsidR="00D033D8">
        <w:rPr>
          <w:rFonts w:hint="cs"/>
          <w:rtl/>
        </w:rPr>
        <w:t xml:space="preserve">מפקדים של </w:t>
      </w:r>
      <w:r w:rsidR="00D07D76">
        <w:rPr>
          <w:rFonts w:hint="cs"/>
          <w:rtl/>
        </w:rPr>
        <w:t>הנפגע</w:t>
      </w:r>
      <w:r w:rsidR="00A669ED">
        <w:rPr>
          <w:rFonts w:hint="cs"/>
          <w:rtl/>
        </w:rPr>
        <w:t xml:space="preserve"> - </w:t>
      </w:r>
      <w:r w:rsidR="00D033D8">
        <w:rPr>
          <w:rFonts w:hint="cs"/>
          <w:rtl/>
        </w:rPr>
        <w:t>סגן ת</w:t>
      </w:r>
      <w:r w:rsidR="00DB7285">
        <w:rPr>
          <w:rFonts w:hint="cs"/>
          <w:rtl/>
        </w:rPr>
        <w:t>' כ' א'</w:t>
      </w:r>
      <w:r w:rsidR="00D033D8">
        <w:rPr>
          <w:rFonts w:hint="cs"/>
          <w:rtl/>
        </w:rPr>
        <w:t>, סגן מפקד הפלוגה</w:t>
      </w:r>
      <w:r w:rsidR="00F71619">
        <w:rPr>
          <w:rFonts w:hint="cs"/>
          <w:rtl/>
        </w:rPr>
        <w:t xml:space="preserve"> (להלן: </w:t>
      </w:r>
      <w:r w:rsidR="004C1521">
        <w:rPr>
          <w:rFonts w:hint="cs"/>
          <w:rtl/>
        </w:rPr>
        <w:t>סגן תומר</w:t>
      </w:r>
      <w:r w:rsidR="00F71619">
        <w:rPr>
          <w:rFonts w:hint="cs"/>
          <w:rtl/>
        </w:rPr>
        <w:t>)</w:t>
      </w:r>
      <w:r w:rsidR="00D033D8">
        <w:rPr>
          <w:rFonts w:hint="cs"/>
          <w:rtl/>
        </w:rPr>
        <w:t>; סגן ד</w:t>
      </w:r>
      <w:r w:rsidR="00A920AC">
        <w:rPr>
          <w:rFonts w:hint="cs"/>
          <w:rtl/>
        </w:rPr>
        <w:t xml:space="preserve">' </w:t>
      </w:r>
      <w:r w:rsidR="00D033D8">
        <w:rPr>
          <w:rFonts w:hint="cs"/>
          <w:rtl/>
        </w:rPr>
        <w:t>א</w:t>
      </w:r>
      <w:r w:rsidR="00A920AC">
        <w:rPr>
          <w:rFonts w:hint="cs"/>
          <w:rtl/>
        </w:rPr>
        <w:t>'</w:t>
      </w:r>
      <w:r w:rsidR="00D033D8">
        <w:rPr>
          <w:rFonts w:hint="cs"/>
          <w:rtl/>
        </w:rPr>
        <w:t>, מפקד המחלקה</w:t>
      </w:r>
      <w:r w:rsidR="00F71619">
        <w:rPr>
          <w:rFonts w:hint="cs"/>
          <w:rtl/>
        </w:rPr>
        <w:t xml:space="preserve"> (סג"ם בעת האירוע; להלן: סג"ם דניאל)</w:t>
      </w:r>
      <w:r w:rsidR="00D033D8">
        <w:rPr>
          <w:rFonts w:hint="cs"/>
          <w:rtl/>
        </w:rPr>
        <w:t>; וסמל ש</w:t>
      </w:r>
      <w:r w:rsidR="003A4A3F">
        <w:rPr>
          <w:rFonts w:hint="cs"/>
          <w:rtl/>
        </w:rPr>
        <w:t>'</w:t>
      </w:r>
      <w:r w:rsidR="00D033D8">
        <w:rPr>
          <w:rFonts w:hint="cs"/>
          <w:rtl/>
        </w:rPr>
        <w:t xml:space="preserve"> ע</w:t>
      </w:r>
      <w:r w:rsidR="003A4A3F">
        <w:rPr>
          <w:rFonts w:hint="cs"/>
          <w:rtl/>
        </w:rPr>
        <w:t>'</w:t>
      </w:r>
      <w:r w:rsidR="00D033D8">
        <w:rPr>
          <w:rFonts w:hint="cs"/>
          <w:rtl/>
        </w:rPr>
        <w:t>, מפקד הכיתה ואחד המשגיחים</w:t>
      </w:r>
      <w:r w:rsidR="00F71619">
        <w:rPr>
          <w:rFonts w:hint="cs"/>
          <w:rtl/>
        </w:rPr>
        <w:t xml:space="preserve"> (להלן:</w:t>
      </w:r>
      <w:r w:rsidR="004C1521">
        <w:rPr>
          <w:rFonts w:hint="cs"/>
          <w:rtl/>
        </w:rPr>
        <w:t xml:space="preserve"> המערער</w:t>
      </w:r>
      <w:r w:rsidR="00F71619">
        <w:rPr>
          <w:rFonts w:hint="cs"/>
          <w:rtl/>
        </w:rPr>
        <w:t>)</w:t>
      </w:r>
      <w:r w:rsidR="00D033D8">
        <w:rPr>
          <w:rFonts w:hint="cs"/>
          <w:rtl/>
        </w:rPr>
        <w:t xml:space="preserve">. </w:t>
      </w:r>
      <w:r w:rsidR="00F71619">
        <w:rPr>
          <w:rFonts w:hint="cs"/>
          <w:rtl/>
        </w:rPr>
        <w:t>כל אחד מהם</w:t>
      </w:r>
      <w:r w:rsidR="006943CF">
        <w:rPr>
          <w:rFonts w:hint="cs"/>
          <w:rtl/>
        </w:rPr>
        <w:t xml:space="preserve"> </w:t>
      </w:r>
      <w:r w:rsidR="00002740">
        <w:rPr>
          <w:rFonts w:hint="cs"/>
          <w:rtl/>
        </w:rPr>
        <w:t>עמד לדין בעבירת חבלה ברשלנות, לפי סעיף 341 לחוק העונשין, התשל"ז-1977.</w:t>
      </w:r>
    </w:p>
    <w:p w14:paraId="358CBE09" w14:textId="77777777" w:rsidR="00300805" w:rsidRDefault="00002740" w:rsidP="001D64B9">
      <w:pPr>
        <w:pStyle w:val="ListParagraph"/>
        <w:numPr>
          <w:ilvl w:val="0"/>
          <w:numId w:val="1"/>
        </w:numPr>
      </w:pPr>
      <w:r>
        <w:rPr>
          <w:rFonts w:hint="cs"/>
          <w:rtl/>
        </w:rPr>
        <w:t xml:space="preserve">בית הדין המחוזי </w:t>
      </w:r>
      <w:r w:rsidR="004C1521">
        <w:rPr>
          <w:rFonts w:hint="cs"/>
          <w:rtl/>
        </w:rPr>
        <w:t>הרשיע א</w:t>
      </w:r>
      <w:r w:rsidR="006D4C0E">
        <w:rPr>
          <w:rFonts w:hint="cs"/>
          <w:rtl/>
        </w:rPr>
        <w:t xml:space="preserve">ת המערער </w:t>
      </w:r>
      <w:r w:rsidR="004308F1">
        <w:rPr>
          <w:rFonts w:hint="cs"/>
          <w:rtl/>
        </w:rPr>
        <w:t xml:space="preserve">ברוב דעות </w:t>
      </w:r>
      <w:r w:rsidR="004C1521">
        <w:rPr>
          <w:rFonts w:hint="cs"/>
          <w:rtl/>
        </w:rPr>
        <w:t>בעבירה שיוחסה לו</w:t>
      </w:r>
      <w:r w:rsidR="004308F1">
        <w:rPr>
          <w:rFonts w:hint="cs"/>
          <w:rtl/>
        </w:rPr>
        <w:t>.</w:t>
      </w:r>
      <w:r>
        <w:rPr>
          <w:rFonts w:hint="cs"/>
          <w:rtl/>
        </w:rPr>
        <w:t xml:space="preserve"> </w:t>
      </w:r>
      <w:r w:rsidR="004308F1">
        <w:rPr>
          <w:rFonts w:hint="cs"/>
          <w:rtl/>
        </w:rPr>
        <w:t xml:space="preserve">שופט המיעוט </w:t>
      </w:r>
      <w:r w:rsidR="00105582">
        <w:rPr>
          <w:rFonts w:hint="cs"/>
          <w:rtl/>
        </w:rPr>
        <w:t xml:space="preserve">ציין כי </w:t>
      </w:r>
      <w:r w:rsidR="004308F1">
        <w:rPr>
          <w:rFonts w:hint="cs"/>
          <w:rtl/>
        </w:rPr>
        <w:t>היה ממיר</w:t>
      </w:r>
      <w:r w:rsidR="00883EB6">
        <w:rPr>
          <w:rFonts w:hint="cs"/>
          <w:rtl/>
        </w:rPr>
        <w:t>,</w:t>
      </w:r>
      <w:r w:rsidR="004308F1">
        <w:rPr>
          <w:rFonts w:hint="cs"/>
          <w:rtl/>
        </w:rPr>
        <w:t xml:space="preserve"> מטעמי</w:t>
      </w:r>
      <w:r w:rsidR="00077FB8">
        <w:rPr>
          <w:rFonts w:hint="cs"/>
          <w:rtl/>
        </w:rPr>
        <w:t>ם</w:t>
      </w:r>
      <w:r w:rsidR="004308F1">
        <w:rPr>
          <w:rFonts w:hint="cs"/>
          <w:rtl/>
        </w:rPr>
        <w:t xml:space="preserve"> </w:t>
      </w:r>
      <w:r w:rsidR="00077FB8">
        <w:rPr>
          <w:rFonts w:hint="cs"/>
          <w:rtl/>
        </w:rPr>
        <w:t xml:space="preserve">של </w:t>
      </w:r>
      <w:r w:rsidR="004308F1">
        <w:rPr>
          <w:rFonts w:hint="cs"/>
          <w:rtl/>
        </w:rPr>
        <w:t>אכיפה בררנית</w:t>
      </w:r>
      <w:r w:rsidR="00883EB6">
        <w:rPr>
          <w:rFonts w:hint="cs"/>
          <w:rtl/>
        </w:rPr>
        <w:t>,</w:t>
      </w:r>
      <w:r w:rsidR="004308F1">
        <w:rPr>
          <w:rFonts w:hint="cs"/>
          <w:rtl/>
        </w:rPr>
        <w:t xml:space="preserve"> את סעיף ההרשעה להתרשלות, לפי סעיף 124 רישה לחוק השיפוט הצבאי, התשט"ו-1955, ש</w:t>
      </w:r>
      <w:r w:rsidR="00022458">
        <w:rPr>
          <w:rFonts w:hint="cs"/>
          <w:rtl/>
        </w:rPr>
        <w:t xml:space="preserve">הרשעה בו </w:t>
      </w:r>
      <w:r w:rsidR="004308F1">
        <w:rPr>
          <w:rFonts w:hint="cs"/>
          <w:rtl/>
        </w:rPr>
        <w:t>אינ</w:t>
      </w:r>
      <w:r w:rsidR="00022458">
        <w:rPr>
          <w:rFonts w:hint="cs"/>
          <w:rtl/>
        </w:rPr>
        <w:t>ה</w:t>
      </w:r>
      <w:r w:rsidR="004308F1">
        <w:rPr>
          <w:rFonts w:hint="cs"/>
          <w:rtl/>
        </w:rPr>
        <w:t xml:space="preserve"> נושא</w:t>
      </w:r>
      <w:r w:rsidR="00022458">
        <w:rPr>
          <w:rFonts w:hint="cs"/>
          <w:rtl/>
        </w:rPr>
        <w:t>ת</w:t>
      </w:r>
      <w:r w:rsidR="004308F1">
        <w:rPr>
          <w:rFonts w:hint="cs"/>
          <w:rtl/>
        </w:rPr>
        <w:t xml:space="preserve"> עימ</w:t>
      </w:r>
      <w:r w:rsidR="00022458">
        <w:rPr>
          <w:rFonts w:hint="cs"/>
          <w:rtl/>
        </w:rPr>
        <w:t>ה</w:t>
      </w:r>
      <w:r w:rsidR="004308F1">
        <w:rPr>
          <w:rFonts w:hint="cs"/>
          <w:rtl/>
        </w:rPr>
        <w:t xml:space="preserve"> רישום פלילי. פה אחד </w:t>
      </w:r>
      <w:r w:rsidR="0091498D">
        <w:rPr>
          <w:rFonts w:hint="cs"/>
          <w:rtl/>
        </w:rPr>
        <w:t xml:space="preserve">הוטלו </w:t>
      </w:r>
      <w:r w:rsidR="004C1521">
        <w:rPr>
          <w:rFonts w:hint="cs"/>
          <w:rtl/>
        </w:rPr>
        <w:t>על</w:t>
      </w:r>
      <w:r w:rsidR="004308F1">
        <w:rPr>
          <w:rFonts w:hint="cs"/>
          <w:rtl/>
        </w:rPr>
        <w:t xml:space="preserve"> המערער</w:t>
      </w:r>
      <w:r w:rsidR="004C1521">
        <w:rPr>
          <w:rFonts w:hint="cs"/>
          <w:rtl/>
        </w:rPr>
        <w:t xml:space="preserve"> 60</w:t>
      </w:r>
      <w:r w:rsidR="00FB0658">
        <w:rPr>
          <w:rFonts w:hint="cs"/>
          <w:rtl/>
        </w:rPr>
        <w:t xml:space="preserve"> ימי מאסר מותנה</w:t>
      </w:r>
      <w:r w:rsidR="006E3961">
        <w:rPr>
          <w:rFonts w:hint="cs"/>
          <w:rtl/>
        </w:rPr>
        <w:t xml:space="preserve">  ו</w:t>
      </w:r>
      <w:r w:rsidR="004C1521">
        <w:rPr>
          <w:rFonts w:hint="cs"/>
          <w:rtl/>
        </w:rPr>
        <w:t>הורדה לדרגת רב"ט</w:t>
      </w:r>
      <w:r w:rsidR="006E3961">
        <w:rPr>
          <w:rFonts w:hint="cs"/>
          <w:rtl/>
        </w:rPr>
        <w:t>. ל</w:t>
      </w:r>
      <w:r w:rsidR="001C01DF">
        <w:rPr>
          <w:rFonts w:hint="cs"/>
          <w:rtl/>
        </w:rPr>
        <w:t xml:space="preserve">טובת </w:t>
      </w:r>
      <w:r w:rsidR="006E3961">
        <w:rPr>
          <w:rFonts w:hint="cs"/>
          <w:rtl/>
        </w:rPr>
        <w:t xml:space="preserve">נפגע העבירה נפסקו פיצויים בסך </w:t>
      </w:r>
      <w:r w:rsidR="00C60275">
        <w:rPr>
          <w:rFonts w:hint="cs"/>
          <w:rtl/>
        </w:rPr>
        <w:t xml:space="preserve">2,000 </w:t>
      </w:r>
      <w:r w:rsidR="00C60275" w:rsidRPr="00C60275">
        <w:rPr>
          <w:rtl/>
        </w:rPr>
        <w:t>ש"ח</w:t>
      </w:r>
      <w:r w:rsidR="006E3961">
        <w:rPr>
          <w:rFonts w:hint="cs"/>
          <w:rtl/>
        </w:rPr>
        <w:t>.</w:t>
      </w:r>
    </w:p>
    <w:p w14:paraId="7363289F" w14:textId="5E276E71" w:rsidR="00774932" w:rsidRPr="00774932" w:rsidRDefault="00300805" w:rsidP="001D64B9">
      <w:pPr>
        <w:pStyle w:val="ListParagraph"/>
        <w:numPr>
          <w:ilvl w:val="0"/>
          <w:numId w:val="1"/>
        </w:numPr>
        <w:rPr>
          <w:rtl/>
        </w:rPr>
      </w:pPr>
      <w:r>
        <w:rPr>
          <w:rFonts w:hint="cs"/>
          <w:rtl/>
        </w:rPr>
        <w:t>ל</w:t>
      </w:r>
      <w:r w:rsidR="00C60275">
        <w:rPr>
          <w:rFonts w:hint="cs"/>
          <w:rtl/>
        </w:rPr>
        <w:t>ה</w:t>
      </w:r>
      <w:r>
        <w:rPr>
          <w:rFonts w:hint="cs"/>
          <w:rtl/>
        </w:rPr>
        <w:t xml:space="preserve">שלמת התמונה נציין כי </w:t>
      </w:r>
      <w:r w:rsidR="00C60275">
        <w:rPr>
          <w:rFonts w:hint="cs"/>
          <w:rtl/>
        </w:rPr>
        <w:t xml:space="preserve">אף בעניינם של </w:t>
      </w:r>
      <w:r>
        <w:rPr>
          <w:rFonts w:hint="cs"/>
          <w:rtl/>
        </w:rPr>
        <w:t xml:space="preserve">סג"ם דניאל וסגן תומר </w:t>
      </w:r>
      <w:r w:rsidR="00C60275">
        <w:rPr>
          <w:rFonts w:hint="cs"/>
          <w:rtl/>
        </w:rPr>
        <w:t xml:space="preserve">נקבע בבית הדין המחוזי </w:t>
      </w:r>
      <w:r>
        <w:rPr>
          <w:rFonts w:hint="cs"/>
          <w:rtl/>
        </w:rPr>
        <w:t xml:space="preserve">כי התקיימו יסודות </w:t>
      </w:r>
      <w:r w:rsidR="00641D42">
        <w:rPr>
          <w:rFonts w:hint="cs"/>
          <w:rtl/>
        </w:rPr>
        <w:t>ה</w:t>
      </w:r>
      <w:r>
        <w:rPr>
          <w:rFonts w:hint="cs"/>
          <w:rtl/>
        </w:rPr>
        <w:t>עביר</w:t>
      </w:r>
      <w:r w:rsidR="00641D42">
        <w:rPr>
          <w:rFonts w:hint="cs"/>
          <w:rtl/>
        </w:rPr>
        <w:t xml:space="preserve">ה של </w:t>
      </w:r>
      <w:r>
        <w:rPr>
          <w:rFonts w:hint="cs"/>
          <w:rtl/>
        </w:rPr>
        <w:t>חבלה ברשלנות</w:t>
      </w:r>
      <w:r w:rsidR="00974289">
        <w:rPr>
          <w:rFonts w:hint="cs"/>
          <w:rtl/>
        </w:rPr>
        <w:t xml:space="preserve">. עם זאת, </w:t>
      </w:r>
      <w:r w:rsidR="007E25CC">
        <w:rPr>
          <w:rFonts w:hint="cs"/>
          <w:rtl/>
        </w:rPr>
        <w:t xml:space="preserve">כל אחד מהם </w:t>
      </w:r>
      <w:r w:rsidR="00974289">
        <w:rPr>
          <w:rFonts w:hint="cs"/>
          <w:rtl/>
        </w:rPr>
        <w:t xml:space="preserve">הורשע בעבירה של </w:t>
      </w:r>
      <w:r>
        <w:rPr>
          <w:rFonts w:hint="cs"/>
          <w:rtl/>
        </w:rPr>
        <w:t>התרשלות</w:t>
      </w:r>
      <w:r w:rsidR="00BC3619">
        <w:rPr>
          <w:rFonts w:hint="cs"/>
          <w:rtl/>
        </w:rPr>
        <w:t xml:space="preserve"> לפי חוק השיפוט הצבאי</w:t>
      </w:r>
      <w:r w:rsidR="00F71658">
        <w:rPr>
          <w:rFonts w:hint="cs"/>
          <w:rtl/>
        </w:rPr>
        <w:t>, מטעמים של הגנה מן הצדק</w:t>
      </w:r>
      <w:r w:rsidR="006E3961">
        <w:rPr>
          <w:rFonts w:hint="cs"/>
          <w:rtl/>
        </w:rPr>
        <w:t>, והם נידונו לעונשי מאסר מותנים</w:t>
      </w:r>
      <w:r>
        <w:rPr>
          <w:rFonts w:hint="cs"/>
          <w:rtl/>
        </w:rPr>
        <w:t xml:space="preserve">. </w:t>
      </w:r>
      <w:r w:rsidR="006E3961">
        <w:rPr>
          <w:rFonts w:hint="cs"/>
          <w:rtl/>
        </w:rPr>
        <w:t xml:space="preserve">כן נפסק, כי עליהם לפצות את הנפגע בסכומים של 2,000 ש"ח ו-1,000 ש"ח, בהתאמה. </w:t>
      </w:r>
      <w:r>
        <w:rPr>
          <w:rFonts w:hint="cs"/>
          <w:rtl/>
        </w:rPr>
        <w:t>ב</w:t>
      </w:r>
      <w:r w:rsidR="006D1958">
        <w:rPr>
          <w:rFonts w:hint="cs"/>
          <w:rtl/>
        </w:rPr>
        <w:t>ב</w:t>
      </w:r>
      <w:r>
        <w:rPr>
          <w:rFonts w:hint="cs"/>
          <w:rtl/>
        </w:rPr>
        <w:t xml:space="preserve">ית הדין </w:t>
      </w:r>
      <w:r w:rsidR="006D1958">
        <w:rPr>
          <w:rFonts w:hint="cs"/>
          <w:rtl/>
        </w:rPr>
        <w:t xml:space="preserve">הצבאי </w:t>
      </w:r>
      <w:r>
        <w:rPr>
          <w:rFonts w:hint="cs"/>
          <w:rtl/>
        </w:rPr>
        <w:t xml:space="preserve">לערעורים </w:t>
      </w:r>
      <w:r w:rsidR="006D1958">
        <w:rPr>
          <w:rFonts w:hint="cs"/>
          <w:rtl/>
        </w:rPr>
        <w:t>הת</w:t>
      </w:r>
      <w:r>
        <w:rPr>
          <w:rFonts w:hint="cs"/>
          <w:rtl/>
        </w:rPr>
        <w:t>קבל ערעור</w:t>
      </w:r>
      <w:r w:rsidR="006D1958">
        <w:rPr>
          <w:rFonts w:hint="cs"/>
          <w:rtl/>
        </w:rPr>
        <w:t>ו</w:t>
      </w:r>
      <w:r>
        <w:rPr>
          <w:rFonts w:hint="cs"/>
          <w:rtl/>
        </w:rPr>
        <w:t xml:space="preserve"> של סג"ם דניאל ו</w:t>
      </w:r>
      <w:r w:rsidR="006D1958">
        <w:rPr>
          <w:rFonts w:hint="cs"/>
          <w:rtl/>
        </w:rPr>
        <w:t xml:space="preserve">הוא </w:t>
      </w:r>
      <w:r>
        <w:rPr>
          <w:rFonts w:hint="cs"/>
          <w:rtl/>
        </w:rPr>
        <w:t>ז</w:t>
      </w:r>
      <w:r w:rsidR="006D1958">
        <w:rPr>
          <w:rFonts w:hint="cs"/>
          <w:rtl/>
        </w:rPr>
        <w:t>ו</w:t>
      </w:r>
      <w:r>
        <w:rPr>
          <w:rFonts w:hint="cs"/>
          <w:rtl/>
        </w:rPr>
        <w:t xml:space="preserve">כה </w:t>
      </w:r>
      <w:r w:rsidR="003A6965">
        <w:rPr>
          <w:rFonts w:hint="cs"/>
          <w:rtl/>
        </w:rPr>
        <w:t>מאשמה</w:t>
      </w:r>
      <w:r w:rsidR="006D1958">
        <w:rPr>
          <w:rFonts w:hint="cs"/>
          <w:rtl/>
        </w:rPr>
        <w:t xml:space="preserve"> </w:t>
      </w:r>
      <w:r w:rsidR="002E0651" w:rsidRPr="002E0651">
        <w:rPr>
          <w:rtl/>
        </w:rPr>
        <w:t>(ע"פ 4474-10-25</w:t>
      </w:r>
      <w:r w:rsidR="0043434C">
        <w:rPr>
          <w:rFonts w:hint="cs"/>
          <w:rtl/>
        </w:rPr>
        <w:t xml:space="preserve">, 64094-11-25 </w:t>
      </w:r>
      <w:r w:rsidR="002E0651" w:rsidRPr="00774932">
        <w:rPr>
          <w:b/>
          <w:bCs/>
          <w:rtl/>
        </w:rPr>
        <w:t xml:space="preserve">סגן (מיל') </w:t>
      </w:r>
      <w:r w:rsidR="00A920AC">
        <w:rPr>
          <w:rFonts w:hint="cs"/>
          <w:b/>
          <w:bCs/>
          <w:rtl/>
        </w:rPr>
        <w:t xml:space="preserve">ד' </w:t>
      </w:r>
      <w:r w:rsidR="002E0651" w:rsidRPr="00774932">
        <w:rPr>
          <w:b/>
          <w:bCs/>
          <w:rtl/>
        </w:rPr>
        <w:t>א</w:t>
      </w:r>
      <w:r w:rsidR="00A920AC">
        <w:rPr>
          <w:rFonts w:hint="cs"/>
          <w:b/>
          <w:bCs/>
          <w:rtl/>
        </w:rPr>
        <w:t>'</w:t>
      </w:r>
      <w:r w:rsidR="002E0651" w:rsidRPr="00774932">
        <w:rPr>
          <w:b/>
          <w:bCs/>
          <w:rtl/>
        </w:rPr>
        <w:t xml:space="preserve"> נ' התובע הצבאי הראשי</w:t>
      </w:r>
      <w:r w:rsidR="002E0651" w:rsidRPr="002E0651">
        <w:rPr>
          <w:rtl/>
        </w:rPr>
        <w:t xml:space="preserve"> (</w:t>
      </w:r>
      <w:r w:rsidR="006D1958">
        <w:rPr>
          <w:rFonts w:hint="cs"/>
          <w:rtl/>
        </w:rPr>
        <w:t>2026</w:t>
      </w:r>
      <w:r w:rsidR="002E0651" w:rsidRPr="002E0651">
        <w:rPr>
          <w:rtl/>
        </w:rPr>
        <w:t>)</w:t>
      </w:r>
      <w:r w:rsidR="006D1958">
        <w:rPr>
          <w:rFonts w:hint="cs"/>
          <w:rtl/>
        </w:rPr>
        <w:t>)</w:t>
      </w:r>
      <w:r>
        <w:rPr>
          <w:rFonts w:hint="cs"/>
          <w:rtl/>
        </w:rPr>
        <w:t xml:space="preserve">. </w:t>
      </w:r>
      <w:r w:rsidR="00AC2EF7">
        <w:rPr>
          <w:rFonts w:hint="cs"/>
          <w:rtl/>
        </w:rPr>
        <w:t>בהמשך</w:t>
      </w:r>
      <w:r w:rsidR="00AA6B69">
        <w:rPr>
          <w:rFonts w:hint="cs"/>
          <w:rtl/>
        </w:rPr>
        <w:t xml:space="preserve"> התקבל </w:t>
      </w:r>
      <w:r>
        <w:rPr>
          <w:rFonts w:hint="cs"/>
          <w:rtl/>
        </w:rPr>
        <w:t xml:space="preserve">ערעור התביעה </w:t>
      </w:r>
      <w:r w:rsidR="00C60275">
        <w:rPr>
          <w:rFonts w:hint="cs"/>
          <w:rtl/>
        </w:rPr>
        <w:t xml:space="preserve">בעניינו של </w:t>
      </w:r>
      <w:r>
        <w:rPr>
          <w:rFonts w:hint="cs"/>
          <w:rtl/>
        </w:rPr>
        <w:t xml:space="preserve">סגן תומר </w:t>
      </w:r>
      <w:r w:rsidR="00C60275">
        <w:rPr>
          <w:rFonts w:hint="cs"/>
          <w:rtl/>
        </w:rPr>
        <w:t xml:space="preserve">והוא </w:t>
      </w:r>
      <w:r w:rsidR="00717A95">
        <w:rPr>
          <w:rFonts w:hint="cs"/>
          <w:rtl/>
        </w:rPr>
        <w:t xml:space="preserve">הורשע </w:t>
      </w:r>
      <w:r>
        <w:rPr>
          <w:rFonts w:hint="cs"/>
          <w:rtl/>
        </w:rPr>
        <w:t xml:space="preserve">בעבירת חבלה ברשלנות, </w:t>
      </w:r>
      <w:r w:rsidR="00774932">
        <w:rPr>
          <w:rFonts w:hint="cs"/>
          <w:rtl/>
        </w:rPr>
        <w:t>מבלי שחל שינוי בעונשו (</w:t>
      </w:r>
      <w:r w:rsidR="00774932" w:rsidRPr="00774932">
        <w:rPr>
          <w:rtl/>
        </w:rPr>
        <w:t>ע"פ 63790-11-25</w:t>
      </w:r>
      <w:r w:rsidR="0043434C">
        <w:rPr>
          <w:rFonts w:hint="cs"/>
          <w:rtl/>
        </w:rPr>
        <w:t xml:space="preserve">, 64044-11-25 </w:t>
      </w:r>
      <w:r w:rsidR="00774932" w:rsidRPr="00774932">
        <w:rPr>
          <w:b/>
          <w:bCs/>
          <w:rtl/>
        </w:rPr>
        <w:t xml:space="preserve">סגן (מיל') </w:t>
      </w:r>
      <w:r w:rsidR="00213B48">
        <w:rPr>
          <w:b/>
          <w:bCs/>
          <w:rtl/>
        </w:rPr>
        <w:t>ת</w:t>
      </w:r>
      <w:r w:rsidR="00213B48">
        <w:rPr>
          <w:rFonts w:hint="cs"/>
          <w:b/>
          <w:bCs/>
          <w:rtl/>
        </w:rPr>
        <w:t>'</w:t>
      </w:r>
      <w:r w:rsidR="00213B48">
        <w:rPr>
          <w:b/>
          <w:bCs/>
          <w:rtl/>
        </w:rPr>
        <w:t xml:space="preserve"> כ</w:t>
      </w:r>
      <w:r w:rsidR="00213B48">
        <w:rPr>
          <w:rFonts w:hint="cs"/>
          <w:b/>
          <w:bCs/>
          <w:rtl/>
        </w:rPr>
        <w:t>'</w:t>
      </w:r>
      <w:r w:rsidR="00213B48">
        <w:rPr>
          <w:b/>
          <w:bCs/>
          <w:rtl/>
        </w:rPr>
        <w:t xml:space="preserve"> א</w:t>
      </w:r>
      <w:r w:rsidR="00213B48">
        <w:rPr>
          <w:rFonts w:hint="cs"/>
          <w:b/>
          <w:bCs/>
          <w:rtl/>
        </w:rPr>
        <w:t>'</w:t>
      </w:r>
      <w:r w:rsidR="00774932" w:rsidRPr="00774932">
        <w:rPr>
          <w:b/>
          <w:bCs/>
          <w:rtl/>
        </w:rPr>
        <w:t xml:space="preserve"> נ' התובע הצבאי הראשי</w:t>
      </w:r>
      <w:r w:rsidR="00774932" w:rsidRPr="00774932">
        <w:rPr>
          <w:rtl/>
        </w:rPr>
        <w:t xml:space="preserve"> (</w:t>
      </w:r>
      <w:r w:rsidR="00774932">
        <w:rPr>
          <w:rFonts w:hint="cs"/>
          <w:rtl/>
        </w:rPr>
        <w:t>2026)</w:t>
      </w:r>
      <w:r w:rsidR="00774932" w:rsidRPr="00774932">
        <w:rPr>
          <w:rtl/>
        </w:rPr>
        <w:t>).</w:t>
      </w:r>
    </w:p>
    <w:p w14:paraId="5C139A02" w14:textId="77777777" w:rsidR="001D64B9" w:rsidRDefault="00C60275" w:rsidP="001D64B9">
      <w:pPr>
        <w:pStyle w:val="ListParagraph"/>
        <w:numPr>
          <w:ilvl w:val="0"/>
          <w:numId w:val="1"/>
        </w:numPr>
        <w:spacing w:after="240"/>
      </w:pPr>
      <w:r>
        <w:rPr>
          <w:rFonts w:hint="cs"/>
          <w:rtl/>
        </w:rPr>
        <w:t>לפנינו ערעורים על פסק הדין ב</w:t>
      </w:r>
      <w:r w:rsidR="00031406">
        <w:rPr>
          <w:rFonts w:hint="cs"/>
          <w:rtl/>
        </w:rPr>
        <w:t xml:space="preserve">עניינו של </w:t>
      </w:r>
      <w:r w:rsidR="001C01DF">
        <w:rPr>
          <w:rFonts w:hint="cs"/>
          <w:rtl/>
        </w:rPr>
        <w:t>המערער</w:t>
      </w:r>
      <w:r w:rsidR="006943CF">
        <w:rPr>
          <w:rFonts w:hint="cs"/>
          <w:rtl/>
        </w:rPr>
        <w:t xml:space="preserve"> </w:t>
      </w:r>
      <w:r>
        <w:rPr>
          <w:rtl/>
        </w:rPr>
        <w:t>–</w:t>
      </w:r>
      <w:r>
        <w:rPr>
          <w:rFonts w:hint="cs"/>
          <w:rtl/>
        </w:rPr>
        <w:t xml:space="preserve"> ההגנה </w:t>
      </w:r>
      <w:r w:rsidR="00002740">
        <w:rPr>
          <w:rFonts w:hint="cs"/>
          <w:rtl/>
        </w:rPr>
        <w:t>מבקש</w:t>
      </w:r>
      <w:r>
        <w:rPr>
          <w:rFonts w:hint="cs"/>
          <w:rtl/>
        </w:rPr>
        <w:t>ת</w:t>
      </w:r>
      <w:r w:rsidR="00002740">
        <w:rPr>
          <w:rFonts w:hint="cs"/>
          <w:rtl/>
        </w:rPr>
        <w:t xml:space="preserve"> לזכותו כליל</w:t>
      </w:r>
      <w:r>
        <w:rPr>
          <w:rFonts w:hint="cs"/>
          <w:rtl/>
        </w:rPr>
        <w:t>; ו</w:t>
      </w:r>
      <w:r w:rsidR="00002740">
        <w:rPr>
          <w:rFonts w:hint="cs"/>
          <w:rtl/>
        </w:rPr>
        <w:t>מנגד, התביעה הצבאית עותרת להחמיר בעונשו.</w:t>
      </w:r>
    </w:p>
    <w:p w14:paraId="5A64F532" w14:textId="77777777" w:rsidR="001D64B9" w:rsidRDefault="0060359E" w:rsidP="001D64B9">
      <w:pPr>
        <w:pStyle w:val="ListParagraph"/>
        <w:spacing w:after="240"/>
        <w:ind w:left="0" w:firstLine="0"/>
        <w:rPr>
          <w:b/>
          <w:bCs/>
          <w:u w:val="single"/>
          <w:rtl/>
        </w:rPr>
      </w:pPr>
      <w:r w:rsidRPr="001D64B9">
        <w:rPr>
          <w:rFonts w:hint="cs"/>
          <w:b/>
          <w:bCs/>
          <w:u w:val="single"/>
          <w:rtl/>
        </w:rPr>
        <w:t>הערעור על הכרעת הדין</w:t>
      </w:r>
    </w:p>
    <w:p w14:paraId="2AA04D79" w14:textId="77777777" w:rsidR="001D64B9" w:rsidRDefault="003A7FAE" w:rsidP="001D64B9">
      <w:pPr>
        <w:pStyle w:val="ListParagraph"/>
        <w:ind w:left="0" w:firstLine="0"/>
        <w:rPr>
          <w:b/>
          <w:bCs/>
          <w:rtl/>
        </w:rPr>
      </w:pPr>
      <w:r w:rsidRPr="001D64B9">
        <w:rPr>
          <w:rFonts w:hint="cs"/>
          <w:b/>
          <w:bCs/>
          <w:rtl/>
        </w:rPr>
        <w:t>הכרעת</w:t>
      </w:r>
      <w:r w:rsidR="0060359E" w:rsidRPr="001D64B9">
        <w:rPr>
          <w:rFonts w:hint="cs"/>
          <w:b/>
          <w:bCs/>
          <w:rtl/>
        </w:rPr>
        <w:t xml:space="preserve"> דינו של בית הדין קמא</w:t>
      </w:r>
    </w:p>
    <w:p w14:paraId="3C23F129" w14:textId="441667FE" w:rsidR="009220C3" w:rsidRPr="001D64B9" w:rsidRDefault="009220C3" w:rsidP="001D64B9">
      <w:pPr>
        <w:pStyle w:val="ListParagraph"/>
        <w:ind w:left="0" w:firstLine="0"/>
        <w:rPr>
          <w:b/>
          <w:bCs/>
          <w:u w:val="single"/>
        </w:rPr>
      </w:pPr>
      <w:r w:rsidRPr="001D64B9">
        <w:rPr>
          <w:rFonts w:hint="cs"/>
          <w:u w:val="single"/>
          <w:rtl/>
        </w:rPr>
        <w:t>ה</w:t>
      </w:r>
      <w:r w:rsidR="006B2DDB" w:rsidRPr="001D64B9">
        <w:rPr>
          <w:rFonts w:hint="cs"/>
          <w:u w:val="single"/>
          <w:rtl/>
        </w:rPr>
        <w:t>ראי</w:t>
      </w:r>
      <w:r w:rsidRPr="001D64B9">
        <w:rPr>
          <w:rFonts w:hint="cs"/>
          <w:u w:val="single"/>
          <w:rtl/>
        </w:rPr>
        <w:t>ות</w:t>
      </w:r>
    </w:p>
    <w:p w14:paraId="49E784EA" w14:textId="77777777" w:rsidR="00030837" w:rsidRDefault="006B2DDB" w:rsidP="003F0794">
      <w:pPr>
        <w:pStyle w:val="ListParagraph"/>
        <w:numPr>
          <w:ilvl w:val="0"/>
          <w:numId w:val="1"/>
        </w:numPr>
        <w:spacing w:after="240"/>
      </w:pPr>
      <w:r>
        <w:rPr>
          <w:rFonts w:hint="cs"/>
          <w:rtl/>
        </w:rPr>
        <w:t>בבית הדין המחוזי העידו עדים רבים מהיחידה</w:t>
      </w:r>
      <w:r w:rsidR="00030837">
        <w:rPr>
          <w:rFonts w:hint="cs"/>
          <w:rtl/>
        </w:rPr>
        <w:t xml:space="preserve">. </w:t>
      </w:r>
      <w:r w:rsidR="00121070">
        <w:rPr>
          <w:rFonts w:hint="cs"/>
          <w:rtl/>
        </w:rPr>
        <w:t>להלן, בתמצית</w:t>
      </w:r>
      <w:r w:rsidR="00BF479D">
        <w:rPr>
          <w:rFonts w:hint="cs"/>
          <w:rtl/>
        </w:rPr>
        <w:t xml:space="preserve">, </w:t>
      </w:r>
      <w:r w:rsidR="00030837">
        <w:rPr>
          <w:rFonts w:hint="cs"/>
          <w:rtl/>
        </w:rPr>
        <w:t>ממצאי המהימנות ש</w:t>
      </w:r>
      <w:r w:rsidR="00121070">
        <w:rPr>
          <w:rFonts w:hint="cs"/>
          <w:rtl/>
        </w:rPr>
        <w:t xml:space="preserve">נקבעו </w:t>
      </w:r>
      <w:r w:rsidR="00030837">
        <w:rPr>
          <w:rFonts w:hint="cs"/>
          <w:rtl/>
        </w:rPr>
        <w:t>לגבי כל אחד מהם</w:t>
      </w:r>
      <w:r>
        <w:rPr>
          <w:rFonts w:hint="cs"/>
          <w:rtl/>
        </w:rPr>
        <w:t>:</w:t>
      </w:r>
    </w:p>
    <w:p w14:paraId="51E2E8BD" w14:textId="77777777" w:rsidR="00030837" w:rsidRDefault="00273E71" w:rsidP="001D64B9">
      <w:pPr>
        <w:pStyle w:val="ListParagraph"/>
        <w:numPr>
          <w:ilvl w:val="1"/>
          <w:numId w:val="1"/>
        </w:numPr>
      </w:pPr>
      <w:r>
        <w:rPr>
          <w:rFonts w:hint="cs"/>
          <w:rtl/>
        </w:rPr>
        <w:lastRenderedPageBreak/>
        <w:t xml:space="preserve">בית הדין המחוזי </w:t>
      </w:r>
      <w:r w:rsidR="009A6E97">
        <w:rPr>
          <w:rFonts w:hint="cs"/>
          <w:rtl/>
        </w:rPr>
        <w:t xml:space="preserve">מצא </w:t>
      </w:r>
      <w:r>
        <w:rPr>
          <w:rFonts w:hint="cs"/>
          <w:rtl/>
        </w:rPr>
        <w:t xml:space="preserve">כי עדותו של </w:t>
      </w:r>
      <w:r w:rsidR="006B2DDB">
        <w:rPr>
          <w:rFonts w:hint="cs"/>
          <w:rtl/>
        </w:rPr>
        <w:t>רס"ן נתן, מפקד המגמה</w:t>
      </w:r>
      <w:r>
        <w:rPr>
          <w:rFonts w:hint="cs"/>
          <w:rtl/>
        </w:rPr>
        <w:t>, הייתה מהימנה, אלא ש</w:t>
      </w:r>
      <w:r w:rsidR="007F6F16">
        <w:rPr>
          <w:rFonts w:hint="cs"/>
          <w:rtl/>
        </w:rPr>
        <w:t>לא נגעה באירועים עצמם, ולכן תרומ</w:t>
      </w:r>
      <w:r>
        <w:rPr>
          <w:rFonts w:hint="cs"/>
          <w:rtl/>
        </w:rPr>
        <w:t>ת</w:t>
      </w:r>
      <w:r w:rsidR="007F6F16">
        <w:rPr>
          <w:rFonts w:hint="cs"/>
          <w:rtl/>
        </w:rPr>
        <w:t xml:space="preserve">ה </w:t>
      </w:r>
      <w:r>
        <w:rPr>
          <w:rFonts w:hint="cs"/>
          <w:rtl/>
        </w:rPr>
        <w:t xml:space="preserve">להכרעה בסוגיות העיקריות </w:t>
      </w:r>
      <w:r w:rsidR="001C01DF">
        <w:rPr>
          <w:rtl/>
        </w:rPr>
        <w:t>–</w:t>
      </w:r>
      <w:r>
        <w:rPr>
          <w:rFonts w:hint="cs"/>
          <w:rtl/>
        </w:rPr>
        <w:t xml:space="preserve"> </w:t>
      </w:r>
      <w:r w:rsidR="007F6F16">
        <w:rPr>
          <w:rFonts w:hint="cs"/>
          <w:rtl/>
        </w:rPr>
        <w:t>מוגבלת.</w:t>
      </w:r>
    </w:p>
    <w:p w14:paraId="09076B70" w14:textId="77777777" w:rsidR="00030837" w:rsidRDefault="00273E71" w:rsidP="001D64B9">
      <w:pPr>
        <w:pStyle w:val="ListParagraph"/>
        <w:numPr>
          <w:ilvl w:val="1"/>
          <w:numId w:val="1"/>
        </w:numPr>
      </w:pPr>
      <w:r>
        <w:rPr>
          <w:rFonts w:hint="cs"/>
          <w:rtl/>
        </w:rPr>
        <w:t xml:space="preserve">אשר </w:t>
      </w:r>
      <w:r w:rsidRPr="0015350F">
        <w:rPr>
          <w:rFonts w:hint="cs"/>
          <w:rtl/>
        </w:rPr>
        <w:t>ל</w:t>
      </w:r>
      <w:r w:rsidR="006B2DDB" w:rsidRPr="0015350F">
        <w:rPr>
          <w:rFonts w:hint="cs"/>
          <w:rtl/>
        </w:rPr>
        <w:t>רס"ן</w:t>
      </w:r>
      <w:r w:rsidR="006B2DDB">
        <w:rPr>
          <w:rFonts w:hint="cs"/>
          <w:rtl/>
        </w:rPr>
        <w:t xml:space="preserve"> אורי, מפקד הפלוגה (סרן בעת האירוע</w:t>
      </w:r>
      <w:r>
        <w:rPr>
          <w:rFonts w:hint="cs"/>
          <w:rtl/>
        </w:rPr>
        <w:t xml:space="preserve"> ו</w:t>
      </w:r>
      <w:r w:rsidR="006B2DDB">
        <w:rPr>
          <w:rFonts w:hint="cs"/>
          <w:rtl/>
        </w:rPr>
        <w:t xml:space="preserve">להלן: </w:t>
      </w:r>
      <w:r w:rsidR="006B2DDB" w:rsidRPr="0015350F">
        <w:rPr>
          <w:rFonts w:hint="cs"/>
          <w:rtl/>
        </w:rPr>
        <w:t>סרן</w:t>
      </w:r>
      <w:r w:rsidR="006B2DDB">
        <w:rPr>
          <w:rFonts w:hint="cs"/>
          <w:rtl/>
        </w:rPr>
        <w:t xml:space="preserve"> אורי)</w:t>
      </w:r>
      <w:r w:rsidR="00030837">
        <w:rPr>
          <w:rFonts w:hint="cs"/>
          <w:rtl/>
        </w:rPr>
        <w:t xml:space="preserve"> </w:t>
      </w:r>
      <w:r w:rsidR="00030837">
        <w:rPr>
          <w:rtl/>
        </w:rPr>
        <w:t>–</w:t>
      </w:r>
      <w:r w:rsidR="007F6F16">
        <w:rPr>
          <w:rFonts w:hint="cs"/>
          <w:rtl/>
        </w:rPr>
        <w:t xml:space="preserve"> </w:t>
      </w:r>
      <w:r w:rsidR="009A6E97">
        <w:rPr>
          <w:rFonts w:hint="cs"/>
          <w:rtl/>
        </w:rPr>
        <w:t xml:space="preserve">בית הדין התרשם כי </w:t>
      </w:r>
      <w:r w:rsidR="007F6F16">
        <w:rPr>
          <w:rFonts w:hint="cs"/>
          <w:rtl/>
        </w:rPr>
        <w:t>מצב</w:t>
      </w:r>
      <w:r w:rsidR="009A6E97">
        <w:rPr>
          <w:rFonts w:hint="cs"/>
          <w:rtl/>
        </w:rPr>
        <w:t>ו</w:t>
      </w:r>
      <w:r w:rsidR="007F6F16">
        <w:rPr>
          <w:rFonts w:hint="cs"/>
          <w:rtl/>
        </w:rPr>
        <w:t xml:space="preserve"> </w:t>
      </w:r>
      <w:r w:rsidR="009A6E97">
        <w:rPr>
          <w:rFonts w:hint="cs"/>
          <w:rtl/>
        </w:rPr>
        <w:t>ה</w:t>
      </w:r>
      <w:r w:rsidR="007F6F16">
        <w:rPr>
          <w:rFonts w:hint="cs"/>
          <w:rtl/>
        </w:rPr>
        <w:t>נפשי מורכב ו</w:t>
      </w:r>
      <w:r w:rsidR="0001026C">
        <w:rPr>
          <w:rFonts w:hint="cs"/>
          <w:rtl/>
        </w:rPr>
        <w:t xml:space="preserve">הוא </w:t>
      </w:r>
      <w:r w:rsidR="007F6F16">
        <w:rPr>
          <w:rFonts w:hint="cs"/>
          <w:rtl/>
        </w:rPr>
        <w:t xml:space="preserve">התקשה לשחזר את פרטי האירוע. </w:t>
      </w:r>
      <w:r w:rsidR="0001026C">
        <w:rPr>
          <w:rFonts w:hint="cs"/>
          <w:rtl/>
        </w:rPr>
        <w:t>נקבע כי אף ש</w:t>
      </w:r>
      <w:r w:rsidR="007F6F16">
        <w:rPr>
          <w:rFonts w:hint="cs"/>
          <w:rtl/>
        </w:rPr>
        <w:t xml:space="preserve">לא העיד עדות שקר, </w:t>
      </w:r>
      <w:r w:rsidR="0001026C">
        <w:rPr>
          <w:rFonts w:hint="cs"/>
          <w:rtl/>
        </w:rPr>
        <w:t xml:space="preserve">ניכר היה שביקש </w:t>
      </w:r>
      <w:r w:rsidR="007F6F16">
        <w:rPr>
          <w:rFonts w:hint="cs"/>
          <w:rtl/>
        </w:rPr>
        <w:t>להרחיק עצמו מהאירוע ול</w:t>
      </w:r>
      <w:r w:rsidR="0001026C">
        <w:rPr>
          <w:rFonts w:hint="cs"/>
          <w:rtl/>
        </w:rPr>
        <w:t>צמצם את חלקו ב</w:t>
      </w:r>
      <w:r w:rsidR="007F6F16">
        <w:rPr>
          <w:rFonts w:hint="cs"/>
          <w:rtl/>
        </w:rPr>
        <w:t xml:space="preserve">ו. </w:t>
      </w:r>
      <w:r w:rsidR="003D544F">
        <w:rPr>
          <w:rFonts w:hint="cs"/>
          <w:rtl/>
        </w:rPr>
        <w:t>לכן הוחלט ל</w:t>
      </w:r>
      <w:r w:rsidR="007F6F16">
        <w:rPr>
          <w:rFonts w:hint="cs"/>
          <w:rtl/>
        </w:rPr>
        <w:t>הסתמך על דבריו במשנה זהירות, ו</w:t>
      </w:r>
      <w:r w:rsidR="003D544F">
        <w:rPr>
          <w:rFonts w:hint="cs"/>
          <w:rtl/>
        </w:rPr>
        <w:t xml:space="preserve">נקבע כי </w:t>
      </w:r>
      <w:r w:rsidR="007F6F16">
        <w:rPr>
          <w:rFonts w:hint="cs"/>
          <w:rtl/>
        </w:rPr>
        <w:t xml:space="preserve">בכל סתירה בין דברי העד בבית הדין ובמצ"ח </w:t>
      </w:r>
      <w:r w:rsidR="007F6F16">
        <w:rPr>
          <w:rtl/>
        </w:rPr>
        <w:t>–</w:t>
      </w:r>
      <w:r w:rsidR="007F6F16">
        <w:rPr>
          <w:rFonts w:hint="cs"/>
          <w:rtl/>
        </w:rPr>
        <w:t xml:space="preserve"> </w:t>
      </w:r>
      <w:r w:rsidR="003D544F">
        <w:rPr>
          <w:rFonts w:hint="cs"/>
          <w:rtl/>
        </w:rPr>
        <w:t xml:space="preserve">יש להעדיף את </w:t>
      </w:r>
      <w:r w:rsidR="007F6F16">
        <w:rPr>
          <w:rFonts w:hint="cs"/>
          <w:rtl/>
        </w:rPr>
        <w:t>גרס</w:t>
      </w:r>
      <w:r w:rsidR="003D544F">
        <w:rPr>
          <w:rFonts w:hint="cs"/>
          <w:rtl/>
        </w:rPr>
        <w:t>תו</w:t>
      </w:r>
      <w:r w:rsidR="007F6F16">
        <w:rPr>
          <w:rFonts w:hint="cs"/>
          <w:rtl/>
        </w:rPr>
        <w:t xml:space="preserve"> במצ"ח.</w:t>
      </w:r>
    </w:p>
    <w:p w14:paraId="7CB153D1" w14:textId="77777777" w:rsidR="00030837" w:rsidRDefault="00C82235" w:rsidP="001D64B9">
      <w:pPr>
        <w:pStyle w:val="ListParagraph"/>
        <w:numPr>
          <w:ilvl w:val="1"/>
          <w:numId w:val="1"/>
        </w:numPr>
      </w:pPr>
      <w:r>
        <w:rPr>
          <w:rFonts w:hint="cs"/>
          <w:rtl/>
        </w:rPr>
        <w:t xml:space="preserve">התרשמותו של </w:t>
      </w:r>
      <w:r w:rsidR="003D544F">
        <w:rPr>
          <w:rFonts w:hint="cs"/>
          <w:rtl/>
        </w:rPr>
        <w:t xml:space="preserve">בית הדין </w:t>
      </w:r>
      <w:r>
        <w:rPr>
          <w:rFonts w:hint="cs"/>
          <w:rtl/>
        </w:rPr>
        <w:t xml:space="preserve">מעדותו של </w:t>
      </w:r>
      <w:r w:rsidR="006B2DDB">
        <w:rPr>
          <w:rFonts w:hint="cs"/>
          <w:rtl/>
        </w:rPr>
        <w:t>סגן תומר (סגן מפקד הפלוגה)</w:t>
      </w:r>
      <w:r>
        <w:rPr>
          <w:rFonts w:hint="cs"/>
          <w:rtl/>
        </w:rPr>
        <w:t xml:space="preserve">, הייתה </w:t>
      </w:r>
      <w:r w:rsidR="005D17A6">
        <w:rPr>
          <w:rFonts w:hint="cs"/>
          <w:rtl/>
        </w:rPr>
        <w:t xml:space="preserve">ככלל </w:t>
      </w:r>
      <w:r w:rsidR="007F6F16">
        <w:rPr>
          <w:rFonts w:hint="cs"/>
          <w:rtl/>
        </w:rPr>
        <w:t>חיובי</w:t>
      </w:r>
      <w:r>
        <w:rPr>
          <w:rFonts w:hint="cs"/>
          <w:rtl/>
        </w:rPr>
        <w:t>ת</w:t>
      </w:r>
      <w:r w:rsidR="007F6F16">
        <w:rPr>
          <w:rFonts w:hint="cs"/>
          <w:rtl/>
        </w:rPr>
        <w:t xml:space="preserve">. </w:t>
      </w:r>
      <w:r w:rsidR="005D17A6">
        <w:rPr>
          <w:rFonts w:hint="cs"/>
          <w:rtl/>
        </w:rPr>
        <w:t>נקבע כי הגם ש</w:t>
      </w:r>
      <w:r w:rsidR="007F6F16">
        <w:rPr>
          <w:rFonts w:hint="cs"/>
          <w:rtl/>
        </w:rPr>
        <w:t>ניסה להפחית מאחריותו לאירוע, תיאר את העובדות כ</w:t>
      </w:r>
      <w:r w:rsidR="001D0B6D">
        <w:rPr>
          <w:rFonts w:hint="cs"/>
          <w:rtl/>
        </w:rPr>
        <w:t>הווי</w:t>
      </w:r>
      <w:r w:rsidR="0098622E">
        <w:rPr>
          <w:rFonts w:hint="cs"/>
          <w:rtl/>
        </w:rPr>
        <w:t>י</w:t>
      </w:r>
      <w:r w:rsidR="001D0B6D">
        <w:rPr>
          <w:rFonts w:hint="cs"/>
          <w:rtl/>
        </w:rPr>
        <w:t>תן</w:t>
      </w:r>
      <w:r w:rsidR="005D17A6">
        <w:rPr>
          <w:rFonts w:hint="cs"/>
          <w:rtl/>
        </w:rPr>
        <w:t xml:space="preserve">, ולפיכך </w:t>
      </w:r>
      <w:r w:rsidR="007F6F16">
        <w:rPr>
          <w:rFonts w:hint="cs"/>
          <w:rtl/>
        </w:rPr>
        <w:t xml:space="preserve">בית הדין </w:t>
      </w:r>
      <w:r w:rsidR="00230EDC">
        <w:rPr>
          <w:rFonts w:hint="cs"/>
          <w:rtl/>
        </w:rPr>
        <w:t xml:space="preserve">מצא כי ניתן לסמוך על </w:t>
      </w:r>
      <w:r w:rsidR="007F6F16">
        <w:rPr>
          <w:rFonts w:hint="cs"/>
          <w:rtl/>
        </w:rPr>
        <w:t>עדותו.</w:t>
      </w:r>
    </w:p>
    <w:p w14:paraId="39E9789B" w14:textId="77777777" w:rsidR="00030837" w:rsidRDefault="006E3D41" w:rsidP="001D64B9">
      <w:pPr>
        <w:pStyle w:val="ListParagraph"/>
        <w:numPr>
          <w:ilvl w:val="1"/>
          <w:numId w:val="1"/>
        </w:numPr>
      </w:pPr>
      <w:r>
        <w:rPr>
          <w:rFonts w:hint="cs"/>
          <w:rtl/>
        </w:rPr>
        <w:t xml:space="preserve">בית הדין התרשם כי עדותו של </w:t>
      </w:r>
      <w:r w:rsidR="006B2DDB">
        <w:rPr>
          <w:rFonts w:hint="cs"/>
          <w:rtl/>
        </w:rPr>
        <w:t>סג"ם דניאל (מפקד המחלקה)</w:t>
      </w:r>
      <w:r>
        <w:rPr>
          <w:rFonts w:hint="cs"/>
          <w:rtl/>
        </w:rPr>
        <w:t xml:space="preserve"> הייתה כנה ונמסרה מתוך </w:t>
      </w:r>
      <w:r w:rsidR="00030837">
        <w:rPr>
          <w:rFonts w:hint="cs"/>
          <w:rtl/>
        </w:rPr>
        <w:t>אחריות, תחושת שליחות ו</w:t>
      </w:r>
      <w:r>
        <w:rPr>
          <w:rFonts w:hint="cs"/>
          <w:rtl/>
        </w:rPr>
        <w:t>רצון ל</w:t>
      </w:r>
      <w:r w:rsidR="00B61E7D">
        <w:rPr>
          <w:rFonts w:hint="cs"/>
          <w:rtl/>
        </w:rPr>
        <w:t>דייק</w:t>
      </w:r>
      <w:r>
        <w:rPr>
          <w:rFonts w:hint="cs"/>
          <w:rtl/>
        </w:rPr>
        <w:t xml:space="preserve">. </w:t>
      </w:r>
      <w:r w:rsidR="00B61E7D">
        <w:rPr>
          <w:rFonts w:hint="cs"/>
          <w:rtl/>
        </w:rPr>
        <w:t>בהתאם, נקבע כי יש ל</w:t>
      </w:r>
      <w:r w:rsidR="00030837">
        <w:rPr>
          <w:rFonts w:hint="cs"/>
          <w:rtl/>
        </w:rPr>
        <w:t>העניק לעדותו משקל משמעותי ואמון מלא.</w:t>
      </w:r>
    </w:p>
    <w:p w14:paraId="4CC49991" w14:textId="77777777" w:rsidR="00030837" w:rsidRDefault="00DC4D1E" w:rsidP="001D64B9">
      <w:pPr>
        <w:pStyle w:val="ListParagraph"/>
        <w:numPr>
          <w:ilvl w:val="1"/>
          <w:numId w:val="1"/>
        </w:numPr>
      </w:pPr>
      <w:r>
        <w:rPr>
          <w:rFonts w:hint="cs"/>
          <w:rtl/>
        </w:rPr>
        <w:t xml:space="preserve">גם </w:t>
      </w:r>
      <w:r w:rsidR="006B2DDB">
        <w:rPr>
          <w:rFonts w:hint="cs"/>
          <w:rtl/>
        </w:rPr>
        <w:t>סרן גילי, הקב"נית</w:t>
      </w:r>
      <w:r>
        <w:rPr>
          <w:rFonts w:hint="cs"/>
          <w:rtl/>
        </w:rPr>
        <w:t xml:space="preserve">, </w:t>
      </w:r>
      <w:r w:rsidR="00526D43">
        <w:rPr>
          <w:rFonts w:hint="cs"/>
          <w:rtl/>
        </w:rPr>
        <w:t xml:space="preserve">הותירה רושם חיובי </w:t>
      </w:r>
      <w:r>
        <w:rPr>
          <w:rFonts w:hint="cs"/>
          <w:rtl/>
        </w:rPr>
        <w:t xml:space="preserve">ונקבע כי </w:t>
      </w:r>
      <w:r w:rsidR="00526D43">
        <w:rPr>
          <w:rFonts w:hint="cs"/>
          <w:rtl/>
        </w:rPr>
        <w:t xml:space="preserve">הציגה מידע מהימן ומבוסס על הטיפול בנפגע. </w:t>
      </w:r>
      <w:r w:rsidR="00C83C44">
        <w:rPr>
          <w:rFonts w:hint="cs"/>
          <w:rtl/>
        </w:rPr>
        <w:t xml:space="preserve">למעשה, </w:t>
      </w:r>
      <w:r w:rsidR="00526D43">
        <w:rPr>
          <w:rFonts w:hint="cs"/>
          <w:rtl/>
        </w:rPr>
        <w:t>שני הצדדים ביקשו להעניק לעדותה משקל רב, ו</w:t>
      </w:r>
      <w:r w:rsidR="00C83C44">
        <w:rPr>
          <w:rFonts w:hint="cs"/>
          <w:rtl/>
        </w:rPr>
        <w:t xml:space="preserve">כך עשה </w:t>
      </w:r>
      <w:r w:rsidR="00526D43">
        <w:rPr>
          <w:rFonts w:hint="cs"/>
          <w:rtl/>
        </w:rPr>
        <w:t>בית הדין.</w:t>
      </w:r>
    </w:p>
    <w:p w14:paraId="2D441F8D" w14:textId="77777777" w:rsidR="00030837" w:rsidRDefault="00503411" w:rsidP="001D64B9">
      <w:pPr>
        <w:pStyle w:val="ListParagraph"/>
        <w:numPr>
          <w:ilvl w:val="1"/>
          <w:numId w:val="1"/>
        </w:numPr>
      </w:pPr>
      <w:r>
        <w:rPr>
          <w:rFonts w:hint="cs"/>
          <w:rtl/>
        </w:rPr>
        <w:t xml:space="preserve">נמצא גם כי </w:t>
      </w:r>
      <w:r w:rsidR="006B2DDB">
        <w:rPr>
          <w:rFonts w:hint="cs"/>
          <w:rtl/>
        </w:rPr>
        <w:t>סמל רומן, המפקד הנוסף ששימש משגיח על הנפגע</w:t>
      </w:r>
      <w:r w:rsidR="00526D43">
        <w:rPr>
          <w:rFonts w:hint="cs"/>
          <w:rtl/>
        </w:rPr>
        <w:t>, ו</w:t>
      </w:r>
      <w:r w:rsidR="006B2DDB">
        <w:rPr>
          <w:rFonts w:hint="cs"/>
          <w:rtl/>
        </w:rPr>
        <w:t>סגן אריאל, מפקדו של סמל רומן</w:t>
      </w:r>
      <w:r>
        <w:rPr>
          <w:rFonts w:hint="cs"/>
          <w:rtl/>
        </w:rPr>
        <w:t xml:space="preserve">, </w:t>
      </w:r>
      <w:r w:rsidR="00526D43">
        <w:rPr>
          <w:rFonts w:hint="cs"/>
          <w:rtl/>
        </w:rPr>
        <w:t>העידו באופן אמין ועקבי, ובית הדין התרשם לחיוב מעדויותיהם.</w:t>
      </w:r>
    </w:p>
    <w:p w14:paraId="297B2FD4" w14:textId="77777777" w:rsidR="00030837" w:rsidRDefault="00503411" w:rsidP="001D64B9">
      <w:pPr>
        <w:pStyle w:val="ListParagraph"/>
        <w:numPr>
          <w:ilvl w:val="1"/>
          <w:numId w:val="1"/>
        </w:numPr>
      </w:pPr>
      <w:r>
        <w:rPr>
          <w:rFonts w:hint="cs"/>
          <w:rtl/>
        </w:rPr>
        <w:t>אשר ל</w:t>
      </w:r>
      <w:r w:rsidR="00FC0F9B">
        <w:rPr>
          <w:rFonts w:hint="cs"/>
          <w:rtl/>
        </w:rPr>
        <w:t>עדותו של ה</w:t>
      </w:r>
      <w:r w:rsidR="006B2DDB">
        <w:rPr>
          <w:rFonts w:hint="cs"/>
          <w:rtl/>
        </w:rPr>
        <w:t xml:space="preserve">מערער </w:t>
      </w:r>
      <w:r w:rsidR="00FC0F9B">
        <w:rPr>
          <w:rFonts w:hint="cs"/>
          <w:rtl/>
        </w:rPr>
        <w:t>ב</w:t>
      </w:r>
      <w:r w:rsidR="006B2DDB">
        <w:rPr>
          <w:rFonts w:hint="cs"/>
          <w:rtl/>
        </w:rPr>
        <w:t>פרשת ההגנה</w:t>
      </w:r>
      <w:r>
        <w:rPr>
          <w:rFonts w:hint="cs"/>
          <w:rtl/>
        </w:rPr>
        <w:t xml:space="preserve">, </w:t>
      </w:r>
      <w:r w:rsidR="003475C5">
        <w:rPr>
          <w:rFonts w:hint="cs"/>
          <w:rtl/>
        </w:rPr>
        <w:t>הוטעם</w:t>
      </w:r>
      <w:r>
        <w:rPr>
          <w:rFonts w:hint="cs"/>
          <w:rtl/>
        </w:rPr>
        <w:t xml:space="preserve"> כי</w:t>
      </w:r>
      <w:r w:rsidR="00030837">
        <w:rPr>
          <w:rFonts w:hint="cs"/>
          <w:rtl/>
        </w:rPr>
        <w:t xml:space="preserve"> </w:t>
      </w:r>
      <w:r w:rsidR="009E77C2">
        <w:rPr>
          <w:rFonts w:hint="cs"/>
          <w:rtl/>
        </w:rPr>
        <w:t xml:space="preserve">ככלל, </w:t>
      </w:r>
      <w:r w:rsidR="00FC0F9B">
        <w:rPr>
          <w:rFonts w:hint="cs"/>
          <w:rtl/>
        </w:rPr>
        <w:t>ה</w:t>
      </w:r>
      <w:r w:rsidR="001E7DA4">
        <w:rPr>
          <w:rFonts w:hint="cs"/>
          <w:rtl/>
        </w:rPr>
        <w:t xml:space="preserve">רושם ממנה היה </w:t>
      </w:r>
      <w:r w:rsidR="00030837">
        <w:rPr>
          <w:rFonts w:hint="cs"/>
          <w:rtl/>
        </w:rPr>
        <w:t>חיובי</w:t>
      </w:r>
      <w:r w:rsidR="001E7DA4">
        <w:rPr>
          <w:rFonts w:hint="cs"/>
          <w:rtl/>
        </w:rPr>
        <w:t xml:space="preserve">. עם זאת, </w:t>
      </w:r>
      <w:r w:rsidR="000F5478">
        <w:rPr>
          <w:rFonts w:hint="cs"/>
          <w:rtl/>
        </w:rPr>
        <w:t xml:space="preserve">לא ניתן לה משקל מלא, שכן הותירה </w:t>
      </w:r>
      <w:r w:rsidR="00827EEE">
        <w:rPr>
          <w:rFonts w:hint="cs"/>
          <w:rtl/>
        </w:rPr>
        <w:t xml:space="preserve">רושם בעייתי </w:t>
      </w:r>
      <w:r w:rsidR="001E7DA4">
        <w:rPr>
          <w:rFonts w:hint="cs"/>
          <w:rtl/>
        </w:rPr>
        <w:t>ב</w:t>
      </w:r>
      <w:r w:rsidR="000A5D38">
        <w:rPr>
          <w:rFonts w:hint="cs"/>
          <w:rtl/>
        </w:rPr>
        <w:t xml:space="preserve">נוגע </w:t>
      </w:r>
      <w:r w:rsidR="001E7DA4">
        <w:rPr>
          <w:rFonts w:hint="cs"/>
          <w:rtl/>
        </w:rPr>
        <w:t>ל</w:t>
      </w:r>
      <w:r w:rsidR="00030837">
        <w:rPr>
          <w:rFonts w:hint="cs"/>
          <w:rtl/>
        </w:rPr>
        <w:t xml:space="preserve">פרטים מהותיים בליבת האירוע, </w:t>
      </w:r>
      <w:r w:rsidR="00EC149E">
        <w:rPr>
          <w:rFonts w:hint="cs"/>
          <w:rtl/>
        </w:rPr>
        <w:t>וב</w:t>
      </w:r>
      <w:r w:rsidR="000A5D38">
        <w:rPr>
          <w:rFonts w:hint="cs"/>
          <w:rtl/>
        </w:rPr>
        <w:t>הם, ב</w:t>
      </w:r>
      <w:r w:rsidR="00EC149E">
        <w:rPr>
          <w:rFonts w:hint="cs"/>
          <w:rtl/>
        </w:rPr>
        <w:t xml:space="preserve">עיקר, דבריו </w:t>
      </w:r>
      <w:r w:rsidR="000A5D38">
        <w:rPr>
          <w:rFonts w:hint="cs"/>
          <w:rtl/>
        </w:rPr>
        <w:t xml:space="preserve">על </w:t>
      </w:r>
      <w:r w:rsidR="00030837">
        <w:rPr>
          <w:rFonts w:hint="cs"/>
          <w:rtl/>
        </w:rPr>
        <w:t>שיחות</w:t>
      </w:r>
      <w:r w:rsidR="00EC149E">
        <w:rPr>
          <w:rFonts w:hint="cs"/>
          <w:rtl/>
        </w:rPr>
        <w:t xml:space="preserve">יו </w:t>
      </w:r>
      <w:r w:rsidR="00030837">
        <w:rPr>
          <w:rFonts w:hint="cs"/>
          <w:rtl/>
        </w:rPr>
        <w:t>עם סגן תומר ו</w:t>
      </w:r>
      <w:r w:rsidR="000A5D38">
        <w:rPr>
          <w:rFonts w:hint="cs"/>
          <w:rtl/>
        </w:rPr>
        <w:t xml:space="preserve">על </w:t>
      </w:r>
      <w:r w:rsidR="00030837">
        <w:rPr>
          <w:rFonts w:hint="cs"/>
          <w:rtl/>
        </w:rPr>
        <w:t>התייחסות</w:t>
      </w:r>
      <w:r w:rsidR="00B41349">
        <w:rPr>
          <w:rFonts w:hint="cs"/>
          <w:rtl/>
        </w:rPr>
        <w:t>ו</w:t>
      </w:r>
      <w:r w:rsidR="00030837">
        <w:rPr>
          <w:rFonts w:hint="cs"/>
          <w:rtl/>
        </w:rPr>
        <w:t xml:space="preserve"> לפקודה </w:t>
      </w:r>
      <w:r w:rsidR="00B41349">
        <w:rPr>
          <w:rFonts w:hint="cs"/>
          <w:rtl/>
        </w:rPr>
        <w:t xml:space="preserve">שנתן לו </w:t>
      </w:r>
      <w:r w:rsidR="00030837">
        <w:rPr>
          <w:rFonts w:hint="cs"/>
          <w:rtl/>
        </w:rPr>
        <w:t>סג"ם דניאל לקרוא לטור' לירן (כדי שישמש משגיח מחליף לסמל רומן</w:t>
      </w:r>
      <w:r w:rsidR="008A50C0">
        <w:rPr>
          <w:rFonts w:hint="cs"/>
          <w:rtl/>
        </w:rPr>
        <w:t>, לצידו</w:t>
      </w:r>
      <w:r w:rsidR="00030837">
        <w:rPr>
          <w:rFonts w:hint="cs"/>
          <w:rtl/>
        </w:rPr>
        <w:t>)</w:t>
      </w:r>
      <w:r w:rsidR="008A50C0">
        <w:rPr>
          <w:rFonts w:hint="cs"/>
          <w:rtl/>
        </w:rPr>
        <w:t>, כמבואר להלן</w:t>
      </w:r>
      <w:r w:rsidR="00030837">
        <w:rPr>
          <w:rFonts w:hint="cs"/>
          <w:rtl/>
        </w:rPr>
        <w:t>.</w:t>
      </w:r>
      <w:r w:rsidR="007C2CAB">
        <w:rPr>
          <w:rFonts w:hint="cs"/>
          <w:rtl/>
        </w:rPr>
        <w:t xml:space="preserve"> בואר כי "פרטים אלה </w:t>
      </w:r>
      <w:r w:rsidR="00CE1302">
        <w:rPr>
          <w:rFonts w:hint="cs"/>
          <w:rtl/>
        </w:rPr>
        <w:t>לא הופיעו בגרסתו הראשונית שנמסרה במצ"ח, אלא הוספו ... בגרסאות מאו</w:t>
      </w:r>
      <w:r w:rsidR="00767576">
        <w:rPr>
          <w:rFonts w:hint="cs"/>
          <w:rtl/>
        </w:rPr>
        <w:t xml:space="preserve">חרות בלבד ... הרושם [הוא] כי [המערער] התקשה </w:t>
      </w:r>
      <w:r w:rsidR="0021720A">
        <w:rPr>
          <w:rFonts w:hint="cs"/>
          <w:rtl/>
        </w:rPr>
        <w:t>לחשוף עניינים אלה בזמן אמת, בין היתר בשל החשש שמא יפלילו או</w:t>
      </w:r>
      <w:r w:rsidR="00C754A9">
        <w:rPr>
          <w:rFonts w:hint="cs"/>
          <w:rtl/>
        </w:rPr>
        <w:t>ת</w:t>
      </w:r>
      <w:r w:rsidR="0021720A">
        <w:rPr>
          <w:rFonts w:hint="cs"/>
          <w:rtl/>
        </w:rPr>
        <w:t>ו או יסבכו אותו</w:t>
      </w:r>
      <w:r w:rsidR="00266D9C">
        <w:rPr>
          <w:rFonts w:hint="cs"/>
          <w:rtl/>
        </w:rPr>
        <w:t xml:space="preserve"> </w:t>
      </w:r>
      <w:r w:rsidR="00C754A9">
        <w:rPr>
          <w:rFonts w:hint="cs"/>
          <w:rtl/>
        </w:rPr>
        <w:t>..." (פסקה 8 להכרעת הדין).</w:t>
      </w:r>
      <w:r w:rsidR="0021720A">
        <w:rPr>
          <w:rFonts w:hint="cs"/>
          <w:rtl/>
        </w:rPr>
        <w:t xml:space="preserve">  </w:t>
      </w:r>
    </w:p>
    <w:p w14:paraId="75E6960E" w14:textId="77777777" w:rsidR="004308F1" w:rsidRDefault="006B2DDB" w:rsidP="001D64B9">
      <w:pPr>
        <w:pStyle w:val="ListParagraph"/>
        <w:numPr>
          <w:ilvl w:val="0"/>
          <w:numId w:val="1"/>
        </w:numPr>
      </w:pPr>
      <w:r>
        <w:rPr>
          <w:rFonts w:hint="cs"/>
          <w:rtl/>
        </w:rPr>
        <w:t xml:space="preserve">כמו כן, הוגשו בהסכמה פרוטוקולים של עדויות שני מפקדים בכירים </w:t>
      </w:r>
      <w:r w:rsidR="00266D9C">
        <w:rPr>
          <w:rFonts w:hint="cs"/>
          <w:rtl/>
        </w:rPr>
        <w:t xml:space="preserve">שנמסרו </w:t>
      </w:r>
      <w:r>
        <w:rPr>
          <w:rFonts w:hint="cs"/>
          <w:rtl/>
        </w:rPr>
        <w:t>במשפט של סגן תומר: תא"ל שרון</w:t>
      </w:r>
      <w:r w:rsidR="00A036BB">
        <w:rPr>
          <w:rFonts w:hint="cs"/>
          <w:rtl/>
        </w:rPr>
        <w:t xml:space="preserve"> (כדרגתו היום)</w:t>
      </w:r>
      <w:r>
        <w:rPr>
          <w:rFonts w:hint="cs"/>
          <w:rtl/>
        </w:rPr>
        <w:t>, מפקד החטיבה בעת האירוע, ואל"ם בני</w:t>
      </w:r>
      <w:r w:rsidR="002B549F">
        <w:rPr>
          <w:rFonts w:hint="cs"/>
          <w:rtl/>
        </w:rPr>
        <w:t xml:space="preserve"> (כדרגתו היום)</w:t>
      </w:r>
      <w:r>
        <w:rPr>
          <w:rFonts w:hint="cs"/>
          <w:rtl/>
        </w:rPr>
        <w:t xml:space="preserve">, מפקד </w:t>
      </w:r>
      <w:proofErr w:type="spellStart"/>
      <w:r>
        <w:rPr>
          <w:rFonts w:hint="cs"/>
          <w:rtl/>
        </w:rPr>
        <w:t>הבא"ח</w:t>
      </w:r>
      <w:proofErr w:type="spellEnd"/>
      <w:r>
        <w:rPr>
          <w:rFonts w:hint="cs"/>
          <w:rtl/>
        </w:rPr>
        <w:t xml:space="preserve">. </w:t>
      </w:r>
      <w:r w:rsidR="000E2816">
        <w:rPr>
          <w:rFonts w:hint="cs"/>
          <w:rtl/>
        </w:rPr>
        <w:t xml:space="preserve">שניהם לא העידו על </w:t>
      </w:r>
      <w:r w:rsidR="002F6464">
        <w:rPr>
          <w:rFonts w:hint="cs"/>
          <w:rtl/>
        </w:rPr>
        <w:t xml:space="preserve">מהלך </w:t>
      </w:r>
      <w:r w:rsidR="000E2816">
        <w:rPr>
          <w:rFonts w:hint="cs"/>
          <w:rtl/>
        </w:rPr>
        <w:t xml:space="preserve">האירועים, אלא </w:t>
      </w:r>
      <w:r w:rsidR="001D0B52">
        <w:rPr>
          <w:rFonts w:hint="cs"/>
          <w:rtl/>
        </w:rPr>
        <w:t>פ</w:t>
      </w:r>
      <w:r w:rsidR="001C01DF">
        <w:rPr>
          <w:rFonts w:hint="cs"/>
          <w:rtl/>
        </w:rPr>
        <w:t>י</w:t>
      </w:r>
      <w:r w:rsidR="001D0B52">
        <w:rPr>
          <w:rFonts w:hint="cs"/>
          <w:rtl/>
        </w:rPr>
        <w:t xml:space="preserve">רטו על </w:t>
      </w:r>
      <w:r w:rsidR="000E2816">
        <w:rPr>
          <w:rFonts w:hint="cs"/>
          <w:rtl/>
        </w:rPr>
        <w:t>נקודת מבט</w:t>
      </w:r>
      <w:r w:rsidR="002F6464">
        <w:rPr>
          <w:rFonts w:hint="cs"/>
          <w:rtl/>
        </w:rPr>
        <w:t>ם</w:t>
      </w:r>
      <w:r w:rsidR="000E2816">
        <w:rPr>
          <w:rFonts w:hint="cs"/>
          <w:rtl/>
        </w:rPr>
        <w:t xml:space="preserve"> </w:t>
      </w:r>
      <w:r w:rsidR="002F6464">
        <w:rPr>
          <w:rFonts w:hint="cs"/>
          <w:rtl/>
        </w:rPr>
        <w:t>ה</w:t>
      </w:r>
      <w:r w:rsidR="000E2816">
        <w:rPr>
          <w:rFonts w:hint="cs"/>
          <w:rtl/>
        </w:rPr>
        <w:t xml:space="preserve">פיקודית </w:t>
      </w:r>
      <w:r w:rsidR="002F6464">
        <w:rPr>
          <w:rFonts w:hint="cs"/>
          <w:rtl/>
        </w:rPr>
        <w:t>ביחס להם</w:t>
      </w:r>
      <w:r w:rsidR="000E2816">
        <w:rPr>
          <w:rFonts w:hint="cs"/>
          <w:rtl/>
        </w:rPr>
        <w:t xml:space="preserve">. </w:t>
      </w:r>
      <w:r w:rsidR="004308F1">
        <w:rPr>
          <w:rFonts w:hint="cs"/>
          <w:rtl/>
        </w:rPr>
        <w:t>לבית הדין המחוזי הוגש</w:t>
      </w:r>
      <w:r w:rsidR="00182DBB">
        <w:rPr>
          <w:rFonts w:hint="cs"/>
          <w:rtl/>
        </w:rPr>
        <w:t>ו</w:t>
      </w:r>
      <w:r w:rsidR="004308F1">
        <w:rPr>
          <w:rFonts w:hint="cs"/>
          <w:rtl/>
        </w:rPr>
        <w:t xml:space="preserve"> </w:t>
      </w:r>
      <w:r w:rsidR="00565C8C">
        <w:rPr>
          <w:rFonts w:hint="cs"/>
          <w:rtl/>
        </w:rPr>
        <w:t xml:space="preserve">בהסכמה </w:t>
      </w:r>
      <w:r w:rsidR="00182DBB">
        <w:rPr>
          <w:rFonts w:hint="cs"/>
          <w:rtl/>
        </w:rPr>
        <w:t>גם</w:t>
      </w:r>
      <w:r w:rsidR="004308F1">
        <w:rPr>
          <w:rFonts w:hint="cs"/>
          <w:rtl/>
        </w:rPr>
        <w:t xml:space="preserve"> </w:t>
      </w:r>
      <w:r>
        <w:rPr>
          <w:rFonts w:hint="cs"/>
          <w:rtl/>
        </w:rPr>
        <w:t>מסמכים נוספים.</w:t>
      </w:r>
      <w:r w:rsidR="000E2816">
        <w:rPr>
          <w:rFonts w:hint="cs"/>
          <w:rtl/>
        </w:rPr>
        <w:t xml:space="preserve"> בין השאר, הוגשה אמרתו של הנפגע במצ"ח כחודשיים לאחר האירוע. בית הדין </w:t>
      </w:r>
      <w:r w:rsidR="004B2EF4">
        <w:rPr>
          <w:rFonts w:hint="cs"/>
          <w:rtl/>
        </w:rPr>
        <w:t xml:space="preserve">נקט </w:t>
      </w:r>
      <w:r w:rsidR="000E2816">
        <w:rPr>
          <w:rFonts w:hint="cs"/>
          <w:rtl/>
        </w:rPr>
        <w:t xml:space="preserve">משנה זהירות </w:t>
      </w:r>
      <w:r w:rsidR="004B2EF4">
        <w:rPr>
          <w:rFonts w:hint="cs"/>
          <w:rtl/>
        </w:rPr>
        <w:lastRenderedPageBreak/>
        <w:t>ב</w:t>
      </w:r>
      <w:r w:rsidR="000E2816">
        <w:rPr>
          <w:rFonts w:hint="cs"/>
          <w:rtl/>
        </w:rPr>
        <w:t xml:space="preserve">קביעת עובדות </w:t>
      </w:r>
      <w:r w:rsidR="004B2EF4">
        <w:rPr>
          <w:rFonts w:hint="cs"/>
          <w:rtl/>
        </w:rPr>
        <w:t>על בסיס האמרה</w:t>
      </w:r>
      <w:r w:rsidR="00390658">
        <w:rPr>
          <w:rFonts w:hint="cs"/>
          <w:rtl/>
        </w:rPr>
        <w:t xml:space="preserve"> וה</w:t>
      </w:r>
      <w:r w:rsidR="00266D9C">
        <w:rPr>
          <w:rFonts w:hint="cs"/>
          <w:rtl/>
        </w:rPr>
        <w:t xml:space="preserve">פנה </w:t>
      </w:r>
      <w:r w:rsidR="00390658">
        <w:rPr>
          <w:rFonts w:hint="cs"/>
          <w:rtl/>
        </w:rPr>
        <w:t>ל</w:t>
      </w:r>
      <w:r w:rsidR="000E2816">
        <w:rPr>
          <w:rFonts w:hint="cs"/>
          <w:rtl/>
        </w:rPr>
        <w:t>עובדות שהנפגע זכר</w:t>
      </w:r>
      <w:r w:rsidR="00390658">
        <w:rPr>
          <w:rFonts w:hint="cs"/>
          <w:rtl/>
        </w:rPr>
        <w:t xml:space="preserve">, שהן בעלות </w:t>
      </w:r>
      <w:r w:rsidR="000E2816">
        <w:rPr>
          <w:rFonts w:hint="cs"/>
          <w:rtl/>
        </w:rPr>
        <w:t>חשיבות להכרעה</w:t>
      </w:r>
      <w:r w:rsidR="00266D9C">
        <w:rPr>
          <w:rFonts w:hint="cs"/>
          <w:rtl/>
        </w:rPr>
        <w:t xml:space="preserve">, </w:t>
      </w:r>
      <w:r w:rsidR="00266D9C" w:rsidRPr="00266D9C">
        <w:rPr>
          <w:rtl/>
        </w:rPr>
        <w:t xml:space="preserve">כל עוד </w:t>
      </w:r>
      <w:r w:rsidR="00266D9C">
        <w:rPr>
          <w:rFonts w:hint="cs"/>
          <w:rtl/>
        </w:rPr>
        <w:t xml:space="preserve">התיישבו </w:t>
      </w:r>
      <w:r w:rsidR="00266D9C" w:rsidRPr="00266D9C">
        <w:rPr>
          <w:rtl/>
        </w:rPr>
        <w:t>עם יתר הראיות והעדויות שהובאו לפני</w:t>
      </w:r>
      <w:r w:rsidR="00266D9C">
        <w:rPr>
          <w:rFonts w:hint="cs"/>
          <w:rtl/>
        </w:rPr>
        <w:t xml:space="preserve"> בית הדין</w:t>
      </w:r>
      <w:r w:rsidR="00266D9C" w:rsidRPr="00266D9C">
        <w:t>.</w:t>
      </w:r>
    </w:p>
    <w:p w14:paraId="2A178036" w14:textId="77777777" w:rsidR="006B2DDB" w:rsidRDefault="006B2DDB" w:rsidP="006B2DDB">
      <w:pPr>
        <w:pStyle w:val="Heading3"/>
      </w:pPr>
      <w:r>
        <w:rPr>
          <w:rFonts w:hint="cs"/>
          <w:rtl/>
        </w:rPr>
        <w:t>העובדות</w:t>
      </w:r>
    </w:p>
    <w:p w14:paraId="629E6B76" w14:textId="77777777" w:rsidR="00F637ED" w:rsidRDefault="00C17033" w:rsidP="00AD27B6">
      <w:pPr>
        <w:pStyle w:val="ListParagraph"/>
        <w:numPr>
          <w:ilvl w:val="0"/>
          <w:numId w:val="1"/>
        </w:numPr>
        <w:spacing w:after="240"/>
      </w:pPr>
      <w:r>
        <w:rPr>
          <w:rFonts w:hint="cs"/>
          <w:rtl/>
        </w:rPr>
        <w:t xml:space="preserve">על בסיס ממצאי המהימנות כאמור, </w:t>
      </w:r>
      <w:r w:rsidR="00F637ED">
        <w:rPr>
          <w:rFonts w:hint="cs"/>
          <w:rtl/>
        </w:rPr>
        <w:t xml:space="preserve">נקבעו העובדות הבאות: </w:t>
      </w:r>
    </w:p>
    <w:p w14:paraId="728D7185" w14:textId="77777777" w:rsidR="00272513" w:rsidRDefault="00D07D76" w:rsidP="001D64B9">
      <w:pPr>
        <w:pStyle w:val="ListParagraph"/>
        <w:numPr>
          <w:ilvl w:val="1"/>
          <w:numId w:val="1"/>
        </w:numPr>
      </w:pPr>
      <w:r>
        <w:rPr>
          <w:rFonts w:hint="cs"/>
          <w:rtl/>
        </w:rPr>
        <w:t>הנפגע</w:t>
      </w:r>
      <w:r w:rsidR="00C82E4A">
        <w:rPr>
          <w:rFonts w:hint="cs"/>
          <w:rtl/>
        </w:rPr>
        <w:t xml:space="preserve"> </w:t>
      </w:r>
      <w:r w:rsidR="00272513">
        <w:rPr>
          <w:rFonts w:hint="cs"/>
          <w:rtl/>
        </w:rPr>
        <w:t xml:space="preserve">עלה לישראל בהיותו בן שלוש. </w:t>
      </w:r>
      <w:r w:rsidR="00986CE7">
        <w:rPr>
          <w:rFonts w:hint="cs"/>
          <w:rtl/>
        </w:rPr>
        <w:t xml:space="preserve">הוא </w:t>
      </w:r>
      <w:r w:rsidR="00272513">
        <w:rPr>
          <w:rFonts w:hint="cs"/>
          <w:rtl/>
        </w:rPr>
        <w:t>אובחן ב</w:t>
      </w:r>
      <w:r w:rsidR="00986CE7">
        <w:rPr>
          <w:rFonts w:hint="cs"/>
          <w:rtl/>
        </w:rPr>
        <w:t>עבר כמי ש</w:t>
      </w:r>
      <w:r w:rsidR="00272513">
        <w:rPr>
          <w:rFonts w:hint="cs"/>
          <w:rtl/>
        </w:rPr>
        <w:t>מתמודד עם מאניה-</w:t>
      </w:r>
      <w:r w:rsidR="00A530A2">
        <w:rPr>
          <w:rFonts w:hint="cs"/>
          <w:rtl/>
        </w:rPr>
        <w:t>דפרסיה</w:t>
      </w:r>
      <w:r w:rsidR="00272513">
        <w:rPr>
          <w:rFonts w:hint="cs"/>
          <w:rtl/>
        </w:rPr>
        <w:t>, א</w:t>
      </w:r>
      <w:r w:rsidR="00986CE7">
        <w:rPr>
          <w:rFonts w:hint="cs"/>
          <w:rtl/>
        </w:rPr>
        <w:t xml:space="preserve">ך </w:t>
      </w:r>
      <w:r w:rsidR="00A530A2">
        <w:rPr>
          <w:rFonts w:hint="cs"/>
          <w:rtl/>
        </w:rPr>
        <w:t xml:space="preserve">נתון זה לא הובא לידיעת </w:t>
      </w:r>
      <w:r w:rsidR="00272513">
        <w:rPr>
          <w:rFonts w:hint="cs"/>
          <w:rtl/>
        </w:rPr>
        <w:t>מפקדיו</w:t>
      </w:r>
      <w:r w:rsidR="00322B5B">
        <w:rPr>
          <w:rFonts w:hint="cs"/>
          <w:rtl/>
        </w:rPr>
        <w:t xml:space="preserve">, אלא בסמוך לאירוע. </w:t>
      </w:r>
      <w:r w:rsidR="00272513">
        <w:rPr>
          <w:rFonts w:hint="cs"/>
          <w:rtl/>
        </w:rPr>
        <w:t>הנפגע</w:t>
      </w:r>
      <w:r w:rsidR="00AD27B6">
        <w:rPr>
          <w:rFonts w:hint="cs"/>
          <w:rtl/>
        </w:rPr>
        <w:t xml:space="preserve"> היה חייל בודד</w:t>
      </w:r>
      <w:r w:rsidR="00692515">
        <w:rPr>
          <w:rFonts w:hint="cs"/>
          <w:rtl/>
        </w:rPr>
        <w:t xml:space="preserve"> וב</w:t>
      </w:r>
      <w:r w:rsidR="00FA6099">
        <w:rPr>
          <w:rFonts w:hint="cs"/>
          <w:rtl/>
        </w:rPr>
        <w:t xml:space="preserve">חודש </w:t>
      </w:r>
      <w:r w:rsidR="00692515">
        <w:rPr>
          <w:rFonts w:hint="cs"/>
          <w:rtl/>
        </w:rPr>
        <w:t xml:space="preserve">אוגוסט 2022 </w:t>
      </w:r>
      <w:r w:rsidR="00700D12">
        <w:rPr>
          <w:rFonts w:hint="cs"/>
          <w:rtl/>
        </w:rPr>
        <w:t xml:space="preserve">החל </w:t>
      </w:r>
      <w:r w:rsidR="00272513">
        <w:rPr>
          <w:rFonts w:hint="cs"/>
          <w:rtl/>
        </w:rPr>
        <w:t>טירונות בב</w:t>
      </w:r>
      <w:r w:rsidR="00C04A82">
        <w:rPr>
          <w:rFonts w:hint="cs"/>
          <w:rtl/>
        </w:rPr>
        <w:t xml:space="preserve">סיס האימונים של חטיבת </w:t>
      </w:r>
      <w:r w:rsidR="00272513">
        <w:rPr>
          <w:rFonts w:hint="cs"/>
          <w:rtl/>
        </w:rPr>
        <w:t>כפיר</w:t>
      </w:r>
      <w:r w:rsidR="006660EE">
        <w:rPr>
          <w:rFonts w:hint="cs"/>
          <w:rtl/>
        </w:rPr>
        <w:t xml:space="preserve"> במסגרת הכשרתו כלוחם</w:t>
      </w:r>
      <w:r w:rsidR="00272513">
        <w:rPr>
          <w:rFonts w:hint="cs"/>
          <w:rtl/>
        </w:rPr>
        <w:t xml:space="preserve">. </w:t>
      </w:r>
      <w:r w:rsidR="00C04A82">
        <w:rPr>
          <w:rFonts w:hint="cs"/>
          <w:rtl/>
        </w:rPr>
        <w:t>המערער היה מפקד</w:t>
      </w:r>
      <w:r w:rsidR="00E76E6B">
        <w:rPr>
          <w:rFonts w:hint="cs"/>
          <w:rtl/>
        </w:rPr>
        <w:t xml:space="preserve"> הכיתה ש</w:t>
      </w:r>
      <w:r w:rsidR="00C04A82">
        <w:rPr>
          <w:rFonts w:hint="cs"/>
          <w:rtl/>
        </w:rPr>
        <w:t xml:space="preserve">ל הנפגע </w:t>
      </w:r>
      <w:r w:rsidR="00AD27B6">
        <w:rPr>
          <w:rFonts w:hint="cs"/>
          <w:rtl/>
        </w:rPr>
        <w:t>בטירונות וב</w:t>
      </w:r>
      <w:r w:rsidR="00322B5B">
        <w:rPr>
          <w:rFonts w:hint="cs"/>
          <w:rtl/>
        </w:rPr>
        <w:t xml:space="preserve">פרק </w:t>
      </w:r>
      <w:r w:rsidR="00E76E6B">
        <w:rPr>
          <w:rFonts w:hint="cs"/>
          <w:rtl/>
        </w:rPr>
        <w:t>ה</w:t>
      </w:r>
      <w:r w:rsidR="00AD27B6">
        <w:rPr>
          <w:rFonts w:hint="cs"/>
          <w:rtl/>
        </w:rPr>
        <w:t>אימון המתקדם</w:t>
      </w:r>
      <w:r w:rsidR="00272513">
        <w:rPr>
          <w:rFonts w:hint="cs"/>
          <w:rtl/>
        </w:rPr>
        <w:t xml:space="preserve">, וסג"ם דניאל </w:t>
      </w:r>
      <w:r w:rsidR="00E76E6B">
        <w:rPr>
          <w:rFonts w:hint="cs"/>
          <w:rtl/>
        </w:rPr>
        <w:t xml:space="preserve">היה </w:t>
      </w:r>
      <w:r w:rsidR="00272513">
        <w:rPr>
          <w:rFonts w:hint="cs"/>
          <w:rtl/>
        </w:rPr>
        <w:t>מפקד המחלקה.</w:t>
      </w:r>
      <w:r w:rsidR="00AD27B6">
        <w:rPr>
          <w:rFonts w:hint="cs"/>
          <w:rtl/>
        </w:rPr>
        <w:t xml:space="preserve"> בשלב מסוים הבחין המערער בשינוי במצב</w:t>
      </w:r>
      <w:r w:rsidR="002D1EE6">
        <w:rPr>
          <w:rFonts w:hint="cs"/>
          <w:rtl/>
        </w:rPr>
        <w:t>ו</w:t>
      </w:r>
      <w:r w:rsidR="00AD27B6">
        <w:rPr>
          <w:rFonts w:hint="cs"/>
          <w:rtl/>
        </w:rPr>
        <w:t xml:space="preserve"> הנפשי של ה</w:t>
      </w:r>
      <w:r w:rsidR="002D1EE6">
        <w:rPr>
          <w:rFonts w:hint="cs"/>
          <w:rtl/>
        </w:rPr>
        <w:t>נפגע ו</w:t>
      </w:r>
      <w:r w:rsidR="00AD27B6">
        <w:rPr>
          <w:rFonts w:hint="cs"/>
          <w:rtl/>
        </w:rPr>
        <w:t>בימים שקדמו לאירוע היה ער למצוקה נפשית חריגה של</w:t>
      </w:r>
      <w:r w:rsidR="00065939">
        <w:rPr>
          <w:rFonts w:hint="cs"/>
          <w:rtl/>
        </w:rPr>
        <w:t>ו. אז גם דיווח לו ה</w:t>
      </w:r>
      <w:r w:rsidR="003F694B">
        <w:rPr>
          <w:rFonts w:hint="cs"/>
          <w:rtl/>
        </w:rPr>
        <w:t xml:space="preserve">נפגע </w:t>
      </w:r>
      <w:r w:rsidR="00AD27B6">
        <w:rPr>
          <w:rFonts w:hint="cs"/>
          <w:rtl/>
        </w:rPr>
        <w:t>על התמודדותו עם מאניה-דפרסיה</w:t>
      </w:r>
      <w:r w:rsidR="00065939">
        <w:rPr>
          <w:rFonts w:hint="cs"/>
          <w:rtl/>
        </w:rPr>
        <w:t xml:space="preserve">. המערער </w:t>
      </w:r>
      <w:r w:rsidR="00AD27B6">
        <w:rPr>
          <w:rFonts w:hint="cs"/>
          <w:rtl/>
        </w:rPr>
        <w:t xml:space="preserve">עדכן </w:t>
      </w:r>
      <w:r w:rsidR="00EE66EE">
        <w:rPr>
          <w:rFonts w:hint="cs"/>
          <w:rtl/>
        </w:rPr>
        <w:t xml:space="preserve">במידע זה </w:t>
      </w:r>
      <w:r w:rsidR="00AD27B6">
        <w:rPr>
          <w:rFonts w:hint="cs"/>
          <w:rtl/>
        </w:rPr>
        <w:t>את מפקדיו</w:t>
      </w:r>
      <w:r w:rsidR="00794C91">
        <w:rPr>
          <w:rFonts w:hint="cs"/>
          <w:rtl/>
        </w:rPr>
        <w:t xml:space="preserve">. לצד האמור, נקבע כי בשלב זה, </w:t>
      </w:r>
      <w:r w:rsidR="00EF1F6A">
        <w:rPr>
          <w:rFonts w:hint="cs"/>
          <w:rtl/>
        </w:rPr>
        <w:t>"</w:t>
      </w:r>
      <w:r w:rsidR="00733603">
        <w:rPr>
          <w:rFonts w:hint="cs"/>
          <w:rtl/>
        </w:rPr>
        <w:t xml:space="preserve">טרם התעוררה בו תחושת סכנה קונקרטית" </w:t>
      </w:r>
      <w:r w:rsidR="00CD7449">
        <w:rPr>
          <w:rFonts w:hint="cs"/>
          <w:rtl/>
        </w:rPr>
        <w:t xml:space="preserve">מפני </w:t>
      </w:r>
      <w:r w:rsidR="00733603">
        <w:rPr>
          <w:rFonts w:hint="cs"/>
          <w:rtl/>
        </w:rPr>
        <w:t>מהלך אובדני של הנפגע</w:t>
      </w:r>
      <w:r w:rsidR="005C6554">
        <w:rPr>
          <w:rFonts w:hint="cs"/>
          <w:rtl/>
        </w:rPr>
        <w:t xml:space="preserve"> (פסקה 32 להכרעת הדין)</w:t>
      </w:r>
      <w:r w:rsidR="00733603">
        <w:rPr>
          <w:rFonts w:hint="cs"/>
          <w:rtl/>
        </w:rPr>
        <w:t xml:space="preserve">. </w:t>
      </w:r>
    </w:p>
    <w:p w14:paraId="3748EB7C" w14:textId="77777777" w:rsidR="00CA4910" w:rsidRDefault="00FA6099" w:rsidP="001D64B9">
      <w:pPr>
        <w:pStyle w:val="ListParagraph"/>
        <w:numPr>
          <w:ilvl w:val="1"/>
          <w:numId w:val="1"/>
        </w:numPr>
      </w:pPr>
      <w:r>
        <w:rPr>
          <w:rFonts w:hint="cs"/>
          <w:rtl/>
        </w:rPr>
        <w:t xml:space="preserve">בימים </w:t>
      </w:r>
      <w:r w:rsidR="00AD27B6">
        <w:rPr>
          <w:rFonts w:hint="cs"/>
          <w:rtl/>
        </w:rPr>
        <w:t xml:space="preserve">6–7 בינואר 2023 </w:t>
      </w:r>
      <w:r w:rsidR="00D866BC">
        <w:rPr>
          <w:rFonts w:hint="cs"/>
          <w:rtl/>
        </w:rPr>
        <w:t xml:space="preserve">(סוף שבוע) </w:t>
      </w:r>
      <w:r w:rsidR="00AD27B6">
        <w:rPr>
          <w:rFonts w:hint="cs"/>
          <w:rtl/>
        </w:rPr>
        <w:t xml:space="preserve">שהה הנפגע בביתו. </w:t>
      </w:r>
      <w:r w:rsidR="00D866BC">
        <w:rPr>
          <w:rFonts w:hint="cs"/>
          <w:rtl/>
        </w:rPr>
        <w:t xml:space="preserve">גם </w:t>
      </w:r>
      <w:r w:rsidR="00AD27B6">
        <w:rPr>
          <w:rFonts w:hint="cs"/>
          <w:rtl/>
        </w:rPr>
        <w:t xml:space="preserve">ב-8 בינואר </w:t>
      </w:r>
      <w:r w:rsidR="00D866BC">
        <w:rPr>
          <w:rFonts w:hint="cs"/>
          <w:rtl/>
        </w:rPr>
        <w:t xml:space="preserve">תוכנן להיות </w:t>
      </w:r>
      <w:r w:rsidR="00AD27B6">
        <w:rPr>
          <w:rFonts w:hint="cs"/>
          <w:rtl/>
        </w:rPr>
        <w:t>ב</w:t>
      </w:r>
      <w:r w:rsidR="00D866BC">
        <w:rPr>
          <w:rFonts w:hint="cs"/>
          <w:rtl/>
        </w:rPr>
        <w:t>"</w:t>
      </w:r>
      <w:r w:rsidR="00AD27B6">
        <w:rPr>
          <w:rFonts w:hint="cs"/>
          <w:rtl/>
        </w:rPr>
        <w:t>יום סידורים</w:t>
      </w:r>
      <w:r w:rsidR="00D866BC">
        <w:rPr>
          <w:rFonts w:hint="cs"/>
          <w:rtl/>
        </w:rPr>
        <w:t>"</w:t>
      </w:r>
      <w:r w:rsidR="00AD27B6">
        <w:rPr>
          <w:rFonts w:hint="cs"/>
          <w:rtl/>
        </w:rPr>
        <w:t xml:space="preserve"> ולכן לא היה אמור לשוב לבסיס. ב</w:t>
      </w:r>
      <w:r w:rsidR="0010359C">
        <w:rPr>
          <w:rFonts w:hint="cs"/>
          <w:rtl/>
        </w:rPr>
        <w:t xml:space="preserve">שעה </w:t>
      </w:r>
      <w:r w:rsidR="00AD27B6">
        <w:rPr>
          <w:rFonts w:hint="cs"/>
          <w:rtl/>
        </w:rPr>
        <w:t xml:space="preserve">4:00 </w:t>
      </w:r>
      <w:r w:rsidR="0010359C">
        <w:rPr>
          <w:rFonts w:hint="cs"/>
          <w:rtl/>
        </w:rPr>
        <w:t xml:space="preserve">לפנות בוקר </w:t>
      </w:r>
      <w:r w:rsidR="00AD27B6">
        <w:rPr>
          <w:rFonts w:hint="cs"/>
          <w:rtl/>
        </w:rPr>
        <w:t>הודיע הנפגע למערער</w:t>
      </w:r>
      <w:r w:rsidR="00532D5F">
        <w:rPr>
          <w:rFonts w:hint="cs"/>
          <w:rtl/>
        </w:rPr>
        <w:t xml:space="preserve"> במסרון כי אינו חש בטוב. המערער ניסה ליצור </w:t>
      </w:r>
      <w:proofErr w:type="spellStart"/>
      <w:r w:rsidR="00532D5F">
        <w:rPr>
          <w:rFonts w:hint="cs"/>
          <w:rtl/>
        </w:rPr>
        <w:t>איתו</w:t>
      </w:r>
      <w:proofErr w:type="spellEnd"/>
      <w:r w:rsidR="00532D5F">
        <w:rPr>
          <w:rFonts w:hint="cs"/>
          <w:rtl/>
        </w:rPr>
        <w:t xml:space="preserve"> קשר </w:t>
      </w:r>
      <w:r w:rsidR="002679CD">
        <w:rPr>
          <w:rFonts w:hint="cs"/>
          <w:rtl/>
        </w:rPr>
        <w:t>מספר</w:t>
      </w:r>
      <w:r w:rsidR="00532D5F">
        <w:rPr>
          <w:rFonts w:hint="cs"/>
          <w:rtl/>
        </w:rPr>
        <w:t xml:space="preserve"> פעמים ללא הצלחה. ב</w:t>
      </w:r>
      <w:r w:rsidR="00607B35">
        <w:rPr>
          <w:rFonts w:hint="cs"/>
          <w:rtl/>
        </w:rPr>
        <w:t xml:space="preserve">שעה </w:t>
      </w:r>
      <w:r w:rsidR="00532D5F">
        <w:rPr>
          <w:rFonts w:hint="cs"/>
          <w:rtl/>
        </w:rPr>
        <w:t>18:50 חודש הקשר והנפגע ביקש להישאר בביתו במשך כמה ימים</w:t>
      </w:r>
      <w:r w:rsidR="001C01DF">
        <w:rPr>
          <w:rFonts w:hint="cs"/>
          <w:rtl/>
        </w:rPr>
        <w:t>,</w:t>
      </w:r>
      <w:r w:rsidR="00893D63">
        <w:rPr>
          <w:rFonts w:hint="cs"/>
          <w:rtl/>
        </w:rPr>
        <w:t xml:space="preserve"> ולאחר מכן מפקדיו </w:t>
      </w:r>
      <w:r w:rsidR="00532D5F">
        <w:rPr>
          <w:rFonts w:hint="cs"/>
          <w:rtl/>
        </w:rPr>
        <w:t>לא הצליחו ל</w:t>
      </w:r>
      <w:r w:rsidR="00893D63">
        <w:rPr>
          <w:rFonts w:hint="cs"/>
          <w:rtl/>
        </w:rPr>
        <w:t>יצור ע</w:t>
      </w:r>
      <w:r w:rsidR="001C01DF">
        <w:rPr>
          <w:rFonts w:hint="cs"/>
          <w:rtl/>
        </w:rPr>
        <w:t>י</w:t>
      </w:r>
      <w:r w:rsidR="00893D63">
        <w:rPr>
          <w:rFonts w:hint="cs"/>
          <w:rtl/>
        </w:rPr>
        <w:t>מו קשר</w:t>
      </w:r>
      <w:r w:rsidR="00532D5F">
        <w:rPr>
          <w:rFonts w:hint="cs"/>
          <w:rtl/>
        </w:rPr>
        <w:t xml:space="preserve">. בעקבות זאת ובעקבות </w:t>
      </w:r>
      <w:r w:rsidR="00893D63">
        <w:rPr>
          <w:rFonts w:hint="cs"/>
          <w:rtl/>
        </w:rPr>
        <w:t>ה</w:t>
      </w:r>
      <w:r w:rsidR="00532D5F">
        <w:rPr>
          <w:rFonts w:hint="cs"/>
          <w:rtl/>
        </w:rPr>
        <w:t>מידע שהמערער מסר על מצב</w:t>
      </w:r>
      <w:r w:rsidR="00893D63">
        <w:rPr>
          <w:rFonts w:hint="cs"/>
          <w:rtl/>
        </w:rPr>
        <w:t>ו</w:t>
      </w:r>
      <w:r w:rsidR="00532D5F">
        <w:rPr>
          <w:rFonts w:hint="cs"/>
          <w:rtl/>
        </w:rPr>
        <w:t xml:space="preserve"> הנפשי של הנפגע, </w:t>
      </w:r>
      <w:r w:rsidR="00735A29">
        <w:rPr>
          <w:rFonts w:hint="cs"/>
          <w:rtl/>
        </w:rPr>
        <w:t xml:space="preserve">פנה </w:t>
      </w:r>
      <w:r w:rsidR="00532D5F">
        <w:rPr>
          <w:rFonts w:hint="cs"/>
          <w:rtl/>
        </w:rPr>
        <w:t xml:space="preserve">סג"ם דניאל </w:t>
      </w:r>
      <w:r w:rsidR="00735A29">
        <w:rPr>
          <w:rFonts w:hint="cs"/>
          <w:rtl/>
        </w:rPr>
        <w:t>ל</w:t>
      </w:r>
      <w:r w:rsidR="00532D5F">
        <w:rPr>
          <w:rFonts w:hint="cs"/>
          <w:rtl/>
        </w:rPr>
        <w:t>סרן גילי, הקב"נית</w:t>
      </w:r>
      <w:r w:rsidR="00CD7449">
        <w:rPr>
          <w:rFonts w:hint="cs"/>
          <w:rtl/>
        </w:rPr>
        <w:t>,</w:t>
      </w:r>
      <w:r w:rsidR="00735A29">
        <w:rPr>
          <w:rFonts w:hint="cs"/>
          <w:rtl/>
        </w:rPr>
        <w:t xml:space="preserve"> ו</w:t>
      </w:r>
      <w:r w:rsidR="00532D5F">
        <w:rPr>
          <w:rFonts w:hint="cs"/>
          <w:rtl/>
        </w:rPr>
        <w:t>היא הורתה להביא את הנפגע לבדיקה אצלה או לאבחון ב</w:t>
      </w:r>
      <w:r w:rsidR="00735A29">
        <w:rPr>
          <w:rFonts w:hint="cs"/>
          <w:rtl/>
        </w:rPr>
        <w:t xml:space="preserve">מחלקת </w:t>
      </w:r>
      <w:r w:rsidR="00532D5F">
        <w:rPr>
          <w:rFonts w:hint="cs"/>
          <w:rtl/>
        </w:rPr>
        <w:t>מיון בבית חולים.</w:t>
      </w:r>
    </w:p>
    <w:p w14:paraId="037ECABE" w14:textId="77777777" w:rsidR="00AD27B6" w:rsidRDefault="00CA4910" w:rsidP="001D64B9">
      <w:pPr>
        <w:pStyle w:val="ListParagraph"/>
        <w:numPr>
          <w:ilvl w:val="1"/>
          <w:numId w:val="1"/>
        </w:numPr>
      </w:pPr>
      <w:r>
        <w:rPr>
          <w:rFonts w:hint="cs"/>
          <w:rtl/>
        </w:rPr>
        <w:t xml:space="preserve">למחרת, </w:t>
      </w:r>
      <w:r w:rsidR="00E20A90">
        <w:rPr>
          <w:rFonts w:hint="cs"/>
          <w:rtl/>
        </w:rPr>
        <w:t xml:space="preserve">ביום </w:t>
      </w:r>
      <w:r>
        <w:rPr>
          <w:rFonts w:hint="cs"/>
          <w:rtl/>
        </w:rPr>
        <w:t xml:space="preserve">9 בינואר, </w:t>
      </w:r>
      <w:r w:rsidR="00532D5F">
        <w:rPr>
          <w:rFonts w:hint="cs"/>
          <w:rtl/>
        </w:rPr>
        <w:t xml:space="preserve">לאחר </w:t>
      </w:r>
      <w:r>
        <w:rPr>
          <w:rFonts w:hint="cs"/>
          <w:rtl/>
        </w:rPr>
        <w:t>שיחות שונות של המפקדים בבסיס, הורה המ"פ</w:t>
      </w:r>
      <w:r w:rsidR="001B5138">
        <w:rPr>
          <w:rFonts w:hint="cs"/>
          <w:rtl/>
        </w:rPr>
        <w:t>,</w:t>
      </w:r>
      <w:r>
        <w:rPr>
          <w:rFonts w:hint="cs"/>
          <w:rtl/>
        </w:rPr>
        <w:t xml:space="preserve"> סרן אורי</w:t>
      </w:r>
      <w:r w:rsidR="001B5138">
        <w:rPr>
          <w:rFonts w:hint="cs"/>
          <w:rtl/>
        </w:rPr>
        <w:t>,</w:t>
      </w:r>
      <w:r>
        <w:rPr>
          <w:rFonts w:hint="cs"/>
          <w:rtl/>
        </w:rPr>
        <w:t xml:space="preserve"> על נסיעה לביתו של הנפגע</w:t>
      </w:r>
      <w:r w:rsidR="0028013F">
        <w:rPr>
          <w:rFonts w:hint="cs"/>
          <w:rtl/>
        </w:rPr>
        <w:t xml:space="preserve"> ושלח לשם כך את </w:t>
      </w:r>
      <w:r>
        <w:rPr>
          <w:rFonts w:hint="cs"/>
          <w:rtl/>
        </w:rPr>
        <w:t xml:space="preserve">ליאב </w:t>
      </w:r>
      <w:r w:rsidR="001C01DF">
        <w:rPr>
          <w:rFonts w:hint="cs"/>
          <w:rtl/>
        </w:rPr>
        <w:t>(</w:t>
      </w:r>
      <w:r>
        <w:rPr>
          <w:rFonts w:hint="cs"/>
          <w:rtl/>
        </w:rPr>
        <w:t>הנהג</w:t>
      </w:r>
      <w:r w:rsidR="001C01DF">
        <w:rPr>
          <w:rFonts w:hint="cs"/>
          <w:rtl/>
        </w:rPr>
        <w:t>)</w:t>
      </w:r>
      <w:r>
        <w:rPr>
          <w:rFonts w:hint="cs"/>
          <w:rtl/>
        </w:rPr>
        <w:t xml:space="preserve"> המערער וסמל רומן. כשהגיעו לדירת הנפגע, לא </w:t>
      </w:r>
      <w:r w:rsidR="00D12524">
        <w:rPr>
          <w:rFonts w:hint="cs"/>
          <w:rtl/>
        </w:rPr>
        <w:t xml:space="preserve">היה </w:t>
      </w:r>
      <w:r>
        <w:rPr>
          <w:rFonts w:hint="cs"/>
          <w:rtl/>
        </w:rPr>
        <w:t xml:space="preserve">מענה </w:t>
      </w:r>
      <w:r w:rsidR="002F2BB8">
        <w:rPr>
          <w:rFonts w:hint="cs"/>
          <w:rtl/>
        </w:rPr>
        <w:t>ו</w:t>
      </w:r>
      <w:r>
        <w:rPr>
          <w:rFonts w:hint="cs"/>
          <w:rtl/>
        </w:rPr>
        <w:t>המערער יצר קשר עם בעל הדירה כדי לקבל מפתח. בית הדין המחוזי קבע כי בשלב זה עלה בלב המערער חשש ממשי שהנפגע פגע בעצמו. בעל הדירה הגיע, והמערער וסמל רומן נכנסו אליה. חדר</w:t>
      </w:r>
      <w:r w:rsidR="006F23E5">
        <w:rPr>
          <w:rFonts w:hint="cs"/>
          <w:rtl/>
        </w:rPr>
        <w:t>ו</w:t>
      </w:r>
      <w:r>
        <w:rPr>
          <w:rFonts w:hint="cs"/>
          <w:rtl/>
        </w:rPr>
        <w:t xml:space="preserve"> של הנפגע היה נעול</w:t>
      </w:r>
      <w:r w:rsidR="006F23E5">
        <w:rPr>
          <w:rFonts w:hint="cs"/>
          <w:rtl/>
        </w:rPr>
        <w:t xml:space="preserve"> ו</w:t>
      </w:r>
      <w:r>
        <w:rPr>
          <w:rFonts w:hint="cs"/>
          <w:rtl/>
        </w:rPr>
        <w:t>המערער דפק בדלת בחוזקה. הנפגע פתח ונראה "בהלם". ליד מיטתו נמצאו כדורים וחומר שחשוד כ</w:t>
      </w:r>
      <w:r w:rsidR="006F23E5">
        <w:rPr>
          <w:rFonts w:hint="cs"/>
          <w:rtl/>
        </w:rPr>
        <w:t>סם (</w:t>
      </w:r>
      <w:r>
        <w:rPr>
          <w:rFonts w:hint="cs"/>
          <w:rtl/>
        </w:rPr>
        <w:t>מריחואנה</w:t>
      </w:r>
      <w:r w:rsidR="006F23E5">
        <w:rPr>
          <w:rFonts w:hint="cs"/>
          <w:rtl/>
        </w:rPr>
        <w:t>)</w:t>
      </w:r>
      <w:r>
        <w:rPr>
          <w:rFonts w:hint="cs"/>
          <w:rtl/>
        </w:rPr>
        <w:t>.</w:t>
      </w:r>
    </w:p>
    <w:p w14:paraId="32349492" w14:textId="77777777" w:rsidR="00CA4910" w:rsidRDefault="00CA4910" w:rsidP="001D64B9">
      <w:pPr>
        <w:pStyle w:val="ListParagraph"/>
        <w:numPr>
          <w:ilvl w:val="1"/>
          <w:numId w:val="1"/>
        </w:numPr>
      </w:pPr>
      <w:r>
        <w:rPr>
          <w:rFonts w:hint="cs"/>
          <w:rtl/>
        </w:rPr>
        <w:t>סרן גילי הורתה להביא את הנפגע לבית החולים לבדיקה פסיכיאטרית דחופה, וכך היה. בהערכה הפסיכיאטרית נמצאו אצל הנפגע סימני דיכאון ומחשבות אובדניות. לכן הומלץ למנוע ממנו גישה לנשק</w:t>
      </w:r>
      <w:r w:rsidR="00257F43">
        <w:rPr>
          <w:rFonts w:hint="cs"/>
          <w:rtl/>
        </w:rPr>
        <w:t xml:space="preserve">. עם זאת, הנפגע </w:t>
      </w:r>
      <w:r>
        <w:rPr>
          <w:rFonts w:hint="cs"/>
          <w:rtl/>
        </w:rPr>
        <w:t>שוחרר מ</w:t>
      </w:r>
      <w:r w:rsidR="002679CD">
        <w:rPr>
          <w:rFonts w:hint="cs"/>
          <w:rtl/>
        </w:rPr>
        <w:t xml:space="preserve">בית </w:t>
      </w:r>
      <w:r w:rsidR="002679CD">
        <w:rPr>
          <w:rFonts w:hint="cs"/>
          <w:rtl/>
        </w:rPr>
        <w:lastRenderedPageBreak/>
        <w:t>החולים</w:t>
      </w:r>
      <w:r>
        <w:rPr>
          <w:rFonts w:hint="cs"/>
          <w:rtl/>
        </w:rPr>
        <w:t xml:space="preserve"> </w:t>
      </w:r>
      <w:r w:rsidR="00257F43">
        <w:rPr>
          <w:rFonts w:hint="cs"/>
          <w:rtl/>
        </w:rPr>
        <w:t xml:space="preserve">לאחר שנמצא כי </w:t>
      </w:r>
      <w:r>
        <w:rPr>
          <w:rFonts w:hint="cs"/>
          <w:rtl/>
        </w:rPr>
        <w:t xml:space="preserve">אין אינדיקציה לסכנה </w:t>
      </w:r>
      <w:r w:rsidR="0026209A">
        <w:rPr>
          <w:rFonts w:hint="cs"/>
          <w:rtl/>
        </w:rPr>
        <w:t xml:space="preserve">אובדנית </w:t>
      </w:r>
      <w:r>
        <w:rPr>
          <w:rFonts w:hint="cs"/>
          <w:rtl/>
        </w:rPr>
        <w:t>מיידית. לאחר שהתקבלו המסמכים הרפואיים, ב</w:t>
      </w:r>
      <w:r w:rsidR="00F64DA2">
        <w:rPr>
          <w:rFonts w:hint="cs"/>
          <w:rtl/>
        </w:rPr>
        <w:t xml:space="preserve">שעה </w:t>
      </w:r>
      <w:r>
        <w:rPr>
          <w:rFonts w:hint="cs"/>
          <w:rtl/>
        </w:rPr>
        <w:t xml:space="preserve">2:00 בערך (ב-10 בינואר), הורתה סרן גילי </w:t>
      </w:r>
      <w:r w:rsidR="00F64DA2">
        <w:rPr>
          <w:rFonts w:hint="cs"/>
          <w:rtl/>
        </w:rPr>
        <w:t xml:space="preserve">על </w:t>
      </w:r>
      <w:r>
        <w:rPr>
          <w:rFonts w:hint="cs"/>
          <w:rtl/>
        </w:rPr>
        <w:t xml:space="preserve">"נוהל השגחה", ונתנה למערער הנחיות </w:t>
      </w:r>
      <w:r w:rsidR="008800AC">
        <w:rPr>
          <w:rFonts w:hint="cs"/>
          <w:rtl/>
        </w:rPr>
        <w:t xml:space="preserve">מפורטות כיצד </w:t>
      </w:r>
      <w:r>
        <w:rPr>
          <w:rFonts w:hint="cs"/>
          <w:rtl/>
        </w:rPr>
        <w:t>להתנהל מול הנפגע</w:t>
      </w:r>
      <w:r w:rsidR="0077730A">
        <w:rPr>
          <w:rFonts w:hint="cs"/>
          <w:rtl/>
        </w:rPr>
        <w:t>.</w:t>
      </w:r>
      <w:r w:rsidR="008800AC">
        <w:rPr>
          <w:rFonts w:hint="cs"/>
          <w:rtl/>
        </w:rPr>
        <w:t xml:space="preserve"> בין היתר, הנחתה </w:t>
      </w:r>
      <w:r w:rsidR="006132B0">
        <w:rPr>
          <w:rFonts w:hint="cs"/>
          <w:rtl/>
        </w:rPr>
        <w:t xml:space="preserve">על הפרדת </w:t>
      </w:r>
      <w:r w:rsidR="00BE58A7">
        <w:rPr>
          <w:rFonts w:hint="cs"/>
          <w:rtl/>
        </w:rPr>
        <w:t>מחסניות מהנשק</w:t>
      </w:r>
      <w:r w:rsidR="00043F61">
        <w:rPr>
          <w:rFonts w:hint="cs"/>
          <w:rtl/>
        </w:rPr>
        <w:t xml:space="preserve"> ועל </w:t>
      </w:r>
      <w:r w:rsidR="00BE58A7">
        <w:rPr>
          <w:rFonts w:hint="cs"/>
          <w:rtl/>
        </w:rPr>
        <w:t>השגחה קבועה על</w:t>
      </w:r>
      <w:r w:rsidR="0077730A">
        <w:rPr>
          <w:rFonts w:hint="cs"/>
          <w:rtl/>
        </w:rPr>
        <w:t>יו</w:t>
      </w:r>
      <w:r w:rsidR="00043F61">
        <w:rPr>
          <w:rFonts w:hint="cs"/>
          <w:rtl/>
        </w:rPr>
        <w:t>. סרן גילי מסרה כי על ה</w:t>
      </w:r>
      <w:r w:rsidR="00BE58A7">
        <w:rPr>
          <w:rFonts w:hint="cs"/>
          <w:rtl/>
        </w:rPr>
        <w:t xml:space="preserve">מערער וסמל רומן </w:t>
      </w:r>
      <w:r w:rsidR="00043F61">
        <w:rPr>
          <w:rFonts w:hint="cs"/>
          <w:rtl/>
        </w:rPr>
        <w:t xml:space="preserve">להשגיח על הנפגע בתורנות </w:t>
      </w:r>
      <w:r w:rsidR="00BE58A7">
        <w:rPr>
          <w:rFonts w:hint="cs"/>
          <w:rtl/>
        </w:rPr>
        <w:t>(לצורך מנוחה)</w:t>
      </w:r>
      <w:r w:rsidR="006E35AA">
        <w:rPr>
          <w:rFonts w:hint="cs"/>
          <w:rtl/>
        </w:rPr>
        <w:t xml:space="preserve"> ו</w:t>
      </w:r>
      <w:r w:rsidR="00BE58A7">
        <w:rPr>
          <w:rFonts w:hint="cs"/>
          <w:rtl/>
        </w:rPr>
        <w:t xml:space="preserve">המפקדים עודכנו בהנחיותיה. </w:t>
      </w:r>
      <w:r w:rsidR="006E35AA">
        <w:rPr>
          <w:rFonts w:hint="cs"/>
          <w:rtl/>
        </w:rPr>
        <w:t xml:space="preserve">בואר כי </w:t>
      </w:r>
      <w:r w:rsidR="00BE58A7">
        <w:rPr>
          <w:rFonts w:hint="cs"/>
          <w:rtl/>
        </w:rPr>
        <w:t>המערער וסמל רומן לא הצליחו לישון במסודר באותו לילה.</w:t>
      </w:r>
    </w:p>
    <w:p w14:paraId="26346BB3" w14:textId="77777777" w:rsidR="00F71D28" w:rsidRDefault="00F71D28" w:rsidP="001D64B9">
      <w:pPr>
        <w:pStyle w:val="ListParagraph"/>
        <w:numPr>
          <w:ilvl w:val="1"/>
          <w:numId w:val="1"/>
        </w:numPr>
      </w:pPr>
      <w:r>
        <w:rPr>
          <w:rFonts w:hint="cs"/>
          <w:rtl/>
        </w:rPr>
        <w:t>ב</w:t>
      </w:r>
      <w:r w:rsidR="009D7F22">
        <w:rPr>
          <w:rFonts w:hint="cs"/>
          <w:rtl/>
        </w:rPr>
        <w:t xml:space="preserve">שעה </w:t>
      </w:r>
      <w:r>
        <w:rPr>
          <w:rFonts w:hint="cs"/>
          <w:rtl/>
        </w:rPr>
        <w:t xml:space="preserve">6:00 בבוקר בערך נסעו הארבעה </w:t>
      </w:r>
      <w:r>
        <w:rPr>
          <w:rtl/>
        </w:rPr>
        <w:t>–</w:t>
      </w:r>
      <w:r>
        <w:rPr>
          <w:rFonts w:hint="cs"/>
          <w:rtl/>
        </w:rPr>
        <w:t xml:space="preserve"> המערער, סמל רומן, הנהג ליאב והנפגע </w:t>
      </w:r>
      <w:r>
        <w:rPr>
          <w:rtl/>
        </w:rPr>
        <w:t>–</w:t>
      </w:r>
      <w:r>
        <w:rPr>
          <w:rFonts w:hint="cs"/>
          <w:rtl/>
        </w:rPr>
        <w:t xml:space="preserve"> בחזרה לבסיס. בהגיעם הורה סרן אורי שסמל רומן יצטרף לנסיעה אחרת. </w:t>
      </w:r>
      <w:r w:rsidR="00646B6F">
        <w:rPr>
          <w:rFonts w:hint="cs"/>
          <w:rtl/>
        </w:rPr>
        <w:t xml:space="preserve">נקבע כי </w:t>
      </w:r>
      <w:r>
        <w:rPr>
          <w:rFonts w:hint="cs"/>
          <w:rtl/>
        </w:rPr>
        <w:t xml:space="preserve">למערער ולסמל רומן לא היה ברור </w:t>
      </w:r>
      <w:r w:rsidR="0026209A">
        <w:rPr>
          <w:rFonts w:hint="cs"/>
          <w:rtl/>
        </w:rPr>
        <w:t xml:space="preserve">באותו שלב </w:t>
      </w:r>
      <w:r>
        <w:rPr>
          <w:rFonts w:hint="cs"/>
          <w:rtl/>
        </w:rPr>
        <w:t xml:space="preserve">שהם עדיין משגיחים על הנפגע לפי נוהל ההשגחה, אולם המערער הבין שעליו להישאר עם הנפגע ולהביאו לפגישה עם סרן גילי בשעות הבוקר. ב-11:30 בערך הגיעו המערער והנפגע למשרדה. הקב"נית הדגישה למערער שנוהל ההשגחה מחייב שני משגיחים, ולא אחד, </w:t>
      </w:r>
      <w:proofErr w:type="spellStart"/>
      <w:r>
        <w:rPr>
          <w:rFonts w:hint="cs"/>
          <w:rtl/>
        </w:rPr>
        <w:t>וש"הוא</w:t>
      </w:r>
      <w:proofErr w:type="spellEnd"/>
      <w:r>
        <w:rPr>
          <w:rFonts w:hint="cs"/>
          <w:rtl/>
        </w:rPr>
        <w:t xml:space="preserve"> משחק באש". המערער דיבר עם סמל רומן, וזה </w:t>
      </w:r>
      <w:r w:rsidR="008C44F0">
        <w:rPr>
          <w:rFonts w:hint="cs"/>
          <w:rtl/>
        </w:rPr>
        <w:t>שב ו</w:t>
      </w:r>
      <w:r>
        <w:rPr>
          <w:rFonts w:hint="cs"/>
          <w:rtl/>
        </w:rPr>
        <w:t xml:space="preserve">הצטרף אליו להשגחה. לאחר הבדיקה והתייעצות עם קב"ן האוגדה יצאה סרן גילי לחדר ההמתנה וחיפשה את הנפגע. היא </w:t>
      </w:r>
      <w:r w:rsidR="008C44F0">
        <w:rPr>
          <w:rFonts w:hint="cs"/>
          <w:rtl/>
        </w:rPr>
        <w:t>הבחינה ב</w:t>
      </w:r>
      <w:r>
        <w:rPr>
          <w:rFonts w:hint="cs"/>
          <w:rtl/>
        </w:rPr>
        <w:t>סמל רומן, אוחז בנשקו האישי במצב "הכנס". הקב"נית ה</w:t>
      </w:r>
      <w:r w:rsidR="008C44F0">
        <w:rPr>
          <w:rFonts w:hint="cs"/>
          <w:rtl/>
        </w:rPr>
        <w:t>נחתה לה</w:t>
      </w:r>
      <w:r>
        <w:rPr>
          <w:rFonts w:hint="cs"/>
          <w:rtl/>
        </w:rPr>
        <w:t>ארי</w:t>
      </w:r>
      <w:r w:rsidR="008C44F0">
        <w:rPr>
          <w:rFonts w:hint="cs"/>
          <w:rtl/>
        </w:rPr>
        <w:t xml:space="preserve">ך </w:t>
      </w:r>
      <w:r>
        <w:rPr>
          <w:rFonts w:hint="cs"/>
          <w:rtl/>
        </w:rPr>
        <w:t>את תוקף נוהל הה</w:t>
      </w:r>
      <w:r w:rsidR="001C01DF">
        <w:rPr>
          <w:rFonts w:hint="cs"/>
          <w:rtl/>
        </w:rPr>
        <w:t>ש</w:t>
      </w:r>
      <w:r>
        <w:rPr>
          <w:rFonts w:hint="cs"/>
          <w:rtl/>
        </w:rPr>
        <w:t>גחה עד שהנפגע ייפגש למחרת עם קב"ן האוגדה</w:t>
      </w:r>
      <w:r w:rsidR="001C01DF">
        <w:rPr>
          <w:rFonts w:hint="cs"/>
          <w:rtl/>
        </w:rPr>
        <w:t>,</w:t>
      </w:r>
      <w:r w:rsidR="008C44F0">
        <w:rPr>
          <w:rFonts w:hint="cs"/>
          <w:rtl/>
        </w:rPr>
        <w:t xml:space="preserve"> ו</w:t>
      </w:r>
      <w:r>
        <w:rPr>
          <w:rFonts w:hint="cs"/>
          <w:rtl/>
        </w:rPr>
        <w:t>הבהירה למערער ולסמל רומן שעליהם להמשיך לשמש משגיחים</w:t>
      </w:r>
      <w:r w:rsidR="002679CD">
        <w:rPr>
          <w:rFonts w:hint="cs"/>
          <w:rtl/>
        </w:rPr>
        <w:t xml:space="preserve"> ולהרחיק את הנשק מן הנפגע</w:t>
      </w:r>
      <w:r>
        <w:rPr>
          <w:rFonts w:hint="cs"/>
          <w:rtl/>
        </w:rPr>
        <w:t xml:space="preserve">. </w:t>
      </w:r>
      <w:r w:rsidR="00383067">
        <w:rPr>
          <w:rFonts w:hint="cs"/>
          <w:rtl/>
        </w:rPr>
        <w:t xml:space="preserve">סרן גילי דיווחה על ההפרות גם </w:t>
      </w:r>
      <w:r w:rsidR="00685134">
        <w:rPr>
          <w:rFonts w:hint="cs"/>
          <w:rtl/>
        </w:rPr>
        <w:t>לרס"ן נתן, מפקד המגמה.</w:t>
      </w:r>
      <w:r w:rsidR="00383067">
        <w:rPr>
          <w:rFonts w:hint="cs"/>
          <w:rtl/>
        </w:rPr>
        <w:t xml:space="preserve"> </w:t>
      </w:r>
    </w:p>
    <w:p w14:paraId="44147085" w14:textId="77777777" w:rsidR="00F71D28" w:rsidRDefault="00F71D28" w:rsidP="001D64B9">
      <w:pPr>
        <w:pStyle w:val="ListParagraph"/>
        <w:numPr>
          <w:ilvl w:val="1"/>
          <w:numId w:val="1"/>
        </w:numPr>
      </w:pPr>
      <w:r>
        <w:rPr>
          <w:rFonts w:hint="cs"/>
          <w:rtl/>
        </w:rPr>
        <w:t xml:space="preserve">לאחר מכן הפקיד סמל רומן את נשקו, והוא והמערער השגיחו יחדיו על הנפגע. שלושתם שהו בחדר האוכל. לבקשת הנפגע, המשגיחים הרשו לו לשבת עם חבריו וצפו בו מקרוב. </w:t>
      </w:r>
      <w:r w:rsidR="004906B7">
        <w:rPr>
          <w:rFonts w:hint="cs"/>
          <w:rtl/>
        </w:rPr>
        <w:t xml:space="preserve">בהמשך, </w:t>
      </w:r>
      <w:r>
        <w:rPr>
          <w:rFonts w:hint="cs"/>
          <w:rtl/>
        </w:rPr>
        <w:t xml:space="preserve">הלכו השלושה לחדר של הנפגע כדי שיוכל לנוח. המערער וסמל רומן התמקמו בחדר </w:t>
      </w:r>
      <w:r w:rsidR="00D66D4A">
        <w:rPr>
          <w:rFonts w:hint="cs"/>
          <w:rtl/>
        </w:rPr>
        <w:t>מולו</w:t>
      </w:r>
      <w:r>
        <w:rPr>
          <w:rFonts w:hint="cs"/>
          <w:rtl/>
        </w:rPr>
        <w:t xml:space="preserve">, במרחק מטרים אחדים. המערער הסביר בבית הדין המחוזי שהנפגע גרם </w:t>
      </w:r>
      <w:r w:rsidR="00447641">
        <w:rPr>
          <w:rFonts w:hint="cs"/>
          <w:rtl/>
        </w:rPr>
        <w:t xml:space="preserve">להם </w:t>
      </w:r>
      <w:r>
        <w:rPr>
          <w:rFonts w:hint="cs"/>
          <w:rtl/>
        </w:rPr>
        <w:t xml:space="preserve">להרגיש שהוא </w:t>
      </w:r>
      <w:r w:rsidR="001C01DF">
        <w:rPr>
          <w:rFonts w:hint="cs"/>
          <w:rtl/>
        </w:rPr>
        <w:t>חש ב</w:t>
      </w:r>
      <w:r>
        <w:rPr>
          <w:rFonts w:hint="cs"/>
          <w:rtl/>
        </w:rPr>
        <w:t xml:space="preserve">טוב ושאין צורך לדאוג לו יותר מדי; </w:t>
      </w:r>
      <w:r w:rsidR="006F1E10">
        <w:rPr>
          <w:rFonts w:hint="cs"/>
          <w:rtl/>
        </w:rPr>
        <w:t>לכן</w:t>
      </w:r>
      <w:r>
        <w:rPr>
          <w:rFonts w:hint="cs"/>
          <w:rtl/>
        </w:rPr>
        <w:t xml:space="preserve"> כיבד את רצונו והעניק לו קצת מרחק. אף שהמערער ידע שיש להרחיק את הנפגע מנשק, המשגיחים לא בדקו את החדר שהנפגע שהה בו; לדברי המערער, </w:t>
      </w:r>
      <w:r w:rsidR="00D66D4A">
        <w:rPr>
          <w:rFonts w:hint="cs"/>
          <w:rtl/>
        </w:rPr>
        <w:t xml:space="preserve">מפקדיו </w:t>
      </w:r>
      <w:r>
        <w:rPr>
          <w:rFonts w:hint="cs"/>
          <w:rtl/>
        </w:rPr>
        <w:t>לא הורו לו לערוך "בדיקה סטרילית"</w:t>
      </w:r>
      <w:r w:rsidR="002679CD">
        <w:rPr>
          <w:rFonts w:hint="cs"/>
          <w:rtl/>
        </w:rPr>
        <w:t xml:space="preserve"> (פסקה 51 להכרעת הדין)</w:t>
      </w:r>
      <w:r>
        <w:rPr>
          <w:rFonts w:hint="cs"/>
          <w:rtl/>
        </w:rPr>
        <w:t>.</w:t>
      </w:r>
    </w:p>
    <w:p w14:paraId="5F2D6486" w14:textId="77777777" w:rsidR="00F71D28" w:rsidRDefault="00F71D28" w:rsidP="001D64B9">
      <w:pPr>
        <w:pStyle w:val="ListParagraph"/>
        <w:numPr>
          <w:ilvl w:val="1"/>
          <w:numId w:val="1"/>
        </w:numPr>
      </w:pPr>
      <w:r>
        <w:rPr>
          <w:rFonts w:hint="cs"/>
          <w:rtl/>
        </w:rPr>
        <w:t>ב-16:00 בערך הגיע סגן תומר, סגן המ"פ, לבקר במקום. בית הדין המחוזי קבע שבאותה עת היו דלתות החדרים סגורות. סגן תומר שאל את המערער וסמל רומן מדוע הם שם, והם השיבו שהם משגיחים</w:t>
      </w:r>
      <w:r w:rsidR="006E16B5">
        <w:rPr>
          <w:rFonts w:hint="cs"/>
          <w:rtl/>
        </w:rPr>
        <w:t>,</w:t>
      </w:r>
      <w:r>
        <w:rPr>
          <w:rFonts w:hint="cs"/>
          <w:rtl/>
        </w:rPr>
        <w:t xml:space="preserve"> בנוהל השגחה</w:t>
      </w:r>
      <w:r w:rsidR="006E16B5">
        <w:rPr>
          <w:rFonts w:hint="cs"/>
          <w:rtl/>
        </w:rPr>
        <w:t>,</w:t>
      </w:r>
      <w:r>
        <w:rPr>
          <w:rFonts w:hint="cs"/>
          <w:rtl/>
        </w:rPr>
        <w:t xml:space="preserve"> על הנפגע. סגן תומר שאל </w:t>
      </w:r>
      <w:r w:rsidR="00D66D4A">
        <w:rPr>
          <w:rFonts w:hint="cs"/>
          <w:rtl/>
        </w:rPr>
        <w:t>מדוע אינם צמודים ל</w:t>
      </w:r>
      <w:r>
        <w:rPr>
          <w:rFonts w:hint="cs"/>
          <w:rtl/>
        </w:rPr>
        <w:t xml:space="preserve">נפגע, והם השיבו שהוא צודק. סגן תומר הורה למערער לעבור לחדר </w:t>
      </w:r>
      <w:r w:rsidR="006E16B5">
        <w:rPr>
          <w:rFonts w:hint="cs"/>
          <w:rtl/>
        </w:rPr>
        <w:t xml:space="preserve">שבו שהה </w:t>
      </w:r>
      <w:r>
        <w:rPr>
          <w:rFonts w:hint="cs"/>
          <w:rtl/>
        </w:rPr>
        <w:t xml:space="preserve">הנפגע, ולסמל רומן </w:t>
      </w:r>
      <w:r>
        <w:rPr>
          <w:rtl/>
        </w:rPr>
        <w:t>–</w:t>
      </w:r>
      <w:r>
        <w:rPr>
          <w:rFonts w:hint="cs"/>
          <w:rtl/>
        </w:rPr>
        <w:t xml:space="preserve"> להתלוות אליו בחזרה למטווחים שהפלוגה קיימה באותו זמן. המערער ציין </w:t>
      </w:r>
      <w:r w:rsidR="007303AD">
        <w:rPr>
          <w:rFonts w:hint="cs"/>
          <w:rtl/>
        </w:rPr>
        <w:t xml:space="preserve">לפניו </w:t>
      </w:r>
      <w:r>
        <w:rPr>
          <w:rFonts w:hint="cs"/>
          <w:rtl/>
        </w:rPr>
        <w:t xml:space="preserve">שהקב"נית הורתה על השגחה </w:t>
      </w:r>
      <w:r w:rsidR="008423C6">
        <w:rPr>
          <w:rFonts w:hint="cs"/>
          <w:rtl/>
        </w:rPr>
        <w:t xml:space="preserve">של </w:t>
      </w:r>
      <w:r>
        <w:rPr>
          <w:rFonts w:hint="cs"/>
          <w:rtl/>
        </w:rPr>
        <w:lastRenderedPageBreak/>
        <w:t>שני משגיחים, ו</w:t>
      </w:r>
      <w:r w:rsidR="007303AD">
        <w:rPr>
          <w:rFonts w:hint="cs"/>
          <w:rtl/>
        </w:rPr>
        <w:t xml:space="preserve">הוסיף </w:t>
      </w:r>
      <w:r>
        <w:rPr>
          <w:rFonts w:hint="cs"/>
          <w:rtl/>
        </w:rPr>
        <w:t>שעזיב</w:t>
      </w:r>
      <w:r w:rsidR="008423C6">
        <w:rPr>
          <w:rFonts w:hint="cs"/>
          <w:rtl/>
        </w:rPr>
        <w:t>תו</w:t>
      </w:r>
      <w:r>
        <w:rPr>
          <w:rFonts w:hint="cs"/>
          <w:rtl/>
        </w:rPr>
        <w:t xml:space="preserve"> של סמל רומן בעייתית. סגן תומר הנחה את המערער ל</w:t>
      </w:r>
      <w:r w:rsidR="008423C6">
        <w:rPr>
          <w:rFonts w:hint="cs"/>
          <w:rtl/>
        </w:rPr>
        <w:t xml:space="preserve">פנות אל מפקד המחלקה, </w:t>
      </w:r>
      <w:r>
        <w:rPr>
          <w:rFonts w:hint="cs"/>
          <w:rtl/>
        </w:rPr>
        <w:t>סג"ם דניאל</w:t>
      </w:r>
      <w:r w:rsidR="008423C6">
        <w:rPr>
          <w:rFonts w:hint="cs"/>
          <w:rtl/>
        </w:rPr>
        <w:t>,</w:t>
      </w:r>
      <w:r>
        <w:rPr>
          <w:rFonts w:hint="cs"/>
          <w:rtl/>
        </w:rPr>
        <w:t xml:space="preserve"> כדי שהאחרון ידאג למשגיח מחליף</w:t>
      </w:r>
      <w:r w:rsidR="002679CD">
        <w:rPr>
          <w:rFonts w:hint="cs"/>
          <w:rtl/>
        </w:rPr>
        <w:t xml:space="preserve"> שיצטרף אל המערער</w:t>
      </w:r>
      <w:r>
        <w:rPr>
          <w:rFonts w:hint="cs"/>
          <w:rtl/>
        </w:rPr>
        <w:t>. סגן תומר וסמל רומן עזבו את המקום.</w:t>
      </w:r>
    </w:p>
    <w:p w14:paraId="6B764A16" w14:textId="77777777" w:rsidR="00F71D28" w:rsidRDefault="00F71D28" w:rsidP="001D64B9">
      <w:pPr>
        <w:pStyle w:val="ListParagraph"/>
        <w:numPr>
          <w:ilvl w:val="1"/>
          <w:numId w:val="1"/>
        </w:numPr>
      </w:pPr>
      <w:r>
        <w:rPr>
          <w:rFonts w:hint="cs"/>
          <w:rtl/>
        </w:rPr>
        <w:t xml:space="preserve">המערער התקשר לסג"ם דניאל ועדכן </w:t>
      </w:r>
      <w:r w:rsidR="00F43CF8">
        <w:rPr>
          <w:rFonts w:hint="cs"/>
          <w:rtl/>
        </w:rPr>
        <w:t xml:space="preserve">אותו </w:t>
      </w:r>
      <w:r>
        <w:rPr>
          <w:rFonts w:hint="cs"/>
          <w:rtl/>
        </w:rPr>
        <w:t xml:space="preserve">שנותר לבדו להשגיח על הנפגע. סג"ם דניאל הורה למערער לצרף </w:t>
      </w:r>
      <w:r w:rsidR="00F43CF8">
        <w:rPr>
          <w:rFonts w:hint="cs"/>
          <w:rtl/>
        </w:rPr>
        <w:t>את ה</w:t>
      </w:r>
      <w:r>
        <w:rPr>
          <w:rFonts w:hint="cs"/>
          <w:rtl/>
        </w:rPr>
        <w:t>חייל טור' לירן להשגחה</w:t>
      </w:r>
      <w:r w:rsidR="00D66D4A">
        <w:rPr>
          <w:rFonts w:hint="cs"/>
          <w:rtl/>
        </w:rPr>
        <w:t>,</w:t>
      </w:r>
      <w:r>
        <w:rPr>
          <w:rFonts w:hint="cs"/>
          <w:rtl/>
        </w:rPr>
        <w:t xml:space="preserve"> אולם המערער הפר את הפקודה ולא שוחח עם טור' לירן. בית הדין המחוזי מצא כי המערער סבר שיש לטור' לירן משימות אחרות. מחמת הספק הניח בית הדין לטובת המערער כי הושפע גם מהתנהלות קודמת של מפקדיו ומכך שנשאר </w:t>
      </w:r>
      <w:r w:rsidR="00D66D4A">
        <w:rPr>
          <w:rFonts w:hint="cs"/>
          <w:rtl/>
        </w:rPr>
        <w:t>לפני כן</w:t>
      </w:r>
      <w:r w:rsidR="000315B1">
        <w:rPr>
          <w:rFonts w:hint="cs"/>
          <w:rtl/>
        </w:rPr>
        <w:t xml:space="preserve">, במספר </w:t>
      </w:r>
      <w:r w:rsidR="00957457">
        <w:rPr>
          <w:rFonts w:hint="cs"/>
          <w:rtl/>
        </w:rPr>
        <w:t xml:space="preserve">הזדמנויות, </w:t>
      </w:r>
      <w:r w:rsidR="00D66D4A">
        <w:rPr>
          <w:rFonts w:hint="cs"/>
          <w:rtl/>
        </w:rPr>
        <w:t>כ</w:t>
      </w:r>
      <w:r>
        <w:rPr>
          <w:rFonts w:hint="cs"/>
          <w:rtl/>
        </w:rPr>
        <w:t>משגיח בודד</w:t>
      </w:r>
      <w:r w:rsidR="00D66D4A">
        <w:rPr>
          <w:rFonts w:hint="cs"/>
          <w:rtl/>
        </w:rPr>
        <w:t>,</w:t>
      </w:r>
      <w:r>
        <w:rPr>
          <w:rFonts w:hint="cs"/>
          <w:rtl/>
        </w:rPr>
        <w:t xml:space="preserve"> בעקבות פקודות מפקדים ש</w:t>
      </w:r>
      <w:r w:rsidR="00957457">
        <w:rPr>
          <w:rFonts w:hint="cs"/>
          <w:rtl/>
        </w:rPr>
        <w:t xml:space="preserve">היו </w:t>
      </w:r>
      <w:r w:rsidR="002679CD">
        <w:rPr>
          <w:rFonts w:hint="cs"/>
          <w:rtl/>
        </w:rPr>
        <w:t xml:space="preserve">להשקפתו </w:t>
      </w:r>
      <w:r>
        <w:rPr>
          <w:rFonts w:hint="cs"/>
          <w:rtl/>
        </w:rPr>
        <w:t>אחראים על נוהל ההשגחה (סרן אורי וסגן תומר).</w:t>
      </w:r>
    </w:p>
    <w:p w14:paraId="34050CED" w14:textId="77777777" w:rsidR="0078120E" w:rsidRDefault="00F71D28" w:rsidP="001D64B9">
      <w:pPr>
        <w:pStyle w:val="ListParagraph"/>
        <w:numPr>
          <w:ilvl w:val="1"/>
          <w:numId w:val="1"/>
        </w:numPr>
      </w:pPr>
      <w:r>
        <w:rPr>
          <w:rFonts w:hint="cs"/>
          <w:rtl/>
        </w:rPr>
        <w:t>ב</w:t>
      </w:r>
      <w:r w:rsidR="00710C58">
        <w:rPr>
          <w:rFonts w:hint="cs"/>
          <w:rtl/>
        </w:rPr>
        <w:t xml:space="preserve">שעה </w:t>
      </w:r>
      <w:r>
        <w:rPr>
          <w:rFonts w:hint="cs"/>
          <w:rtl/>
        </w:rPr>
        <w:t xml:space="preserve">16:00, </w:t>
      </w:r>
      <w:r w:rsidR="00710C58">
        <w:rPr>
          <w:rFonts w:hint="cs"/>
          <w:rtl/>
        </w:rPr>
        <w:t>ל</w:t>
      </w:r>
      <w:r>
        <w:rPr>
          <w:rFonts w:hint="cs"/>
          <w:rtl/>
        </w:rPr>
        <w:t xml:space="preserve">אחר שסמל רומן עזב, עבר המערער לחדר של הנפגע. בהמשך שהו השניים בפינת העישון עד ארוחת הערב. ב-18:30 בערך שבו לפינת העישון ומשם </w:t>
      </w:r>
      <w:r>
        <w:rPr>
          <w:rtl/>
        </w:rPr>
        <w:t>–</w:t>
      </w:r>
      <w:r>
        <w:rPr>
          <w:rFonts w:hint="cs"/>
          <w:rtl/>
        </w:rPr>
        <w:t xml:space="preserve"> לחדר של הנפגע. סמוך ל</w:t>
      </w:r>
      <w:r w:rsidR="00710C58">
        <w:rPr>
          <w:rFonts w:hint="cs"/>
          <w:rtl/>
        </w:rPr>
        <w:t xml:space="preserve">שעה </w:t>
      </w:r>
      <w:r>
        <w:rPr>
          <w:rFonts w:hint="cs"/>
          <w:rtl/>
        </w:rPr>
        <w:t xml:space="preserve">19:00 חלף סגן תומר ליד מתחם המגורים וראה שהמערער משגיח לבדו על הנפגע. הוא העיר למערער על הפרת נוהל ההשגחה והורה לו לדווח לסג"ם דניאל כדי שיצורף משגיח נוסף. המערער השיב שיפעל בנדון </w:t>
      </w:r>
      <w:r w:rsidR="0078120E">
        <w:rPr>
          <w:rFonts w:hint="cs"/>
          <w:rtl/>
        </w:rPr>
        <w:t xml:space="preserve">אך </w:t>
      </w:r>
      <w:r>
        <w:rPr>
          <w:rFonts w:hint="cs"/>
          <w:rtl/>
        </w:rPr>
        <w:t xml:space="preserve">שוב לא עשה דבר. </w:t>
      </w:r>
    </w:p>
    <w:p w14:paraId="40CDBF55" w14:textId="77777777" w:rsidR="00F71D28" w:rsidRDefault="00F71D28" w:rsidP="001D64B9">
      <w:pPr>
        <w:pStyle w:val="ListParagraph"/>
        <w:numPr>
          <w:ilvl w:val="1"/>
          <w:numId w:val="1"/>
        </w:numPr>
      </w:pPr>
      <w:r>
        <w:rPr>
          <w:rFonts w:hint="cs"/>
          <w:rtl/>
        </w:rPr>
        <w:t>ב</w:t>
      </w:r>
      <w:r w:rsidR="0078120E">
        <w:rPr>
          <w:rFonts w:hint="cs"/>
          <w:rtl/>
        </w:rPr>
        <w:t xml:space="preserve">שעה </w:t>
      </w:r>
      <w:r>
        <w:rPr>
          <w:rFonts w:hint="cs"/>
          <w:rtl/>
        </w:rPr>
        <w:t>19:20 בערך הבחין המערער שהנפגע נרדם במיטתו. ב</w:t>
      </w:r>
      <w:r w:rsidR="00A4221E">
        <w:rPr>
          <w:rFonts w:hint="cs"/>
          <w:rtl/>
        </w:rPr>
        <w:t xml:space="preserve">שעה </w:t>
      </w:r>
      <w:r>
        <w:rPr>
          <w:rFonts w:hint="cs"/>
          <w:rtl/>
        </w:rPr>
        <w:t>19:50 בערך נרדם גם המערער, שהיה עייף.</w:t>
      </w:r>
      <w:r w:rsidR="00A4221E">
        <w:rPr>
          <w:rFonts w:hint="cs"/>
          <w:rtl/>
        </w:rPr>
        <w:t xml:space="preserve"> </w:t>
      </w:r>
      <w:r>
        <w:rPr>
          <w:rFonts w:hint="cs"/>
          <w:rtl/>
        </w:rPr>
        <w:t>בפרק זמן זה יצא הנפגע לעשן, שוחח עם חיילים אחרים, שב לחדר וראה שהמערער ישן. מאוחר יותר יצא הנפגע מהחדר, הלך למקלחות של פלוגה אחרת, לקח נשק של אחד החיילים, פנה ל</w:t>
      </w:r>
      <w:r w:rsidR="006635FA">
        <w:rPr>
          <w:rFonts w:hint="cs"/>
          <w:rtl/>
        </w:rPr>
        <w:t xml:space="preserve">אזור </w:t>
      </w:r>
      <w:proofErr w:type="spellStart"/>
      <w:r w:rsidR="006635FA">
        <w:rPr>
          <w:rFonts w:hint="cs"/>
          <w:rtl/>
        </w:rPr>
        <w:t>ה"</w:t>
      </w:r>
      <w:r>
        <w:rPr>
          <w:rFonts w:hint="cs"/>
          <w:rtl/>
        </w:rPr>
        <w:t>לש"ביה</w:t>
      </w:r>
      <w:proofErr w:type="spellEnd"/>
      <w:r w:rsidR="006635FA">
        <w:rPr>
          <w:rFonts w:hint="cs"/>
          <w:rtl/>
        </w:rPr>
        <w:t>"</w:t>
      </w:r>
      <w:r>
        <w:rPr>
          <w:rFonts w:hint="cs"/>
          <w:rtl/>
        </w:rPr>
        <w:t xml:space="preserve"> ביחידה וירה בעצמו בפניו. חיילים מצאוהו</w:t>
      </w:r>
      <w:r w:rsidRPr="00512B75">
        <w:rPr>
          <w:rFonts w:hint="cs"/>
          <w:rtl/>
        </w:rPr>
        <w:t xml:space="preserve"> </w:t>
      </w:r>
      <w:r>
        <w:rPr>
          <w:rFonts w:hint="cs"/>
          <w:rtl/>
        </w:rPr>
        <w:t>ב-22:30 בערך פצוע קשה. ה</w:t>
      </w:r>
      <w:r w:rsidR="006635FA">
        <w:rPr>
          <w:rFonts w:hint="cs"/>
          <w:rtl/>
        </w:rPr>
        <w:t xml:space="preserve">נפגע </w:t>
      </w:r>
      <w:r>
        <w:rPr>
          <w:rFonts w:hint="cs"/>
          <w:rtl/>
        </w:rPr>
        <w:t>סובל מפציעה קשה ורחבת היקף בפניו, לרבות פגיעה ניכרת בראייה, בחוש הריח ובתנועות הלשון והלסת.</w:t>
      </w:r>
    </w:p>
    <w:p w14:paraId="3031F48D" w14:textId="77777777" w:rsidR="003A629F" w:rsidRDefault="006635FA" w:rsidP="003F0794">
      <w:pPr>
        <w:pStyle w:val="ListParagraph"/>
        <w:numPr>
          <w:ilvl w:val="0"/>
          <w:numId w:val="1"/>
        </w:numPr>
        <w:spacing w:after="240"/>
      </w:pPr>
      <w:r>
        <w:rPr>
          <w:rFonts w:hint="cs"/>
          <w:rtl/>
        </w:rPr>
        <w:t xml:space="preserve">להשלמת התמונה </w:t>
      </w:r>
      <w:r w:rsidR="002679CD">
        <w:rPr>
          <w:rFonts w:hint="cs"/>
          <w:rtl/>
        </w:rPr>
        <w:t xml:space="preserve">בחלק זה של הדיון, </w:t>
      </w:r>
      <w:r w:rsidR="00174CB2">
        <w:rPr>
          <w:rFonts w:hint="cs"/>
          <w:rtl/>
        </w:rPr>
        <w:t xml:space="preserve">נציין </w:t>
      </w:r>
      <w:r>
        <w:rPr>
          <w:rFonts w:hint="cs"/>
          <w:rtl/>
        </w:rPr>
        <w:t xml:space="preserve">כי </w:t>
      </w:r>
      <w:r w:rsidR="003A629F">
        <w:rPr>
          <w:rFonts w:hint="cs"/>
          <w:rtl/>
        </w:rPr>
        <w:t xml:space="preserve">נוהל השגחה </w:t>
      </w:r>
      <w:r>
        <w:rPr>
          <w:rFonts w:hint="cs"/>
          <w:rtl/>
        </w:rPr>
        <w:t>מעוגן בפקוד</w:t>
      </w:r>
      <w:r w:rsidR="006E140F">
        <w:rPr>
          <w:rFonts w:hint="cs"/>
          <w:rtl/>
        </w:rPr>
        <w:t>ת מטכ"ל</w:t>
      </w:r>
      <w:r w:rsidR="003A629F">
        <w:rPr>
          <w:rFonts w:hint="cs"/>
          <w:rtl/>
        </w:rPr>
        <w:t xml:space="preserve"> 33.0219 </w:t>
      </w:r>
      <w:r w:rsidR="006E140F">
        <w:rPr>
          <w:rFonts w:hint="cs"/>
          <w:rtl/>
        </w:rPr>
        <w:t xml:space="preserve">שכותרתה </w:t>
      </w:r>
      <w:r w:rsidR="003A629F">
        <w:rPr>
          <w:rFonts w:hint="cs"/>
          <w:rtl/>
        </w:rPr>
        <w:t>"טיפול בחייל הנמצא במצוקה נפשית" (26.9.2017)</w:t>
      </w:r>
      <w:r w:rsidR="006E140F">
        <w:rPr>
          <w:rFonts w:hint="cs"/>
          <w:rtl/>
        </w:rPr>
        <w:t xml:space="preserve">, בסעיפים </w:t>
      </w:r>
      <w:r w:rsidR="001C01DF">
        <w:rPr>
          <w:rFonts w:hint="cs"/>
          <w:rtl/>
        </w:rPr>
        <w:t>7–</w:t>
      </w:r>
      <w:r w:rsidR="006E140F">
        <w:rPr>
          <w:rFonts w:hint="cs"/>
          <w:rtl/>
        </w:rPr>
        <w:t>9</w:t>
      </w:r>
      <w:r w:rsidR="003A629F">
        <w:rPr>
          <w:rFonts w:hint="cs"/>
          <w:rtl/>
        </w:rPr>
        <w:t>:</w:t>
      </w:r>
    </w:p>
    <w:p w14:paraId="077F8271" w14:textId="77777777" w:rsidR="003A629F" w:rsidRDefault="0057225B" w:rsidP="00DA442E">
      <w:pPr>
        <w:pStyle w:val="Quote"/>
        <w:ind w:left="1531" w:hanging="397"/>
        <w:rPr>
          <w:rtl/>
        </w:rPr>
      </w:pPr>
      <w:r>
        <w:rPr>
          <w:rFonts w:hint="cs"/>
          <w:rtl/>
        </w:rPr>
        <w:t>"</w:t>
      </w:r>
      <w:r w:rsidR="003A629F">
        <w:rPr>
          <w:rFonts w:hint="cs"/>
          <w:rtl/>
        </w:rPr>
        <w:t>7.</w:t>
      </w:r>
      <w:r w:rsidR="003A629F">
        <w:rPr>
          <w:rtl/>
        </w:rPr>
        <w:tab/>
      </w:r>
      <w:r w:rsidR="003A629F">
        <w:rPr>
          <w:rFonts w:hint="cs"/>
          <w:rtl/>
        </w:rPr>
        <w:t>אם סבור המפקד שהחייל עלול לנסות לפגוע בעצמו או שהחייל כבר ניסה לעשות כן, יפעל המפקד, בנוסף לאמור לעיל כמפורט להלן:</w:t>
      </w:r>
    </w:p>
    <w:p w14:paraId="41BBEBE3" w14:textId="77777777" w:rsidR="003A629F" w:rsidRDefault="003A629F" w:rsidP="00DA442E">
      <w:pPr>
        <w:pStyle w:val="Quote"/>
        <w:ind w:left="1928" w:hanging="397"/>
        <w:rPr>
          <w:rtl/>
        </w:rPr>
      </w:pPr>
      <w:r>
        <w:rPr>
          <w:rFonts w:hint="cs"/>
          <w:rtl/>
        </w:rPr>
        <w:t>א.</w:t>
      </w:r>
      <w:r>
        <w:rPr>
          <w:rtl/>
        </w:rPr>
        <w:tab/>
      </w:r>
      <w:r>
        <w:rPr>
          <w:rFonts w:hint="cs"/>
          <w:rtl/>
        </w:rPr>
        <w:t>המפקד ימנע מהחייל כל גישה לנשק; לשם כך, ימנה המפקד שני חיילים שמתפקידם להשגיח על החייל, לבל יפגע בעצמו או באחרים (להלן: "המשגיחים"). אם על המשגיחים לשאת נשק בתוקף תפקידם, הם י</w:t>
      </w:r>
      <w:r w:rsidR="00D66D4A">
        <w:rPr>
          <w:rFonts w:hint="cs"/>
          <w:rtl/>
        </w:rPr>
        <w:t>י</w:t>
      </w:r>
      <w:r>
        <w:rPr>
          <w:rFonts w:hint="cs"/>
          <w:rtl/>
        </w:rPr>
        <w:t>שאו את הנשק בלי מחסניות, ואת המחסניות י</w:t>
      </w:r>
      <w:r w:rsidR="00D66D4A">
        <w:rPr>
          <w:rFonts w:hint="cs"/>
          <w:rtl/>
        </w:rPr>
        <w:t>י</w:t>
      </w:r>
      <w:r>
        <w:rPr>
          <w:rFonts w:hint="cs"/>
          <w:rtl/>
        </w:rPr>
        <w:t>שאו בכיסם.</w:t>
      </w:r>
    </w:p>
    <w:p w14:paraId="61553E34" w14:textId="77777777" w:rsidR="003A629F" w:rsidRDefault="003A629F" w:rsidP="00DA442E">
      <w:pPr>
        <w:pStyle w:val="Quote"/>
        <w:ind w:left="1928" w:hanging="397"/>
        <w:rPr>
          <w:rtl/>
        </w:rPr>
      </w:pPr>
      <w:r>
        <w:rPr>
          <w:rFonts w:hint="cs"/>
          <w:rtl/>
        </w:rPr>
        <w:t>ב.</w:t>
      </w:r>
      <w:r>
        <w:rPr>
          <w:rtl/>
        </w:rPr>
        <w:tab/>
      </w:r>
      <w:r>
        <w:rPr>
          <w:rFonts w:hint="cs"/>
          <w:rtl/>
        </w:rPr>
        <w:t xml:space="preserve">מעמד המשגיחים </w:t>
      </w:r>
      <w:r>
        <w:rPr>
          <w:rtl/>
        </w:rPr>
        <w:t>–</w:t>
      </w:r>
      <w:r>
        <w:rPr>
          <w:rFonts w:hint="cs"/>
          <w:rtl/>
        </w:rPr>
        <w:t xml:space="preserve"> אם תנאי היחידה מאפשרים זאת, יהיו המשגיחים קצינים או חוגרים בשירות קבע. אם תנאי היחידה אינם מאפשרים זאת, יהיו המשגיחים חיילים בשירות חובה.</w:t>
      </w:r>
    </w:p>
    <w:p w14:paraId="1E402975" w14:textId="77777777" w:rsidR="003A629F" w:rsidRDefault="003A629F" w:rsidP="00DA442E">
      <w:pPr>
        <w:pStyle w:val="Quote"/>
        <w:ind w:left="1928" w:hanging="397"/>
        <w:rPr>
          <w:rtl/>
        </w:rPr>
      </w:pPr>
      <w:r>
        <w:rPr>
          <w:rFonts w:hint="cs"/>
          <w:rtl/>
        </w:rPr>
        <w:lastRenderedPageBreak/>
        <w:t>ג.</w:t>
      </w:r>
      <w:r>
        <w:rPr>
          <w:rtl/>
        </w:rPr>
        <w:tab/>
      </w:r>
      <w:r>
        <w:rPr>
          <w:rFonts w:hint="cs"/>
          <w:rtl/>
        </w:rPr>
        <w:t xml:space="preserve">דרגת המשגיחים </w:t>
      </w:r>
      <w:r>
        <w:rPr>
          <w:rtl/>
        </w:rPr>
        <w:t>–</w:t>
      </w:r>
      <w:r>
        <w:rPr>
          <w:rFonts w:hint="cs"/>
          <w:rtl/>
        </w:rPr>
        <w:t xml:space="preserve"> ככלל, תהיה דרגת המשגיחים כדרגת החייל, </w:t>
      </w:r>
      <w:r w:rsidR="00DA442E">
        <w:rPr>
          <w:rFonts w:hint="cs"/>
          <w:rtl/>
        </w:rPr>
        <w:t>לפחות. אם אין בנמצא חיילים שדרגתם כדרגת החייל, לפחות, והמפקד סבור שהחיילים אחרים מסוגלים לבצע את התפקיד, ימנה המפקד משגיחים שדרגתם נמוכה מדרגת החייל, שמסוגלים, לפי דעתו, לבצע את התפקיד.</w:t>
      </w:r>
    </w:p>
    <w:p w14:paraId="1E833BCE" w14:textId="77777777" w:rsidR="00DA442E" w:rsidRDefault="00DA442E" w:rsidP="00DA442E">
      <w:pPr>
        <w:pStyle w:val="Quote"/>
        <w:ind w:left="1928" w:hanging="397"/>
        <w:rPr>
          <w:rtl/>
        </w:rPr>
      </w:pPr>
      <w:r>
        <w:rPr>
          <w:rFonts w:hint="cs"/>
          <w:rtl/>
        </w:rPr>
        <w:t>ד.</w:t>
      </w:r>
      <w:r>
        <w:rPr>
          <w:rtl/>
        </w:rPr>
        <w:tab/>
      </w:r>
      <w:r>
        <w:rPr>
          <w:rFonts w:hint="cs"/>
          <w:rtl/>
        </w:rPr>
        <w:t xml:space="preserve">החייל יהיה תחת השגחת המשגיחים, בנפרד משאר חיילי היחידה, במקום שיש בו תנאי מנוחה הולמים. יש להביא את החייל לבדיקת גורם רפואי או גורם </w:t>
      </w:r>
      <w:proofErr w:type="spellStart"/>
      <w:r>
        <w:rPr>
          <w:rFonts w:hint="cs"/>
          <w:rtl/>
        </w:rPr>
        <w:t>ברה"ן</w:t>
      </w:r>
      <w:proofErr w:type="spellEnd"/>
      <w:r>
        <w:rPr>
          <w:rFonts w:hint="cs"/>
          <w:rtl/>
        </w:rPr>
        <w:t xml:space="preserve"> (להלן: "הגורם הבודק"), שיטפלו בחייל בהתאם לשיקוליהם המקצועיים. ההשגחה כאמור, לא תוסר מהחייל עד להבאתו בפני גורם רפואי או בפני גורם </w:t>
      </w:r>
      <w:proofErr w:type="spellStart"/>
      <w:r>
        <w:rPr>
          <w:rFonts w:hint="cs"/>
          <w:rtl/>
        </w:rPr>
        <w:t>ברה"ן</w:t>
      </w:r>
      <w:proofErr w:type="spellEnd"/>
      <w:r>
        <w:rPr>
          <w:rFonts w:hint="cs"/>
          <w:rtl/>
        </w:rPr>
        <w:t xml:space="preserve"> שיחליטו לגבי המשך ההשגחה על החייל.</w:t>
      </w:r>
    </w:p>
    <w:p w14:paraId="2B9A208F" w14:textId="77777777" w:rsidR="00DA442E" w:rsidRDefault="00DA442E" w:rsidP="00DA442E">
      <w:pPr>
        <w:pStyle w:val="Quote"/>
        <w:ind w:left="1928" w:hanging="397"/>
        <w:rPr>
          <w:rtl/>
        </w:rPr>
      </w:pPr>
      <w:r>
        <w:rPr>
          <w:rFonts w:hint="cs"/>
          <w:rtl/>
        </w:rPr>
        <w:t>ה.</w:t>
      </w:r>
      <w:r>
        <w:rPr>
          <w:rtl/>
        </w:rPr>
        <w:tab/>
      </w:r>
      <w:r>
        <w:rPr>
          <w:rFonts w:hint="cs"/>
          <w:rtl/>
        </w:rPr>
        <w:t>הנשק יוחזר לחייל על-פי החלטת מפקד בדרגת סא"ל, לפחות, ולאחר קבלת חוות דעת כתובה מגורם בריאות הנפש, הקובעת, כי אין מניעה לאפשר לחייל גישה לנשק.</w:t>
      </w:r>
    </w:p>
    <w:p w14:paraId="52DFD5CE" w14:textId="77777777" w:rsidR="00DA442E" w:rsidRDefault="00DA442E" w:rsidP="00DA442E">
      <w:pPr>
        <w:pStyle w:val="Quote"/>
        <w:ind w:left="1531" w:hanging="397"/>
        <w:rPr>
          <w:rtl/>
        </w:rPr>
      </w:pPr>
      <w:r>
        <w:rPr>
          <w:rFonts w:hint="cs"/>
          <w:rtl/>
        </w:rPr>
        <w:t>8.</w:t>
      </w:r>
      <w:r>
        <w:rPr>
          <w:rtl/>
        </w:rPr>
        <w:tab/>
      </w:r>
      <w:r>
        <w:rPr>
          <w:rFonts w:hint="cs"/>
          <w:rtl/>
        </w:rPr>
        <w:t>אם החליט הגורם הבודק שיש צורך גם באבחון פסיכיאטרי, יובא החייל בפני פסיכיאטר, בהתאם ללוחות הזמנים שקבע הגורם הבודק. אם ראה הגורם הבודק צורך בכך, תימשך ההשגחה על החייל עד להבאתו לפסיכיאטר. הטיפול בחייל וההשגחה עליו ימשיכו בהתאם להוראות הפסיכיאטר.</w:t>
      </w:r>
    </w:p>
    <w:p w14:paraId="701A2117" w14:textId="77777777" w:rsidR="00DA442E" w:rsidRDefault="00DA442E" w:rsidP="00DA442E">
      <w:pPr>
        <w:pStyle w:val="Quote"/>
        <w:ind w:left="1531" w:hanging="397"/>
        <w:rPr>
          <w:rtl/>
        </w:rPr>
      </w:pPr>
      <w:r>
        <w:rPr>
          <w:rFonts w:hint="cs"/>
          <w:rtl/>
        </w:rPr>
        <w:t>9.</w:t>
      </w:r>
      <w:r>
        <w:rPr>
          <w:rtl/>
        </w:rPr>
        <w:tab/>
      </w:r>
      <w:r>
        <w:rPr>
          <w:rFonts w:hint="cs"/>
          <w:rtl/>
        </w:rPr>
        <w:t xml:space="preserve">המשגיחים על החייל, כאמור בפקודה זו, יוחלפו בתורנות, כאילו הייתה זו שמירה, בהתאם לשעות השמירה המותרות, כמפורט </w:t>
      </w:r>
      <w:proofErr w:type="spellStart"/>
      <w:r>
        <w:rPr>
          <w:rFonts w:hint="cs"/>
          <w:rtl/>
        </w:rPr>
        <w:t>בפ"מ</w:t>
      </w:r>
      <w:proofErr w:type="spellEnd"/>
      <w:r>
        <w:rPr>
          <w:rFonts w:hint="cs"/>
          <w:rtl/>
        </w:rPr>
        <w:t xml:space="preserve"> 33.0213 </w:t>
      </w:r>
      <w:r w:rsidR="00094204">
        <w:rPr>
          <w:rFonts w:hint="cs"/>
          <w:rtl/>
        </w:rPr>
        <w:t>'</w:t>
      </w:r>
      <w:r>
        <w:rPr>
          <w:rFonts w:hint="cs"/>
          <w:rtl/>
        </w:rPr>
        <w:t>שעות שינה ומנוחה של חיילים</w:t>
      </w:r>
      <w:r w:rsidR="00094204">
        <w:rPr>
          <w:rFonts w:hint="cs"/>
          <w:rtl/>
        </w:rPr>
        <w:t>'</w:t>
      </w:r>
      <w:r>
        <w:rPr>
          <w:rFonts w:hint="cs"/>
          <w:rtl/>
        </w:rPr>
        <w:t>".</w:t>
      </w:r>
    </w:p>
    <w:p w14:paraId="357466B8" w14:textId="77777777" w:rsidR="00DE6BF7" w:rsidRDefault="002679CD" w:rsidP="00DE6BF7">
      <w:pPr>
        <w:spacing w:after="240"/>
      </w:pPr>
      <w:r>
        <w:rPr>
          <w:rFonts w:hint="cs"/>
          <w:rtl/>
        </w:rPr>
        <w:t xml:space="preserve">כמו כן, </w:t>
      </w:r>
      <w:r w:rsidR="00426CA0">
        <w:rPr>
          <w:rFonts w:hint="cs"/>
          <w:rtl/>
        </w:rPr>
        <w:t xml:space="preserve">על-פי </w:t>
      </w:r>
      <w:r w:rsidR="00DE6BF7" w:rsidRPr="00DE6BF7">
        <w:rPr>
          <w:rtl/>
        </w:rPr>
        <w:t>סעיף 1(ד) לפקודה</w:t>
      </w:r>
      <w:r w:rsidR="00426CA0">
        <w:rPr>
          <w:rFonts w:hint="cs"/>
          <w:rtl/>
        </w:rPr>
        <w:t xml:space="preserve">, </w:t>
      </w:r>
      <w:r w:rsidR="00DE6BF7" w:rsidRPr="00DE6BF7">
        <w:rPr>
          <w:rtl/>
        </w:rPr>
        <w:t>"מפקד החייל" הוא מפקדו הישיר של החייל "בדרגת סג"ם ומעלה".</w:t>
      </w:r>
    </w:p>
    <w:p w14:paraId="4D9561F5" w14:textId="77777777" w:rsidR="00FB4A8E" w:rsidRDefault="005605C4" w:rsidP="008049C4">
      <w:pPr>
        <w:pStyle w:val="Heading3"/>
      </w:pPr>
      <w:r w:rsidRPr="00E02E5A">
        <w:rPr>
          <w:rFonts w:hint="cs"/>
          <w:rtl/>
        </w:rPr>
        <w:t>החלת הדין על העובדות</w:t>
      </w:r>
    </w:p>
    <w:p w14:paraId="76DBC7EC" w14:textId="77777777" w:rsidR="00746467" w:rsidRDefault="00573A01" w:rsidP="001D64B9">
      <w:pPr>
        <w:pStyle w:val="ListParagraph"/>
        <w:numPr>
          <w:ilvl w:val="0"/>
          <w:numId w:val="1"/>
        </w:numPr>
      </w:pPr>
      <w:r>
        <w:rPr>
          <w:rFonts w:hint="cs"/>
          <w:rtl/>
        </w:rPr>
        <w:t xml:space="preserve">בית הדין המחוזי </w:t>
      </w:r>
      <w:r w:rsidR="006A5CF9">
        <w:rPr>
          <w:rFonts w:hint="cs"/>
          <w:rtl/>
        </w:rPr>
        <w:t xml:space="preserve">עמד על </w:t>
      </w:r>
      <w:r w:rsidR="009F1681">
        <w:rPr>
          <w:rFonts w:hint="cs"/>
          <w:rtl/>
        </w:rPr>
        <w:t xml:space="preserve">יסודות </w:t>
      </w:r>
      <w:r w:rsidR="001A0564">
        <w:rPr>
          <w:rFonts w:hint="cs"/>
          <w:rtl/>
        </w:rPr>
        <w:t>ה</w:t>
      </w:r>
      <w:r w:rsidR="009F1681">
        <w:rPr>
          <w:rFonts w:hint="cs"/>
          <w:rtl/>
        </w:rPr>
        <w:t>עביר</w:t>
      </w:r>
      <w:r w:rsidR="001A0564">
        <w:rPr>
          <w:rFonts w:hint="cs"/>
          <w:rtl/>
        </w:rPr>
        <w:t xml:space="preserve">ה של </w:t>
      </w:r>
      <w:r w:rsidR="009F1681">
        <w:rPr>
          <w:rFonts w:hint="cs"/>
          <w:rtl/>
        </w:rPr>
        <w:t>חבלה ברשלנות</w:t>
      </w:r>
      <w:r w:rsidR="0061728D">
        <w:rPr>
          <w:rFonts w:hint="cs"/>
          <w:rtl/>
        </w:rPr>
        <w:t xml:space="preserve"> </w:t>
      </w:r>
      <w:r w:rsidR="00BB21AF">
        <w:rPr>
          <w:rFonts w:hint="cs"/>
          <w:rtl/>
        </w:rPr>
        <w:t>(</w:t>
      </w:r>
      <w:r w:rsidR="009F1681">
        <w:rPr>
          <w:rFonts w:hint="cs"/>
          <w:rtl/>
        </w:rPr>
        <w:t xml:space="preserve">בענייננו </w:t>
      </w:r>
      <w:r w:rsidR="009F1681">
        <w:rPr>
          <w:rtl/>
        </w:rPr>
        <w:t>–</w:t>
      </w:r>
      <w:r w:rsidR="009F1681">
        <w:rPr>
          <w:rFonts w:hint="cs"/>
          <w:rtl/>
        </w:rPr>
        <w:t xml:space="preserve"> במחדל</w:t>
      </w:r>
      <w:r w:rsidR="00BB21AF">
        <w:rPr>
          <w:rFonts w:hint="cs"/>
          <w:rtl/>
        </w:rPr>
        <w:t>)</w:t>
      </w:r>
      <w:r w:rsidR="009F1681">
        <w:rPr>
          <w:rFonts w:hint="cs"/>
          <w:rtl/>
        </w:rPr>
        <w:t xml:space="preserve"> ו</w:t>
      </w:r>
      <w:r w:rsidR="00C9234F">
        <w:rPr>
          <w:rFonts w:hint="cs"/>
          <w:rtl/>
        </w:rPr>
        <w:t>הרחיב</w:t>
      </w:r>
      <w:r w:rsidR="00A066E6">
        <w:rPr>
          <w:rFonts w:hint="cs"/>
          <w:rtl/>
        </w:rPr>
        <w:t xml:space="preserve"> בסוגיי</w:t>
      </w:r>
      <w:r w:rsidR="00813CE7">
        <w:rPr>
          <w:rFonts w:hint="cs"/>
          <w:rtl/>
        </w:rPr>
        <w:t xml:space="preserve">ה של </w:t>
      </w:r>
      <w:r w:rsidR="009F1681">
        <w:rPr>
          <w:rFonts w:hint="cs"/>
          <w:rtl/>
        </w:rPr>
        <w:t xml:space="preserve">חובת </w:t>
      </w:r>
      <w:r w:rsidR="001C5F9E">
        <w:rPr>
          <w:rFonts w:hint="cs"/>
          <w:rtl/>
        </w:rPr>
        <w:t>ה</w:t>
      </w:r>
      <w:r w:rsidR="009F1681">
        <w:rPr>
          <w:rFonts w:hint="cs"/>
          <w:rtl/>
        </w:rPr>
        <w:t>זהירות</w:t>
      </w:r>
      <w:r w:rsidR="001C5F9E">
        <w:rPr>
          <w:rFonts w:hint="cs"/>
          <w:rtl/>
        </w:rPr>
        <w:t>,</w:t>
      </w:r>
      <w:r w:rsidR="009F1681">
        <w:rPr>
          <w:rFonts w:hint="cs"/>
          <w:rtl/>
        </w:rPr>
        <w:t xml:space="preserve"> מושגית וקונקרטית, והפרת</w:t>
      </w:r>
      <w:r w:rsidR="00C1470D">
        <w:rPr>
          <w:rFonts w:hint="cs"/>
          <w:rtl/>
        </w:rPr>
        <w:t>ה</w:t>
      </w:r>
      <w:r w:rsidR="009F1681">
        <w:rPr>
          <w:rFonts w:hint="cs"/>
          <w:rtl/>
        </w:rPr>
        <w:t xml:space="preserve"> תוך </w:t>
      </w:r>
      <w:r w:rsidR="00ED7602">
        <w:rPr>
          <w:rFonts w:hint="cs"/>
          <w:rtl/>
        </w:rPr>
        <w:t xml:space="preserve">נטילת </w:t>
      </w:r>
      <w:r w:rsidR="009F1681">
        <w:rPr>
          <w:rFonts w:hint="cs"/>
          <w:rtl/>
        </w:rPr>
        <w:t xml:space="preserve">סיכון בלתי סביר להתרחשות הנזק. </w:t>
      </w:r>
      <w:r w:rsidR="00ED7602">
        <w:rPr>
          <w:rFonts w:hint="cs"/>
          <w:rtl/>
        </w:rPr>
        <w:t xml:space="preserve">בואר כי </w:t>
      </w:r>
      <w:r w:rsidR="009F1681">
        <w:rPr>
          <w:rFonts w:hint="cs"/>
          <w:rtl/>
        </w:rPr>
        <w:t xml:space="preserve">מקורות חובה </w:t>
      </w:r>
      <w:r w:rsidR="00796945">
        <w:rPr>
          <w:rFonts w:hint="cs"/>
          <w:rtl/>
        </w:rPr>
        <w:t xml:space="preserve">אפשריים הם </w:t>
      </w:r>
      <w:r w:rsidR="001513AD" w:rsidRPr="001513AD">
        <w:rPr>
          <w:rtl/>
        </w:rPr>
        <w:t>פ</w:t>
      </w:r>
      <w:r w:rsidR="00356FBE">
        <w:rPr>
          <w:rFonts w:hint="cs"/>
          <w:rtl/>
        </w:rPr>
        <w:t>קודת מטכ</w:t>
      </w:r>
      <w:r w:rsidR="00B84548">
        <w:rPr>
          <w:rFonts w:hint="cs"/>
          <w:rtl/>
        </w:rPr>
        <w:t>"</w:t>
      </w:r>
      <w:r w:rsidR="00356FBE">
        <w:rPr>
          <w:rFonts w:hint="cs"/>
          <w:rtl/>
        </w:rPr>
        <w:t xml:space="preserve">ל </w:t>
      </w:r>
      <w:r w:rsidR="001513AD" w:rsidRPr="001513AD">
        <w:rPr>
          <w:rtl/>
        </w:rPr>
        <w:t xml:space="preserve">33.0219 </w:t>
      </w:r>
      <w:r w:rsidR="00B84548">
        <w:rPr>
          <w:rFonts w:hint="cs"/>
          <w:rtl/>
        </w:rPr>
        <w:t>הנ"ל</w:t>
      </w:r>
      <w:r w:rsidR="001513AD" w:rsidRPr="001513AD">
        <w:rPr>
          <w:rtl/>
        </w:rPr>
        <w:t>;</w:t>
      </w:r>
      <w:r w:rsidR="001513AD">
        <w:rPr>
          <w:rFonts w:hint="cs"/>
          <w:rtl/>
        </w:rPr>
        <w:t xml:space="preserve"> </w:t>
      </w:r>
      <w:r w:rsidR="00796945">
        <w:rPr>
          <w:rFonts w:hint="cs"/>
          <w:rtl/>
        </w:rPr>
        <w:t xml:space="preserve">היות המערער מפקדו של הנפגע; </w:t>
      </w:r>
      <w:r w:rsidR="009F1681">
        <w:rPr>
          <w:rFonts w:hint="cs"/>
          <w:rtl/>
        </w:rPr>
        <w:t>פקוד</w:t>
      </w:r>
      <w:r w:rsidR="00796945">
        <w:rPr>
          <w:rFonts w:hint="cs"/>
          <w:rtl/>
        </w:rPr>
        <w:t>ות</w:t>
      </w:r>
      <w:r w:rsidR="009F1681">
        <w:rPr>
          <w:rFonts w:hint="cs"/>
          <w:rtl/>
        </w:rPr>
        <w:t xml:space="preserve"> ישיר</w:t>
      </w:r>
      <w:r w:rsidR="00796945">
        <w:rPr>
          <w:rFonts w:hint="cs"/>
          <w:rtl/>
        </w:rPr>
        <w:t>ות</w:t>
      </w:r>
      <w:r w:rsidR="0081631F">
        <w:rPr>
          <w:rFonts w:hint="cs"/>
          <w:rtl/>
        </w:rPr>
        <w:t xml:space="preserve"> שקיבל</w:t>
      </w:r>
      <w:r w:rsidR="009F1681">
        <w:rPr>
          <w:rFonts w:hint="cs"/>
          <w:rtl/>
        </w:rPr>
        <w:t xml:space="preserve">; </w:t>
      </w:r>
      <w:r w:rsidR="008B0B55">
        <w:rPr>
          <w:rFonts w:hint="cs"/>
          <w:rtl/>
        </w:rPr>
        <w:t>ויצירת מצב מסוכן.</w:t>
      </w:r>
      <w:r w:rsidR="00796945" w:rsidRPr="00796945">
        <w:rPr>
          <w:rtl/>
        </w:rPr>
        <w:t xml:space="preserve"> </w:t>
      </w:r>
      <w:r w:rsidR="00177441">
        <w:rPr>
          <w:rFonts w:hint="cs"/>
          <w:rtl/>
        </w:rPr>
        <w:t xml:space="preserve">בית הדין קיבל את טענת ההגנה שלפיה </w:t>
      </w:r>
      <w:r w:rsidR="00D932C3">
        <w:rPr>
          <w:rFonts w:hint="cs"/>
          <w:rtl/>
        </w:rPr>
        <w:t xml:space="preserve">על </w:t>
      </w:r>
      <w:r w:rsidR="00A34D76">
        <w:rPr>
          <w:rFonts w:hint="cs"/>
          <w:rtl/>
        </w:rPr>
        <w:t xml:space="preserve">פי </w:t>
      </w:r>
      <w:r w:rsidR="00D932C3">
        <w:rPr>
          <w:rFonts w:hint="cs"/>
          <w:rtl/>
        </w:rPr>
        <w:t>הפקודה המטכ"לית ו</w:t>
      </w:r>
      <w:r w:rsidR="00A34D76">
        <w:rPr>
          <w:rFonts w:hint="cs"/>
          <w:rtl/>
        </w:rPr>
        <w:t xml:space="preserve">העדויות </w:t>
      </w:r>
      <w:r w:rsidR="009F0722">
        <w:rPr>
          <w:rFonts w:hint="cs"/>
          <w:rtl/>
        </w:rPr>
        <w:t xml:space="preserve">שהובאו לפניו, </w:t>
      </w:r>
      <w:r w:rsidR="00A34D76">
        <w:rPr>
          <w:rFonts w:hint="cs"/>
          <w:rtl/>
        </w:rPr>
        <w:t xml:space="preserve">המערער </w:t>
      </w:r>
      <w:r w:rsidR="009F0722">
        <w:rPr>
          <w:rFonts w:hint="cs"/>
          <w:rtl/>
        </w:rPr>
        <w:t xml:space="preserve">לא היה </w:t>
      </w:r>
      <w:r w:rsidR="00A34D76">
        <w:rPr>
          <w:rFonts w:hint="cs"/>
          <w:rtl/>
        </w:rPr>
        <w:t>אחרא</w:t>
      </w:r>
      <w:r w:rsidR="00521918">
        <w:rPr>
          <w:rFonts w:hint="cs"/>
          <w:rtl/>
        </w:rPr>
        <w:t>י ל</w:t>
      </w:r>
      <w:r w:rsidR="0010598F">
        <w:rPr>
          <w:rFonts w:hint="cs"/>
          <w:rtl/>
        </w:rPr>
        <w:t xml:space="preserve">נהל את </w:t>
      </w:r>
      <w:r w:rsidR="00521918">
        <w:rPr>
          <w:rFonts w:hint="cs"/>
          <w:rtl/>
        </w:rPr>
        <w:t>ההשגחה</w:t>
      </w:r>
      <w:r w:rsidR="0010598F">
        <w:rPr>
          <w:rFonts w:hint="cs"/>
          <w:rtl/>
        </w:rPr>
        <w:t xml:space="preserve"> על הנפגע</w:t>
      </w:r>
      <w:r w:rsidR="00521918">
        <w:rPr>
          <w:rFonts w:hint="cs"/>
          <w:rtl/>
        </w:rPr>
        <w:t xml:space="preserve">. </w:t>
      </w:r>
      <w:r w:rsidR="00326940">
        <w:rPr>
          <w:rFonts w:hint="cs"/>
          <w:rtl/>
        </w:rPr>
        <w:t xml:space="preserve">עם זאת, נמצא </w:t>
      </w:r>
      <w:r w:rsidR="00796945">
        <w:rPr>
          <w:rFonts w:hint="cs"/>
          <w:rtl/>
        </w:rPr>
        <w:t>שהפר את חובת הזהירות בכמה היבטים</w:t>
      </w:r>
      <w:r w:rsidR="00E75A14">
        <w:rPr>
          <w:rFonts w:hint="cs"/>
          <w:rtl/>
        </w:rPr>
        <w:t xml:space="preserve"> ובמספר הזדמנויות</w:t>
      </w:r>
      <w:r w:rsidR="00796945">
        <w:rPr>
          <w:rFonts w:hint="cs"/>
          <w:rtl/>
        </w:rPr>
        <w:t xml:space="preserve">: הוא פיקח על </w:t>
      </w:r>
      <w:r w:rsidR="00E75A14">
        <w:rPr>
          <w:rFonts w:hint="cs"/>
          <w:rtl/>
        </w:rPr>
        <w:t>ה</w:t>
      </w:r>
      <w:r w:rsidR="00796945">
        <w:rPr>
          <w:rFonts w:hint="cs"/>
          <w:rtl/>
        </w:rPr>
        <w:t>נפגע מחדר נפרד, ל</w:t>
      </w:r>
      <w:r w:rsidR="00E75A14">
        <w:rPr>
          <w:rFonts w:hint="cs"/>
          <w:rtl/>
        </w:rPr>
        <w:t xml:space="preserve">עיתים </w:t>
      </w:r>
      <w:r w:rsidR="00796945">
        <w:rPr>
          <w:rFonts w:hint="cs"/>
          <w:rtl/>
        </w:rPr>
        <w:t>כשהדלת סגורה ו</w:t>
      </w:r>
      <w:r w:rsidR="00D66D4A">
        <w:rPr>
          <w:rFonts w:hint="cs"/>
          <w:rtl/>
        </w:rPr>
        <w:t>ב</w:t>
      </w:r>
      <w:r w:rsidR="00796945">
        <w:rPr>
          <w:rFonts w:hint="cs"/>
          <w:rtl/>
        </w:rPr>
        <w:t xml:space="preserve">לא קשר עין ביניהם; הוא לא נקט אמצעים למנוע </w:t>
      </w:r>
      <w:r w:rsidR="007B78BD">
        <w:rPr>
          <w:rFonts w:hint="cs"/>
          <w:rtl/>
        </w:rPr>
        <w:t>מן הנ</w:t>
      </w:r>
      <w:r w:rsidR="001106A6">
        <w:rPr>
          <w:rFonts w:hint="cs"/>
          <w:rtl/>
        </w:rPr>
        <w:t>פ</w:t>
      </w:r>
      <w:r w:rsidR="007B78BD">
        <w:rPr>
          <w:rFonts w:hint="cs"/>
          <w:rtl/>
        </w:rPr>
        <w:t xml:space="preserve">גע </w:t>
      </w:r>
      <w:r w:rsidR="00796945">
        <w:rPr>
          <w:rFonts w:hint="cs"/>
          <w:rtl/>
        </w:rPr>
        <w:t>גישה לנשק; הוא הפר פקודה מפורשת של סג"ם דניאל לשלב את טור' לירן בהשגחה (ודאי לאחר שסגן תומר דרש מהמערער שנית לשוחח עם סג"ם דניאל); ולא דיווח למפקדיו על עייפותו לאחר השגחה ארוכה בלא שינה מספקת, וכך נרדם והותיר את הנפגע בלא השגחה.</w:t>
      </w:r>
      <w:r w:rsidR="001B1D0E">
        <w:rPr>
          <w:rFonts w:hint="cs"/>
          <w:rtl/>
        </w:rPr>
        <w:t xml:space="preserve"> לגבי שתי ההפרות האחרונות </w:t>
      </w:r>
      <w:r w:rsidR="001B1D0E">
        <w:rPr>
          <w:rtl/>
        </w:rPr>
        <w:t>–</w:t>
      </w:r>
      <w:r w:rsidR="001B1D0E">
        <w:rPr>
          <w:rFonts w:hint="cs"/>
          <w:rtl/>
        </w:rPr>
        <w:t xml:space="preserve"> אי מילוי פקודה ואי דיווח למפקדים </w:t>
      </w:r>
      <w:r w:rsidR="001B1D0E">
        <w:rPr>
          <w:rtl/>
        </w:rPr>
        <w:t>–</w:t>
      </w:r>
      <w:r w:rsidR="001B1D0E">
        <w:rPr>
          <w:rFonts w:hint="cs"/>
          <w:rtl/>
        </w:rPr>
        <w:t xml:space="preserve"> נמצא קשר סיבתי עובדתי ומשפטי לתוצאה. </w:t>
      </w:r>
    </w:p>
    <w:p w14:paraId="6891935B" w14:textId="77777777" w:rsidR="00C36EB8" w:rsidRDefault="00A56FF0" w:rsidP="001D64B9">
      <w:pPr>
        <w:pStyle w:val="ListParagraph"/>
        <w:numPr>
          <w:ilvl w:val="0"/>
          <w:numId w:val="1"/>
        </w:numPr>
      </w:pPr>
      <w:r>
        <w:rPr>
          <w:rFonts w:hint="cs"/>
          <w:rtl/>
        </w:rPr>
        <w:t>טענ</w:t>
      </w:r>
      <w:r w:rsidR="001106A6">
        <w:rPr>
          <w:rFonts w:hint="cs"/>
          <w:rtl/>
        </w:rPr>
        <w:t>ו</w:t>
      </w:r>
      <w:r>
        <w:rPr>
          <w:rFonts w:hint="cs"/>
          <w:rtl/>
        </w:rPr>
        <w:t xml:space="preserve">ת </w:t>
      </w:r>
      <w:r w:rsidR="001B1D0E">
        <w:rPr>
          <w:rFonts w:hint="cs"/>
          <w:rtl/>
        </w:rPr>
        <w:t>המערער שהמעשה האובדני של הנפגע וההוראה של סגן תומר לסמל רומן לעזוב למטווחים, ה</w:t>
      </w:r>
      <w:r>
        <w:rPr>
          <w:rFonts w:hint="cs"/>
          <w:rtl/>
        </w:rPr>
        <w:t xml:space="preserve">יו </w:t>
      </w:r>
      <w:r w:rsidR="001B1D0E">
        <w:rPr>
          <w:rFonts w:hint="cs"/>
          <w:rtl/>
        </w:rPr>
        <w:t>גורמים זרים מתערבים שנתק</w:t>
      </w:r>
      <w:r>
        <w:rPr>
          <w:rFonts w:hint="cs"/>
          <w:rtl/>
        </w:rPr>
        <w:t xml:space="preserve">ו </w:t>
      </w:r>
      <w:r w:rsidR="001B1D0E">
        <w:rPr>
          <w:rFonts w:hint="cs"/>
          <w:rtl/>
        </w:rPr>
        <w:t>את הקשר הסיבתי</w:t>
      </w:r>
      <w:r>
        <w:rPr>
          <w:rFonts w:hint="cs"/>
          <w:rtl/>
        </w:rPr>
        <w:t>, נדח</w:t>
      </w:r>
      <w:r w:rsidR="001106A6">
        <w:rPr>
          <w:rFonts w:hint="cs"/>
          <w:rtl/>
        </w:rPr>
        <w:t>ו</w:t>
      </w:r>
      <w:r>
        <w:rPr>
          <w:rFonts w:hint="cs"/>
          <w:rtl/>
        </w:rPr>
        <w:t xml:space="preserve"> לאחר שנקבע כי </w:t>
      </w:r>
      <w:r w:rsidR="001B1D0E">
        <w:rPr>
          <w:rFonts w:hint="cs"/>
          <w:rtl/>
        </w:rPr>
        <w:lastRenderedPageBreak/>
        <w:t xml:space="preserve">המעשה האובדני (וההכנות אליו) הוא </w:t>
      </w:r>
      <w:r w:rsidR="000247C7">
        <w:rPr>
          <w:rFonts w:hint="cs"/>
          <w:rtl/>
        </w:rPr>
        <w:t xml:space="preserve">הוא </w:t>
      </w:r>
      <w:r w:rsidR="001B1D0E">
        <w:rPr>
          <w:rFonts w:hint="cs"/>
          <w:rtl/>
        </w:rPr>
        <w:t>המעשה שהיה על המערער למנוע</w:t>
      </w:r>
      <w:r w:rsidR="008E1B6A">
        <w:rPr>
          <w:rFonts w:hint="cs"/>
          <w:rtl/>
        </w:rPr>
        <w:t xml:space="preserve">; וכי </w:t>
      </w:r>
      <w:r w:rsidR="001B1D0E">
        <w:rPr>
          <w:rFonts w:hint="cs"/>
          <w:rtl/>
        </w:rPr>
        <w:t xml:space="preserve">גם אם סגן תומר שגה, הרי </w:t>
      </w:r>
      <w:r w:rsidR="00DF17E2">
        <w:rPr>
          <w:rFonts w:hint="cs"/>
          <w:rtl/>
        </w:rPr>
        <w:t xml:space="preserve">שבעת ובעונה אחת (ושוב אחר כך) </w:t>
      </w:r>
      <w:r w:rsidR="000247C7">
        <w:rPr>
          <w:rFonts w:hint="cs"/>
          <w:rtl/>
        </w:rPr>
        <w:t xml:space="preserve">הוא </w:t>
      </w:r>
      <w:r w:rsidR="001B1D0E">
        <w:rPr>
          <w:rFonts w:hint="cs"/>
          <w:rtl/>
        </w:rPr>
        <w:t>הורה למערער לשוחח עם סג"ם דניאל</w:t>
      </w:r>
      <w:r w:rsidR="00DF17E2">
        <w:rPr>
          <w:rFonts w:hint="cs"/>
          <w:rtl/>
        </w:rPr>
        <w:t xml:space="preserve">, וזה </w:t>
      </w:r>
      <w:r w:rsidR="001106A6">
        <w:rPr>
          <w:rFonts w:hint="cs"/>
          <w:rtl/>
        </w:rPr>
        <w:t xml:space="preserve">כאמור, </w:t>
      </w:r>
      <w:r w:rsidR="00DF17E2">
        <w:rPr>
          <w:rFonts w:hint="cs"/>
          <w:rtl/>
        </w:rPr>
        <w:t xml:space="preserve">מצא פתרון לבעיה </w:t>
      </w:r>
      <w:r w:rsidR="00DF17E2">
        <w:rPr>
          <w:rtl/>
        </w:rPr>
        <w:t>–</w:t>
      </w:r>
      <w:r w:rsidR="00DF17E2">
        <w:rPr>
          <w:rFonts w:hint="cs"/>
          <w:rtl/>
        </w:rPr>
        <w:t xml:space="preserve"> א</w:t>
      </w:r>
      <w:r w:rsidR="008E1B6A">
        <w:rPr>
          <w:rFonts w:hint="cs"/>
          <w:rtl/>
        </w:rPr>
        <w:t>לא ש</w:t>
      </w:r>
      <w:r w:rsidR="00DF17E2">
        <w:rPr>
          <w:rFonts w:hint="cs"/>
          <w:rtl/>
        </w:rPr>
        <w:t xml:space="preserve">המערער הפר את פקודתו. </w:t>
      </w:r>
      <w:r w:rsidR="007F1833">
        <w:rPr>
          <w:rFonts w:hint="cs"/>
          <w:rtl/>
        </w:rPr>
        <w:t>בהתאם</w:t>
      </w:r>
      <w:r w:rsidR="004E541E">
        <w:rPr>
          <w:rFonts w:hint="cs"/>
          <w:rtl/>
        </w:rPr>
        <w:t>,</w:t>
      </w:r>
      <w:r w:rsidR="007F1833">
        <w:rPr>
          <w:rFonts w:hint="cs"/>
          <w:rtl/>
        </w:rPr>
        <w:t xml:space="preserve"> נקבע כי </w:t>
      </w:r>
      <w:r w:rsidR="00DF17E2">
        <w:rPr>
          <w:rFonts w:hint="cs"/>
          <w:rtl/>
        </w:rPr>
        <w:t>הקשר הסיבתי לא ניתק.</w:t>
      </w:r>
      <w:r w:rsidR="0067423F">
        <w:rPr>
          <w:rFonts w:hint="cs"/>
          <w:rtl/>
        </w:rPr>
        <w:t xml:space="preserve"> </w:t>
      </w:r>
    </w:p>
    <w:p w14:paraId="33CEF62E" w14:textId="77777777" w:rsidR="009F1681" w:rsidRDefault="0067423F" w:rsidP="001D64B9">
      <w:pPr>
        <w:pStyle w:val="ListParagraph"/>
        <w:numPr>
          <w:ilvl w:val="0"/>
          <w:numId w:val="1"/>
        </w:numPr>
      </w:pPr>
      <w:r>
        <w:rPr>
          <w:rFonts w:hint="cs"/>
          <w:rtl/>
        </w:rPr>
        <w:t xml:space="preserve">לצד </w:t>
      </w:r>
      <w:r w:rsidR="001106A6">
        <w:rPr>
          <w:rFonts w:hint="cs"/>
          <w:rtl/>
        </w:rPr>
        <w:t xml:space="preserve">זאת, </w:t>
      </w:r>
      <w:r>
        <w:rPr>
          <w:rFonts w:hint="cs"/>
          <w:rtl/>
        </w:rPr>
        <w:t xml:space="preserve">ציין בית הדין כי </w:t>
      </w:r>
      <w:r w:rsidR="00871D4D">
        <w:rPr>
          <w:rFonts w:hint="cs"/>
          <w:rtl/>
        </w:rPr>
        <w:t>"</w:t>
      </w:r>
      <w:r w:rsidR="00871D4D" w:rsidRPr="001106A6">
        <w:rPr>
          <w:rFonts w:hint="cs"/>
          <w:b/>
          <w:bCs/>
          <w:rtl/>
        </w:rPr>
        <w:t xml:space="preserve">לא ניתנה התייחסות מספקת מצד הגורמים הפיקודיים לצורך בהחלפת </w:t>
      </w:r>
      <w:r w:rsidR="009A0B38" w:rsidRPr="001106A6">
        <w:rPr>
          <w:rFonts w:hint="cs"/>
          <w:b/>
          <w:bCs/>
          <w:rtl/>
        </w:rPr>
        <w:t>משגיחים ובבחינת ערנותם</w:t>
      </w:r>
      <w:r w:rsidR="001106A6">
        <w:rPr>
          <w:rFonts w:hint="cs"/>
          <w:rtl/>
        </w:rPr>
        <w:t xml:space="preserve"> ..</w:t>
      </w:r>
      <w:r w:rsidR="009A0B38">
        <w:rPr>
          <w:rFonts w:hint="cs"/>
          <w:rtl/>
        </w:rPr>
        <w:t xml:space="preserve">. </w:t>
      </w:r>
      <w:r w:rsidR="001106A6">
        <w:rPr>
          <w:rFonts w:hint="cs"/>
          <w:rtl/>
        </w:rPr>
        <w:t>[ו]</w:t>
      </w:r>
      <w:r w:rsidR="009A0B38">
        <w:rPr>
          <w:rFonts w:hint="cs"/>
          <w:rtl/>
        </w:rPr>
        <w:t xml:space="preserve">בניגוד לנהלים </w:t>
      </w:r>
      <w:r w:rsidR="00A36712">
        <w:rPr>
          <w:rFonts w:hint="cs"/>
          <w:rtl/>
        </w:rPr>
        <w:t xml:space="preserve">... </w:t>
      </w:r>
      <w:r w:rsidR="006505F3" w:rsidRPr="001106A6">
        <w:rPr>
          <w:rFonts w:hint="cs"/>
          <w:b/>
          <w:bCs/>
          <w:rtl/>
        </w:rPr>
        <w:t>לא גובשו רשימות שמירה</w:t>
      </w:r>
      <w:r w:rsidR="006505F3">
        <w:rPr>
          <w:rFonts w:hint="cs"/>
          <w:rtl/>
        </w:rPr>
        <w:t>" (</w:t>
      </w:r>
      <w:r w:rsidR="001106A6">
        <w:rPr>
          <w:rFonts w:hint="cs"/>
          <w:rtl/>
        </w:rPr>
        <w:t xml:space="preserve">הדגשות במקור, </w:t>
      </w:r>
      <w:r w:rsidR="006505F3">
        <w:rPr>
          <w:rFonts w:hint="cs"/>
          <w:rtl/>
        </w:rPr>
        <w:t xml:space="preserve">פסקה </w:t>
      </w:r>
      <w:r w:rsidR="008D12E1">
        <w:rPr>
          <w:rFonts w:hint="cs"/>
          <w:rtl/>
        </w:rPr>
        <w:t>104 להכרעת הדין)</w:t>
      </w:r>
      <w:r w:rsidR="006505F3">
        <w:rPr>
          <w:rFonts w:hint="cs"/>
          <w:rtl/>
        </w:rPr>
        <w:t>.</w:t>
      </w:r>
    </w:p>
    <w:p w14:paraId="25C720AC" w14:textId="77777777" w:rsidR="00D24290" w:rsidRDefault="0054532F" w:rsidP="001D64B9">
      <w:pPr>
        <w:pStyle w:val="ListParagraph"/>
        <w:numPr>
          <w:ilvl w:val="0"/>
          <w:numId w:val="1"/>
        </w:numPr>
      </w:pPr>
      <w:r>
        <w:rPr>
          <w:rFonts w:hint="cs"/>
          <w:rtl/>
        </w:rPr>
        <w:t xml:space="preserve">אשר ליסוד הנפשי בעבירה, רשלנות, נקבע שחייל מן היישוב שמופקד </w:t>
      </w:r>
      <w:r w:rsidR="00A64932">
        <w:rPr>
          <w:rFonts w:hint="cs"/>
          <w:rtl/>
        </w:rPr>
        <w:t xml:space="preserve">על השגחה </w:t>
      </w:r>
      <w:r w:rsidR="00A16154">
        <w:rPr>
          <w:rFonts w:hint="cs"/>
          <w:rtl/>
        </w:rPr>
        <w:t>על פי ה</w:t>
      </w:r>
      <w:r>
        <w:rPr>
          <w:rFonts w:hint="cs"/>
          <w:rtl/>
        </w:rPr>
        <w:t>נוהל, מודע בכוח לאפשרות גרימת הנזק אם לא ימלא את חובתו. יתר על כן, המערער היה מודע למצב</w:t>
      </w:r>
      <w:r w:rsidR="00A16154">
        <w:rPr>
          <w:rFonts w:hint="cs"/>
          <w:rtl/>
        </w:rPr>
        <w:t>ו</w:t>
      </w:r>
      <w:r>
        <w:rPr>
          <w:rFonts w:hint="cs"/>
          <w:rtl/>
        </w:rPr>
        <w:t xml:space="preserve"> המיוחד של הנפגע ולנסיבות שהובילו להפעלת הנוהל</w:t>
      </w:r>
      <w:r w:rsidR="000B5510">
        <w:rPr>
          <w:rFonts w:hint="cs"/>
          <w:rtl/>
        </w:rPr>
        <w:t xml:space="preserve">; </w:t>
      </w:r>
      <w:r>
        <w:rPr>
          <w:rFonts w:hint="cs"/>
          <w:rtl/>
        </w:rPr>
        <w:t xml:space="preserve">לאחר שסרן גילי שוחחה </w:t>
      </w:r>
      <w:proofErr w:type="spellStart"/>
      <w:r>
        <w:rPr>
          <w:rFonts w:hint="cs"/>
          <w:rtl/>
        </w:rPr>
        <w:t>איתו</w:t>
      </w:r>
      <w:proofErr w:type="spellEnd"/>
      <w:r>
        <w:rPr>
          <w:rFonts w:hint="cs"/>
          <w:rtl/>
        </w:rPr>
        <w:t xml:space="preserve">, הבין </w:t>
      </w:r>
      <w:r w:rsidR="007422C4">
        <w:rPr>
          <w:rFonts w:hint="cs"/>
          <w:rtl/>
        </w:rPr>
        <w:t xml:space="preserve">שעל ההשגחה לכלול </w:t>
      </w:r>
      <w:r w:rsidR="00CE0E5B">
        <w:rPr>
          <w:rFonts w:hint="cs"/>
          <w:rtl/>
        </w:rPr>
        <w:t xml:space="preserve">שני שומרים </w:t>
      </w:r>
      <w:r w:rsidR="007422C4">
        <w:rPr>
          <w:rFonts w:hint="cs"/>
          <w:rtl/>
        </w:rPr>
        <w:t xml:space="preserve">תוך הרחקה </w:t>
      </w:r>
      <w:r w:rsidR="00CE0E5B">
        <w:rPr>
          <w:rFonts w:hint="cs"/>
          <w:rtl/>
        </w:rPr>
        <w:t>מנשק</w:t>
      </w:r>
      <w:r w:rsidR="000B5510">
        <w:rPr>
          <w:rFonts w:hint="cs"/>
          <w:rtl/>
        </w:rPr>
        <w:t xml:space="preserve">; </w:t>
      </w:r>
      <w:r w:rsidR="00BB6CA8">
        <w:rPr>
          <w:rFonts w:hint="cs"/>
          <w:rtl/>
        </w:rPr>
        <w:t>ו</w:t>
      </w:r>
      <w:r w:rsidR="00CE0E5B">
        <w:rPr>
          <w:rFonts w:hint="cs"/>
          <w:rtl/>
        </w:rPr>
        <w:t xml:space="preserve">היה מודע לחובה לצרף </w:t>
      </w:r>
      <w:r w:rsidR="00BB6CA8">
        <w:rPr>
          <w:rFonts w:hint="cs"/>
          <w:rtl/>
        </w:rPr>
        <w:t xml:space="preserve">אליו להשגחה </w:t>
      </w:r>
      <w:r w:rsidR="00CE0E5B">
        <w:rPr>
          <w:rFonts w:hint="cs"/>
          <w:rtl/>
        </w:rPr>
        <w:t xml:space="preserve">את טור' לירן, בהתאם לפקודה של סג"ם דניאל. </w:t>
      </w:r>
      <w:r w:rsidR="00BB6CA8">
        <w:rPr>
          <w:rFonts w:hint="cs"/>
          <w:rtl/>
        </w:rPr>
        <w:t>כמו כן, נקבע כי ה</w:t>
      </w:r>
      <w:r w:rsidR="00CE0E5B">
        <w:rPr>
          <w:rFonts w:hint="cs"/>
          <w:rtl/>
        </w:rPr>
        <w:t>יה מודע גם לכך שחסרו לו שעות שינה. בית הדין קמא הסיק מכך שהמערער היה מודע בכוח לאפשרות שיירדם במהלך ההשגחה</w:t>
      </w:r>
      <w:r w:rsidR="00D50CFF">
        <w:rPr>
          <w:rFonts w:hint="cs"/>
          <w:rtl/>
        </w:rPr>
        <w:t>,</w:t>
      </w:r>
      <w:r w:rsidR="00CE0E5B">
        <w:rPr>
          <w:rFonts w:hint="cs"/>
          <w:rtl/>
        </w:rPr>
        <w:t xml:space="preserve"> ומאחר שהיה משגיח יחיד</w:t>
      </w:r>
      <w:r w:rsidR="00DD499B">
        <w:rPr>
          <w:rFonts w:hint="cs"/>
          <w:rtl/>
        </w:rPr>
        <w:t xml:space="preserve"> </w:t>
      </w:r>
      <w:r w:rsidR="00D50CFF">
        <w:rPr>
          <w:rtl/>
        </w:rPr>
        <w:t>–</w:t>
      </w:r>
      <w:r w:rsidR="00DD499B">
        <w:rPr>
          <w:rFonts w:hint="cs"/>
          <w:rtl/>
        </w:rPr>
        <w:t xml:space="preserve"> </w:t>
      </w:r>
      <w:r w:rsidR="00D50CFF">
        <w:rPr>
          <w:rFonts w:hint="cs"/>
          <w:rtl/>
        </w:rPr>
        <w:t xml:space="preserve">גם </w:t>
      </w:r>
      <w:r w:rsidR="00CE0E5B">
        <w:rPr>
          <w:rFonts w:hint="cs"/>
          <w:rtl/>
        </w:rPr>
        <w:t xml:space="preserve">לאפשרות שהנפגע יישאר לבדו ועלול לבצע מעשה אובדני. </w:t>
      </w:r>
      <w:r w:rsidR="00DD499B">
        <w:rPr>
          <w:rFonts w:hint="cs"/>
          <w:rtl/>
        </w:rPr>
        <w:t xml:space="preserve">הוטעם </w:t>
      </w:r>
      <w:r w:rsidR="00EE3CF8">
        <w:rPr>
          <w:rFonts w:hint="cs"/>
          <w:rtl/>
        </w:rPr>
        <w:t xml:space="preserve">כי </w:t>
      </w:r>
      <w:r w:rsidR="00CE0E5B">
        <w:rPr>
          <w:rFonts w:hint="cs"/>
          <w:rtl/>
        </w:rPr>
        <w:t>גם אם המערער הבין שטור' לירן טרוד בעיסוקים אחרים, ו</w:t>
      </w:r>
      <w:r w:rsidR="00C47429">
        <w:rPr>
          <w:rFonts w:hint="cs"/>
          <w:rtl/>
        </w:rPr>
        <w:t>אף</w:t>
      </w:r>
      <w:r w:rsidR="00CE0E5B">
        <w:rPr>
          <w:rFonts w:hint="cs"/>
          <w:rtl/>
        </w:rPr>
        <w:t xml:space="preserve"> אם סבר שיוכל להשגיח לבדו על הנפגע </w:t>
      </w:r>
      <w:r w:rsidR="00CE0E5B">
        <w:rPr>
          <w:rtl/>
        </w:rPr>
        <w:t>–</w:t>
      </w:r>
      <w:r w:rsidR="00CE0E5B">
        <w:rPr>
          <w:rFonts w:hint="cs"/>
          <w:rtl/>
        </w:rPr>
        <w:t xml:space="preserve"> הוא </w:t>
      </w:r>
      <w:r w:rsidR="00EE3CF8">
        <w:rPr>
          <w:rFonts w:hint="cs"/>
          <w:rtl/>
        </w:rPr>
        <w:t xml:space="preserve">נטל </w:t>
      </w:r>
      <w:r w:rsidR="00CE0E5B">
        <w:rPr>
          <w:rFonts w:hint="cs"/>
          <w:rtl/>
        </w:rPr>
        <w:t xml:space="preserve">סיכון בלתי סביר. </w:t>
      </w:r>
      <w:r w:rsidR="00EE3CF8">
        <w:rPr>
          <w:rFonts w:hint="cs"/>
          <w:rtl/>
        </w:rPr>
        <w:t xml:space="preserve">בית הדין הדגיש כי </w:t>
      </w:r>
      <w:r w:rsidR="00CE0E5B">
        <w:rPr>
          <w:rFonts w:hint="cs"/>
          <w:rtl/>
        </w:rPr>
        <w:t>רק במקרים נדירים תיחשב סטייה מהוראות הבטיחות לסיכון סביר</w:t>
      </w:r>
      <w:r w:rsidR="00A03DF7">
        <w:rPr>
          <w:rFonts w:hint="cs"/>
          <w:rtl/>
        </w:rPr>
        <w:t xml:space="preserve"> ובמקרה </w:t>
      </w:r>
      <w:r w:rsidR="00C47429">
        <w:rPr>
          <w:rFonts w:hint="cs"/>
          <w:rtl/>
        </w:rPr>
        <w:t>שלפנינו,</w:t>
      </w:r>
      <w:r w:rsidR="00A03DF7">
        <w:rPr>
          <w:rFonts w:hint="cs"/>
          <w:rtl/>
        </w:rPr>
        <w:t xml:space="preserve"> </w:t>
      </w:r>
      <w:r w:rsidR="00C47429">
        <w:rPr>
          <w:rFonts w:hint="cs"/>
          <w:rtl/>
        </w:rPr>
        <w:t>"</w:t>
      </w:r>
      <w:r w:rsidR="00C47429" w:rsidRPr="00C47429">
        <w:rPr>
          <w:rtl/>
        </w:rPr>
        <w:t>מקום בו מפקדי</w:t>
      </w:r>
      <w:r w:rsidR="00C47429">
        <w:rPr>
          <w:rFonts w:hint="cs"/>
          <w:rtl/>
        </w:rPr>
        <w:t xml:space="preserve">[ו] ... </w:t>
      </w:r>
      <w:r w:rsidR="00C47429" w:rsidRPr="00C47429">
        <w:rPr>
          <w:rtl/>
        </w:rPr>
        <w:t>העירו לו בזמן אמת שלא ליטול את הסיכון האמור ולצרף את טור' לירן להשגחה, חוסר הסבירות הופך לקיצוני</w:t>
      </w:r>
      <w:r w:rsidR="00C47429">
        <w:rPr>
          <w:rFonts w:hint="cs"/>
          <w:rtl/>
        </w:rPr>
        <w:t xml:space="preserve">" (פסקה </w:t>
      </w:r>
      <w:r w:rsidR="00C47429" w:rsidRPr="00C47429">
        <w:rPr>
          <w:rtl/>
        </w:rPr>
        <w:t xml:space="preserve"> </w:t>
      </w:r>
      <w:r w:rsidR="00C47429">
        <w:rPr>
          <w:rFonts w:hint="cs"/>
          <w:rtl/>
        </w:rPr>
        <w:t>150 להכרעת הדין).</w:t>
      </w:r>
    </w:p>
    <w:p w14:paraId="633D37C8" w14:textId="77777777" w:rsidR="00D5158E" w:rsidRDefault="00CE7671" w:rsidP="001D64B9">
      <w:pPr>
        <w:pStyle w:val="ListParagraph"/>
        <w:numPr>
          <w:ilvl w:val="0"/>
          <w:numId w:val="1"/>
        </w:numPr>
      </w:pPr>
      <w:r>
        <w:rPr>
          <w:rFonts w:hint="cs"/>
          <w:rtl/>
        </w:rPr>
        <w:t xml:space="preserve">נמצא </w:t>
      </w:r>
      <w:r w:rsidR="00C47429">
        <w:rPr>
          <w:rFonts w:hint="cs"/>
          <w:rtl/>
        </w:rPr>
        <w:t xml:space="preserve">אפוא </w:t>
      </w:r>
      <w:r w:rsidR="00CE0E5B">
        <w:rPr>
          <w:rFonts w:hint="cs"/>
          <w:rtl/>
        </w:rPr>
        <w:t>שהתקיימו כל יסודות העבירה</w:t>
      </w:r>
      <w:r w:rsidR="00C47429">
        <w:rPr>
          <w:rFonts w:hint="cs"/>
          <w:rtl/>
        </w:rPr>
        <w:t xml:space="preserve"> ובית הדין נפנה לבחון את </w:t>
      </w:r>
      <w:r w:rsidR="0038578C">
        <w:rPr>
          <w:rFonts w:hint="cs"/>
          <w:rtl/>
        </w:rPr>
        <w:t xml:space="preserve">בקשת המערער </w:t>
      </w:r>
      <w:r w:rsidR="00D5158E">
        <w:rPr>
          <w:rFonts w:hint="cs"/>
          <w:rtl/>
        </w:rPr>
        <w:t>לזכותו מחמת הגנה מן הצדק</w:t>
      </w:r>
      <w:r w:rsidR="00824125">
        <w:rPr>
          <w:rFonts w:hint="cs"/>
          <w:rtl/>
        </w:rPr>
        <w:t xml:space="preserve">, לנוכח </w:t>
      </w:r>
      <w:r w:rsidR="00D5158E">
        <w:rPr>
          <w:rFonts w:hint="cs"/>
          <w:rtl/>
        </w:rPr>
        <w:t>אכיפה בררנית בשני היבטים</w:t>
      </w:r>
      <w:r w:rsidR="00D50CFF">
        <w:rPr>
          <w:rFonts w:hint="cs"/>
          <w:rtl/>
        </w:rPr>
        <w:t>.</w:t>
      </w:r>
      <w:r w:rsidR="00C47429">
        <w:rPr>
          <w:rFonts w:hint="cs"/>
          <w:rtl/>
        </w:rPr>
        <w:t xml:space="preserve"> </w:t>
      </w:r>
      <w:r w:rsidR="002A7DDB">
        <w:rPr>
          <w:rFonts w:hint="cs"/>
          <w:rtl/>
        </w:rPr>
        <w:t>היבט ראשון הוא ה</w:t>
      </w:r>
      <w:r w:rsidR="00D5158E">
        <w:rPr>
          <w:rFonts w:hint="cs"/>
          <w:rtl/>
        </w:rPr>
        <w:t xml:space="preserve">היבט </w:t>
      </w:r>
      <w:r w:rsidR="002A7DDB">
        <w:rPr>
          <w:rFonts w:hint="cs"/>
          <w:rtl/>
        </w:rPr>
        <w:t>ה</w:t>
      </w:r>
      <w:r w:rsidR="00D5158E">
        <w:rPr>
          <w:rFonts w:hint="cs"/>
          <w:rtl/>
        </w:rPr>
        <w:t>כללי</w:t>
      </w:r>
      <w:r w:rsidR="00F71E5A">
        <w:rPr>
          <w:rFonts w:hint="cs"/>
          <w:rtl/>
        </w:rPr>
        <w:t>, שבמסגרתו ה</w:t>
      </w:r>
      <w:r w:rsidR="00C47429">
        <w:rPr>
          <w:rFonts w:hint="cs"/>
          <w:rtl/>
        </w:rPr>
        <w:t xml:space="preserve">ציגה </w:t>
      </w:r>
      <w:r w:rsidR="00F71E5A">
        <w:rPr>
          <w:rFonts w:hint="cs"/>
          <w:rtl/>
        </w:rPr>
        <w:t xml:space="preserve">ההגנה </w:t>
      </w:r>
      <w:r w:rsidR="00C47429">
        <w:rPr>
          <w:rFonts w:hint="cs"/>
          <w:rtl/>
        </w:rPr>
        <w:t xml:space="preserve">את </w:t>
      </w:r>
      <w:r w:rsidR="00D5158E">
        <w:rPr>
          <w:rFonts w:hint="cs"/>
          <w:rtl/>
        </w:rPr>
        <w:t xml:space="preserve">הנחיית פרקליט המדינה 2.37 </w:t>
      </w:r>
      <w:r w:rsidR="00D5158E" w:rsidRPr="00D50CFF">
        <w:rPr>
          <w:rFonts w:ascii="David" w:hAnsi="David"/>
          <w:rtl/>
        </w:rPr>
        <w:t>"מדיניות התביעה בהחלטה על העמדה לדין בגין עבירות של גרימת מוות וגרימת חבלה ברשלנות"</w:t>
      </w:r>
      <w:r w:rsidR="00F71E5A" w:rsidRPr="00D50CFF">
        <w:rPr>
          <w:rFonts w:ascii="David" w:hAnsi="David" w:hint="cs"/>
          <w:rtl/>
        </w:rPr>
        <w:t>.</w:t>
      </w:r>
      <w:r w:rsidR="00D5158E">
        <w:rPr>
          <w:rFonts w:hint="cs"/>
          <w:rtl/>
        </w:rPr>
        <w:t xml:space="preserve"> </w:t>
      </w:r>
      <w:r w:rsidR="00523720">
        <w:rPr>
          <w:rFonts w:hint="cs"/>
          <w:rtl/>
        </w:rPr>
        <w:t>נטען כי ב</w:t>
      </w:r>
      <w:r w:rsidR="00D5158E">
        <w:rPr>
          <w:rFonts w:hint="cs"/>
          <w:rtl/>
        </w:rPr>
        <w:t>נסיבות העניין</w:t>
      </w:r>
      <w:r w:rsidR="00EA1745">
        <w:rPr>
          <w:rFonts w:hint="cs"/>
          <w:rtl/>
        </w:rPr>
        <w:t>, על פי</w:t>
      </w:r>
      <w:r w:rsidR="00D5158E">
        <w:rPr>
          <w:rFonts w:hint="cs"/>
          <w:rtl/>
        </w:rPr>
        <w:t xml:space="preserve"> </w:t>
      </w:r>
      <w:r w:rsidR="00EA1745">
        <w:rPr>
          <w:rFonts w:hint="cs"/>
          <w:rtl/>
        </w:rPr>
        <w:t xml:space="preserve">ההנחיה, </w:t>
      </w:r>
      <w:r w:rsidR="00D5158E">
        <w:rPr>
          <w:rFonts w:hint="cs"/>
          <w:rtl/>
        </w:rPr>
        <w:t>לא הי</w:t>
      </w:r>
      <w:r w:rsidR="007422C4">
        <w:rPr>
          <w:rFonts w:hint="cs"/>
          <w:rtl/>
        </w:rPr>
        <w:t>ה</w:t>
      </w:r>
      <w:r w:rsidR="00D5158E">
        <w:rPr>
          <w:rFonts w:hint="cs"/>
          <w:rtl/>
        </w:rPr>
        <w:t xml:space="preserve"> </w:t>
      </w:r>
      <w:r w:rsidR="00523720">
        <w:rPr>
          <w:rFonts w:hint="cs"/>
          <w:rtl/>
        </w:rPr>
        <w:t xml:space="preserve">מקום </w:t>
      </w:r>
      <w:r w:rsidR="00D5158E">
        <w:rPr>
          <w:rFonts w:hint="cs"/>
          <w:rtl/>
        </w:rPr>
        <w:t>ל</w:t>
      </w:r>
      <w:r w:rsidR="00523720">
        <w:rPr>
          <w:rFonts w:hint="cs"/>
          <w:rtl/>
        </w:rPr>
        <w:t xml:space="preserve">הגיש </w:t>
      </w:r>
      <w:r w:rsidR="00D5158E">
        <w:rPr>
          <w:rFonts w:hint="cs"/>
          <w:rtl/>
        </w:rPr>
        <w:t>כתב אישום</w:t>
      </w:r>
      <w:r w:rsidR="00523720">
        <w:rPr>
          <w:rFonts w:hint="cs"/>
          <w:rtl/>
        </w:rPr>
        <w:t xml:space="preserve"> </w:t>
      </w:r>
      <w:r w:rsidR="00F945FF">
        <w:rPr>
          <w:rFonts w:hint="cs"/>
          <w:rtl/>
        </w:rPr>
        <w:t>נגד המערער</w:t>
      </w:r>
      <w:r w:rsidR="00D5158E">
        <w:rPr>
          <w:rFonts w:hint="cs"/>
          <w:rtl/>
        </w:rPr>
        <w:t xml:space="preserve">. בית הדין המחוזי </w:t>
      </w:r>
      <w:r w:rsidR="00AD533F">
        <w:rPr>
          <w:rFonts w:hint="cs"/>
          <w:rtl/>
        </w:rPr>
        <w:t>דחה את הטענה ו</w:t>
      </w:r>
      <w:r w:rsidR="00D5158E">
        <w:rPr>
          <w:rFonts w:hint="cs"/>
          <w:rtl/>
        </w:rPr>
        <w:t xml:space="preserve">הזכיר בהקשר זה גם את הנחיית התביעה הצבאית הראשית 2.01 </w:t>
      </w:r>
      <w:r w:rsidR="00D5158E" w:rsidRPr="00D50CFF">
        <w:rPr>
          <w:rFonts w:ascii="David" w:hAnsi="David"/>
          <w:rtl/>
        </w:rPr>
        <w:t>"עבירות הריגה וגרימת מוות ברשלנות"</w:t>
      </w:r>
      <w:r w:rsidR="00C47429" w:rsidRPr="00D50CFF">
        <w:rPr>
          <w:rFonts w:ascii="David" w:hAnsi="David" w:hint="cs"/>
          <w:rtl/>
        </w:rPr>
        <w:t>, שלפיה יש לשקול גם "</w:t>
      </w:r>
      <w:r w:rsidR="00C47429" w:rsidRPr="00C47429">
        <w:rPr>
          <w:rtl/>
        </w:rPr>
        <w:t>שיקולים צבאיים ייחודיים, כגון רשלנות שמקורה בהתנהלות של מפקדים</w:t>
      </w:r>
      <w:r w:rsidR="00C47429">
        <w:rPr>
          <w:rFonts w:hint="cs"/>
          <w:rtl/>
        </w:rPr>
        <w:t xml:space="preserve"> (</w:t>
      </w:r>
      <w:r w:rsidR="00C47429" w:rsidRPr="00C47429">
        <w:rPr>
          <w:rtl/>
        </w:rPr>
        <w:t>סעיף 6 להנחיה</w:t>
      </w:r>
      <w:r w:rsidR="00C47429">
        <w:rPr>
          <w:rFonts w:hint="cs"/>
          <w:rtl/>
        </w:rPr>
        <w:t>)" (פסקה 163). בואר כי "</w:t>
      </w:r>
      <w:r w:rsidR="00C47429" w:rsidRPr="00C47429">
        <w:rPr>
          <w:rtl/>
        </w:rPr>
        <w:t>אף שההנחיה מתייחסת לעבירות שתוצאתן מוות, עקרונותיה רלוונטיים גם למקרים בהם נגרמה חבלה</w:t>
      </w:r>
      <w:r w:rsidR="00C47429">
        <w:rPr>
          <w:rFonts w:hint="cs"/>
          <w:rtl/>
        </w:rPr>
        <w:t xml:space="preserve">" (שם). בית הדין פסק כי </w:t>
      </w:r>
      <w:r w:rsidR="00D5158E">
        <w:rPr>
          <w:rFonts w:hint="cs"/>
          <w:rtl/>
        </w:rPr>
        <w:t>הגשת כתב האישום בעבירת חבלה ברשלנות תאמה את ההנחיות</w:t>
      </w:r>
      <w:r w:rsidR="008E2BF1">
        <w:rPr>
          <w:rFonts w:hint="cs"/>
          <w:rtl/>
        </w:rPr>
        <w:t xml:space="preserve"> </w:t>
      </w:r>
      <w:r w:rsidR="00E449B5">
        <w:rPr>
          <w:rFonts w:hint="cs"/>
          <w:rtl/>
        </w:rPr>
        <w:t xml:space="preserve">הנ"ל, </w:t>
      </w:r>
      <w:r w:rsidR="008E2BF1">
        <w:rPr>
          <w:rFonts w:hint="cs"/>
          <w:rtl/>
        </w:rPr>
        <w:t xml:space="preserve">מאחר שמקור החובה </w:t>
      </w:r>
      <w:r w:rsidR="00615C91">
        <w:rPr>
          <w:rFonts w:hint="cs"/>
          <w:rtl/>
        </w:rPr>
        <w:t xml:space="preserve">היה ברור, ישיר ומבוסס; </w:t>
      </w:r>
      <w:r w:rsidR="00D5158E">
        <w:rPr>
          <w:rFonts w:hint="cs"/>
          <w:rtl/>
        </w:rPr>
        <w:t xml:space="preserve">המערער חרג מסטנדרט הזהירות חריגה מהותית ומשמעותית; </w:t>
      </w:r>
      <w:r w:rsidR="00615C91">
        <w:rPr>
          <w:rFonts w:hint="cs"/>
          <w:rtl/>
        </w:rPr>
        <w:t>ו</w:t>
      </w:r>
      <w:r w:rsidR="00D5158E">
        <w:rPr>
          <w:rFonts w:hint="cs"/>
          <w:rtl/>
        </w:rPr>
        <w:t>צפה בסבירות גבוהה את האפשרות להתרחשות מעשה אובדני</w:t>
      </w:r>
      <w:r w:rsidR="00615C91">
        <w:rPr>
          <w:rFonts w:hint="cs"/>
          <w:rtl/>
        </w:rPr>
        <w:t xml:space="preserve">. כמו כן </w:t>
      </w:r>
      <w:r w:rsidR="00D5158E">
        <w:rPr>
          <w:rFonts w:hint="cs"/>
          <w:rtl/>
        </w:rPr>
        <w:t>נקבע שההגנה לא הוכיחה, כמותית ומהותית, סטייה מ</w:t>
      </w:r>
      <w:r w:rsidR="00E449B5">
        <w:rPr>
          <w:rFonts w:hint="cs"/>
          <w:rtl/>
        </w:rPr>
        <w:t xml:space="preserve">ן המדיניות המקובלת </w:t>
      </w:r>
      <w:r w:rsidR="00D5158E">
        <w:rPr>
          <w:rFonts w:hint="cs"/>
          <w:rtl/>
        </w:rPr>
        <w:t>של התביעה ב</w:t>
      </w:r>
      <w:r w:rsidR="00E449B5">
        <w:rPr>
          <w:rFonts w:hint="cs"/>
          <w:rtl/>
        </w:rPr>
        <w:t>יחס ל</w:t>
      </w:r>
      <w:r w:rsidR="00D5158E">
        <w:rPr>
          <w:rFonts w:hint="cs"/>
          <w:rtl/>
        </w:rPr>
        <w:t>מקרים אחרים.</w:t>
      </w:r>
    </w:p>
    <w:p w14:paraId="3E91D091" w14:textId="77777777" w:rsidR="00D5158E" w:rsidRDefault="00D5158E" w:rsidP="001D64B9">
      <w:pPr>
        <w:pStyle w:val="ListParagraph"/>
        <w:numPr>
          <w:ilvl w:val="0"/>
          <w:numId w:val="1"/>
        </w:numPr>
      </w:pPr>
      <w:r>
        <w:rPr>
          <w:rFonts w:hint="cs"/>
          <w:rtl/>
        </w:rPr>
        <w:lastRenderedPageBreak/>
        <w:t>היבט שני</w:t>
      </w:r>
      <w:r w:rsidR="003E777C">
        <w:rPr>
          <w:rFonts w:hint="cs"/>
          <w:rtl/>
        </w:rPr>
        <w:t xml:space="preserve">, </w:t>
      </w:r>
      <w:r>
        <w:rPr>
          <w:rFonts w:hint="cs"/>
          <w:rtl/>
        </w:rPr>
        <w:t>פרטני</w:t>
      </w:r>
      <w:r w:rsidR="00575716">
        <w:rPr>
          <w:rFonts w:hint="cs"/>
          <w:rtl/>
        </w:rPr>
        <w:t>,</w:t>
      </w:r>
      <w:r w:rsidR="003E777C">
        <w:rPr>
          <w:rFonts w:hint="cs"/>
          <w:rtl/>
        </w:rPr>
        <w:t xml:space="preserve"> עניינו בטענת ההגנה כי </w:t>
      </w:r>
      <w:r>
        <w:rPr>
          <w:rFonts w:hint="cs"/>
          <w:rtl/>
        </w:rPr>
        <w:t>המערער הופלה לרעה מול מפקד המחזור</w:t>
      </w:r>
      <w:r w:rsidR="00E449B5">
        <w:rPr>
          <w:rFonts w:hint="cs"/>
          <w:rtl/>
        </w:rPr>
        <w:t>,</w:t>
      </w:r>
      <w:r>
        <w:rPr>
          <w:rFonts w:hint="cs"/>
          <w:rtl/>
        </w:rPr>
        <w:t xml:space="preserve"> רס"ן נתן</w:t>
      </w:r>
      <w:r w:rsidR="00E449B5">
        <w:rPr>
          <w:rFonts w:hint="cs"/>
          <w:rtl/>
        </w:rPr>
        <w:t>,</w:t>
      </w:r>
      <w:r>
        <w:rPr>
          <w:rFonts w:hint="cs"/>
          <w:rtl/>
        </w:rPr>
        <w:t xml:space="preserve"> ומול מפקד הפלוגה</w:t>
      </w:r>
      <w:r w:rsidR="00E449B5">
        <w:rPr>
          <w:rFonts w:hint="cs"/>
          <w:rtl/>
        </w:rPr>
        <w:t>,</w:t>
      </w:r>
      <w:r>
        <w:rPr>
          <w:rFonts w:hint="cs"/>
          <w:rtl/>
        </w:rPr>
        <w:t xml:space="preserve"> סרן אורי, שלא הועמדו לדין כלל</w:t>
      </w:r>
      <w:r w:rsidR="00561698">
        <w:rPr>
          <w:rFonts w:hint="cs"/>
          <w:rtl/>
        </w:rPr>
        <w:t>. המערער אף הפנה לפסקי הדין ב</w:t>
      </w:r>
      <w:r>
        <w:rPr>
          <w:rFonts w:hint="cs"/>
          <w:rtl/>
        </w:rPr>
        <w:t xml:space="preserve">בית הדין המחוזי </w:t>
      </w:r>
      <w:r w:rsidR="00561698">
        <w:rPr>
          <w:rFonts w:hint="cs"/>
          <w:rtl/>
        </w:rPr>
        <w:t>בעניינם של סג"ם דניאל וסגן תומר, ש</w:t>
      </w:r>
      <w:r w:rsidR="00575716">
        <w:rPr>
          <w:rFonts w:hint="cs"/>
          <w:rtl/>
        </w:rPr>
        <w:t>הורשעו ב</w:t>
      </w:r>
      <w:r w:rsidR="002D0FAB">
        <w:rPr>
          <w:rFonts w:hint="cs"/>
          <w:rtl/>
        </w:rPr>
        <w:t xml:space="preserve">סעיף </w:t>
      </w:r>
      <w:r w:rsidR="00575716">
        <w:rPr>
          <w:rFonts w:hint="cs"/>
          <w:rtl/>
        </w:rPr>
        <w:t xml:space="preserve">עבירה </w:t>
      </w:r>
      <w:r w:rsidR="002D0FAB">
        <w:rPr>
          <w:rFonts w:hint="cs"/>
          <w:rtl/>
        </w:rPr>
        <w:t>שהרשעה בו אינה נושאת רישום פלילי</w:t>
      </w:r>
      <w:r w:rsidR="00575716">
        <w:rPr>
          <w:rFonts w:hint="cs"/>
          <w:rtl/>
        </w:rPr>
        <w:t>, חלף הסעיף שיוחס להם בכתב</w:t>
      </w:r>
      <w:r w:rsidR="005355C7">
        <w:rPr>
          <w:rFonts w:hint="cs"/>
          <w:rtl/>
        </w:rPr>
        <w:t>י</w:t>
      </w:r>
      <w:r w:rsidR="00575716">
        <w:rPr>
          <w:rFonts w:hint="cs"/>
          <w:rtl/>
        </w:rPr>
        <w:t xml:space="preserve"> האישום</w:t>
      </w:r>
      <w:r>
        <w:rPr>
          <w:rFonts w:hint="cs"/>
          <w:rtl/>
        </w:rPr>
        <w:t>.</w:t>
      </w:r>
      <w:r w:rsidR="003B7C16">
        <w:rPr>
          <w:rFonts w:hint="cs"/>
          <w:rtl/>
        </w:rPr>
        <w:t xml:space="preserve"> </w:t>
      </w:r>
      <w:r w:rsidR="00446276">
        <w:rPr>
          <w:rFonts w:hint="cs"/>
          <w:rtl/>
        </w:rPr>
        <w:t>הש</w:t>
      </w:r>
      <w:r w:rsidR="003B7C16">
        <w:rPr>
          <w:rFonts w:hint="cs"/>
          <w:rtl/>
        </w:rPr>
        <w:t>ופטי</w:t>
      </w:r>
      <w:r w:rsidR="00446276">
        <w:rPr>
          <w:rFonts w:hint="cs"/>
          <w:rtl/>
        </w:rPr>
        <w:t xml:space="preserve">ם אכן התרשמו כי מן הראיות שהוצגו להם עולה </w:t>
      </w:r>
      <w:r w:rsidR="00FD6CCE">
        <w:rPr>
          <w:rFonts w:hint="cs"/>
          <w:rtl/>
        </w:rPr>
        <w:t>ש</w:t>
      </w:r>
      <w:r w:rsidR="003B7C16">
        <w:rPr>
          <w:rFonts w:hint="cs"/>
          <w:rtl/>
        </w:rPr>
        <w:t xml:space="preserve">סרן אורי התרשל התרשלות בולטת במיוחד </w:t>
      </w:r>
      <w:r w:rsidR="003B7C16">
        <w:rPr>
          <w:rtl/>
        </w:rPr>
        <w:t>–</w:t>
      </w:r>
      <w:r w:rsidR="003B7C16">
        <w:rPr>
          <w:rFonts w:hint="cs"/>
          <w:rtl/>
        </w:rPr>
        <w:t xml:space="preserve"> הן באי מילוי חובותיו בתור האחראי </w:t>
      </w:r>
      <w:r w:rsidR="00F7149D">
        <w:rPr>
          <w:rFonts w:hint="cs"/>
          <w:rtl/>
        </w:rPr>
        <w:t xml:space="preserve">ביחידה </w:t>
      </w:r>
      <w:r w:rsidR="003B7C16">
        <w:rPr>
          <w:rFonts w:hint="cs"/>
          <w:rtl/>
        </w:rPr>
        <w:t>לנוהל ההשגחה, הן בהוצאת סמל רומן ממשימת ההשגחה</w:t>
      </w:r>
      <w:r w:rsidR="00E449B5">
        <w:rPr>
          <w:rFonts w:hint="cs"/>
          <w:rtl/>
        </w:rPr>
        <w:t xml:space="preserve"> בשעות הבוקר</w:t>
      </w:r>
      <w:r w:rsidR="003B7C16">
        <w:rPr>
          <w:rFonts w:hint="cs"/>
          <w:rtl/>
        </w:rPr>
        <w:t xml:space="preserve">. </w:t>
      </w:r>
      <w:r w:rsidR="006D7A1A">
        <w:rPr>
          <w:rFonts w:hint="cs"/>
          <w:rtl/>
        </w:rPr>
        <w:t xml:space="preserve">בואר כי הנמקת התביעה </w:t>
      </w:r>
      <w:r w:rsidR="00FD6CCE">
        <w:rPr>
          <w:rFonts w:hint="cs"/>
          <w:rtl/>
        </w:rPr>
        <w:t xml:space="preserve">להימנע </w:t>
      </w:r>
      <w:r w:rsidR="008E2977">
        <w:rPr>
          <w:rFonts w:hint="cs"/>
          <w:rtl/>
        </w:rPr>
        <w:t>מהגשת כתב אישום בעניינו</w:t>
      </w:r>
      <w:r w:rsidR="00E449B5">
        <w:rPr>
          <w:rFonts w:hint="cs"/>
          <w:rtl/>
        </w:rPr>
        <w:t>,</w:t>
      </w:r>
      <w:r w:rsidR="008E2977">
        <w:rPr>
          <w:rFonts w:hint="cs"/>
          <w:rtl/>
        </w:rPr>
        <w:t xml:space="preserve"> מאחר </w:t>
      </w:r>
      <w:r w:rsidR="006D7A1A">
        <w:rPr>
          <w:rFonts w:hint="cs"/>
          <w:rtl/>
        </w:rPr>
        <w:t xml:space="preserve">שסברה כי </w:t>
      </w:r>
      <w:r w:rsidR="003B7C16">
        <w:rPr>
          <w:rFonts w:hint="cs"/>
          <w:rtl/>
        </w:rPr>
        <w:t>יקשה עליה להוכיח קשר סיבתי</w:t>
      </w:r>
      <w:r w:rsidR="00E449B5">
        <w:rPr>
          <w:rFonts w:hint="cs"/>
          <w:rtl/>
        </w:rPr>
        <w:t xml:space="preserve"> </w:t>
      </w:r>
      <w:r w:rsidR="00D50CFF">
        <w:rPr>
          <w:rtl/>
        </w:rPr>
        <w:t>–</w:t>
      </w:r>
      <w:r w:rsidR="00E449B5">
        <w:rPr>
          <w:rFonts w:hint="cs"/>
          <w:rtl/>
        </w:rPr>
        <w:t xml:space="preserve"> </w:t>
      </w:r>
      <w:r w:rsidR="003B7C16">
        <w:rPr>
          <w:rFonts w:hint="cs"/>
          <w:rtl/>
        </w:rPr>
        <w:t>אינה חפה מקשיים</w:t>
      </w:r>
      <w:r w:rsidR="001752CB">
        <w:rPr>
          <w:rFonts w:hint="cs"/>
          <w:rtl/>
        </w:rPr>
        <w:t xml:space="preserve">. עם זאת, שופטי הרוב מצאו כי </w:t>
      </w:r>
      <w:r w:rsidR="003B7C16">
        <w:rPr>
          <w:rFonts w:hint="cs"/>
          <w:rtl/>
        </w:rPr>
        <w:t>אחריות</w:t>
      </w:r>
      <w:r w:rsidR="0052207A">
        <w:rPr>
          <w:rFonts w:hint="cs"/>
          <w:rtl/>
        </w:rPr>
        <w:t>ו</w:t>
      </w:r>
      <w:r w:rsidR="003B7C16">
        <w:rPr>
          <w:rFonts w:hint="cs"/>
          <w:rtl/>
        </w:rPr>
        <w:t xml:space="preserve"> של המערער מובחנת מזו של שאר המפקדים </w:t>
      </w:r>
      <w:r w:rsidR="003B7C16">
        <w:rPr>
          <w:rtl/>
        </w:rPr>
        <w:t>–</w:t>
      </w:r>
      <w:r w:rsidR="003B7C16">
        <w:rPr>
          <w:rFonts w:hint="cs"/>
          <w:rtl/>
        </w:rPr>
        <w:t xml:space="preserve"> הוא ניצב במעגל הפנימי ביותר של נוהל ההשגחה ושימש משגיח ישיר במשימה מסוימת וברורה. </w:t>
      </w:r>
      <w:r w:rsidR="0052207A">
        <w:rPr>
          <w:rFonts w:hint="cs"/>
          <w:rtl/>
        </w:rPr>
        <w:t>נקבע כי המערער</w:t>
      </w:r>
      <w:r w:rsidR="003B7C16">
        <w:rPr>
          <w:rFonts w:hint="cs"/>
          <w:rtl/>
        </w:rPr>
        <w:t xml:space="preserve"> </w:t>
      </w:r>
      <w:r w:rsidR="0052207A">
        <w:rPr>
          <w:rFonts w:hint="cs"/>
          <w:rtl/>
        </w:rPr>
        <w:t xml:space="preserve">הוא </w:t>
      </w:r>
      <w:r w:rsidR="003B7C16">
        <w:rPr>
          <w:rFonts w:hint="cs"/>
          <w:rtl/>
        </w:rPr>
        <w:t>הגורם העיקרי ביותר שהיה יכול למנוע את הנזק ביעילות</w:t>
      </w:r>
      <w:r w:rsidR="00AE07B5">
        <w:rPr>
          <w:rFonts w:hint="cs"/>
          <w:rtl/>
        </w:rPr>
        <w:t xml:space="preserve"> וכי</w:t>
      </w:r>
      <w:r w:rsidR="003B7C16">
        <w:rPr>
          <w:rFonts w:hint="cs"/>
          <w:rtl/>
        </w:rPr>
        <w:t xml:space="preserve"> בכך שלא מילא את פקודות מפקדיו, גרם להכשלתם. על כן דחו שופטי הרוב את טענת האכיפה הבררנית. לעומת</w:t>
      </w:r>
      <w:r w:rsidR="00AE07B5">
        <w:rPr>
          <w:rFonts w:hint="cs"/>
          <w:rtl/>
        </w:rPr>
        <w:t>ם</w:t>
      </w:r>
      <w:r w:rsidR="003B7C16">
        <w:rPr>
          <w:rFonts w:hint="cs"/>
          <w:rtl/>
        </w:rPr>
        <w:t xml:space="preserve">, </w:t>
      </w:r>
      <w:r w:rsidR="00AE07B5">
        <w:rPr>
          <w:rFonts w:hint="cs"/>
          <w:rtl/>
        </w:rPr>
        <w:t xml:space="preserve">סבר </w:t>
      </w:r>
      <w:r w:rsidR="003B7C16">
        <w:rPr>
          <w:rFonts w:hint="cs"/>
          <w:rtl/>
        </w:rPr>
        <w:t>שופט המיעוט ש</w:t>
      </w:r>
      <w:r w:rsidR="00AE07B5">
        <w:rPr>
          <w:rFonts w:hint="cs"/>
          <w:rtl/>
        </w:rPr>
        <w:t xml:space="preserve">תוצאה שלפיה </w:t>
      </w:r>
      <w:r w:rsidR="003B7C16">
        <w:rPr>
          <w:rFonts w:hint="cs"/>
          <w:rtl/>
        </w:rPr>
        <w:t xml:space="preserve">רק המערער </w:t>
      </w:r>
      <w:r w:rsidR="003B7C16">
        <w:rPr>
          <w:rtl/>
        </w:rPr>
        <w:t>–</w:t>
      </w:r>
      <w:r w:rsidR="003B7C16">
        <w:rPr>
          <w:rFonts w:hint="cs"/>
          <w:rtl/>
        </w:rPr>
        <w:t xml:space="preserve"> מכל שרשרת הפיקוד שכשלה </w:t>
      </w:r>
      <w:r w:rsidR="003B7C16">
        <w:rPr>
          <w:rtl/>
        </w:rPr>
        <w:t>–</w:t>
      </w:r>
      <w:r w:rsidR="003B7C16">
        <w:rPr>
          <w:rFonts w:hint="cs"/>
          <w:rtl/>
        </w:rPr>
        <w:t xml:space="preserve"> יורשע בעבירה נושאת רישום פלילי, פוגעת מהותית בתחושת הצדק. על כן היה ממיר את סעיף האישום לעבירה ש</w:t>
      </w:r>
      <w:r w:rsidR="00D96D36">
        <w:rPr>
          <w:rFonts w:hint="cs"/>
          <w:rtl/>
        </w:rPr>
        <w:t xml:space="preserve">הרשעה בה </w:t>
      </w:r>
      <w:r w:rsidR="003B7C16">
        <w:rPr>
          <w:rFonts w:hint="cs"/>
          <w:rtl/>
        </w:rPr>
        <w:t>אינה נושאת רישום פלילי: התרשלות, לפי סעיף 124 לח</w:t>
      </w:r>
      <w:r w:rsidR="00D96D36">
        <w:rPr>
          <w:rFonts w:hint="cs"/>
          <w:rtl/>
        </w:rPr>
        <w:t>וק השיפוט הצבאי</w:t>
      </w:r>
      <w:r w:rsidR="003B7C16">
        <w:rPr>
          <w:rFonts w:hint="cs"/>
          <w:rtl/>
        </w:rPr>
        <w:t>.</w:t>
      </w:r>
    </w:p>
    <w:p w14:paraId="7AFB2D81" w14:textId="77777777" w:rsidR="003B7C16" w:rsidRDefault="003B7C16" w:rsidP="001D64B9">
      <w:pPr>
        <w:pStyle w:val="ListParagraph"/>
        <w:numPr>
          <w:ilvl w:val="0"/>
          <w:numId w:val="1"/>
        </w:numPr>
      </w:pPr>
      <w:r>
        <w:rPr>
          <w:rFonts w:hint="cs"/>
          <w:rtl/>
        </w:rPr>
        <w:t xml:space="preserve">סיכומו של דבר: בית הדין המחוזי קבע פה אחד שהמערער </w:t>
      </w:r>
      <w:r w:rsidR="00822175">
        <w:rPr>
          <w:rFonts w:hint="cs"/>
          <w:rtl/>
        </w:rPr>
        <w:t>ביצע את המיוחס לו. בדעת רוב הורשע המערער בעבירה שננקבה בכתב האישום, חבלה ברשלנות, לפי סעיף 341 לחוק העונשין.</w:t>
      </w:r>
    </w:p>
    <w:p w14:paraId="110D9E1C" w14:textId="77777777" w:rsidR="0060359E" w:rsidRDefault="00B35ED3" w:rsidP="0060359E">
      <w:pPr>
        <w:pStyle w:val="Heading2"/>
      </w:pPr>
      <w:r>
        <w:rPr>
          <w:rFonts w:hint="cs"/>
          <w:rtl/>
        </w:rPr>
        <w:t xml:space="preserve">עיקרי </w:t>
      </w:r>
      <w:r w:rsidR="0060359E">
        <w:rPr>
          <w:rFonts w:hint="cs"/>
          <w:rtl/>
        </w:rPr>
        <w:t>טענות הצדדים</w:t>
      </w:r>
    </w:p>
    <w:p w14:paraId="52774F8B" w14:textId="77777777" w:rsidR="00901D9B" w:rsidRDefault="00901D9B" w:rsidP="00901D9B">
      <w:pPr>
        <w:pStyle w:val="Heading3"/>
      </w:pPr>
      <w:r>
        <w:rPr>
          <w:rFonts w:hint="cs"/>
          <w:rtl/>
        </w:rPr>
        <w:t>טענות המערער</w:t>
      </w:r>
    </w:p>
    <w:p w14:paraId="46336A40" w14:textId="77777777" w:rsidR="00D75F87" w:rsidRDefault="00EB0310" w:rsidP="00267E8E">
      <w:pPr>
        <w:pStyle w:val="ListParagraph"/>
        <w:numPr>
          <w:ilvl w:val="0"/>
          <w:numId w:val="1"/>
        </w:numPr>
      </w:pPr>
      <w:r>
        <w:rPr>
          <w:rFonts w:hint="cs"/>
          <w:rtl/>
        </w:rPr>
        <w:t>ההגנה שבה על טענותיה כנגד הרשעתו של המערער בעבירה שיוחסה לו בכתב האישום</w:t>
      </w:r>
      <w:r w:rsidR="00D75F87">
        <w:rPr>
          <w:rFonts w:hint="cs"/>
          <w:rtl/>
        </w:rPr>
        <w:t xml:space="preserve">, כפי שהוצגו לפני בית הדין המחוזי. </w:t>
      </w:r>
    </w:p>
    <w:p w14:paraId="3D800286" w14:textId="77777777" w:rsidR="00D75F87" w:rsidRPr="00754CB9" w:rsidRDefault="005F06C1" w:rsidP="00267E8E">
      <w:pPr>
        <w:pStyle w:val="ListParagraph"/>
        <w:numPr>
          <w:ilvl w:val="0"/>
          <w:numId w:val="1"/>
        </w:numPr>
      </w:pPr>
      <w:r w:rsidRPr="00754CB9">
        <w:rPr>
          <w:rFonts w:hint="cs"/>
          <w:rtl/>
        </w:rPr>
        <w:t>ב</w:t>
      </w:r>
      <w:r w:rsidR="00D75F87" w:rsidRPr="00754CB9">
        <w:rPr>
          <w:rFonts w:hint="cs"/>
          <w:rtl/>
        </w:rPr>
        <w:t xml:space="preserve">ין היתר, טענה כי לנוכח הוראת </w:t>
      </w:r>
      <w:r w:rsidR="007D0211" w:rsidRPr="00754CB9">
        <w:rPr>
          <w:rtl/>
        </w:rPr>
        <w:t xml:space="preserve">סעיף 1(ד) לפקודה </w:t>
      </w:r>
      <w:r w:rsidR="00D75F87" w:rsidRPr="00754CB9">
        <w:rPr>
          <w:rFonts w:hint="cs"/>
          <w:rtl/>
        </w:rPr>
        <w:t>המטכ"לית, המעגנת את נוהל ההשגחה, שלפי</w:t>
      </w:r>
      <w:r w:rsidR="00F7075B" w:rsidRPr="00754CB9">
        <w:rPr>
          <w:rFonts w:hint="cs"/>
          <w:rtl/>
        </w:rPr>
        <w:t>ה</w:t>
      </w:r>
      <w:r w:rsidR="00D75F87" w:rsidRPr="00754CB9">
        <w:rPr>
          <w:rFonts w:hint="cs"/>
          <w:rtl/>
        </w:rPr>
        <w:t xml:space="preserve"> </w:t>
      </w:r>
      <w:r w:rsidR="007D0211" w:rsidRPr="00754CB9">
        <w:rPr>
          <w:rtl/>
        </w:rPr>
        <w:t>"מפקד החייל" הוא מפקדו הישיר של החייל "בדרגת סג"ם ומעלה"</w:t>
      </w:r>
      <w:r w:rsidR="00D75F87" w:rsidRPr="00754CB9">
        <w:rPr>
          <w:rFonts w:hint="cs"/>
          <w:rtl/>
        </w:rPr>
        <w:t xml:space="preserve"> </w:t>
      </w:r>
      <w:r w:rsidR="00D75F87" w:rsidRPr="00754CB9">
        <w:rPr>
          <w:rtl/>
        </w:rPr>
        <w:t>–</w:t>
      </w:r>
      <w:r w:rsidR="00D75F87" w:rsidRPr="00754CB9">
        <w:rPr>
          <w:rFonts w:hint="cs"/>
          <w:rtl/>
        </w:rPr>
        <w:t xml:space="preserve"> אין לראות במערער כמי שאחראי לכישלון ביישום הנוהל</w:t>
      </w:r>
      <w:r w:rsidR="007D0211" w:rsidRPr="00754CB9">
        <w:rPr>
          <w:rtl/>
        </w:rPr>
        <w:t xml:space="preserve">. </w:t>
      </w:r>
    </w:p>
    <w:p w14:paraId="72EDB062" w14:textId="77777777" w:rsidR="00563B0B" w:rsidRPr="00754CB9" w:rsidRDefault="00D75F87" w:rsidP="00267E8E">
      <w:pPr>
        <w:pStyle w:val="ListParagraph"/>
        <w:numPr>
          <w:ilvl w:val="0"/>
          <w:numId w:val="1"/>
        </w:numPr>
      </w:pPr>
      <w:r w:rsidRPr="00754CB9">
        <w:rPr>
          <w:rFonts w:hint="cs"/>
          <w:rtl/>
        </w:rPr>
        <w:t xml:space="preserve">כמו כן, נטען כי </w:t>
      </w:r>
      <w:r w:rsidR="00C30767">
        <w:rPr>
          <w:rFonts w:hint="cs"/>
          <w:rtl/>
        </w:rPr>
        <w:t>אין</w:t>
      </w:r>
      <w:r w:rsidRPr="00754CB9">
        <w:rPr>
          <w:rFonts w:hint="cs"/>
          <w:rtl/>
        </w:rPr>
        <w:t xml:space="preserve"> </w:t>
      </w:r>
      <w:r w:rsidR="00563B0B" w:rsidRPr="00754CB9">
        <w:rPr>
          <w:rtl/>
        </w:rPr>
        <w:t>קשר סיבתי ישיר בין מעשיו של המערער לתוצאה, שכן המפקדים</w:t>
      </w:r>
      <w:r w:rsidRPr="00754CB9">
        <w:rPr>
          <w:rFonts w:hint="cs"/>
          <w:rtl/>
        </w:rPr>
        <w:t xml:space="preserve"> השונים לא וידאו את ביצוען של הפקודות שנתנו במסגרת נוהל ההשגחה </w:t>
      </w:r>
      <w:r w:rsidR="00563B0B" w:rsidRPr="00754CB9">
        <w:rPr>
          <w:rtl/>
        </w:rPr>
        <w:t>ובכך הפרו את חובתם</w:t>
      </w:r>
      <w:r w:rsidRPr="00754CB9">
        <w:rPr>
          <w:rFonts w:hint="cs"/>
          <w:rtl/>
        </w:rPr>
        <w:t xml:space="preserve">. </w:t>
      </w:r>
      <w:r w:rsidR="00663871" w:rsidRPr="00754CB9">
        <w:rPr>
          <w:rFonts w:hint="cs"/>
          <w:rtl/>
        </w:rPr>
        <w:t>זאת ועוד, סרן אורי וסגן תומר הפרו את נוהל ההשגחה</w:t>
      </w:r>
      <w:r w:rsidR="00F7075B" w:rsidRPr="00754CB9">
        <w:rPr>
          <w:rFonts w:hint="cs"/>
          <w:rtl/>
        </w:rPr>
        <w:t xml:space="preserve"> בעצמם ו</w:t>
      </w:r>
      <w:r w:rsidR="00663871" w:rsidRPr="00754CB9">
        <w:rPr>
          <w:rFonts w:hint="cs"/>
          <w:rtl/>
        </w:rPr>
        <w:t xml:space="preserve">לנגד עיניו של המערער, כאשר שלחו את המשגיח השני למשימות והותירו את המערער משגיח יחיד, גם אם לפרק זמן מסוים. נטען כי התנהלות זו השפיעה על האווירה ועל יחסו של המערער להוראות </w:t>
      </w:r>
      <w:r w:rsidR="00663871" w:rsidRPr="00754CB9">
        <w:rPr>
          <w:rFonts w:hint="cs"/>
          <w:rtl/>
        </w:rPr>
        <w:lastRenderedPageBreak/>
        <w:t xml:space="preserve">הנוהל. </w:t>
      </w:r>
      <w:r w:rsidR="00563B0B" w:rsidRPr="00754CB9">
        <w:rPr>
          <w:rtl/>
        </w:rPr>
        <w:t xml:space="preserve">נטען </w:t>
      </w:r>
      <w:r w:rsidRPr="00754CB9">
        <w:rPr>
          <w:rFonts w:hint="cs"/>
          <w:rtl/>
        </w:rPr>
        <w:t xml:space="preserve">גם </w:t>
      </w:r>
      <w:r w:rsidR="00563B0B" w:rsidRPr="00754CB9">
        <w:rPr>
          <w:rtl/>
        </w:rPr>
        <w:t>כי הפקודה לצרף את לירן לא הייתה ישימה</w:t>
      </w:r>
      <w:r w:rsidR="00C30767">
        <w:rPr>
          <w:rFonts w:hint="cs"/>
          <w:rtl/>
        </w:rPr>
        <w:t>,</w:t>
      </w:r>
      <w:r w:rsidR="00563B0B" w:rsidRPr="00754CB9">
        <w:rPr>
          <w:rtl/>
        </w:rPr>
        <w:t xml:space="preserve"> שכן לירן הגיע באיחור </w:t>
      </w:r>
      <w:r w:rsidRPr="00754CB9">
        <w:rPr>
          <w:rFonts w:hint="cs"/>
          <w:rtl/>
        </w:rPr>
        <w:t xml:space="preserve">למקום </w:t>
      </w:r>
      <w:r w:rsidR="00563B0B" w:rsidRPr="00754CB9">
        <w:rPr>
          <w:rtl/>
        </w:rPr>
        <w:t xml:space="preserve">והיה </w:t>
      </w:r>
      <w:r w:rsidRPr="00754CB9">
        <w:rPr>
          <w:rFonts w:hint="cs"/>
          <w:rtl/>
        </w:rPr>
        <w:t xml:space="preserve">עסוק </w:t>
      </w:r>
      <w:r w:rsidR="00563B0B" w:rsidRPr="00754CB9">
        <w:rPr>
          <w:rtl/>
        </w:rPr>
        <w:t xml:space="preserve">בביצוע משימות </w:t>
      </w:r>
      <w:r w:rsidRPr="00754CB9">
        <w:rPr>
          <w:rFonts w:hint="cs"/>
          <w:rtl/>
        </w:rPr>
        <w:t xml:space="preserve">שחייבו נשיאת </w:t>
      </w:r>
      <w:r w:rsidR="00563B0B" w:rsidRPr="00754CB9">
        <w:rPr>
          <w:rtl/>
        </w:rPr>
        <w:t>נשק.</w:t>
      </w:r>
      <w:r w:rsidR="00663871" w:rsidRPr="00754CB9">
        <w:rPr>
          <w:rFonts w:hint="cs"/>
          <w:rtl/>
        </w:rPr>
        <w:t xml:space="preserve"> </w:t>
      </w:r>
    </w:p>
    <w:p w14:paraId="23949A69" w14:textId="77777777" w:rsidR="00663871" w:rsidRPr="00754CB9" w:rsidRDefault="00563B0B" w:rsidP="00267E8E">
      <w:pPr>
        <w:pStyle w:val="ListParagraph"/>
        <w:numPr>
          <w:ilvl w:val="0"/>
          <w:numId w:val="1"/>
        </w:numPr>
      </w:pPr>
      <w:r w:rsidRPr="00754CB9">
        <w:rPr>
          <w:rtl/>
        </w:rPr>
        <w:t xml:space="preserve">ההגנה </w:t>
      </w:r>
      <w:r w:rsidR="00663871" w:rsidRPr="00754CB9">
        <w:rPr>
          <w:rFonts w:hint="cs"/>
          <w:rtl/>
        </w:rPr>
        <w:t>שבה וה</w:t>
      </w:r>
      <w:r w:rsidRPr="00754CB9">
        <w:rPr>
          <w:rtl/>
        </w:rPr>
        <w:t>דגישה את מחדלי המפקדים ביחידה</w:t>
      </w:r>
      <w:r w:rsidR="00E56985" w:rsidRPr="00754CB9">
        <w:rPr>
          <w:rFonts w:hint="cs"/>
          <w:rtl/>
        </w:rPr>
        <w:t>,</w:t>
      </w:r>
      <w:r w:rsidRPr="00754CB9">
        <w:rPr>
          <w:rtl/>
        </w:rPr>
        <w:t xml:space="preserve"> את הפרת </w:t>
      </w:r>
      <w:r w:rsidR="00663871" w:rsidRPr="00754CB9">
        <w:rPr>
          <w:rFonts w:hint="cs"/>
          <w:rtl/>
        </w:rPr>
        <w:t>ה</w:t>
      </w:r>
      <w:r w:rsidRPr="00754CB9">
        <w:rPr>
          <w:rtl/>
        </w:rPr>
        <w:t>פקוד</w:t>
      </w:r>
      <w:r w:rsidR="00663871" w:rsidRPr="00754CB9">
        <w:rPr>
          <w:rFonts w:hint="cs"/>
          <w:rtl/>
        </w:rPr>
        <w:t>ה המסדירה את ש</w:t>
      </w:r>
      <w:r w:rsidRPr="00754CB9">
        <w:rPr>
          <w:rtl/>
        </w:rPr>
        <w:t>עות השינה</w:t>
      </w:r>
      <w:r w:rsidR="00663871" w:rsidRPr="00754CB9">
        <w:rPr>
          <w:rFonts w:hint="cs"/>
          <w:rtl/>
        </w:rPr>
        <w:t xml:space="preserve"> של המשגיחים ו</w:t>
      </w:r>
      <w:r w:rsidR="00E56985" w:rsidRPr="00754CB9">
        <w:rPr>
          <w:rFonts w:hint="cs"/>
          <w:rtl/>
        </w:rPr>
        <w:t xml:space="preserve">את אי-הכנתה של </w:t>
      </w:r>
      <w:r w:rsidR="00663871" w:rsidRPr="00754CB9">
        <w:rPr>
          <w:rFonts w:hint="cs"/>
          <w:rtl/>
        </w:rPr>
        <w:t xml:space="preserve">רשימת שומרים </w:t>
      </w:r>
      <w:r w:rsidR="00F7075B" w:rsidRPr="00754CB9">
        <w:rPr>
          <w:rFonts w:hint="cs"/>
          <w:rtl/>
        </w:rPr>
        <w:t>לשם כך</w:t>
      </w:r>
      <w:r w:rsidR="00663871" w:rsidRPr="00754CB9">
        <w:rPr>
          <w:rFonts w:hint="cs"/>
          <w:rtl/>
        </w:rPr>
        <w:t xml:space="preserve">. נטען כי במשך למעלה </w:t>
      </w:r>
      <w:r w:rsidR="00E56985" w:rsidRPr="00754CB9">
        <w:rPr>
          <w:rFonts w:hint="cs"/>
          <w:rtl/>
        </w:rPr>
        <w:t>מ-</w:t>
      </w:r>
      <w:r w:rsidRPr="00754CB9">
        <w:rPr>
          <w:rtl/>
        </w:rPr>
        <w:t xml:space="preserve">32 שעות </w:t>
      </w:r>
      <w:r w:rsidR="00F7075B" w:rsidRPr="00754CB9">
        <w:rPr>
          <w:rFonts w:hint="cs"/>
          <w:rtl/>
        </w:rPr>
        <w:t xml:space="preserve">רצופות </w:t>
      </w:r>
      <w:r w:rsidR="00C30767" w:rsidRPr="00754CB9">
        <w:rPr>
          <w:rtl/>
        </w:rPr>
        <w:t>המערער לא ישן</w:t>
      </w:r>
      <w:r w:rsidR="00C30767" w:rsidRPr="00754CB9">
        <w:rPr>
          <w:rFonts w:hint="cs"/>
          <w:rtl/>
        </w:rPr>
        <w:t xml:space="preserve"> </w:t>
      </w:r>
      <w:r w:rsidR="00663871" w:rsidRPr="00754CB9">
        <w:rPr>
          <w:rFonts w:hint="cs"/>
          <w:rtl/>
        </w:rPr>
        <w:t xml:space="preserve">והמפקדים, שהיו ערים לכך, הפרו את חובתם בנושא. </w:t>
      </w:r>
      <w:r w:rsidR="00F7075B" w:rsidRPr="00754CB9">
        <w:rPr>
          <w:rFonts w:hint="cs"/>
          <w:rtl/>
        </w:rPr>
        <w:t xml:space="preserve">עוד </w:t>
      </w:r>
      <w:r w:rsidR="00E56985" w:rsidRPr="00754CB9">
        <w:rPr>
          <w:rFonts w:hint="cs"/>
          <w:rtl/>
        </w:rPr>
        <w:t xml:space="preserve">הודגש </w:t>
      </w:r>
      <w:r w:rsidR="00F7075B" w:rsidRPr="00754CB9">
        <w:rPr>
          <w:rFonts w:hint="cs"/>
          <w:rtl/>
        </w:rPr>
        <w:t xml:space="preserve">בהקשר זה כי אין לזקוף לחובתו של המערער </w:t>
      </w:r>
      <w:r w:rsidR="00C30767">
        <w:rPr>
          <w:rFonts w:hint="cs"/>
          <w:rtl/>
        </w:rPr>
        <w:t xml:space="preserve">את העובדה </w:t>
      </w:r>
      <w:r w:rsidR="00F7075B" w:rsidRPr="00754CB9">
        <w:rPr>
          <w:rFonts w:hint="cs"/>
          <w:rtl/>
        </w:rPr>
        <w:t>שלא דיווח למפקדיו על עייפותו.</w:t>
      </w:r>
    </w:p>
    <w:p w14:paraId="16F47CE6" w14:textId="77777777" w:rsidR="00663871" w:rsidRPr="00754CB9" w:rsidRDefault="00563B0B" w:rsidP="00267E8E">
      <w:pPr>
        <w:pStyle w:val="ListParagraph"/>
        <w:numPr>
          <w:ilvl w:val="0"/>
          <w:numId w:val="1"/>
        </w:numPr>
      </w:pPr>
      <w:r w:rsidRPr="00754CB9">
        <w:rPr>
          <w:rtl/>
        </w:rPr>
        <w:t xml:space="preserve">במישור הראייתי </w:t>
      </w:r>
      <w:r w:rsidR="00663871" w:rsidRPr="00754CB9">
        <w:rPr>
          <w:rFonts w:hint="cs"/>
          <w:rtl/>
        </w:rPr>
        <w:t>טענה ההגנה נגד ממצאי ה</w:t>
      </w:r>
      <w:r w:rsidRPr="00754CB9">
        <w:rPr>
          <w:rtl/>
        </w:rPr>
        <w:t xml:space="preserve">מהימנות </w:t>
      </w:r>
      <w:r w:rsidR="00663871" w:rsidRPr="00754CB9">
        <w:rPr>
          <w:rFonts w:hint="cs"/>
          <w:rtl/>
        </w:rPr>
        <w:t xml:space="preserve">שנקבעו לגבי עדותו של סגן </w:t>
      </w:r>
      <w:r w:rsidRPr="00754CB9">
        <w:rPr>
          <w:rtl/>
        </w:rPr>
        <w:t xml:space="preserve">תומר, ובפרט </w:t>
      </w:r>
      <w:r w:rsidR="00B12D6A" w:rsidRPr="00754CB9">
        <w:rPr>
          <w:rFonts w:hint="cs"/>
          <w:rtl/>
        </w:rPr>
        <w:t>כלפי ה</w:t>
      </w:r>
      <w:r w:rsidR="00663871" w:rsidRPr="00754CB9">
        <w:rPr>
          <w:rFonts w:hint="cs"/>
          <w:rtl/>
        </w:rPr>
        <w:t>קביעות העובדתיות שנ</w:t>
      </w:r>
      <w:r w:rsidR="00B12D6A" w:rsidRPr="00754CB9">
        <w:rPr>
          <w:rFonts w:hint="cs"/>
          <w:rtl/>
        </w:rPr>
        <w:t>ס</w:t>
      </w:r>
      <w:r w:rsidR="00663871" w:rsidRPr="00754CB9">
        <w:rPr>
          <w:rFonts w:hint="cs"/>
          <w:rtl/>
        </w:rPr>
        <w:t>מכו עליה</w:t>
      </w:r>
      <w:r w:rsidR="00B12D6A" w:rsidRPr="00754CB9">
        <w:rPr>
          <w:rFonts w:hint="cs"/>
          <w:rtl/>
        </w:rPr>
        <w:t xml:space="preserve"> בנוגע </w:t>
      </w:r>
      <w:r w:rsidR="00663871" w:rsidRPr="00754CB9">
        <w:rPr>
          <w:rFonts w:hint="cs"/>
          <w:rtl/>
        </w:rPr>
        <w:t>ל</w:t>
      </w:r>
      <w:r w:rsidRPr="00754CB9">
        <w:rPr>
          <w:rtl/>
        </w:rPr>
        <w:t xml:space="preserve">שיחה </w:t>
      </w:r>
      <w:r w:rsidR="00B12D6A" w:rsidRPr="00754CB9">
        <w:rPr>
          <w:rFonts w:hint="cs"/>
          <w:rtl/>
        </w:rPr>
        <w:t xml:space="preserve">עם המערער </w:t>
      </w:r>
      <w:r w:rsidRPr="00754CB9">
        <w:rPr>
          <w:rtl/>
        </w:rPr>
        <w:t>בשעות הערב</w:t>
      </w:r>
      <w:r w:rsidR="00663871" w:rsidRPr="00754CB9">
        <w:rPr>
          <w:rFonts w:hint="cs"/>
          <w:rtl/>
        </w:rPr>
        <w:t xml:space="preserve">. נטען </w:t>
      </w:r>
      <w:r w:rsidRPr="00754CB9">
        <w:rPr>
          <w:rtl/>
        </w:rPr>
        <w:t>כי מדובר בגרסה שמ</w:t>
      </w:r>
      <w:r w:rsidR="00663871" w:rsidRPr="00754CB9">
        <w:rPr>
          <w:rFonts w:hint="cs"/>
          <w:rtl/>
        </w:rPr>
        <w:t xml:space="preserve">סר סגן תומר במטרה </w:t>
      </w:r>
      <w:r w:rsidRPr="00754CB9">
        <w:rPr>
          <w:rtl/>
        </w:rPr>
        <w:t>להרחיק עצמו מהאירוע</w:t>
      </w:r>
      <w:r w:rsidR="00663871" w:rsidRPr="00754CB9">
        <w:rPr>
          <w:rFonts w:hint="cs"/>
          <w:rtl/>
        </w:rPr>
        <w:t xml:space="preserve"> וכי </w:t>
      </w:r>
      <w:r w:rsidRPr="00754CB9">
        <w:rPr>
          <w:rtl/>
        </w:rPr>
        <w:t xml:space="preserve">אין לקבל את עדותו </w:t>
      </w:r>
      <w:r w:rsidR="00663871" w:rsidRPr="00754CB9">
        <w:rPr>
          <w:rFonts w:hint="cs"/>
          <w:rtl/>
        </w:rPr>
        <w:t xml:space="preserve">בעניין זה </w:t>
      </w:r>
      <w:r w:rsidRPr="00754CB9">
        <w:rPr>
          <w:rtl/>
        </w:rPr>
        <w:t>ללא חיזוק משמעותי</w:t>
      </w:r>
      <w:r w:rsidR="00663871" w:rsidRPr="00754CB9">
        <w:rPr>
          <w:rFonts w:hint="cs"/>
          <w:rtl/>
        </w:rPr>
        <w:t>.</w:t>
      </w:r>
    </w:p>
    <w:p w14:paraId="3C68335C" w14:textId="77777777" w:rsidR="00563B0B" w:rsidRPr="00754CB9" w:rsidRDefault="00663871" w:rsidP="00267E8E">
      <w:pPr>
        <w:pStyle w:val="ListParagraph"/>
        <w:numPr>
          <w:ilvl w:val="0"/>
          <w:numId w:val="1"/>
        </w:numPr>
        <w:rPr>
          <w:rtl/>
        </w:rPr>
      </w:pPr>
      <w:r w:rsidRPr="00754CB9">
        <w:rPr>
          <w:rFonts w:hint="cs"/>
          <w:rtl/>
        </w:rPr>
        <w:t xml:space="preserve">ולבסוף, </w:t>
      </w:r>
      <w:r w:rsidR="0081549B" w:rsidRPr="00754CB9">
        <w:rPr>
          <w:rFonts w:hint="cs"/>
          <w:rtl/>
        </w:rPr>
        <w:t xml:space="preserve">נטען על ידי ההגנה בערעור כי </w:t>
      </w:r>
      <w:r w:rsidRPr="00754CB9">
        <w:rPr>
          <w:rFonts w:hint="cs"/>
          <w:rtl/>
        </w:rPr>
        <w:t xml:space="preserve">מטעמים של צדק, </w:t>
      </w:r>
      <w:r w:rsidR="00B12D6A" w:rsidRPr="00754CB9">
        <w:rPr>
          <w:rFonts w:hint="cs"/>
          <w:rtl/>
        </w:rPr>
        <w:t xml:space="preserve">לנוכח אי העמדתו של מפקד הפלוגה לדין ולנוכח תוצאות </w:t>
      </w:r>
      <w:r w:rsidR="002C3424" w:rsidRPr="00754CB9">
        <w:rPr>
          <w:rFonts w:hint="cs"/>
          <w:rtl/>
        </w:rPr>
        <w:t xml:space="preserve">ההליכים בבית הדין המחוזי </w:t>
      </w:r>
      <w:r w:rsidR="00B12D6A" w:rsidRPr="00754CB9">
        <w:rPr>
          <w:rFonts w:hint="cs"/>
          <w:rtl/>
        </w:rPr>
        <w:t xml:space="preserve">בעניינם של סגן מפקד הפלוגה ומפקד המחלקה </w:t>
      </w:r>
      <w:r w:rsidR="00C30767">
        <w:rPr>
          <w:rtl/>
        </w:rPr>
        <w:t>–</w:t>
      </w:r>
      <w:r w:rsidR="00B12D6A" w:rsidRPr="00754CB9">
        <w:rPr>
          <w:rFonts w:hint="cs"/>
          <w:rtl/>
        </w:rPr>
        <w:t xml:space="preserve"> </w:t>
      </w:r>
      <w:r w:rsidRPr="00754CB9">
        <w:rPr>
          <w:rFonts w:hint="cs"/>
          <w:rtl/>
        </w:rPr>
        <w:t xml:space="preserve">אין להותיר את </w:t>
      </w:r>
      <w:r w:rsidR="002C3424" w:rsidRPr="00754CB9">
        <w:rPr>
          <w:rFonts w:hint="cs"/>
          <w:rtl/>
        </w:rPr>
        <w:t xml:space="preserve">הרשעתו של </w:t>
      </w:r>
      <w:r w:rsidRPr="00754CB9">
        <w:rPr>
          <w:rFonts w:hint="cs"/>
          <w:rtl/>
        </w:rPr>
        <w:t xml:space="preserve">המערער, </w:t>
      </w:r>
      <w:r w:rsidR="00B12D6A" w:rsidRPr="00754CB9">
        <w:rPr>
          <w:rFonts w:hint="cs"/>
          <w:rtl/>
        </w:rPr>
        <w:t xml:space="preserve">שהיה בדרג </w:t>
      </w:r>
      <w:r w:rsidRPr="00754CB9">
        <w:rPr>
          <w:rFonts w:hint="cs"/>
          <w:rtl/>
        </w:rPr>
        <w:t>הזוטר ביותר, שהשלכותיה</w:t>
      </w:r>
      <w:r w:rsidR="00B12D6A" w:rsidRPr="00754CB9">
        <w:rPr>
          <w:rFonts w:hint="cs"/>
          <w:rtl/>
        </w:rPr>
        <w:t xml:space="preserve">, </w:t>
      </w:r>
      <w:r w:rsidR="002C3424" w:rsidRPr="00754CB9">
        <w:rPr>
          <w:rFonts w:hint="cs"/>
          <w:rtl/>
        </w:rPr>
        <w:t xml:space="preserve">גם אם של "רישום </w:t>
      </w:r>
      <w:r w:rsidR="00E07D38" w:rsidRPr="00754CB9">
        <w:rPr>
          <w:rFonts w:hint="cs"/>
          <w:rtl/>
        </w:rPr>
        <w:t xml:space="preserve">פלילי </w:t>
      </w:r>
      <w:r w:rsidR="002C3424" w:rsidRPr="00754CB9">
        <w:rPr>
          <w:rFonts w:hint="cs"/>
          <w:rtl/>
        </w:rPr>
        <w:t xml:space="preserve">מופחת", חמורות יותר </w:t>
      </w:r>
      <w:r w:rsidR="00B12D6A" w:rsidRPr="00754CB9">
        <w:rPr>
          <w:rFonts w:hint="cs"/>
          <w:rtl/>
        </w:rPr>
        <w:t xml:space="preserve">בהשוואה לאחרים, </w:t>
      </w:r>
      <w:r w:rsidR="002C3424" w:rsidRPr="00754CB9">
        <w:rPr>
          <w:rFonts w:hint="cs"/>
          <w:rtl/>
        </w:rPr>
        <w:t>שהורשעו בעבירה ללא רישום פלילי כלל</w:t>
      </w:r>
      <w:r w:rsidRPr="00754CB9">
        <w:rPr>
          <w:rFonts w:hint="cs"/>
          <w:rtl/>
        </w:rPr>
        <w:t xml:space="preserve">. </w:t>
      </w:r>
    </w:p>
    <w:p w14:paraId="048725EB" w14:textId="77777777" w:rsidR="00901D9B" w:rsidRDefault="00F65210" w:rsidP="00663871">
      <w:pPr>
        <w:pStyle w:val="Heading3"/>
      </w:pPr>
      <w:r w:rsidRPr="00754CB9">
        <w:rPr>
          <w:rFonts w:hint="cs"/>
          <w:rtl/>
        </w:rPr>
        <w:t xml:space="preserve">תשובת </w:t>
      </w:r>
      <w:r w:rsidR="00901D9B" w:rsidRPr="00754CB9">
        <w:rPr>
          <w:rFonts w:hint="cs"/>
          <w:rtl/>
        </w:rPr>
        <w:t>התביעה</w:t>
      </w:r>
    </w:p>
    <w:p w14:paraId="4FC66583" w14:textId="77777777" w:rsidR="00B35ED3" w:rsidRPr="00754CB9" w:rsidRDefault="00A81573" w:rsidP="00267E8E">
      <w:pPr>
        <w:pStyle w:val="ListParagraph"/>
        <w:numPr>
          <w:ilvl w:val="0"/>
          <w:numId w:val="1"/>
        </w:numPr>
      </w:pPr>
      <w:r w:rsidRPr="00754CB9">
        <w:rPr>
          <w:rFonts w:hint="cs"/>
          <w:rtl/>
        </w:rPr>
        <w:t xml:space="preserve">התביעה הצבאית </w:t>
      </w:r>
      <w:r w:rsidR="003154E2" w:rsidRPr="00754CB9">
        <w:rPr>
          <w:rFonts w:hint="cs"/>
          <w:rtl/>
        </w:rPr>
        <w:t xml:space="preserve">סמכה </w:t>
      </w:r>
      <w:r w:rsidR="00663871" w:rsidRPr="00754CB9">
        <w:rPr>
          <w:rFonts w:hint="cs"/>
          <w:rtl/>
        </w:rPr>
        <w:t xml:space="preserve">ידיה על </w:t>
      </w:r>
      <w:r w:rsidR="00822175" w:rsidRPr="00754CB9">
        <w:rPr>
          <w:rFonts w:hint="cs"/>
          <w:rtl/>
        </w:rPr>
        <w:t>הכרעת הדין</w:t>
      </w:r>
      <w:r w:rsidR="00F2079A" w:rsidRPr="00754CB9">
        <w:rPr>
          <w:rFonts w:hint="cs"/>
          <w:rtl/>
        </w:rPr>
        <w:t xml:space="preserve">. </w:t>
      </w:r>
      <w:r w:rsidR="00B35ED3" w:rsidRPr="00754CB9">
        <w:rPr>
          <w:rtl/>
        </w:rPr>
        <w:t>התביעה סבורה כי לא הוצגו טעמים המצדיקים התערבות ב</w:t>
      </w:r>
      <w:r w:rsidR="00F2079A" w:rsidRPr="00754CB9">
        <w:rPr>
          <w:rFonts w:hint="cs"/>
          <w:rtl/>
        </w:rPr>
        <w:t>ממצאי המהימנות, בממצאים העובדתיים וב</w:t>
      </w:r>
      <w:r w:rsidR="00B35ED3" w:rsidRPr="00754CB9">
        <w:rPr>
          <w:rtl/>
        </w:rPr>
        <w:t xml:space="preserve">מסקנות </w:t>
      </w:r>
      <w:r w:rsidR="00F2079A" w:rsidRPr="00754CB9">
        <w:rPr>
          <w:rFonts w:hint="cs"/>
          <w:rtl/>
        </w:rPr>
        <w:t xml:space="preserve">של </w:t>
      </w:r>
      <w:r w:rsidR="00B35ED3" w:rsidRPr="00754CB9">
        <w:rPr>
          <w:rtl/>
        </w:rPr>
        <w:t xml:space="preserve">בית הדין </w:t>
      </w:r>
      <w:r w:rsidR="00F2079A" w:rsidRPr="00754CB9">
        <w:rPr>
          <w:rFonts w:hint="cs"/>
          <w:rtl/>
        </w:rPr>
        <w:t xml:space="preserve">קמא. נטען כי בית הדין </w:t>
      </w:r>
      <w:r w:rsidR="00B35ED3" w:rsidRPr="00754CB9">
        <w:rPr>
          <w:rtl/>
        </w:rPr>
        <w:t>בחן את הראיות בקפידה</w:t>
      </w:r>
      <w:r w:rsidR="00F2079A" w:rsidRPr="00754CB9">
        <w:rPr>
          <w:rFonts w:hint="cs"/>
          <w:rtl/>
        </w:rPr>
        <w:t xml:space="preserve"> לאחר שניתח את העדויות השונות ואת התרשמותו הישירה מהן</w:t>
      </w:r>
      <w:r w:rsidR="00C30767">
        <w:rPr>
          <w:rFonts w:hint="cs"/>
          <w:rtl/>
        </w:rPr>
        <w:t>,</w:t>
      </w:r>
      <w:r w:rsidR="00F2079A" w:rsidRPr="00754CB9">
        <w:rPr>
          <w:rFonts w:hint="cs"/>
          <w:rtl/>
        </w:rPr>
        <w:t xml:space="preserve"> ואין להתערב בקביעותיו</w:t>
      </w:r>
      <w:r w:rsidR="00B35ED3" w:rsidRPr="00754CB9">
        <w:rPr>
          <w:rtl/>
        </w:rPr>
        <w:t>.</w:t>
      </w:r>
    </w:p>
    <w:p w14:paraId="093134D3" w14:textId="77777777" w:rsidR="00B35ED3" w:rsidRPr="00B35ED3" w:rsidRDefault="00F2079A" w:rsidP="00267E8E">
      <w:pPr>
        <w:pStyle w:val="ListParagraph"/>
        <w:numPr>
          <w:ilvl w:val="0"/>
          <w:numId w:val="1"/>
        </w:numPr>
      </w:pPr>
      <w:r w:rsidRPr="00754CB9">
        <w:rPr>
          <w:rFonts w:hint="cs"/>
          <w:rtl/>
        </w:rPr>
        <w:t xml:space="preserve">התביעה הדגישה כי </w:t>
      </w:r>
      <w:r w:rsidR="00B35ED3" w:rsidRPr="00754CB9">
        <w:rPr>
          <w:rtl/>
        </w:rPr>
        <w:t>גרס</w:t>
      </w:r>
      <w:r w:rsidRPr="00754CB9">
        <w:rPr>
          <w:rFonts w:hint="cs"/>
          <w:rtl/>
        </w:rPr>
        <w:t xml:space="preserve">תו של סגן </w:t>
      </w:r>
      <w:r w:rsidR="00B35ED3" w:rsidRPr="00754CB9">
        <w:rPr>
          <w:rtl/>
        </w:rPr>
        <w:t>תומר ה</w:t>
      </w:r>
      <w:r w:rsidRPr="00754CB9">
        <w:rPr>
          <w:rFonts w:hint="cs"/>
          <w:rtl/>
        </w:rPr>
        <w:t xml:space="preserve">יא בבחינת </w:t>
      </w:r>
      <w:r w:rsidR="00B35ED3" w:rsidRPr="00754CB9">
        <w:rPr>
          <w:rtl/>
        </w:rPr>
        <w:t>הודאה מפליל</w:t>
      </w:r>
      <w:r w:rsidRPr="00754CB9">
        <w:rPr>
          <w:rFonts w:hint="cs"/>
          <w:rtl/>
        </w:rPr>
        <w:t>ה שס</w:t>
      </w:r>
      <w:r w:rsidR="00C30767">
        <w:rPr>
          <w:rFonts w:hint="cs"/>
          <w:rtl/>
        </w:rPr>
        <w:t>י</w:t>
      </w:r>
      <w:r w:rsidRPr="00754CB9">
        <w:rPr>
          <w:rFonts w:hint="cs"/>
          <w:rtl/>
        </w:rPr>
        <w:t xml:space="preserve">בכה אותו </w:t>
      </w:r>
      <w:r w:rsidR="00B35ED3" w:rsidRPr="00754CB9">
        <w:rPr>
          <w:rtl/>
        </w:rPr>
        <w:t>בהתרשלות</w:t>
      </w:r>
      <w:r w:rsidRPr="00754CB9">
        <w:rPr>
          <w:rFonts w:hint="cs"/>
          <w:rtl/>
        </w:rPr>
        <w:t xml:space="preserve"> ובאחריות לתוצאה</w:t>
      </w:r>
      <w:r w:rsidR="00C30767">
        <w:rPr>
          <w:rFonts w:hint="cs"/>
          <w:rtl/>
        </w:rPr>
        <w:t>,</w:t>
      </w:r>
      <w:r w:rsidRPr="00754CB9">
        <w:rPr>
          <w:rFonts w:hint="cs"/>
          <w:rtl/>
        </w:rPr>
        <w:t xml:space="preserve"> ואף משום כך יש ליתן לה משקל של ממש. כמו כן, נטען כי עדותו של סגן תומר הייתה עקבית, </w:t>
      </w:r>
      <w:r w:rsidR="00C30767">
        <w:rPr>
          <w:rFonts w:hint="cs"/>
          <w:rtl/>
        </w:rPr>
        <w:t xml:space="preserve">ואילו </w:t>
      </w:r>
      <w:r w:rsidR="00B35ED3" w:rsidRPr="00754CB9">
        <w:rPr>
          <w:rtl/>
        </w:rPr>
        <w:t xml:space="preserve">גרסתו </w:t>
      </w:r>
      <w:r w:rsidRPr="00754CB9">
        <w:rPr>
          <w:rFonts w:hint="cs"/>
          <w:rtl/>
        </w:rPr>
        <w:t xml:space="preserve">של המערער במצ"ח </w:t>
      </w:r>
      <w:r w:rsidR="003154E2" w:rsidRPr="00754CB9">
        <w:rPr>
          <w:rFonts w:hint="cs"/>
          <w:rtl/>
        </w:rPr>
        <w:t xml:space="preserve">ואף </w:t>
      </w:r>
      <w:r w:rsidRPr="00754CB9">
        <w:rPr>
          <w:rFonts w:hint="cs"/>
          <w:rtl/>
        </w:rPr>
        <w:t>במסגרת ג</w:t>
      </w:r>
      <w:r w:rsidR="00B35ED3" w:rsidRPr="00754CB9">
        <w:rPr>
          <w:rtl/>
        </w:rPr>
        <w:t>דר הכפירה</w:t>
      </w:r>
      <w:r w:rsidRPr="00754CB9">
        <w:rPr>
          <w:rFonts w:hint="cs"/>
          <w:rtl/>
        </w:rPr>
        <w:t xml:space="preserve"> </w:t>
      </w:r>
      <w:r w:rsidR="003154E2" w:rsidRPr="00754CB9">
        <w:rPr>
          <w:rFonts w:hint="cs"/>
          <w:rtl/>
        </w:rPr>
        <w:t xml:space="preserve">סתרה </w:t>
      </w:r>
      <w:r w:rsidRPr="00754CB9">
        <w:rPr>
          <w:rFonts w:hint="cs"/>
          <w:rtl/>
        </w:rPr>
        <w:t>את עדותו ב</w:t>
      </w:r>
      <w:r w:rsidR="0081549B" w:rsidRPr="00754CB9">
        <w:rPr>
          <w:rFonts w:hint="cs"/>
          <w:rtl/>
        </w:rPr>
        <w:t>בית הדין ב</w:t>
      </w:r>
      <w:r w:rsidRPr="00754CB9">
        <w:rPr>
          <w:rFonts w:hint="cs"/>
          <w:rtl/>
        </w:rPr>
        <w:t>נושא</w:t>
      </w:r>
      <w:r w:rsidR="00B35ED3" w:rsidRPr="00B35ED3">
        <w:rPr>
          <w:rtl/>
        </w:rPr>
        <w:t>.</w:t>
      </w:r>
    </w:p>
    <w:p w14:paraId="3FC43B26" w14:textId="77777777" w:rsidR="00B35ED3" w:rsidRPr="00B35ED3" w:rsidRDefault="00F2079A" w:rsidP="00267E8E">
      <w:pPr>
        <w:pStyle w:val="ListParagraph"/>
        <w:numPr>
          <w:ilvl w:val="0"/>
          <w:numId w:val="1"/>
        </w:numPr>
        <w:rPr>
          <w:rtl/>
        </w:rPr>
      </w:pPr>
      <w:r>
        <w:rPr>
          <w:rFonts w:hint="cs"/>
          <w:rtl/>
        </w:rPr>
        <w:t xml:space="preserve">אשר </w:t>
      </w:r>
      <w:r w:rsidR="00B35ED3" w:rsidRPr="00B35ED3">
        <w:rPr>
          <w:rtl/>
        </w:rPr>
        <w:t>לטענות ההגנה מן הצדק, התביעה סבורה כי החלטתה להעמיד לדין שלושה מ</w:t>
      </w:r>
      <w:r>
        <w:rPr>
          <w:rFonts w:hint="cs"/>
          <w:rtl/>
        </w:rPr>
        <w:t>ן ה</w:t>
      </w:r>
      <w:r w:rsidR="000F5478">
        <w:rPr>
          <w:rFonts w:hint="cs"/>
          <w:rtl/>
        </w:rPr>
        <w:t>מ</w:t>
      </w:r>
      <w:r w:rsidR="00B35ED3" w:rsidRPr="00B35ED3">
        <w:rPr>
          <w:rtl/>
        </w:rPr>
        <w:t xml:space="preserve">עורבים </w:t>
      </w:r>
      <w:r w:rsidR="0081549B">
        <w:rPr>
          <w:rFonts w:hint="cs"/>
          <w:rtl/>
        </w:rPr>
        <w:t>בפרשה</w:t>
      </w:r>
      <w:r w:rsidR="00C30767">
        <w:rPr>
          <w:rFonts w:hint="cs"/>
          <w:rtl/>
        </w:rPr>
        <w:t>,</w:t>
      </w:r>
      <w:r w:rsidR="0081549B">
        <w:rPr>
          <w:rFonts w:hint="cs"/>
          <w:rtl/>
        </w:rPr>
        <w:t xml:space="preserve"> </w:t>
      </w:r>
      <w:r w:rsidR="00B35ED3" w:rsidRPr="00B35ED3">
        <w:rPr>
          <w:rtl/>
        </w:rPr>
        <w:t xml:space="preserve">סבירה </w:t>
      </w:r>
      <w:r>
        <w:rPr>
          <w:rFonts w:hint="cs"/>
          <w:rtl/>
        </w:rPr>
        <w:t xml:space="preserve">ומאוזנת ובוודאי </w:t>
      </w:r>
      <w:r w:rsidR="00B35ED3" w:rsidRPr="00B35ED3">
        <w:rPr>
          <w:rtl/>
        </w:rPr>
        <w:t>אינה יוצרת תחוש</w:t>
      </w:r>
      <w:r>
        <w:rPr>
          <w:rFonts w:hint="cs"/>
          <w:rtl/>
        </w:rPr>
        <w:t xml:space="preserve">ה של </w:t>
      </w:r>
      <w:r w:rsidR="00B35ED3" w:rsidRPr="00B35ED3">
        <w:rPr>
          <w:rtl/>
        </w:rPr>
        <w:t xml:space="preserve">חוסר צדק. </w:t>
      </w:r>
      <w:r>
        <w:rPr>
          <w:rFonts w:hint="cs"/>
          <w:rtl/>
        </w:rPr>
        <w:t xml:space="preserve">כמו כן, </w:t>
      </w:r>
      <w:r w:rsidR="0081549B">
        <w:rPr>
          <w:rFonts w:hint="cs"/>
          <w:rtl/>
        </w:rPr>
        <w:t xml:space="preserve">התביעה שבה על עמדתה </w:t>
      </w:r>
      <w:r>
        <w:rPr>
          <w:rFonts w:hint="cs"/>
          <w:rtl/>
        </w:rPr>
        <w:t xml:space="preserve">כי </w:t>
      </w:r>
      <w:r w:rsidR="00B35ED3" w:rsidRPr="00B35ED3">
        <w:rPr>
          <w:rtl/>
        </w:rPr>
        <w:t xml:space="preserve">ההתרשלויות המשמעותיות של </w:t>
      </w:r>
      <w:r>
        <w:rPr>
          <w:rFonts w:hint="cs"/>
          <w:rtl/>
        </w:rPr>
        <w:t xml:space="preserve">המעורבים האחרים, </w:t>
      </w:r>
      <w:r w:rsidR="00B35ED3" w:rsidRPr="00B35ED3">
        <w:rPr>
          <w:rtl/>
        </w:rPr>
        <w:t xml:space="preserve">בפרט בשעות הערב, </w:t>
      </w:r>
      <w:r>
        <w:rPr>
          <w:rFonts w:hint="cs"/>
          <w:rtl/>
        </w:rPr>
        <w:t>נ</w:t>
      </w:r>
      <w:r w:rsidR="004817EA">
        <w:rPr>
          <w:rFonts w:hint="cs"/>
          <w:rtl/>
        </w:rPr>
        <w:t>י</w:t>
      </w:r>
      <w:r>
        <w:rPr>
          <w:rFonts w:hint="cs"/>
          <w:rtl/>
        </w:rPr>
        <w:t xml:space="preserve">תקו את הקשר </w:t>
      </w:r>
      <w:r w:rsidR="00B35ED3" w:rsidRPr="00B35ED3">
        <w:rPr>
          <w:rtl/>
        </w:rPr>
        <w:t>הסיבתי המשפטי בי</w:t>
      </w:r>
      <w:r>
        <w:rPr>
          <w:rFonts w:hint="cs"/>
          <w:rtl/>
        </w:rPr>
        <w:t>ן התנהלותו של מפקד הפלוגה לתוצאה</w:t>
      </w:r>
      <w:r w:rsidR="00C30767">
        <w:rPr>
          <w:rFonts w:hint="cs"/>
          <w:rtl/>
        </w:rPr>
        <w:t>,</w:t>
      </w:r>
      <w:r>
        <w:rPr>
          <w:rFonts w:hint="cs"/>
          <w:rtl/>
        </w:rPr>
        <w:t xml:space="preserve"> ולכן לא היה מקום להעמידו לדין פלילי</w:t>
      </w:r>
      <w:r w:rsidR="00B35ED3" w:rsidRPr="00B35ED3">
        <w:rPr>
          <w:rtl/>
        </w:rPr>
        <w:t>.</w:t>
      </w:r>
    </w:p>
    <w:p w14:paraId="661DF8FE" w14:textId="77777777" w:rsidR="00E32186" w:rsidRDefault="00B35ED3" w:rsidP="00B35ED3">
      <w:pPr>
        <w:pStyle w:val="ListParagraph"/>
        <w:numPr>
          <w:ilvl w:val="0"/>
          <w:numId w:val="1"/>
        </w:numPr>
        <w:spacing w:after="240"/>
      </w:pPr>
      <w:r w:rsidRPr="00B35ED3">
        <w:rPr>
          <w:rtl/>
        </w:rPr>
        <w:t xml:space="preserve">לבסוף, </w:t>
      </w:r>
      <w:r w:rsidR="00F2079A">
        <w:rPr>
          <w:rFonts w:hint="cs"/>
          <w:rtl/>
        </w:rPr>
        <w:t xml:space="preserve">בואר </w:t>
      </w:r>
      <w:r w:rsidRPr="00B35ED3">
        <w:rPr>
          <w:rtl/>
        </w:rPr>
        <w:t>כי מ</w:t>
      </w:r>
      <w:r w:rsidR="00F2079A">
        <w:rPr>
          <w:rFonts w:hint="cs"/>
          <w:rtl/>
        </w:rPr>
        <w:t>עבר להיותו משגיח, מ</w:t>
      </w:r>
      <w:r w:rsidRPr="00B35ED3">
        <w:rPr>
          <w:rtl/>
        </w:rPr>
        <w:t xml:space="preserve">עמדו של המערער כמפקד כיתה </w:t>
      </w:r>
      <w:r w:rsidR="0081549B">
        <w:rPr>
          <w:rFonts w:hint="cs"/>
          <w:rtl/>
        </w:rPr>
        <w:t xml:space="preserve">מגבש, </w:t>
      </w:r>
      <w:r w:rsidR="00F2079A">
        <w:rPr>
          <w:rFonts w:hint="cs"/>
          <w:rtl/>
        </w:rPr>
        <w:t>כשלעצמו</w:t>
      </w:r>
      <w:r w:rsidR="0081549B">
        <w:rPr>
          <w:rFonts w:hint="cs"/>
          <w:rtl/>
        </w:rPr>
        <w:t>,</w:t>
      </w:r>
      <w:r w:rsidR="00F2079A">
        <w:rPr>
          <w:rFonts w:hint="cs"/>
          <w:rtl/>
        </w:rPr>
        <w:t xml:space="preserve"> </w:t>
      </w:r>
      <w:r w:rsidRPr="00B35ED3">
        <w:rPr>
          <w:rtl/>
        </w:rPr>
        <w:t>אחריות</w:t>
      </w:r>
      <w:r w:rsidR="00F2079A">
        <w:rPr>
          <w:rFonts w:hint="cs"/>
          <w:rtl/>
        </w:rPr>
        <w:t xml:space="preserve"> לתוצאה. הודג</w:t>
      </w:r>
      <w:r w:rsidR="0081549B">
        <w:rPr>
          <w:rFonts w:hint="cs"/>
          <w:rtl/>
        </w:rPr>
        <w:t>ש</w:t>
      </w:r>
      <w:r w:rsidR="00F2079A">
        <w:rPr>
          <w:rFonts w:hint="cs"/>
          <w:rtl/>
        </w:rPr>
        <w:t xml:space="preserve"> כי המערער ה</w:t>
      </w:r>
      <w:r w:rsidR="0081549B">
        <w:rPr>
          <w:rFonts w:hint="cs"/>
          <w:rtl/>
        </w:rPr>
        <w:t xml:space="preserve">יה </w:t>
      </w:r>
      <w:r w:rsidR="00F2079A">
        <w:rPr>
          <w:rFonts w:hint="cs"/>
          <w:rtl/>
        </w:rPr>
        <w:t xml:space="preserve">מפקד כיתה </w:t>
      </w:r>
      <w:r w:rsidR="0081549B">
        <w:rPr>
          <w:rFonts w:hint="cs"/>
          <w:rtl/>
        </w:rPr>
        <w:t>ותיק ו</w:t>
      </w:r>
      <w:r w:rsidR="00F2079A">
        <w:rPr>
          <w:rFonts w:hint="cs"/>
          <w:rtl/>
        </w:rPr>
        <w:t>מנוסה</w:t>
      </w:r>
      <w:r w:rsidR="00C30767">
        <w:rPr>
          <w:rFonts w:hint="cs"/>
          <w:rtl/>
        </w:rPr>
        <w:t>,</w:t>
      </w:r>
      <w:r w:rsidR="00F2079A">
        <w:rPr>
          <w:rFonts w:hint="cs"/>
          <w:rtl/>
        </w:rPr>
        <w:t xml:space="preserve"> וכי </w:t>
      </w:r>
      <w:r w:rsidRPr="00B35ED3">
        <w:rPr>
          <w:rtl/>
        </w:rPr>
        <w:t xml:space="preserve">התרשלותו באה לידי </w:t>
      </w:r>
      <w:r w:rsidRPr="00B35ED3">
        <w:rPr>
          <w:rtl/>
        </w:rPr>
        <w:lastRenderedPageBreak/>
        <w:t xml:space="preserve">ביטוי בבחירתו </w:t>
      </w:r>
      <w:r w:rsidR="00F2079A">
        <w:rPr>
          <w:rFonts w:hint="cs"/>
          <w:rtl/>
        </w:rPr>
        <w:t>להפר את ה</w:t>
      </w:r>
      <w:r w:rsidRPr="00B35ED3">
        <w:rPr>
          <w:rtl/>
        </w:rPr>
        <w:t xml:space="preserve">פקודות שניתנו לו </w:t>
      </w:r>
      <w:r w:rsidR="00F2079A">
        <w:rPr>
          <w:rFonts w:hint="cs"/>
          <w:rtl/>
        </w:rPr>
        <w:t xml:space="preserve">ולהימנע מלקרוא לטור' לירן כדי שישמש משגיח נוסף או </w:t>
      </w:r>
      <w:r w:rsidR="0081549B">
        <w:rPr>
          <w:rFonts w:hint="cs"/>
          <w:rtl/>
        </w:rPr>
        <w:t>מ</w:t>
      </w:r>
      <w:r w:rsidR="00F2079A">
        <w:rPr>
          <w:rFonts w:hint="cs"/>
          <w:rtl/>
        </w:rPr>
        <w:t xml:space="preserve">להציג למפקדיו את עייפותו. </w:t>
      </w:r>
    </w:p>
    <w:p w14:paraId="26E62076" w14:textId="77777777" w:rsidR="0060359E" w:rsidRDefault="0060359E" w:rsidP="0060359E">
      <w:pPr>
        <w:pStyle w:val="Heading2"/>
      </w:pPr>
      <w:r>
        <w:rPr>
          <w:rFonts w:hint="cs"/>
          <w:rtl/>
        </w:rPr>
        <w:t>דיון והכרעה</w:t>
      </w:r>
    </w:p>
    <w:p w14:paraId="65780FD4" w14:textId="77777777" w:rsidR="002268BA" w:rsidRDefault="002268BA" w:rsidP="00DF762F">
      <w:pPr>
        <w:pStyle w:val="Heading3"/>
        <w:rPr>
          <w:rtl/>
        </w:rPr>
      </w:pPr>
      <w:r>
        <w:rPr>
          <w:rFonts w:hint="cs"/>
          <w:rtl/>
        </w:rPr>
        <w:t>המסגרת העובדתית</w:t>
      </w:r>
    </w:p>
    <w:p w14:paraId="4A04245D" w14:textId="1319245F" w:rsidR="002268BA" w:rsidRPr="0052103E" w:rsidRDefault="002268BA" w:rsidP="00DF762F">
      <w:pPr>
        <w:pStyle w:val="ListParagraph"/>
        <w:numPr>
          <w:ilvl w:val="0"/>
          <w:numId w:val="1"/>
        </w:numPr>
        <w:spacing w:after="240"/>
        <w:rPr>
          <w:rtl/>
        </w:rPr>
      </w:pPr>
      <w:r>
        <w:rPr>
          <w:rFonts w:eastAsia="Times New Roman" w:hint="cs"/>
          <w:sz w:val="28"/>
          <w:rtl/>
        </w:rPr>
        <w:t xml:space="preserve">כידוע, כלל הוא </w:t>
      </w:r>
      <w:r w:rsidRPr="0052103E">
        <w:rPr>
          <w:rFonts w:eastAsia="Times New Roman"/>
          <w:sz w:val="28"/>
          <w:rtl/>
        </w:rPr>
        <w:t xml:space="preserve">כי ערכאת הערעור </w:t>
      </w:r>
      <w:r>
        <w:rPr>
          <w:rFonts w:eastAsia="Times New Roman" w:hint="cs"/>
          <w:sz w:val="28"/>
          <w:rtl/>
        </w:rPr>
        <w:t xml:space="preserve">אינה נוטה </w:t>
      </w:r>
      <w:r w:rsidRPr="0052103E">
        <w:rPr>
          <w:rFonts w:eastAsia="Times New Roman"/>
          <w:sz w:val="28"/>
          <w:rtl/>
        </w:rPr>
        <w:t xml:space="preserve">להתערב בממצאי מהימנות </w:t>
      </w:r>
      <w:r w:rsidR="0052103E">
        <w:rPr>
          <w:rFonts w:eastAsia="Times New Roman" w:hint="cs"/>
          <w:sz w:val="28"/>
          <w:rtl/>
        </w:rPr>
        <w:t xml:space="preserve">ועובדה </w:t>
      </w:r>
      <w:r w:rsidRPr="0052103E">
        <w:rPr>
          <w:rFonts w:eastAsia="Times New Roman"/>
          <w:sz w:val="28"/>
          <w:rtl/>
        </w:rPr>
        <w:t xml:space="preserve">של הערכאה הדיונית. </w:t>
      </w:r>
      <w:r>
        <w:rPr>
          <w:rFonts w:eastAsia="Times New Roman" w:hint="cs"/>
          <w:sz w:val="28"/>
          <w:rtl/>
        </w:rPr>
        <w:t>"</w:t>
      </w:r>
      <w:r w:rsidRPr="0052103E">
        <w:rPr>
          <w:rFonts w:eastAsia="Times New Roman"/>
          <w:sz w:val="28"/>
          <w:rtl/>
        </w:rPr>
        <w:t>הטעם העיקרי לכך נעוץ ביתרונה של הערכאה המבררת – מי ששמעה את העדים שהובאו לפניה והתרשמה מהם ישירות</w:t>
      </w:r>
      <w:r w:rsidR="0052103E">
        <w:rPr>
          <w:rFonts w:eastAsia="Times New Roman" w:hint="cs"/>
          <w:sz w:val="28"/>
          <w:rtl/>
        </w:rPr>
        <w:t>"</w:t>
      </w:r>
      <w:r w:rsidRPr="0052103E">
        <w:rPr>
          <w:rFonts w:eastAsia="Times New Roman"/>
          <w:sz w:val="28"/>
          <w:rtl/>
        </w:rPr>
        <w:t xml:space="preserve"> (</w:t>
      </w:r>
      <w:r w:rsidR="0052103E">
        <w:rPr>
          <w:rFonts w:eastAsia="Times New Roman" w:hint="cs"/>
          <w:sz w:val="28"/>
          <w:rtl/>
        </w:rPr>
        <w:t xml:space="preserve">עניין </w:t>
      </w:r>
      <w:r w:rsidR="00A920AC">
        <w:rPr>
          <w:rFonts w:eastAsia="Times New Roman" w:hint="cs"/>
          <w:b/>
          <w:bCs/>
          <w:sz w:val="28"/>
          <w:rtl/>
        </w:rPr>
        <w:t>ד' א'</w:t>
      </w:r>
      <w:r w:rsidR="0052103E">
        <w:rPr>
          <w:rFonts w:eastAsia="Times New Roman" w:hint="cs"/>
          <w:sz w:val="28"/>
          <w:rtl/>
        </w:rPr>
        <w:t xml:space="preserve"> לעיל, </w:t>
      </w:r>
      <w:r w:rsidR="00C30767">
        <w:rPr>
          <w:rFonts w:eastAsia="Times New Roman" w:hint="cs"/>
          <w:sz w:val="28"/>
          <w:rtl/>
        </w:rPr>
        <w:t>ב</w:t>
      </w:r>
      <w:r w:rsidR="0052103E">
        <w:rPr>
          <w:rFonts w:eastAsia="Times New Roman" w:hint="cs"/>
          <w:sz w:val="28"/>
          <w:rtl/>
        </w:rPr>
        <w:t xml:space="preserve">פסקה 36; </w:t>
      </w:r>
      <w:r>
        <w:rPr>
          <w:rFonts w:eastAsia="Times New Roman" w:hint="cs"/>
          <w:sz w:val="28"/>
          <w:rtl/>
        </w:rPr>
        <w:t xml:space="preserve">ע"פ </w:t>
      </w:r>
      <w:hyperlink w:history="1">
        <w:r>
          <w:rPr>
            <w:rFonts w:eastAsia="Times New Roman" w:hint="cs"/>
            <w:sz w:val="28"/>
            <w:rtl/>
          </w:rPr>
          <w:t>9352/99</w:t>
        </w:r>
        <w:r w:rsidRPr="0052103E">
          <w:rPr>
            <w:rStyle w:val="Hyperlink"/>
            <w:u w:val="none"/>
            <w:rtl/>
          </w:rPr>
          <w:t xml:space="preserve"> </w:t>
        </w:r>
      </w:hyperlink>
      <w:proofErr w:type="spellStart"/>
      <w:r w:rsidRPr="0052103E">
        <w:rPr>
          <w:rFonts w:eastAsia="Times New Roman"/>
          <w:b/>
          <w:bCs/>
          <w:sz w:val="28"/>
          <w:rtl/>
        </w:rPr>
        <w:t>יומטוביאן</w:t>
      </w:r>
      <w:proofErr w:type="spellEnd"/>
      <w:r w:rsidRPr="0052103E">
        <w:rPr>
          <w:rFonts w:eastAsia="Times New Roman"/>
          <w:b/>
          <w:bCs/>
          <w:sz w:val="28"/>
          <w:rtl/>
        </w:rPr>
        <w:t xml:space="preserve"> נ' מדינת ישראל</w:t>
      </w:r>
      <w:r w:rsidRPr="0052103E">
        <w:rPr>
          <w:rFonts w:eastAsia="Times New Roman"/>
          <w:sz w:val="28"/>
          <w:rtl/>
        </w:rPr>
        <w:t xml:space="preserve">, פ"ד נד(4) 632, 640 (2000); </w:t>
      </w:r>
      <w:r>
        <w:rPr>
          <w:rFonts w:eastAsia="Times New Roman" w:hint="cs"/>
          <w:sz w:val="28"/>
          <w:rtl/>
        </w:rPr>
        <w:t>ע"פ 6443</w:t>
      </w:r>
      <w:r w:rsidR="0052103E">
        <w:rPr>
          <w:rFonts w:eastAsia="Times New Roman" w:hint="cs"/>
          <w:sz w:val="28"/>
          <w:rtl/>
        </w:rPr>
        <w:t>/23</w:t>
      </w:r>
      <w:r w:rsidRPr="0052103E">
        <w:rPr>
          <w:rFonts w:eastAsia="Times New Roman"/>
          <w:sz w:val="28"/>
          <w:rtl/>
        </w:rPr>
        <w:t xml:space="preserve"> </w:t>
      </w:r>
      <w:r w:rsidRPr="0052103E">
        <w:rPr>
          <w:rFonts w:eastAsia="Times New Roman"/>
          <w:b/>
          <w:bCs/>
          <w:sz w:val="28"/>
          <w:rtl/>
        </w:rPr>
        <w:t>פלוני נ' מדינת ישראל</w:t>
      </w:r>
      <w:r w:rsidRPr="0052103E">
        <w:rPr>
          <w:rFonts w:eastAsia="Times New Roman"/>
          <w:sz w:val="28"/>
          <w:rtl/>
        </w:rPr>
        <w:t xml:space="preserve">, פסקה 17 (9.12.2025); </w:t>
      </w:r>
      <w:r w:rsidR="0052103E">
        <w:rPr>
          <w:rFonts w:eastAsia="Times New Roman" w:hint="cs"/>
          <w:sz w:val="28"/>
          <w:rtl/>
        </w:rPr>
        <w:t xml:space="preserve">ע"פ 7880/19 </w:t>
      </w:r>
      <w:r w:rsidRPr="0052103E">
        <w:rPr>
          <w:rFonts w:eastAsia="Times New Roman"/>
          <w:b/>
          <w:bCs/>
          <w:sz w:val="28"/>
          <w:rtl/>
        </w:rPr>
        <w:t xml:space="preserve">פלוני נ' מדינת </w:t>
      </w:r>
      <w:r w:rsidRPr="0052103E">
        <w:rPr>
          <w:b/>
          <w:bCs/>
          <w:rtl/>
        </w:rPr>
        <w:t>ישראל</w:t>
      </w:r>
      <w:r w:rsidRPr="0052103E">
        <w:rPr>
          <w:rFonts w:eastAsia="Times New Roman"/>
          <w:sz w:val="28"/>
          <w:rtl/>
        </w:rPr>
        <w:t xml:space="preserve">, פסקה 63 (2.8.2022)). בחינת </w:t>
      </w:r>
      <w:r w:rsidR="00A838A2">
        <w:rPr>
          <w:rFonts w:eastAsia="Times New Roman" w:hint="cs"/>
          <w:sz w:val="28"/>
          <w:rtl/>
        </w:rPr>
        <w:t xml:space="preserve">כלל </w:t>
      </w:r>
      <w:r w:rsidR="0052103E">
        <w:rPr>
          <w:rFonts w:eastAsia="Times New Roman" w:hint="cs"/>
          <w:sz w:val="28"/>
          <w:rtl/>
        </w:rPr>
        <w:t>העדויות השונות והראיות שהוגשו בהסכמה</w:t>
      </w:r>
      <w:r w:rsidR="00A838A2">
        <w:rPr>
          <w:rFonts w:eastAsia="Times New Roman" w:hint="cs"/>
          <w:sz w:val="28"/>
          <w:rtl/>
        </w:rPr>
        <w:t>,</w:t>
      </w:r>
      <w:r w:rsidR="0052103E">
        <w:rPr>
          <w:rFonts w:eastAsia="Times New Roman" w:hint="cs"/>
          <w:sz w:val="28"/>
          <w:rtl/>
        </w:rPr>
        <w:t xml:space="preserve"> </w:t>
      </w:r>
      <w:r w:rsidR="00A838A2">
        <w:rPr>
          <w:rFonts w:eastAsia="Times New Roman" w:hint="cs"/>
          <w:sz w:val="28"/>
          <w:rtl/>
        </w:rPr>
        <w:t>ו</w:t>
      </w:r>
      <w:r w:rsidR="0052103E">
        <w:rPr>
          <w:rFonts w:eastAsia="Times New Roman" w:hint="cs"/>
          <w:sz w:val="28"/>
          <w:rtl/>
        </w:rPr>
        <w:t>הנמקתו המפורטת של בית הדין קמא</w:t>
      </w:r>
      <w:r w:rsidR="00A838A2">
        <w:rPr>
          <w:rFonts w:eastAsia="Times New Roman" w:hint="cs"/>
          <w:sz w:val="28"/>
          <w:rtl/>
        </w:rPr>
        <w:t xml:space="preserve"> </w:t>
      </w:r>
      <w:r w:rsidR="00C30767">
        <w:rPr>
          <w:rFonts w:eastAsia="Times New Roman"/>
          <w:sz w:val="28"/>
          <w:rtl/>
        </w:rPr>
        <w:t>–</w:t>
      </w:r>
      <w:r w:rsidR="00A838A2">
        <w:rPr>
          <w:rFonts w:eastAsia="Times New Roman" w:hint="cs"/>
          <w:sz w:val="28"/>
          <w:rtl/>
        </w:rPr>
        <w:t xml:space="preserve"> </w:t>
      </w:r>
      <w:r w:rsidRPr="0052103E">
        <w:rPr>
          <w:rFonts w:eastAsia="Times New Roman"/>
          <w:sz w:val="28"/>
          <w:rtl/>
        </w:rPr>
        <w:t>בראי טענות הצדדים</w:t>
      </w:r>
      <w:r w:rsidR="0052103E">
        <w:rPr>
          <w:rFonts w:eastAsia="Times New Roman" w:hint="cs"/>
          <w:sz w:val="28"/>
          <w:rtl/>
        </w:rPr>
        <w:t xml:space="preserve"> כמבואר לעיל </w:t>
      </w:r>
      <w:r w:rsidR="00C30767">
        <w:rPr>
          <w:rFonts w:eastAsia="Times New Roman"/>
          <w:sz w:val="28"/>
          <w:rtl/>
        </w:rPr>
        <w:t>–</w:t>
      </w:r>
      <w:r w:rsidR="0052103E">
        <w:rPr>
          <w:rFonts w:eastAsia="Times New Roman" w:hint="cs"/>
          <w:sz w:val="28"/>
          <w:rtl/>
        </w:rPr>
        <w:t xml:space="preserve"> </w:t>
      </w:r>
      <w:r w:rsidRPr="0052103E">
        <w:rPr>
          <w:rFonts w:eastAsia="Times New Roman"/>
          <w:sz w:val="28"/>
          <w:rtl/>
        </w:rPr>
        <w:t xml:space="preserve">מעלה כי אין </w:t>
      </w:r>
      <w:r w:rsidR="00C30767">
        <w:rPr>
          <w:rFonts w:eastAsia="Times New Roman" w:hint="cs"/>
          <w:sz w:val="28"/>
          <w:rtl/>
        </w:rPr>
        <w:t xml:space="preserve">שום </w:t>
      </w:r>
      <w:r w:rsidR="0052103E">
        <w:rPr>
          <w:rFonts w:eastAsia="Times New Roman" w:hint="cs"/>
          <w:sz w:val="28"/>
          <w:rtl/>
        </w:rPr>
        <w:t xml:space="preserve">עילה </w:t>
      </w:r>
      <w:r w:rsidRPr="0052103E">
        <w:rPr>
          <w:rFonts w:eastAsia="Times New Roman"/>
          <w:sz w:val="28"/>
          <w:rtl/>
        </w:rPr>
        <w:t>להתערב בממצאי</w:t>
      </w:r>
      <w:r w:rsidR="0052103E">
        <w:rPr>
          <w:rFonts w:eastAsia="Times New Roman" w:hint="cs"/>
          <w:sz w:val="28"/>
          <w:rtl/>
        </w:rPr>
        <w:t xml:space="preserve"> המהימנות שקבע בית הדין קמא ובממצאים שבעובדה שנסמכו עליהם. </w:t>
      </w:r>
    </w:p>
    <w:p w14:paraId="1BF3D04A" w14:textId="77777777" w:rsidR="00DF762F" w:rsidRDefault="0052103E" w:rsidP="00DF762F">
      <w:pPr>
        <w:pStyle w:val="Heading3"/>
      </w:pPr>
      <w:r>
        <w:rPr>
          <w:rFonts w:hint="cs"/>
          <w:rtl/>
        </w:rPr>
        <w:t>המסגרת הנורמטיבית</w:t>
      </w:r>
    </w:p>
    <w:p w14:paraId="738A6BD0" w14:textId="77777777" w:rsidR="00DF762F" w:rsidRDefault="002268BA" w:rsidP="00DF762F">
      <w:pPr>
        <w:pStyle w:val="ListParagraph"/>
        <w:numPr>
          <w:ilvl w:val="0"/>
          <w:numId w:val="1"/>
        </w:numPr>
        <w:spacing w:after="240"/>
      </w:pPr>
      <w:r>
        <w:rPr>
          <w:rFonts w:hint="cs"/>
          <w:rtl/>
        </w:rPr>
        <w:t>כאמור, המערער הורשע ב</w:t>
      </w:r>
      <w:r w:rsidR="00DF762F">
        <w:rPr>
          <w:rFonts w:hint="cs"/>
          <w:rtl/>
        </w:rPr>
        <w:t>עביר</w:t>
      </w:r>
      <w:r>
        <w:rPr>
          <w:rFonts w:hint="cs"/>
          <w:rtl/>
        </w:rPr>
        <w:t xml:space="preserve">ה של </w:t>
      </w:r>
      <w:r w:rsidR="00DF762F">
        <w:rPr>
          <w:rFonts w:hint="cs"/>
          <w:rtl/>
        </w:rPr>
        <w:t xml:space="preserve">חבלה </w:t>
      </w:r>
      <w:r w:rsidR="00F3715D">
        <w:rPr>
          <w:rFonts w:hint="cs"/>
          <w:rtl/>
        </w:rPr>
        <w:t>ברשלנות</w:t>
      </w:r>
      <w:r w:rsidR="00DF762F">
        <w:rPr>
          <w:rFonts w:hint="cs"/>
          <w:rtl/>
        </w:rPr>
        <w:t>, לפי סעיף 341 לחוק העונשין:</w:t>
      </w:r>
    </w:p>
    <w:p w14:paraId="20570EF7" w14:textId="77777777" w:rsidR="00DF762F" w:rsidRDefault="00DF762F" w:rsidP="00DF762F">
      <w:pPr>
        <w:pStyle w:val="Quote"/>
      </w:pPr>
      <w:r>
        <w:rPr>
          <w:rFonts w:hint="cs"/>
          <w:rtl/>
        </w:rPr>
        <w:t>"</w:t>
      </w:r>
      <w:r w:rsidRPr="00DF3A75">
        <w:rPr>
          <w:rtl/>
        </w:rPr>
        <w:t>העושה מעשה שלא כדין, או נמנע מעשות מעשה שחובתו לעשותו, והמעשה או המחדל אינם מן המפורטים בסעיפים 338 עד 340, ונגרמה בהם חבלה לאדם, דינו – מאסר שנה</w:t>
      </w:r>
      <w:r>
        <w:rPr>
          <w:rFonts w:hint="cs"/>
          <w:rtl/>
        </w:rPr>
        <w:t>".</w:t>
      </w:r>
    </w:p>
    <w:p w14:paraId="46E5CBB5" w14:textId="77777777" w:rsidR="00A838A2" w:rsidRDefault="00A838A2" w:rsidP="00267E8E">
      <w:pPr>
        <w:rPr>
          <w:rtl/>
        </w:rPr>
      </w:pPr>
      <w:r>
        <w:rPr>
          <w:rFonts w:hint="cs"/>
          <w:rtl/>
        </w:rPr>
        <w:t xml:space="preserve">לפנינו </w:t>
      </w:r>
      <w:r w:rsidRPr="00A838A2">
        <w:rPr>
          <w:rtl/>
        </w:rPr>
        <w:t xml:space="preserve">עבירה </w:t>
      </w:r>
      <w:proofErr w:type="spellStart"/>
      <w:r w:rsidRPr="00A838A2">
        <w:rPr>
          <w:rtl/>
        </w:rPr>
        <w:t>תוצאתית</w:t>
      </w:r>
      <w:proofErr w:type="spellEnd"/>
      <w:r w:rsidRPr="00A838A2">
        <w:rPr>
          <w:rtl/>
        </w:rPr>
        <w:t xml:space="preserve"> ש</w:t>
      </w:r>
      <w:r>
        <w:rPr>
          <w:rFonts w:hint="cs"/>
          <w:rtl/>
        </w:rPr>
        <w:t xml:space="preserve">על פי </w:t>
      </w:r>
      <w:r w:rsidRPr="00A838A2">
        <w:rPr>
          <w:rtl/>
        </w:rPr>
        <w:t>היסוד העובדתי בה יש להוכיח</w:t>
      </w:r>
      <w:r>
        <w:rPr>
          <w:rFonts w:hint="cs"/>
          <w:rtl/>
        </w:rPr>
        <w:t xml:space="preserve"> (</w:t>
      </w:r>
      <w:r w:rsidRPr="00A838A2">
        <w:rPr>
          <w:rtl/>
        </w:rPr>
        <w:t>לענייננו</w:t>
      </w:r>
      <w:r>
        <w:rPr>
          <w:rFonts w:hint="cs"/>
          <w:rtl/>
        </w:rPr>
        <w:t>)</w:t>
      </w:r>
      <w:r w:rsidRPr="00A838A2">
        <w:rPr>
          <w:rtl/>
        </w:rPr>
        <w:t>, מחדל שהוא "הימנעות מעשייה שהיא חובה לפי כל דין או חוזה" (</w:t>
      </w:r>
      <w:r>
        <w:rPr>
          <w:rFonts w:hint="cs"/>
          <w:rtl/>
        </w:rPr>
        <w:t xml:space="preserve">סעיף 18(ג) לחוק העונשין), </w:t>
      </w:r>
      <w:r w:rsidRPr="00A838A2">
        <w:rPr>
          <w:rtl/>
        </w:rPr>
        <w:t xml:space="preserve">שגרם, על פי מבחני הקשר הסיבתי, לתוצאה של </w:t>
      </w:r>
      <w:r w:rsidRPr="00A838A2">
        <w:t>"</w:t>
      </w:r>
      <w:r w:rsidRPr="00A838A2">
        <w:rPr>
          <w:rtl/>
        </w:rPr>
        <w:t>חבלה"</w:t>
      </w:r>
      <w:r>
        <w:rPr>
          <w:rFonts w:hint="cs"/>
          <w:rtl/>
        </w:rPr>
        <w:t xml:space="preserve"> </w:t>
      </w:r>
      <w:r w:rsidR="00260863">
        <w:rPr>
          <w:rFonts w:hint="cs"/>
          <w:rtl/>
        </w:rPr>
        <w:t xml:space="preserve">שהיא </w:t>
      </w:r>
      <w:r w:rsidRPr="00A838A2">
        <w:rPr>
          <w:rtl/>
        </w:rPr>
        <w:t>"מכאוב, מחלה או ליקוי גופניים, בין קבועים ובין עוברים"</w:t>
      </w:r>
      <w:r w:rsidR="00260863">
        <w:rPr>
          <w:rFonts w:hint="cs"/>
          <w:rtl/>
        </w:rPr>
        <w:t xml:space="preserve"> (</w:t>
      </w:r>
      <w:r>
        <w:rPr>
          <w:rFonts w:hint="cs"/>
          <w:rtl/>
        </w:rPr>
        <w:t xml:space="preserve">סעיף 34כד </w:t>
      </w:r>
      <w:r w:rsidRPr="00A838A2">
        <w:rPr>
          <w:rtl/>
        </w:rPr>
        <w:t xml:space="preserve">לחוק העונשין). </w:t>
      </w:r>
    </w:p>
    <w:p w14:paraId="78C4BE82" w14:textId="77777777" w:rsidR="00A838A2" w:rsidRDefault="00A838A2" w:rsidP="00267E8E">
      <w:pPr>
        <w:rPr>
          <w:rtl/>
        </w:rPr>
      </w:pPr>
      <w:r w:rsidRPr="00A838A2">
        <w:rPr>
          <w:rtl/>
        </w:rPr>
        <w:t>לעניין היסוד הנפשי בעבירה</w:t>
      </w:r>
      <w:r>
        <w:rPr>
          <w:rFonts w:hint="cs"/>
          <w:rtl/>
        </w:rPr>
        <w:t xml:space="preserve">, בהתאם להוראת סעיף 21(א) לחוק העונשין </w:t>
      </w:r>
      <w:r w:rsidRPr="00A838A2">
        <w:rPr>
          <w:rtl/>
        </w:rPr>
        <w:t>שכותרתו "רשלנות"</w:t>
      </w:r>
      <w:r>
        <w:rPr>
          <w:rFonts w:hint="cs"/>
          <w:rtl/>
        </w:rPr>
        <w:t xml:space="preserve">, </w:t>
      </w:r>
      <w:r w:rsidRPr="00A838A2">
        <w:rPr>
          <w:rtl/>
        </w:rPr>
        <w:t>יש להוכיח "אי מודעות לטיב המעשה, לקיום הנסיבות או לאפשרות הגרימה לתוצאות המעשה, הנמנים עם פרטי העבירה, כשאדם מן היישוב יכול היה, בנסיבות העניין, להיות מודע לאותו פרט, ובלבד</w:t>
      </w:r>
      <w:r w:rsidRPr="00A838A2">
        <w:t xml:space="preserve"> </w:t>
      </w:r>
      <w:r w:rsidRPr="00A838A2">
        <w:rPr>
          <w:rtl/>
        </w:rPr>
        <w:t>שלעניין הפרטים הנותרים הייתה לפחות רשלנות כאמור" (ראו</w:t>
      </w:r>
      <w:r>
        <w:rPr>
          <w:rFonts w:hint="cs"/>
          <w:rtl/>
        </w:rPr>
        <w:t xml:space="preserve"> ע"פ 2352/19</w:t>
      </w:r>
      <w:r w:rsidRPr="00A838A2">
        <w:rPr>
          <w:rtl/>
        </w:rPr>
        <w:t xml:space="preserve"> </w:t>
      </w:r>
      <w:proofErr w:type="spellStart"/>
      <w:r w:rsidRPr="00A838A2">
        <w:rPr>
          <w:b/>
          <w:bCs/>
          <w:rtl/>
        </w:rPr>
        <w:t>דנילוב</w:t>
      </w:r>
      <w:proofErr w:type="spellEnd"/>
      <w:r w:rsidRPr="00A838A2">
        <w:rPr>
          <w:b/>
          <w:bCs/>
          <w:rtl/>
        </w:rPr>
        <w:t xml:space="preserve"> נ' מדינת ישראל</w:t>
      </w:r>
      <w:r w:rsidRPr="00A838A2">
        <w:rPr>
          <w:rtl/>
        </w:rPr>
        <w:t xml:space="preserve"> (15.10.2019); </w:t>
      </w:r>
      <w:proofErr w:type="spellStart"/>
      <w:r>
        <w:rPr>
          <w:rFonts w:hint="cs"/>
          <w:rtl/>
        </w:rPr>
        <w:t>רע"פ</w:t>
      </w:r>
      <w:proofErr w:type="spellEnd"/>
      <w:r>
        <w:rPr>
          <w:rFonts w:hint="cs"/>
          <w:rtl/>
        </w:rPr>
        <w:t xml:space="preserve"> 4348/08 </w:t>
      </w:r>
      <w:r w:rsidRPr="00A838A2">
        <w:rPr>
          <w:b/>
          <w:bCs/>
          <w:rtl/>
        </w:rPr>
        <w:t>מאיר נ' מדינת ישראל</w:t>
      </w:r>
      <w:r w:rsidRPr="00A838A2">
        <w:rPr>
          <w:rtl/>
        </w:rPr>
        <w:t xml:space="preserve">, פסקה 31 לפסק הדין של השופטת </w:t>
      </w:r>
      <w:proofErr w:type="spellStart"/>
      <w:r w:rsidRPr="00A838A2">
        <w:rPr>
          <w:rtl/>
        </w:rPr>
        <w:t>פרוקצ'יה</w:t>
      </w:r>
      <w:proofErr w:type="spellEnd"/>
      <w:r w:rsidRPr="00A838A2">
        <w:rPr>
          <w:rtl/>
        </w:rPr>
        <w:t xml:space="preserve"> (8.7.2010); </w:t>
      </w:r>
      <w:r>
        <w:rPr>
          <w:rFonts w:hint="cs"/>
          <w:rtl/>
        </w:rPr>
        <w:t xml:space="preserve">ע/87/05 </w:t>
      </w:r>
      <w:r w:rsidRPr="00A838A2">
        <w:rPr>
          <w:b/>
          <w:bCs/>
          <w:rtl/>
        </w:rPr>
        <w:t>סמל</w:t>
      </w:r>
      <w:r w:rsidRPr="00A838A2">
        <w:rPr>
          <w:rtl/>
        </w:rPr>
        <w:t xml:space="preserve"> </w:t>
      </w:r>
      <w:r w:rsidRPr="00A838A2">
        <w:rPr>
          <w:b/>
          <w:bCs/>
          <w:rtl/>
        </w:rPr>
        <w:t xml:space="preserve">סופר נ' התובע הצבאי הראשי </w:t>
      </w:r>
      <w:r w:rsidRPr="00A838A2">
        <w:rPr>
          <w:rtl/>
        </w:rPr>
        <w:t>(2006)</w:t>
      </w:r>
      <w:r>
        <w:rPr>
          <w:rFonts w:hint="cs"/>
          <w:rtl/>
        </w:rPr>
        <w:t xml:space="preserve">). </w:t>
      </w:r>
    </w:p>
    <w:p w14:paraId="2ECD86AD" w14:textId="77777777" w:rsidR="00A838A2" w:rsidRDefault="00A838A2" w:rsidP="00A838A2">
      <w:pPr>
        <w:spacing w:after="240"/>
        <w:rPr>
          <w:rtl/>
        </w:rPr>
      </w:pPr>
      <w:r>
        <w:rPr>
          <w:rFonts w:hint="cs"/>
          <w:rtl/>
        </w:rPr>
        <w:t xml:space="preserve">בואר </w:t>
      </w:r>
      <w:r w:rsidR="00260863">
        <w:rPr>
          <w:rFonts w:hint="cs"/>
          <w:rtl/>
        </w:rPr>
        <w:t xml:space="preserve">עוד </w:t>
      </w:r>
      <w:r w:rsidRPr="00A838A2">
        <w:rPr>
          <w:rtl/>
        </w:rPr>
        <w:t>כי "בבסיס ההגדרה של עבירת הרשלנות מונח יסוד נורמטיבי-ערכי, המשותף ליסוד העובדתי וליסוד הנפשי" (</w:t>
      </w:r>
      <w:proofErr w:type="spellStart"/>
      <w:r>
        <w:rPr>
          <w:rFonts w:hint="cs"/>
          <w:rtl/>
        </w:rPr>
        <w:t>רע"פ</w:t>
      </w:r>
      <w:proofErr w:type="spellEnd"/>
      <w:r>
        <w:rPr>
          <w:rFonts w:hint="cs"/>
          <w:rtl/>
        </w:rPr>
        <w:t xml:space="preserve"> 9188/06 </w:t>
      </w:r>
      <w:r w:rsidRPr="00A838A2">
        <w:rPr>
          <w:b/>
          <w:bCs/>
          <w:rtl/>
        </w:rPr>
        <w:t>עדי נ' מדינת ישראל</w:t>
      </w:r>
      <w:r w:rsidRPr="00A838A2">
        <w:rPr>
          <w:rtl/>
        </w:rPr>
        <w:t xml:space="preserve"> (5.7.2010)). בשנת 2016 נכנס לתוקפו תיקון 126 ל</w:t>
      </w:r>
      <w:r>
        <w:rPr>
          <w:rFonts w:hint="cs"/>
          <w:rtl/>
        </w:rPr>
        <w:t>חוק העונשין ו</w:t>
      </w:r>
      <w:r w:rsidRPr="00A838A2">
        <w:rPr>
          <w:rtl/>
        </w:rPr>
        <w:t xml:space="preserve">בעקבותיו </w:t>
      </w:r>
      <w:r>
        <w:rPr>
          <w:rFonts w:hint="cs"/>
          <w:rtl/>
        </w:rPr>
        <w:t xml:space="preserve">אף </w:t>
      </w:r>
      <w:r w:rsidRPr="00A838A2">
        <w:rPr>
          <w:rtl/>
        </w:rPr>
        <w:t xml:space="preserve">נקבע </w:t>
      </w:r>
      <w:r>
        <w:rPr>
          <w:rFonts w:hint="cs"/>
          <w:rtl/>
        </w:rPr>
        <w:t>בסעיף 21(א)(2)</w:t>
      </w:r>
      <w:r w:rsidRPr="00A838A2">
        <w:rPr>
          <w:rtl/>
        </w:rPr>
        <w:t xml:space="preserve"> לחוק העונשין כי </w:t>
      </w:r>
      <w:r w:rsidRPr="00A838A2">
        <w:rPr>
          <w:rtl/>
        </w:rPr>
        <w:lastRenderedPageBreak/>
        <w:t>"בעבירה שעם פרטיה נמנית תוצאה שנגרמה על ידי המעשה או סכנה העלולה להיגרם בשלו" יש להראות כי "</w:t>
      </w:r>
      <w:r w:rsidRPr="00A838A2">
        <w:rPr>
          <w:b/>
          <w:bCs/>
          <w:rtl/>
        </w:rPr>
        <w:t>העושה נטל סיכון בלתי סביר להתרחשות התוצאה או לגרימת הסכנה כאמור</w:t>
      </w:r>
      <w:r w:rsidRPr="00A838A2">
        <w:rPr>
          <w:rtl/>
        </w:rPr>
        <w:t>"</w:t>
      </w:r>
      <w:r>
        <w:rPr>
          <w:rFonts w:hint="cs"/>
          <w:rtl/>
        </w:rPr>
        <w:t xml:space="preserve"> (הדגשות הוספו</w:t>
      </w:r>
      <w:r w:rsidR="00C30767">
        <w:rPr>
          <w:rFonts w:hint="cs"/>
          <w:rtl/>
        </w:rPr>
        <w:t>.</w:t>
      </w:r>
      <w:r w:rsidR="00860142">
        <w:rPr>
          <w:rFonts w:hint="cs"/>
          <w:rtl/>
        </w:rPr>
        <w:t xml:space="preserve"> ראו </w:t>
      </w:r>
      <w:proofErr w:type="spellStart"/>
      <w:r w:rsidR="00860142">
        <w:rPr>
          <w:rFonts w:hint="cs"/>
          <w:rtl/>
        </w:rPr>
        <w:t>רע"פ</w:t>
      </w:r>
      <w:proofErr w:type="spellEnd"/>
      <w:r w:rsidR="00860142">
        <w:rPr>
          <w:rFonts w:hint="cs"/>
          <w:rtl/>
        </w:rPr>
        <w:t xml:space="preserve"> 6716/17 </w:t>
      </w:r>
      <w:proofErr w:type="spellStart"/>
      <w:r w:rsidRPr="00A838A2">
        <w:rPr>
          <w:b/>
          <w:bCs/>
          <w:rtl/>
        </w:rPr>
        <w:t>מירז</w:t>
      </w:r>
      <w:proofErr w:type="spellEnd"/>
      <w:r w:rsidRPr="00A838A2">
        <w:rPr>
          <w:b/>
          <w:bCs/>
          <w:rtl/>
        </w:rPr>
        <w:t xml:space="preserve"> נ' מדינת ישראל</w:t>
      </w:r>
      <w:r w:rsidRPr="00A838A2">
        <w:rPr>
          <w:rtl/>
        </w:rPr>
        <w:t xml:space="preserve"> (10.4.2018)).</w:t>
      </w:r>
    </w:p>
    <w:p w14:paraId="1DB461A8" w14:textId="77777777" w:rsidR="00860142" w:rsidRPr="00860142" w:rsidRDefault="00860142" w:rsidP="003F64BA">
      <w:pPr>
        <w:pStyle w:val="Heading3"/>
      </w:pPr>
      <w:r w:rsidRPr="00260863">
        <w:rPr>
          <w:rFonts w:hint="cs"/>
          <w:rtl/>
        </w:rPr>
        <w:t>מקור החובה והיקפה</w:t>
      </w:r>
    </w:p>
    <w:p w14:paraId="2C133676" w14:textId="77777777" w:rsidR="00860142" w:rsidRDefault="00A838A2" w:rsidP="00267E8E">
      <w:pPr>
        <w:pStyle w:val="ListParagraph"/>
        <w:numPr>
          <w:ilvl w:val="0"/>
          <w:numId w:val="1"/>
        </w:numPr>
      </w:pPr>
      <w:r w:rsidRPr="00A838A2">
        <w:rPr>
          <w:rtl/>
        </w:rPr>
        <w:t>כאמור, למערער יוחסה עבירת רשלנות במחדל – שלא נקט צעדים נדרשים למנ</w:t>
      </w:r>
      <w:r w:rsidR="00260863">
        <w:rPr>
          <w:rFonts w:hint="cs"/>
          <w:rtl/>
        </w:rPr>
        <w:t xml:space="preserve">יעת </w:t>
      </w:r>
      <w:r w:rsidRPr="00A838A2">
        <w:rPr>
          <w:rtl/>
        </w:rPr>
        <w:t>החבלה על אף חובה שהוטלה עליו בדין</w:t>
      </w:r>
      <w:r w:rsidR="00260863">
        <w:rPr>
          <w:rFonts w:hint="cs"/>
          <w:rtl/>
        </w:rPr>
        <w:t xml:space="preserve">. </w:t>
      </w:r>
      <w:r w:rsidR="00860142">
        <w:rPr>
          <w:rFonts w:hint="cs"/>
          <w:rtl/>
        </w:rPr>
        <w:t xml:space="preserve">חובה זו </w:t>
      </w:r>
      <w:r w:rsidRPr="00A838A2">
        <w:rPr>
          <w:rtl/>
        </w:rPr>
        <w:t>עשויה להיות גם "חובת הזהירות הכללית הנהוגה בבחינה הנזיקית של הרשלנות"</w:t>
      </w:r>
      <w:r w:rsidR="00860142">
        <w:rPr>
          <w:rFonts w:hint="cs"/>
          <w:rtl/>
        </w:rPr>
        <w:t xml:space="preserve">, היינו </w:t>
      </w:r>
      <w:r w:rsidRPr="00A838A2">
        <w:rPr>
          <w:rtl/>
        </w:rPr>
        <w:t>חובת זהירות מושגית</w:t>
      </w:r>
      <w:r w:rsidR="00260863">
        <w:rPr>
          <w:rFonts w:hint="cs"/>
          <w:rtl/>
        </w:rPr>
        <w:t>,</w:t>
      </w:r>
      <w:r w:rsidRPr="00A838A2">
        <w:rPr>
          <w:rtl/>
        </w:rPr>
        <w:t xml:space="preserve"> </w:t>
      </w:r>
      <w:r w:rsidR="00260863">
        <w:rPr>
          <w:rFonts w:hint="cs"/>
          <w:rtl/>
        </w:rPr>
        <w:t xml:space="preserve">אשר </w:t>
      </w:r>
      <w:r w:rsidR="00260863" w:rsidRPr="00260863">
        <w:rPr>
          <w:rtl/>
        </w:rPr>
        <w:t>"מבטאת מדיניות משפטית דינמית, הרגישה לצרכים המשתנים ולהשקפות החברה..</w:t>
      </w:r>
      <w:r w:rsidR="00260863">
        <w:rPr>
          <w:rFonts w:hint="cs"/>
          <w:rtl/>
        </w:rPr>
        <w:t xml:space="preserve">. </w:t>
      </w:r>
      <w:r w:rsidR="00260863" w:rsidRPr="00260863">
        <w:rPr>
          <w:rtl/>
        </w:rPr>
        <w:t xml:space="preserve">היא מושתתת על מבחני צפיות טכנית ונורמטיבית, ובמסגרתה נלקחים בחשבון שיקולי מדיניות שונים" (ע"פ 7193/04 </w:t>
      </w:r>
      <w:proofErr w:type="spellStart"/>
      <w:r w:rsidR="00260863" w:rsidRPr="00260863">
        <w:rPr>
          <w:b/>
          <w:bCs/>
          <w:rtl/>
        </w:rPr>
        <w:t>יקירביץ</w:t>
      </w:r>
      <w:proofErr w:type="spellEnd"/>
      <w:r w:rsidR="00260863" w:rsidRPr="00260863">
        <w:rPr>
          <w:b/>
          <w:bCs/>
          <w:rtl/>
        </w:rPr>
        <w:t>' נ' מדינת ישראל</w:t>
      </w:r>
      <w:r w:rsidR="00260863" w:rsidRPr="00260863">
        <w:rPr>
          <w:rtl/>
        </w:rPr>
        <w:t xml:space="preserve">, פסקה 53 </w:t>
      </w:r>
      <w:r w:rsidR="00260863">
        <w:rPr>
          <w:rFonts w:hint="cs"/>
          <w:rtl/>
        </w:rPr>
        <w:t>(</w:t>
      </w:r>
      <w:r w:rsidR="00260863" w:rsidRPr="00260863">
        <w:rPr>
          <w:rtl/>
        </w:rPr>
        <w:t>30.4.2007</w:t>
      </w:r>
      <w:r w:rsidR="00260863">
        <w:rPr>
          <w:rFonts w:hint="cs"/>
          <w:rtl/>
        </w:rPr>
        <w:t>)</w:t>
      </w:r>
      <w:r w:rsidR="0056372A">
        <w:rPr>
          <w:rFonts w:hint="cs"/>
          <w:rtl/>
        </w:rPr>
        <w:t>)</w:t>
      </w:r>
      <w:r w:rsidR="00260863" w:rsidRPr="00260863">
        <w:rPr>
          <w:rtl/>
        </w:rPr>
        <w:t>, וחובת זהירות קונקרטית</w:t>
      </w:r>
      <w:r w:rsidR="00260863">
        <w:rPr>
          <w:rFonts w:hint="cs"/>
          <w:rtl/>
        </w:rPr>
        <w:t>,</w:t>
      </w:r>
      <w:r w:rsidR="00260863" w:rsidRPr="00260863">
        <w:rPr>
          <w:rtl/>
        </w:rPr>
        <w:t xml:space="preserve"> </w:t>
      </w:r>
      <w:r w:rsidR="00260863">
        <w:rPr>
          <w:rFonts w:hint="cs"/>
          <w:rtl/>
        </w:rPr>
        <w:t xml:space="preserve">הבוחנת </w:t>
      </w:r>
      <w:r w:rsidR="00260863" w:rsidRPr="00260863">
        <w:rPr>
          <w:rtl/>
        </w:rPr>
        <w:t>פרטנית אם בנסיבות המקרה אדם סביר יכול וצריך היה לצפות את התוצאה שנגרמה</w:t>
      </w:r>
      <w:r w:rsidRPr="00A838A2">
        <w:rPr>
          <w:rtl/>
        </w:rPr>
        <w:t xml:space="preserve"> (</w:t>
      </w:r>
      <w:proofErr w:type="spellStart"/>
      <w:r w:rsidR="00860142">
        <w:rPr>
          <w:rFonts w:hint="cs"/>
          <w:rtl/>
        </w:rPr>
        <w:t>רע"פ</w:t>
      </w:r>
      <w:proofErr w:type="spellEnd"/>
      <w:r w:rsidR="00860142">
        <w:rPr>
          <w:rFonts w:hint="cs"/>
          <w:rtl/>
        </w:rPr>
        <w:t xml:space="preserve"> 1007/05 </w:t>
      </w:r>
      <w:r w:rsidRPr="00A838A2">
        <w:rPr>
          <w:b/>
          <w:bCs/>
          <w:rtl/>
        </w:rPr>
        <w:t>מדינת ישראל נ' בוחבוט</w:t>
      </w:r>
      <w:r w:rsidRPr="00A838A2">
        <w:rPr>
          <w:rtl/>
        </w:rPr>
        <w:t xml:space="preserve">, פ"ד </w:t>
      </w:r>
      <w:proofErr w:type="spellStart"/>
      <w:r w:rsidRPr="00A838A2">
        <w:rPr>
          <w:rtl/>
        </w:rPr>
        <w:t>סג</w:t>
      </w:r>
      <w:proofErr w:type="spellEnd"/>
      <w:r w:rsidRPr="00A838A2">
        <w:rPr>
          <w:rtl/>
        </w:rPr>
        <w:t>(1) 63, 87, 132 (2008)</w:t>
      </w:r>
      <w:r w:rsidR="0056372A">
        <w:rPr>
          <w:rFonts w:hint="cs"/>
          <w:rtl/>
        </w:rPr>
        <w:t xml:space="preserve">; </w:t>
      </w:r>
      <w:r w:rsidR="00260863">
        <w:rPr>
          <w:rFonts w:hint="cs"/>
          <w:rtl/>
        </w:rPr>
        <w:t xml:space="preserve">עניין </w:t>
      </w:r>
      <w:r w:rsidR="00260863" w:rsidRPr="00260863">
        <w:rPr>
          <w:rFonts w:hint="cs"/>
          <w:b/>
          <w:bCs/>
          <w:rtl/>
        </w:rPr>
        <w:t>עדי</w:t>
      </w:r>
      <w:r w:rsidR="00260863">
        <w:rPr>
          <w:rFonts w:hint="cs"/>
          <w:rtl/>
        </w:rPr>
        <w:t xml:space="preserve"> לעיל, </w:t>
      </w:r>
      <w:r w:rsidR="00C30767">
        <w:rPr>
          <w:rFonts w:hint="cs"/>
          <w:rtl/>
        </w:rPr>
        <w:t>ב</w:t>
      </w:r>
      <w:r w:rsidR="00260863">
        <w:rPr>
          <w:rFonts w:hint="cs"/>
          <w:rtl/>
        </w:rPr>
        <w:t>פסקה 26</w:t>
      </w:r>
      <w:r w:rsidRPr="00A838A2">
        <w:rPr>
          <w:rtl/>
        </w:rPr>
        <w:t xml:space="preserve">). </w:t>
      </w:r>
    </w:p>
    <w:p w14:paraId="781D0AD4" w14:textId="77777777" w:rsidR="00707DEE" w:rsidRDefault="00707DEE" w:rsidP="00267E8E">
      <w:pPr>
        <w:pStyle w:val="ListParagraph"/>
        <w:numPr>
          <w:ilvl w:val="0"/>
          <w:numId w:val="1"/>
        </w:numPr>
      </w:pPr>
      <w:r>
        <w:rPr>
          <w:rFonts w:hint="cs"/>
          <w:rtl/>
        </w:rPr>
        <w:t>מקובלת עלינו טענה ההגנה, שלפיה, על פי הפקודה העוסקת ב</w:t>
      </w:r>
      <w:r w:rsidRPr="00707DEE">
        <w:rPr>
          <w:rtl/>
        </w:rPr>
        <w:t xml:space="preserve">"טיפול בחייל הנמצא במצוקה נפשית" </w:t>
      </w:r>
      <w:r>
        <w:rPr>
          <w:rFonts w:hint="cs"/>
          <w:rtl/>
        </w:rPr>
        <w:t>(</w:t>
      </w:r>
      <w:r w:rsidRPr="00707DEE">
        <w:rPr>
          <w:rtl/>
        </w:rPr>
        <w:t>פקודת מטכ"ל 33.0219</w:t>
      </w:r>
      <w:r w:rsidR="001E01DC">
        <w:rPr>
          <w:rFonts w:hint="cs"/>
          <w:rtl/>
        </w:rPr>
        <w:t xml:space="preserve">) ועל פי הראיות שהוצגו במשפטו של המערער </w:t>
      </w:r>
      <w:r w:rsidR="001E01DC">
        <w:rPr>
          <w:rtl/>
        </w:rPr>
        <w:t>–</w:t>
      </w:r>
      <w:r w:rsidR="001E01DC">
        <w:rPr>
          <w:rFonts w:hint="cs"/>
          <w:rtl/>
        </w:rPr>
        <w:t xml:space="preserve"> </w:t>
      </w:r>
      <w:r w:rsidR="00792BF3">
        <w:rPr>
          <w:rFonts w:hint="cs"/>
          <w:rtl/>
        </w:rPr>
        <w:t xml:space="preserve">לא הוכח כי </w:t>
      </w:r>
      <w:r w:rsidR="001E01DC">
        <w:rPr>
          <w:rFonts w:hint="cs"/>
          <w:rtl/>
        </w:rPr>
        <w:t>היה אחראי לנוהל ההשגחה</w:t>
      </w:r>
      <w:r w:rsidR="00F3715D">
        <w:rPr>
          <w:rFonts w:hint="cs"/>
          <w:rtl/>
        </w:rPr>
        <w:t>,</w:t>
      </w:r>
      <w:r w:rsidR="001E01DC">
        <w:rPr>
          <w:rFonts w:hint="cs"/>
          <w:rtl/>
        </w:rPr>
        <w:t xml:space="preserve"> והאחריות ב</w:t>
      </w:r>
      <w:r w:rsidR="00792BF3">
        <w:rPr>
          <w:rFonts w:hint="cs"/>
          <w:rtl/>
        </w:rPr>
        <w:t xml:space="preserve">נושא, </w:t>
      </w:r>
      <w:r w:rsidR="00F3715D">
        <w:rPr>
          <w:rFonts w:hint="cs"/>
          <w:rtl/>
        </w:rPr>
        <w:t xml:space="preserve">ובכללה </w:t>
      </w:r>
      <w:r w:rsidR="00792BF3">
        <w:rPr>
          <w:rFonts w:hint="cs"/>
          <w:rtl/>
        </w:rPr>
        <w:t xml:space="preserve">האחריות לניהול רשימת שומרים והחלפתם, </w:t>
      </w:r>
      <w:r w:rsidR="001E01DC">
        <w:rPr>
          <w:rFonts w:hint="cs"/>
          <w:rtl/>
        </w:rPr>
        <w:t xml:space="preserve">הוטלה על מפקדיו. עם זאת, כפי שנפרט להלן, בנסיבות העניין, הייתה על המערער חובת זהירות מושגית וקונקרטית </w:t>
      </w:r>
      <w:r w:rsidR="001E01DC" w:rsidRPr="00ED26AF">
        <w:rPr>
          <w:rFonts w:hint="cs"/>
          <w:rtl/>
        </w:rPr>
        <w:t>מוגברת</w:t>
      </w:r>
      <w:r w:rsidR="001E01DC" w:rsidRPr="00792BF3">
        <w:rPr>
          <w:rFonts w:hint="cs"/>
          <w:rtl/>
        </w:rPr>
        <w:t xml:space="preserve"> </w:t>
      </w:r>
      <w:r w:rsidR="00792BF3" w:rsidRPr="00792BF3">
        <w:rPr>
          <w:rFonts w:hint="cs"/>
          <w:rtl/>
        </w:rPr>
        <w:t>ממקורות אחרים</w:t>
      </w:r>
      <w:r w:rsidR="00792BF3">
        <w:rPr>
          <w:rFonts w:hint="cs"/>
          <w:rtl/>
        </w:rPr>
        <w:t>,</w:t>
      </w:r>
      <w:r w:rsidR="00792BF3" w:rsidRPr="00792BF3">
        <w:rPr>
          <w:rFonts w:hint="cs"/>
          <w:rtl/>
        </w:rPr>
        <w:t xml:space="preserve"> </w:t>
      </w:r>
      <w:r w:rsidR="00792BF3">
        <w:rPr>
          <w:rFonts w:hint="cs"/>
          <w:rtl/>
        </w:rPr>
        <w:t xml:space="preserve">והיה עליו </w:t>
      </w:r>
      <w:r w:rsidR="001E01DC">
        <w:rPr>
          <w:rFonts w:hint="cs"/>
          <w:rtl/>
        </w:rPr>
        <w:t xml:space="preserve">לנקוט צעדים נדרשים למניעת החבלה לנפגע. </w:t>
      </w:r>
    </w:p>
    <w:p w14:paraId="0D356F8A" w14:textId="77777777" w:rsidR="002149AA" w:rsidRDefault="008950F8" w:rsidP="00267E8E">
      <w:pPr>
        <w:pStyle w:val="ListParagraph"/>
        <w:numPr>
          <w:ilvl w:val="0"/>
          <w:numId w:val="1"/>
        </w:numPr>
      </w:pPr>
      <w:r>
        <w:rPr>
          <w:rFonts w:hint="cs"/>
          <w:rtl/>
        </w:rPr>
        <w:t>במה דברים אמורים</w:t>
      </w:r>
      <w:r w:rsidR="00ED26AF">
        <w:rPr>
          <w:rFonts w:hint="cs"/>
          <w:rtl/>
        </w:rPr>
        <w:t>?</w:t>
      </w:r>
      <w:r>
        <w:rPr>
          <w:rFonts w:hint="cs"/>
          <w:rtl/>
        </w:rPr>
        <w:t xml:space="preserve"> </w:t>
      </w:r>
      <w:r w:rsidR="002149AA">
        <w:rPr>
          <w:rFonts w:hint="cs"/>
          <w:rtl/>
        </w:rPr>
        <w:t xml:space="preserve">המערער </w:t>
      </w:r>
      <w:r w:rsidR="002149AA" w:rsidRPr="002149AA">
        <w:rPr>
          <w:rFonts w:hint="cs"/>
          <w:b/>
          <w:bCs/>
          <w:rtl/>
        </w:rPr>
        <w:t>היה מפקדו הישיר</w:t>
      </w:r>
      <w:r w:rsidR="002149AA">
        <w:rPr>
          <w:rFonts w:hint="cs"/>
          <w:rtl/>
        </w:rPr>
        <w:t xml:space="preserve"> של הנפגע והיה ער למצבו הנפשי ולסיכון ה</w:t>
      </w:r>
      <w:r w:rsidR="0056372A">
        <w:rPr>
          <w:rFonts w:hint="cs"/>
          <w:rtl/>
        </w:rPr>
        <w:t>נובע ממנו</w:t>
      </w:r>
      <w:r w:rsidR="002149AA">
        <w:rPr>
          <w:rFonts w:hint="cs"/>
          <w:rtl/>
        </w:rPr>
        <w:t>. בואר בפסיקה רבת</w:t>
      </w:r>
      <w:r w:rsidR="00C30767">
        <w:rPr>
          <w:rFonts w:hint="cs"/>
          <w:rtl/>
        </w:rPr>
        <w:t>-</w:t>
      </w:r>
      <w:r w:rsidR="002149AA">
        <w:rPr>
          <w:rFonts w:hint="cs"/>
          <w:rtl/>
        </w:rPr>
        <w:t xml:space="preserve">שנים כי </w:t>
      </w:r>
      <w:r w:rsidR="002149AA">
        <w:rPr>
          <w:rtl/>
        </w:rPr>
        <w:t>מפקד חב חובת זהירות כלפי חייליו</w:t>
      </w:r>
      <w:r w:rsidR="0056372A">
        <w:rPr>
          <w:rFonts w:hint="cs"/>
          <w:rtl/>
        </w:rPr>
        <w:t>.</w:t>
      </w:r>
      <w:r w:rsidR="002149AA">
        <w:rPr>
          <w:rFonts w:hint="cs"/>
          <w:rtl/>
        </w:rPr>
        <w:t xml:space="preserve"> </w:t>
      </w:r>
      <w:r w:rsidR="002149AA">
        <w:rPr>
          <w:rtl/>
        </w:rPr>
        <w:t>"ערכי היסוד הקיימים בצבא לגבי יחסי מפקד ופקודו מטילים</w:t>
      </w:r>
      <w:r w:rsidR="002149AA">
        <w:rPr>
          <w:rFonts w:hint="cs"/>
          <w:rtl/>
        </w:rPr>
        <w:t xml:space="preserve">... [עליו] </w:t>
      </w:r>
      <w:r w:rsidR="002149AA">
        <w:rPr>
          <w:rtl/>
        </w:rPr>
        <w:t xml:space="preserve">אחריות לדאוג לשלום פקודו והוא חייב בין השאר, לפעול באופן סביר כדי להמעיט עד המינימום האפשרי את הסכנה לחיים שפעולת הפקוד במסגרת הצבאית גוררת אחריה" (ע/19/58 </w:t>
      </w:r>
      <w:r w:rsidR="002149AA" w:rsidRPr="002149AA">
        <w:rPr>
          <w:b/>
          <w:bCs/>
          <w:rtl/>
        </w:rPr>
        <w:t>התובע הצבאי הראשי נ' סרן פז</w:t>
      </w:r>
      <w:r w:rsidR="002149AA">
        <w:rPr>
          <w:rtl/>
        </w:rPr>
        <w:t xml:space="preserve">, </w:t>
      </w:r>
      <w:proofErr w:type="spellStart"/>
      <w:r w:rsidR="002149AA">
        <w:rPr>
          <w:rtl/>
        </w:rPr>
        <w:t>פד"צ</w:t>
      </w:r>
      <w:proofErr w:type="spellEnd"/>
      <w:r w:rsidR="002149AA">
        <w:rPr>
          <w:rtl/>
        </w:rPr>
        <w:t xml:space="preserve"> 1958, 207, 314 (1958))</w:t>
      </w:r>
      <w:r w:rsidR="002149AA">
        <w:rPr>
          <w:rFonts w:hint="cs"/>
          <w:rtl/>
        </w:rPr>
        <w:t>.</w:t>
      </w:r>
      <w:r w:rsidR="002149AA">
        <w:rPr>
          <w:rtl/>
        </w:rPr>
        <w:t xml:space="preserve"> המפקד נדרש "בכל ענין המצוי בתחום סמכותו לדאוג לשלומו ולביטחונו של החייל הנתון לפיקודו" (ע/37/89 </w:t>
      </w:r>
      <w:r w:rsidR="002149AA" w:rsidRPr="002149AA">
        <w:rPr>
          <w:b/>
          <w:bCs/>
          <w:rtl/>
        </w:rPr>
        <w:t xml:space="preserve">התובע הצבאי הראשי נ' סגן </w:t>
      </w:r>
      <w:proofErr w:type="spellStart"/>
      <w:r w:rsidR="002149AA" w:rsidRPr="002149AA">
        <w:rPr>
          <w:b/>
          <w:bCs/>
          <w:rtl/>
        </w:rPr>
        <w:t>פירסטר</w:t>
      </w:r>
      <w:proofErr w:type="spellEnd"/>
      <w:r w:rsidR="002149AA">
        <w:rPr>
          <w:rtl/>
        </w:rPr>
        <w:t xml:space="preserve">, </w:t>
      </w:r>
      <w:proofErr w:type="spellStart"/>
      <w:r w:rsidR="002149AA">
        <w:rPr>
          <w:rtl/>
        </w:rPr>
        <w:t>פד"צ</w:t>
      </w:r>
      <w:proofErr w:type="spellEnd"/>
      <w:r w:rsidR="002149AA">
        <w:rPr>
          <w:rtl/>
        </w:rPr>
        <w:t xml:space="preserve"> 1989, 22, 25 (1989); ראו גם ע/55/76 </w:t>
      </w:r>
      <w:r w:rsidR="002149AA" w:rsidRPr="002149AA">
        <w:rPr>
          <w:b/>
          <w:bCs/>
          <w:rtl/>
        </w:rPr>
        <w:t>התובע הצבאי הראשי נ' ראובן</w:t>
      </w:r>
      <w:r w:rsidR="002149AA">
        <w:rPr>
          <w:rtl/>
        </w:rPr>
        <w:t xml:space="preserve"> (1976)). </w:t>
      </w:r>
    </w:p>
    <w:p w14:paraId="5604B2CF" w14:textId="46370644" w:rsidR="002149AA" w:rsidRPr="00754CB9" w:rsidRDefault="002149AA" w:rsidP="00267E8E">
      <w:pPr>
        <w:pStyle w:val="ListParagraph"/>
        <w:numPr>
          <w:ilvl w:val="0"/>
          <w:numId w:val="1"/>
        </w:numPr>
      </w:pPr>
      <w:r>
        <w:rPr>
          <w:rtl/>
        </w:rPr>
        <w:t xml:space="preserve">לצד חובת הזהירות שחב מפקד כלפי פקודו ובמצטבר לה, </w:t>
      </w:r>
      <w:r w:rsidR="00C30767">
        <w:rPr>
          <w:rFonts w:hint="cs"/>
          <w:rtl/>
        </w:rPr>
        <w:t>הרי ש</w:t>
      </w:r>
      <w:r>
        <w:rPr>
          <w:rtl/>
        </w:rPr>
        <w:t>כעולה מ</w:t>
      </w:r>
      <w:r>
        <w:rPr>
          <w:rFonts w:hint="cs"/>
          <w:rtl/>
        </w:rPr>
        <w:t>ן העובדות שהוכחו כמב</w:t>
      </w:r>
      <w:r w:rsidR="00F65210">
        <w:rPr>
          <w:rFonts w:hint="cs"/>
          <w:rtl/>
        </w:rPr>
        <w:t>ו</w:t>
      </w:r>
      <w:r>
        <w:rPr>
          <w:rFonts w:hint="cs"/>
          <w:rtl/>
        </w:rPr>
        <w:t>אר לעיל,</w:t>
      </w:r>
      <w:r>
        <w:rPr>
          <w:rtl/>
        </w:rPr>
        <w:t xml:space="preserve"> </w:t>
      </w:r>
      <w:r w:rsidR="0056372A">
        <w:rPr>
          <w:rFonts w:hint="cs"/>
          <w:rtl/>
        </w:rPr>
        <w:t xml:space="preserve">קיימת </w:t>
      </w:r>
      <w:r>
        <w:rPr>
          <w:rFonts w:hint="cs"/>
          <w:rtl/>
        </w:rPr>
        <w:t xml:space="preserve">למערער </w:t>
      </w:r>
      <w:r>
        <w:rPr>
          <w:rtl/>
        </w:rPr>
        <w:t xml:space="preserve">חובת זהירות </w:t>
      </w:r>
      <w:r>
        <w:rPr>
          <w:rFonts w:hint="cs"/>
          <w:rtl/>
        </w:rPr>
        <w:t xml:space="preserve">גם בהיותו </w:t>
      </w:r>
      <w:r w:rsidRPr="002149AA">
        <w:rPr>
          <w:b/>
          <w:bCs/>
          <w:rtl/>
        </w:rPr>
        <w:t xml:space="preserve">מי שיצר </w:t>
      </w:r>
      <w:r>
        <w:rPr>
          <w:rFonts w:hint="cs"/>
          <w:b/>
          <w:bCs/>
          <w:rtl/>
        </w:rPr>
        <w:t xml:space="preserve">כלפי הנפגע </w:t>
      </w:r>
      <w:r w:rsidRPr="002149AA">
        <w:rPr>
          <w:b/>
          <w:bCs/>
          <w:rtl/>
        </w:rPr>
        <w:t>מצב מסוכן</w:t>
      </w:r>
      <w:r w:rsidR="00553D75">
        <w:rPr>
          <w:rFonts w:hint="cs"/>
          <w:rtl/>
        </w:rPr>
        <w:t xml:space="preserve">, </w:t>
      </w:r>
      <w:r w:rsidR="00D7675E">
        <w:rPr>
          <w:rFonts w:hint="cs"/>
          <w:rtl/>
        </w:rPr>
        <w:t xml:space="preserve">בהותירו אותו ללא שני משגיחים, כנדרש, עד שכמשגיח יחיד </w:t>
      </w:r>
      <w:r w:rsidR="00C30767">
        <w:rPr>
          <w:rtl/>
        </w:rPr>
        <w:t>–</w:t>
      </w:r>
      <w:r w:rsidR="00D7675E">
        <w:rPr>
          <w:rFonts w:hint="cs"/>
          <w:rtl/>
        </w:rPr>
        <w:t xml:space="preserve"> נרדם ואפשר לנפגע לפגוע בעצמו</w:t>
      </w:r>
      <w:r>
        <w:rPr>
          <w:rtl/>
        </w:rPr>
        <w:t xml:space="preserve">. </w:t>
      </w:r>
      <w:r>
        <w:rPr>
          <w:rFonts w:hint="cs"/>
          <w:rtl/>
        </w:rPr>
        <w:t xml:space="preserve">נקבע זה מכבר </w:t>
      </w:r>
      <w:r>
        <w:rPr>
          <w:rtl/>
        </w:rPr>
        <w:t xml:space="preserve">כי בנסיבות מסוימות, כאשר אדם יוצר בהתנהגותו מצב מסוכן המעמיד </w:t>
      </w:r>
      <w:r w:rsidR="00F3715D">
        <w:rPr>
          <w:rFonts w:hint="cs"/>
          <w:rtl/>
        </w:rPr>
        <w:t xml:space="preserve">בסכנה </w:t>
      </w:r>
      <w:r>
        <w:rPr>
          <w:rtl/>
        </w:rPr>
        <w:t>אינטרס מוגן של אחר, קמה לו חובת עשייה אקטיבית לפעול לנטרול הסיכון ולמניעת התרחשות הנזק</w:t>
      </w:r>
      <w:r w:rsidR="00C30767">
        <w:rPr>
          <w:rFonts w:hint="cs"/>
          <w:rtl/>
        </w:rPr>
        <w:t>:</w:t>
      </w:r>
      <w:r>
        <w:rPr>
          <w:rtl/>
        </w:rPr>
        <w:t xml:space="preserve"> "ניתן לומר שאדם א' התרשל בעצם </w:t>
      </w:r>
      <w:r w:rsidRPr="003F64BA">
        <w:rPr>
          <w:b/>
          <w:bCs/>
          <w:rtl/>
        </w:rPr>
        <w:t>המחדל</w:t>
      </w:r>
      <w:r>
        <w:rPr>
          <w:rtl/>
        </w:rPr>
        <w:t xml:space="preserve"> שלא למנוע את המצב </w:t>
      </w:r>
      <w:r>
        <w:rPr>
          <w:rtl/>
        </w:rPr>
        <w:lastRenderedPageBreak/>
        <w:t xml:space="preserve">המסוכן שהוא עצמו תרם ליצירתו, והיה עליו לצפות את הנזק שהמצב עלול להסב לאדם ב'" (ע"פ 119/93 </w:t>
      </w:r>
      <w:r w:rsidRPr="002149AA">
        <w:rPr>
          <w:b/>
          <w:bCs/>
          <w:rtl/>
        </w:rPr>
        <w:t>לורנס נ' מדינת ישראל</w:t>
      </w:r>
      <w:r>
        <w:rPr>
          <w:rtl/>
        </w:rPr>
        <w:t xml:space="preserve">, </w:t>
      </w:r>
      <w:r w:rsidR="00C30767">
        <w:rPr>
          <w:rFonts w:hint="cs"/>
          <w:rtl/>
        </w:rPr>
        <w:t>פ"ד מח(4) 1, 32</w:t>
      </w:r>
      <w:r w:rsidR="00C30767" w:rsidDel="00C30767">
        <w:rPr>
          <w:rtl/>
        </w:rPr>
        <w:t xml:space="preserve"> </w:t>
      </w:r>
      <w:r>
        <w:rPr>
          <w:rtl/>
        </w:rPr>
        <w:t xml:space="preserve">(1994); ע"פ 1713/95 </w:t>
      </w:r>
      <w:r w:rsidRPr="002149AA">
        <w:rPr>
          <w:b/>
          <w:bCs/>
          <w:rtl/>
        </w:rPr>
        <w:t>פרידמן נ' מדינת ישראל</w:t>
      </w:r>
      <w:r w:rsidR="00C30767">
        <w:rPr>
          <w:rFonts w:hint="cs"/>
          <w:rtl/>
        </w:rPr>
        <w:t>, פ"ד נ(1) 265, 275</w:t>
      </w:r>
      <w:r w:rsidRPr="002149AA">
        <w:rPr>
          <w:b/>
          <w:bCs/>
          <w:rtl/>
        </w:rPr>
        <w:t xml:space="preserve"> </w:t>
      </w:r>
      <w:r>
        <w:rPr>
          <w:rtl/>
        </w:rPr>
        <w:t xml:space="preserve">(1996); ע"פ 2247/10 </w:t>
      </w:r>
      <w:r w:rsidRPr="002149AA">
        <w:rPr>
          <w:b/>
          <w:bCs/>
          <w:rtl/>
        </w:rPr>
        <w:t>ימיני נ' מדינת ישראל</w:t>
      </w:r>
      <w:r>
        <w:rPr>
          <w:rtl/>
        </w:rPr>
        <w:t xml:space="preserve">, </w:t>
      </w:r>
      <w:r w:rsidR="00C30767">
        <w:rPr>
          <w:rFonts w:hint="cs"/>
          <w:rtl/>
        </w:rPr>
        <w:t>פ"ד סד(2) 666, 724</w:t>
      </w:r>
      <w:r w:rsidR="00C30767" w:rsidDel="00C30767">
        <w:rPr>
          <w:rtl/>
        </w:rPr>
        <w:t xml:space="preserve"> </w:t>
      </w:r>
      <w:r>
        <w:rPr>
          <w:rtl/>
        </w:rPr>
        <w:t xml:space="preserve">(2011); ע/193/94 </w:t>
      </w:r>
      <w:r w:rsidRPr="002149AA">
        <w:rPr>
          <w:b/>
          <w:bCs/>
          <w:rtl/>
        </w:rPr>
        <w:t>סא"ל שלו נ' התובע הצבאי הראשי</w:t>
      </w:r>
      <w:r>
        <w:rPr>
          <w:rtl/>
        </w:rPr>
        <w:t xml:space="preserve"> (1995</w:t>
      </w:r>
      <w:r w:rsidRPr="00754CB9">
        <w:rPr>
          <w:rtl/>
        </w:rPr>
        <w:t xml:space="preserve">); </w:t>
      </w:r>
      <w:r w:rsidRPr="00754CB9">
        <w:rPr>
          <w:rFonts w:hint="cs"/>
          <w:rtl/>
        </w:rPr>
        <w:t xml:space="preserve">עניין </w:t>
      </w:r>
      <w:r w:rsidRPr="00754CB9">
        <w:rPr>
          <w:rFonts w:hint="cs"/>
          <w:b/>
          <w:bCs/>
          <w:rtl/>
        </w:rPr>
        <w:t xml:space="preserve">סגן </w:t>
      </w:r>
      <w:r w:rsidR="00213B48">
        <w:rPr>
          <w:rFonts w:hint="cs"/>
          <w:b/>
          <w:bCs/>
          <w:rtl/>
        </w:rPr>
        <w:t>ת' כ' א'</w:t>
      </w:r>
      <w:r w:rsidRPr="00754CB9">
        <w:rPr>
          <w:rFonts w:hint="cs"/>
          <w:b/>
          <w:bCs/>
          <w:rtl/>
        </w:rPr>
        <w:t xml:space="preserve"> </w:t>
      </w:r>
      <w:r w:rsidRPr="00754CB9">
        <w:rPr>
          <w:rFonts w:hint="cs"/>
          <w:rtl/>
        </w:rPr>
        <w:t xml:space="preserve">לעיל, </w:t>
      </w:r>
      <w:r w:rsidR="00C30767">
        <w:rPr>
          <w:rFonts w:hint="cs"/>
          <w:rtl/>
        </w:rPr>
        <w:t>ב</w:t>
      </w:r>
      <w:r w:rsidRPr="00754CB9">
        <w:rPr>
          <w:rFonts w:hint="cs"/>
          <w:rtl/>
        </w:rPr>
        <w:t>פסקה 38</w:t>
      </w:r>
      <w:r w:rsidR="00890FBD" w:rsidRPr="00754CB9">
        <w:rPr>
          <w:rFonts w:hint="cs"/>
          <w:rtl/>
        </w:rPr>
        <w:t>)</w:t>
      </w:r>
      <w:r w:rsidRPr="00754CB9">
        <w:rPr>
          <w:rtl/>
        </w:rPr>
        <w:t xml:space="preserve">. </w:t>
      </w:r>
    </w:p>
    <w:p w14:paraId="0D4C9973" w14:textId="77777777" w:rsidR="002149AA" w:rsidRDefault="002149AA" w:rsidP="00267E8E">
      <w:pPr>
        <w:pStyle w:val="ListParagraph"/>
        <w:numPr>
          <w:ilvl w:val="0"/>
          <w:numId w:val="1"/>
        </w:numPr>
      </w:pPr>
      <w:r>
        <w:rPr>
          <w:rFonts w:hint="cs"/>
          <w:rtl/>
        </w:rPr>
        <w:t xml:space="preserve">ולבסוף, המערער מונה על ידי מפקדיו לשמש משגיח </w:t>
      </w:r>
      <w:r w:rsidR="0056372A">
        <w:rPr>
          <w:rFonts w:hint="cs"/>
          <w:rtl/>
        </w:rPr>
        <w:t>על הנפגע</w:t>
      </w:r>
      <w:r w:rsidR="00553D75">
        <w:rPr>
          <w:rFonts w:hint="cs"/>
          <w:rtl/>
        </w:rPr>
        <w:t>,</w:t>
      </w:r>
      <w:r w:rsidR="0056372A">
        <w:rPr>
          <w:rFonts w:hint="cs"/>
          <w:rtl/>
        </w:rPr>
        <w:t xml:space="preserve"> לנוכח החשש כי יפגע בעצמו. המערער </w:t>
      </w:r>
      <w:r>
        <w:rPr>
          <w:rFonts w:hint="cs"/>
          <w:rtl/>
        </w:rPr>
        <w:t>קיבל פקודות ישירות לשם ביצוע המשימה</w:t>
      </w:r>
      <w:r w:rsidR="00C30767">
        <w:rPr>
          <w:rFonts w:hint="cs"/>
          <w:rtl/>
        </w:rPr>
        <w:t>,</w:t>
      </w:r>
      <w:r>
        <w:rPr>
          <w:rFonts w:hint="cs"/>
          <w:rtl/>
        </w:rPr>
        <w:t xml:space="preserve"> ובהן הפקודה לצרף אליו משגיח נוסף. </w:t>
      </w:r>
      <w:r w:rsidR="007127DE">
        <w:rPr>
          <w:rFonts w:hint="cs"/>
          <w:rtl/>
        </w:rPr>
        <w:t>המשימה הברורה והפקודות המדויקות שנ</w:t>
      </w:r>
      <w:r w:rsidR="00553D75">
        <w:rPr>
          <w:rFonts w:hint="cs"/>
          <w:rtl/>
        </w:rPr>
        <w:t>י</w:t>
      </w:r>
      <w:r w:rsidR="007127DE">
        <w:rPr>
          <w:rFonts w:hint="cs"/>
          <w:rtl/>
        </w:rPr>
        <w:t>תנו למערער במסגרת ההשגחה על הנפגע</w:t>
      </w:r>
      <w:r w:rsidR="0056372A">
        <w:rPr>
          <w:rFonts w:hint="cs"/>
          <w:rtl/>
        </w:rPr>
        <w:t>,</w:t>
      </w:r>
      <w:r w:rsidR="007127DE">
        <w:rPr>
          <w:rFonts w:hint="cs"/>
          <w:rtl/>
        </w:rPr>
        <w:t xml:space="preserve"> לנוכח הסיכון לחייו, משמשות </w:t>
      </w:r>
      <w:r w:rsidR="00434B10">
        <w:rPr>
          <w:rFonts w:hint="cs"/>
          <w:rtl/>
        </w:rPr>
        <w:t xml:space="preserve">כשלעצמן </w:t>
      </w:r>
      <w:r w:rsidR="007127DE">
        <w:rPr>
          <w:rFonts w:hint="cs"/>
          <w:rtl/>
        </w:rPr>
        <w:t>מקור חובה</w:t>
      </w:r>
      <w:r w:rsidR="00ED26AF">
        <w:rPr>
          <w:rFonts w:hint="cs"/>
          <w:rtl/>
        </w:rPr>
        <w:t xml:space="preserve"> </w:t>
      </w:r>
      <w:r w:rsidR="00434B10">
        <w:rPr>
          <w:rFonts w:hint="cs"/>
          <w:rtl/>
        </w:rPr>
        <w:t xml:space="preserve">לענייננו </w:t>
      </w:r>
      <w:r w:rsidR="00ED26AF">
        <w:rPr>
          <w:rFonts w:hint="cs"/>
          <w:rtl/>
        </w:rPr>
        <w:t xml:space="preserve">(ראו </w:t>
      </w:r>
      <w:r w:rsidR="009B6997">
        <w:rPr>
          <w:rFonts w:hint="cs"/>
          <w:rtl/>
        </w:rPr>
        <w:t xml:space="preserve">גם </w:t>
      </w:r>
      <w:r w:rsidR="00ED26AF">
        <w:rPr>
          <w:rFonts w:hint="cs"/>
          <w:rtl/>
        </w:rPr>
        <w:t>סעיף 12</w:t>
      </w:r>
      <w:r w:rsidR="00A36712">
        <w:rPr>
          <w:rFonts w:hint="cs"/>
          <w:rtl/>
        </w:rPr>
        <w:t>2</w:t>
      </w:r>
      <w:r w:rsidR="00ED26AF">
        <w:rPr>
          <w:rFonts w:hint="cs"/>
          <w:rtl/>
        </w:rPr>
        <w:t xml:space="preserve"> לחוק השיפוט הצבאי</w:t>
      </w:r>
      <w:r w:rsidR="00801069">
        <w:rPr>
          <w:rFonts w:hint="cs"/>
          <w:rtl/>
        </w:rPr>
        <w:t>)</w:t>
      </w:r>
      <w:r w:rsidR="00ED26AF">
        <w:rPr>
          <w:rFonts w:hint="cs"/>
          <w:rtl/>
        </w:rPr>
        <w:t>.</w:t>
      </w:r>
      <w:r w:rsidR="007127DE">
        <w:rPr>
          <w:rFonts w:hint="cs"/>
          <w:rtl/>
        </w:rPr>
        <w:t xml:space="preserve"> </w:t>
      </w:r>
    </w:p>
    <w:p w14:paraId="4EA799FB" w14:textId="77777777" w:rsidR="002149AA" w:rsidRDefault="002149AA" w:rsidP="00267E8E">
      <w:pPr>
        <w:pStyle w:val="ListParagraph"/>
        <w:numPr>
          <w:ilvl w:val="0"/>
          <w:numId w:val="1"/>
        </w:numPr>
      </w:pPr>
      <w:r>
        <w:rPr>
          <w:rtl/>
        </w:rPr>
        <w:t xml:space="preserve">חובות הזהירות </w:t>
      </w:r>
      <w:r w:rsidR="00C30767">
        <w:rPr>
          <w:rtl/>
        </w:rPr>
        <w:t>–</w:t>
      </w:r>
      <w:r>
        <w:rPr>
          <w:rtl/>
        </w:rPr>
        <w:t xml:space="preserve"> זו החלה על </w:t>
      </w:r>
      <w:r w:rsidR="007127DE">
        <w:rPr>
          <w:rFonts w:hint="cs"/>
          <w:rtl/>
        </w:rPr>
        <w:t xml:space="preserve">המערער כמפקד, </w:t>
      </w:r>
      <w:r w:rsidR="0056372A">
        <w:rPr>
          <w:rFonts w:hint="cs"/>
          <w:rtl/>
        </w:rPr>
        <w:t xml:space="preserve">זו המוטלת עליו </w:t>
      </w:r>
      <w:r w:rsidR="007127DE">
        <w:rPr>
          <w:rFonts w:hint="cs"/>
          <w:rtl/>
        </w:rPr>
        <w:t>כ</w:t>
      </w:r>
      <w:r>
        <w:rPr>
          <w:rtl/>
        </w:rPr>
        <w:t>מי שיצר מצב מסוכן וזו החלה על</w:t>
      </w:r>
      <w:r w:rsidR="007127DE">
        <w:rPr>
          <w:rFonts w:hint="cs"/>
          <w:rtl/>
        </w:rPr>
        <w:t xml:space="preserve">יו מכוח המשימה והפקודות שהוטלו עליו </w:t>
      </w:r>
      <w:r w:rsidR="00434B10">
        <w:rPr>
          <w:rtl/>
        </w:rPr>
        <w:t>–</w:t>
      </w:r>
      <w:r w:rsidR="007127DE">
        <w:rPr>
          <w:rFonts w:hint="cs"/>
          <w:rtl/>
        </w:rPr>
        <w:t xml:space="preserve"> </w:t>
      </w:r>
      <w:r>
        <w:rPr>
          <w:rtl/>
        </w:rPr>
        <w:t>משתלבות זו בזו</w:t>
      </w:r>
      <w:r w:rsidR="00ED26AF">
        <w:rPr>
          <w:rFonts w:hint="cs"/>
          <w:rtl/>
        </w:rPr>
        <w:t xml:space="preserve"> </w:t>
      </w:r>
      <w:r>
        <w:rPr>
          <w:rtl/>
        </w:rPr>
        <w:t>ומצטברות האחת לרעותה</w:t>
      </w:r>
      <w:r w:rsidR="00ED26AF">
        <w:rPr>
          <w:rFonts w:hint="cs"/>
          <w:rtl/>
        </w:rPr>
        <w:t xml:space="preserve">, באופן המקים, בנסיבות המקרה, </w:t>
      </w:r>
      <w:r w:rsidR="00ED26AF" w:rsidRPr="00ED26AF">
        <w:rPr>
          <w:rFonts w:hint="cs"/>
          <w:rtl/>
        </w:rPr>
        <w:t>חובת זהירות מוגברת</w:t>
      </w:r>
      <w:r w:rsidRPr="00ED26AF">
        <w:rPr>
          <w:rtl/>
        </w:rPr>
        <w:t>.</w:t>
      </w:r>
      <w:r>
        <w:rPr>
          <w:rtl/>
        </w:rPr>
        <w:t xml:space="preserve"> </w:t>
      </w:r>
    </w:p>
    <w:p w14:paraId="0ECB1DC9" w14:textId="77777777" w:rsidR="00B50A3F" w:rsidRDefault="00B50A3F" w:rsidP="00E5091F">
      <w:pPr>
        <w:pStyle w:val="Heading3"/>
        <w:rPr>
          <w:rtl/>
        </w:rPr>
      </w:pPr>
      <w:r>
        <w:rPr>
          <w:rFonts w:hint="cs"/>
          <w:rtl/>
        </w:rPr>
        <w:t>האם המערער הפר את חובת</w:t>
      </w:r>
      <w:r w:rsidR="00EA61C2">
        <w:rPr>
          <w:rFonts w:hint="cs"/>
          <w:rtl/>
        </w:rPr>
        <w:t xml:space="preserve"> הזהירות</w:t>
      </w:r>
      <w:r>
        <w:rPr>
          <w:rFonts w:hint="cs"/>
          <w:rtl/>
        </w:rPr>
        <w:t>?</w:t>
      </w:r>
    </w:p>
    <w:p w14:paraId="21425534" w14:textId="3F22F511" w:rsidR="00E76681" w:rsidRDefault="00307DD2" w:rsidP="00FE27CB">
      <w:pPr>
        <w:pStyle w:val="ListParagraph"/>
        <w:numPr>
          <w:ilvl w:val="0"/>
          <w:numId w:val="1"/>
        </w:numPr>
      </w:pPr>
      <w:r>
        <w:rPr>
          <w:rFonts w:hint="cs"/>
          <w:rtl/>
        </w:rPr>
        <w:t>אף בחלק זה של הדיון מקובלת עלינו טענת ההגנה כי מפקדיו של המערער התרשלו ביישום נוהל ההשגחה</w:t>
      </w:r>
      <w:r w:rsidR="00434B10">
        <w:rPr>
          <w:rFonts w:hint="cs"/>
          <w:rtl/>
        </w:rPr>
        <w:t>,</w:t>
      </w:r>
      <w:r>
        <w:rPr>
          <w:rFonts w:hint="cs"/>
          <w:rtl/>
        </w:rPr>
        <w:t xml:space="preserve"> ובפרט בכך שלא נקבעה רשימת שומרים מסודרת והמערער השגיח על הנפגע במשך שעות ארוכות וממושכות ברציפות. זאת ועוד, לאורך האירוע, החל מהשלב שהנפגע הובא ליחידה ועד </w:t>
      </w:r>
      <w:r w:rsidR="00434B10">
        <w:rPr>
          <w:rFonts w:hint="cs"/>
          <w:rtl/>
        </w:rPr>
        <w:t>ה</w:t>
      </w:r>
      <w:r>
        <w:rPr>
          <w:rFonts w:hint="cs"/>
          <w:rtl/>
        </w:rPr>
        <w:t>ירי, הבחינו המפקדים בהפרות של נוהל ההשגחה המעוגן בפקודה המטכ"לית (למשל כ</w:t>
      </w:r>
      <w:r w:rsidR="00024570">
        <w:rPr>
          <w:rFonts w:hint="cs"/>
          <w:rtl/>
        </w:rPr>
        <w:t>ש</w:t>
      </w:r>
      <w:r>
        <w:rPr>
          <w:rFonts w:hint="cs"/>
          <w:rtl/>
        </w:rPr>
        <w:t xml:space="preserve">סמל רומן נשא נשק </w:t>
      </w:r>
      <w:r w:rsidR="00B17FA0">
        <w:rPr>
          <w:rFonts w:hint="cs"/>
          <w:rtl/>
        </w:rPr>
        <w:t xml:space="preserve">בסמוך </w:t>
      </w:r>
      <w:r>
        <w:rPr>
          <w:rFonts w:hint="cs"/>
          <w:rtl/>
        </w:rPr>
        <w:t xml:space="preserve">לנפגע או כשסמל רומן והמערער השגיחו על הנפגע מתוך חדר אחר), ואף הפרו אותו בעצמם. כך, סרן אורי, מפקד הפלוגה, שלח בשעות הבוקר את </w:t>
      </w:r>
      <w:r w:rsidR="00E76681">
        <w:rPr>
          <w:rFonts w:hint="cs"/>
          <w:rtl/>
        </w:rPr>
        <w:t xml:space="preserve">אחד משני </w:t>
      </w:r>
      <w:r>
        <w:rPr>
          <w:rFonts w:hint="cs"/>
          <w:rtl/>
        </w:rPr>
        <w:t>המשגיח</w:t>
      </w:r>
      <w:r w:rsidR="00E76681">
        <w:rPr>
          <w:rFonts w:hint="cs"/>
          <w:rtl/>
        </w:rPr>
        <w:t>ים</w:t>
      </w:r>
      <w:r>
        <w:rPr>
          <w:rFonts w:hint="cs"/>
          <w:rtl/>
        </w:rPr>
        <w:t xml:space="preserve">, סמל רומן, למשימה נוספת והותיר את המערער משגיח יחיד; כך, סגן מפקד הפלוגה, סגן תומר, שלח בשעות אחר הצהריים את סמל רומן למשימה ושוב הותיר את המערער </w:t>
      </w:r>
      <w:r w:rsidR="00EA61C2">
        <w:rPr>
          <w:rFonts w:hint="cs"/>
          <w:rtl/>
        </w:rPr>
        <w:t>כ</w:t>
      </w:r>
      <w:r>
        <w:rPr>
          <w:rFonts w:hint="cs"/>
          <w:rtl/>
        </w:rPr>
        <w:t xml:space="preserve">משגיח יחיד ולא המתין לצירוף המשגיח הנוסף. </w:t>
      </w:r>
      <w:r w:rsidR="00EA61C2">
        <w:rPr>
          <w:rFonts w:hint="cs"/>
          <w:rtl/>
        </w:rPr>
        <w:t>בהינתן מודעותם של המפקדים לכך שהמערער השגיח על הנפגע ברציפות</w:t>
      </w:r>
      <w:r w:rsidR="007A0F77">
        <w:rPr>
          <w:rFonts w:hint="cs"/>
          <w:rtl/>
        </w:rPr>
        <w:t xml:space="preserve"> ולאורך פרק זמן ממושך</w:t>
      </w:r>
      <w:r w:rsidR="00EA61C2">
        <w:rPr>
          <w:rFonts w:hint="cs"/>
          <w:rtl/>
        </w:rPr>
        <w:t>, הרי שכפי ש</w:t>
      </w:r>
      <w:r w:rsidR="00E76681">
        <w:rPr>
          <w:rFonts w:hint="cs"/>
          <w:rtl/>
        </w:rPr>
        <w:t>ט</w:t>
      </w:r>
      <w:r>
        <w:rPr>
          <w:rFonts w:hint="cs"/>
          <w:rtl/>
        </w:rPr>
        <w:t>ענ</w:t>
      </w:r>
      <w:r w:rsidR="00EA61C2">
        <w:rPr>
          <w:rFonts w:hint="cs"/>
          <w:rtl/>
        </w:rPr>
        <w:t>ה</w:t>
      </w:r>
      <w:r>
        <w:rPr>
          <w:rFonts w:hint="cs"/>
          <w:rtl/>
        </w:rPr>
        <w:t xml:space="preserve"> ההגנה, בנסיבות הכוללות של המקרה, אי הדיווח של המערער על עייפותו</w:t>
      </w:r>
      <w:r w:rsidR="00E76681">
        <w:rPr>
          <w:rFonts w:hint="cs"/>
          <w:rtl/>
        </w:rPr>
        <w:t xml:space="preserve">, על אף הסיכון הרב לחיי הנפגע, </w:t>
      </w:r>
      <w:r>
        <w:rPr>
          <w:rFonts w:hint="cs"/>
          <w:rtl/>
        </w:rPr>
        <w:t xml:space="preserve">אינו יכול להיחשב כהתרשלות </w:t>
      </w:r>
      <w:r w:rsidRPr="00E76681">
        <w:rPr>
          <w:rFonts w:hint="cs"/>
          <w:b/>
          <w:bCs/>
          <w:rtl/>
        </w:rPr>
        <w:t>במישור הפלילי</w:t>
      </w:r>
      <w:r w:rsidR="00E76681">
        <w:rPr>
          <w:rFonts w:hint="cs"/>
          <w:b/>
          <w:bCs/>
          <w:rtl/>
        </w:rPr>
        <w:t xml:space="preserve"> </w:t>
      </w:r>
      <w:r w:rsidR="00E76681" w:rsidRPr="00E76681">
        <w:rPr>
          <w:rFonts w:hint="cs"/>
          <w:rtl/>
        </w:rPr>
        <w:t xml:space="preserve">(ראו והשוו עניין </w:t>
      </w:r>
      <w:r w:rsidR="00CE0185">
        <w:rPr>
          <w:rFonts w:hint="cs"/>
          <w:b/>
          <w:bCs/>
          <w:rtl/>
        </w:rPr>
        <w:t>ד' א'</w:t>
      </w:r>
      <w:r w:rsidR="00E76681" w:rsidRPr="00E76681">
        <w:rPr>
          <w:rFonts w:hint="cs"/>
          <w:rtl/>
        </w:rPr>
        <w:t xml:space="preserve"> לעיל, </w:t>
      </w:r>
      <w:r w:rsidR="00434B10">
        <w:rPr>
          <w:rFonts w:hint="cs"/>
          <w:rtl/>
        </w:rPr>
        <w:t>ב</w:t>
      </w:r>
      <w:r w:rsidR="00E76681">
        <w:rPr>
          <w:rFonts w:hint="cs"/>
          <w:rtl/>
        </w:rPr>
        <w:t>פסקאות 56, 65)</w:t>
      </w:r>
      <w:r w:rsidR="00024570">
        <w:rPr>
          <w:rFonts w:hint="cs"/>
          <w:rtl/>
        </w:rPr>
        <w:t>.</w:t>
      </w:r>
    </w:p>
    <w:p w14:paraId="08CB73AD" w14:textId="77777777" w:rsidR="00B80A1D" w:rsidRDefault="00E76681" w:rsidP="00FE27CB">
      <w:pPr>
        <w:pStyle w:val="ListParagraph"/>
        <w:numPr>
          <w:ilvl w:val="0"/>
          <w:numId w:val="1"/>
        </w:numPr>
      </w:pPr>
      <w:r>
        <w:rPr>
          <w:rFonts w:hint="cs"/>
          <w:rtl/>
        </w:rPr>
        <w:t>אלא שהפרת</w:t>
      </w:r>
      <w:r w:rsidR="00EA61C2">
        <w:rPr>
          <w:rFonts w:hint="cs"/>
          <w:rtl/>
        </w:rPr>
        <w:t>ה</w:t>
      </w:r>
      <w:r>
        <w:rPr>
          <w:rFonts w:hint="cs"/>
          <w:rtl/>
        </w:rPr>
        <w:t xml:space="preserve"> </w:t>
      </w:r>
      <w:r w:rsidR="00EA61C2">
        <w:rPr>
          <w:rFonts w:hint="cs"/>
          <w:rtl/>
        </w:rPr>
        <w:t xml:space="preserve">של </w:t>
      </w:r>
      <w:r>
        <w:rPr>
          <w:rFonts w:hint="cs"/>
          <w:rtl/>
        </w:rPr>
        <w:t>חוב</w:t>
      </w:r>
      <w:r w:rsidR="00EA61C2">
        <w:rPr>
          <w:rFonts w:hint="cs"/>
          <w:rtl/>
        </w:rPr>
        <w:t xml:space="preserve">ת הזהירות שחב </w:t>
      </w:r>
      <w:r>
        <w:rPr>
          <w:rFonts w:hint="cs"/>
          <w:rtl/>
        </w:rPr>
        <w:t xml:space="preserve">המערער באה לידי ביטוי באופן </w:t>
      </w:r>
      <w:r w:rsidRPr="00E76681">
        <w:rPr>
          <w:rFonts w:hint="cs"/>
          <w:b/>
          <w:bCs/>
          <w:rtl/>
        </w:rPr>
        <w:t>מובהק וקיצוני</w:t>
      </w:r>
      <w:r>
        <w:rPr>
          <w:rFonts w:hint="cs"/>
          <w:rtl/>
        </w:rPr>
        <w:t xml:space="preserve"> כשהפר פעם אחר פעם פקודות ישירות של מפקדיו לקרוא למשגיח נוסף, שישגיח יחד ע</w:t>
      </w:r>
      <w:r w:rsidR="00434B10">
        <w:rPr>
          <w:rFonts w:hint="cs"/>
          <w:rtl/>
        </w:rPr>
        <w:t>י</w:t>
      </w:r>
      <w:r>
        <w:rPr>
          <w:rFonts w:hint="cs"/>
          <w:rtl/>
        </w:rPr>
        <w:t xml:space="preserve">מו על הנפגע. המערער, מפקד כיתה ותיק </w:t>
      </w:r>
      <w:r w:rsidR="00B80A1D">
        <w:rPr>
          <w:rFonts w:hint="cs"/>
          <w:rtl/>
        </w:rPr>
        <w:t xml:space="preserve">ומנוסה </w:t>
      </w:r>
      <w:r>
        <w:rPr>
          <w:rFonts w:hint="cs"/>
          <w:rtl/>
        </w:rPr>
        <w:t xml:space="preserve">שהיה מפקדו </w:t>
      </w:r>
      <w:r w:rsidR="00B80A1D">
        <w:rPr>
          <w:rFonts w:hint="cs"/>
          <w:rtl/>
        </w:rPr>
        <w:t xml:space="preserve">הישיר </w:t>
      </w:r>
      <w:r>
        <w:rPr>
          <w:rFonts w:hint="cs"/>
          <w:rtl/>
        </w:rPr>
        <w:t>של הנפגע ו</w:t>
      </w:r>
      <w:r w:rsidR="00434B10">
        <w:rPr>
          <w:rFonts w:hint="cs"/>
          <w:rtl/>
        </w:rPr>
        <w:t>ש</w:t>
      </w:r>
      <w:r>
        <w:rPr>
          <w:rFonts w:hint="cs"/>
          <w:rtl/>
        </w:rPr>
        <w:t>היה ער למצבו הנפשי ולסיכון לחייו, הכיר את נוהל ההשגחה ו</w:t>
      </w:r>
      <w:r w:rsidR="00434B10">
        <w:rPr>
          <w:rFonts w:hint="cs"/>
          <w:rtl/>
        </w:rPr>
        <w:t xml:space="preserve">את </w:t>
      </w:r>
      <w:r>
        <w:rPr>
          <w:rFonts w:hint="cs"/>
          <w:rtl/>
        </w:rPr>
        <w:t>חשיבות ההקפדה על הוראותיו. לעניין זה נשוב ונזכיר כי הקב"נית, שהבחינה בשעות הבוקר כי המערער נותר משגיח יחיד על הנפגע</w:t>
      </w:r>
      <w:r w:rsidR="00B17FA0">
        <w:rPr>
          <w:rFonts w:hint="cs"/>
          <w:rtl/>
        </w:rPr>
        <w:t>,</w:t>
      </w:r>
      <w:r>
        <w:rPr>
          <w:rFonts w:hint="cs"/>
          <w:rtl/>
        </w:rPr>
        <w:t xml:space="preserve"> העירה לו על כך ו</w:t>
      </w:r>
      <w:r w:rsidR="00B17FA0">
        <w:rPr>
          <w:rFonts w:hint="cs"/>
          <w:rtl/>
        </w:rPr>
        <w:t xml:space="preserve">מסרה לו </w:t>
      </w:r>
      <w:r>
        <w:rPr>
          <w:rFonts w:hint="cs"/>
          <w:rtl/>
        </w:rPr>
        <w:t xml:space="preserve">כי </w:t>
      </w:r>
      <w:r w:rsidRPr="00E76681">
        <w:rPr>
          <w:rtl/>
        </w:rPr>
        <w:t>"</w:t>
      </w:r>
      <w:r w:rsidRPr="00E76681">
        <w:rPr>
          <w:b/>
          <w:bCs/>
          <w:rtl/>
        </w:rPr>
        <w:t>הוא משחק באש</w:t>
      </w:r>
      <w:r w:rsidRPr="00E76681">
        <w:rPr>
          <w:rtl/>
        </w:rPr>
        <w:t>".</w:t>
      </w:r>
      <w:r>
        <w:rPr>
          <w:rFonts w:hint="cs"/>
          <w:rtl/>
        </w:rPr>
        <w:t xml:space="preserve"> לכן כאשר </w:t>
      </w:r>
      <w:r w:rsidR="00434B10">
        <w:rPr>
          <w:rFonts w:hint="cs"/>
          <w:rtl/>
        </w:rPr>
        <w:t>ב</w:t>
      </w:r>
      <w:r w:rsidR="00B80A1D">
        <w:rPr>
          <w:rFonts w:hint="cs"/>
          <w:rtl/>
        </w:rPr>
        <w:t>שעה 16:00</w:t>
      </w:r>
      <w:r w:rsidR="00434B10">
        <w:rPr>
          <w:rFonts w:hint="cs"/>
          <w:rtl/>
        </w:rPr>
        <w:t xml:space="preserve"> בערך</w:t>
      </w:r>
      <w:r w:rsidR="00B80A1D">
        <w:rPr>
          <w:rFonts w:hint="cs"/>
          <w:rtl/>
        </w:rPr>
        <w:t xml:space="preserve"> </w:t>
      </w:r>
      <w:r>
        <w:rPr>
          <w:rFonts w:hint="cs"/>
          <w:rtl/>
        </w:rPr>
        <w:t xml:space="preserve">בחר </w:t>
      </w:r>
      <w:r>
        <w:rPr>
          <w:rFonts w:hint="cs"/>
          <w:rtl/>
        </w:rPr>
        <w:lastRenderedPageBreak/>
        <w:t>להפר את פקודתו הישירה, הפשוטה והברורה, של מפקד המחלקה, סג"ם דניאל</w:t>
      </w:r>
      <w:r w:rsidR="00B80A1D">
        <w:rPr>
          <w:rFonts w:hint="cs"/>
          <w:rtl/>
        </w:rPr>
        <w:t xml:space="preserve"> (בהמשך להוראתו של סגן תומר)</w:t>
      </w:r>
      <w:r>
        <w:rPr>
          <w:rFonts w:hint="cs"/>
          <w:rtl/>
        </w:rPr>
        <w:t xml:space="preserve">, לצרף אליו את טוראי לירן כמשגיח נוסף </w:t>
      </w:r>
      <w:r>
        <w:rPr>
          <w:rtl/>
        </w:rPr>
        <w:t>–</w:t>
      </w:r>
      <w:r>
        <w:rPr>
          <w:rFonts w:hint="cs"/>
          <w:rtl/>
        </w:rPr>
        <w:t xml:space="preserve"> </w:t>
      </w:r>
      <w:r w:rsidR="00B80A1D">
        <w:rPr>
          <w:rFonts w:hint="cs"/>
          <w:rtl/>
        </w:rPr>
        <w:t xml:space="preserve">הגביר המערער את הסיכון </w:t>
      </w:r>
      <w:r w:rsidR="00EA61C2">
        <w:rPr>
          <w:rFonts w:hint="cs"/>
          <w:b/>
          <w:bCs/>
          <w:rtl/>
        </w:rPr>
        <w:t>ה</w:t>
      </w:r>
      <w:r w:rsidRPr="00E76681">
        <w:rPr>
          <w:rFonts w:hint="cs"/>
          <w:b/>
          <w:bCs/>
          <w:rtl/>
        </w:rPr>
        <w:t>בלתי סביר</w:t>
      </w:r>
      <w:r>
        <w:rPr>
          <w:rFonts w:hint="cs"/>
          <w:rtl/>
        </w:rPr>
        <w:t xml:space="preserve"> לחייו.</w:t>
      </w:r>
      <w:r w:rsidR="00B80A1D">
        <w:rPr>
          <w:rFonts w:hint="cs"/>
          <w:rtl/>
        </w:rPr>
        <w:t xml:space="preserve"> משנה חומרה יש לייחס להתנהלותו לאחר ששוב, בשעה 19:00</w:t>
      </w:r>
      <w:r w:rsidR="00434B10">
        <w:rPr>
          <w:rFonts w:hint="cs"/>
          <w:rtl/>
        </w:rPr>
        <w:t xml:space="preserve"> בערך</w:t>
      </w:r>
      <w:r w:rsidR="00B80A1D">
        <w:rPr>
          <w:rFonts w:hint="cs"/>
          <w:rtl/>
        </w:rPr>
        <w:t xml:space="preserve">, כאשר סגן תומר, סגן מפקד הפלוגה, </w:t>
      </w:r>
      <w:r w:rsidR="00B17FA0">
        <w:rPr>
          <w:rFonts w:hint="cs"/>
          <w:rtl/>
        </w:rPr>
        <w:t>ה</w:t>
      </w:r>
      <w:r w:rsidR="00B80A1D">
        <w:rPr>
          <w:rFonts w:hint="cs"/>
          <w:rtl/>
        </w:rPr>
        <w:t>ורה לו לפנות אל מפקד המחלקה ולצרף אליו משגיח נוסף</w:t>
      </w:r>
      <w:r w:rsidR="00434B10">
        <w:rPr>
          <w:rFonts w:hint="cs"/>
          <w:rtl/>
        </w:rPr>
        <w:t>,</w:t>
      </w:r>
      <w:r w:rsidR="00B80A1D">
        <w:rPr>
          <w:rFonts w:hint="cs"/>
          <w:rtl/>
        </w:rPr>
        <w:t xml:space="preserve"> המערער בחר להפר פעם נוספת את הפקודה, ולהותיר </w:t>
      </w:r>
      <w:r w:rsidR="00434B10">
        <w:rPr>
          <w:rFonts w:hint="cs"/>
          <w:rtl/>
        </w:rPr>
        <w:t xml:space="preserve">על כנו </w:t>
      </w:r>
      <w:r w:rsidR="00B80A1D">
        <w:rPr>
          <w:rFonts w:hint="cs"/>
          <w:rtl/>
        </w:rPr>
        <w:t xml:space="preserve">את הסיכון הבלתי סביר לחיי הנפגע. </w:t>
      </w:r>
    </w:p>
    <w:p w14:paraId="002167C7" w14:textId="77777777" w:rsidR="00B80A1D" w:rsidRPr="00B80A1D" w:rsidRDefault="00B80A1D" w:rsidP="00267E8E">
      <w:pPr>
        <w:pStyle w:val="ListParagraph"/>
        <w:numPr>
          <w:ilvl w:val="0"/>
          <w:numId w:val="1"/>
        </w:numPr>
      </w:pPr>
      <w:r w:rsidRPr="00B80A1D">
        <w:rPr>
          <w:rtl/>
        </w:rPr>
        <w:t xml:space="preserve">לנוכח ההפרות החוזרות ונשנות של </w:t>
      </w:r>
      <w:r>
        <w:rPr>
          <w:rFonts w:hint="cs"/>
          <w:rtl/>
        </w:rPr>
        <w:t xml:space="preserve">המערער, </w:t>
      </w:r>
      <w:r w:rsidRPr="00B80A1D">
        <w:rPr>
          <w:rtl/>
        </w:rPr>
        <w:t>הימנעותו</w:t>
      </w:r>
      <w:r w:rsidR="00B17FA0">
        <w:rPr>
          <w:rFonts w:hint="cs"/>
          <w:rtl/>
        </w:rPr>
        <w:t xml:space="preserve"> </w:t>
      </w:r>
      <w:r w:rsidR="00434B10">
        <w:rPr>
          <w:rtl/>
        </w:rPr>
        <w:t>–</w:t>
      </w:r>
      <w:r w:rsidR="00B17FA0">
        <w:rPr>
          <w:rFonts w:hint="cs"/>
          <w:rtl/>
        </w:rPr>
        <w:t xml:space="preserve"> </w:t>
      </w:r>
      <w:r>
        <w:rPr>
          <w:rFonts w:hint="cs"/>
          <w:rtl/>
        </w:rPr>
        <w:t>כמי שקיבל את הפקודה והאחריות למשימה</w:t>
      </w:r>
      <w:r w:rsidR="00B17FA0">
        <w:rPr>
          <w:rFonts w:hint="cs"/>
          <w:rtl/>
        </w:rPr>
        <w:t xml:space="preserve"> ואף </w:t>
      </w:r>
      <w:r w:rsidRPr="00B80A1D">
        <w:rPr>
          <w:rtl/>
        </w:rPr>
        <w:t xml:space="preserve">כמפקד </w:t>
      </w:r>
      <w:r>
        <w:rPr>
          <w:rFonts w:hint="cs"/>
          <w:rtl/>
        </w:rPr>
        <w:t>ישיר</w:t>
      </w:r>
      <w:r w:rsidR="00B17FA0">
        <w:rPr>
          <w:rFonts w:hint="cs"/>
          <w:rtl/>
        </w:rPr>
        <w:t xml:space="preserve"> </w:t>
      </w:r>
      <w:r>
        <w:rPr>
          <w:rtl/>
        </w:rPr>
        <w:t>–</w:t>
      </w:r>
      <w:r>
        <w:rPr>
          <w:rFonts w:hint="cs"/>
          <w:rtl/>
        </w:rPr>
        <w:t xml:space="preserve"> לקרוא למשגיח נוסף, </w:t>
      </w:r>
      <w:r w:rsidRPr="00B80A1D">
        <w:rPr>
          <w:rtl/>
        </w:rPr>
        <w:t xml:space="preserve">אינה סבירה. </w:t>
      </w:r>
      <w:proofErr w:type="spellStart"/>
      <w:r w:rsidRPr="00B80A1D">
        <w:rPr>
          <w:rtl/>
        </w:rPr>
        <w:t>משעסקינן</w:t>
      </w:r>
      <w:proofErr w:type="spellEnd"/>
      <w:r w:rsidRPr="00B80A1D">
        <w:rPr>
          <w:rtl/>
        </w:rPr>
        <w:t xml:space="preserve"> בהפרה מתמשכת של </w:t>
      </w:r>
      <w:r>
        <w:rPr>
          <w:rFonts w:hint="cs"/>
          <w:rtl/>
        </w:rPr>
        <w:t xml:space="preserve">החובה </w:t>
      </w:r>
      <w:r w:rsidRPr="00B80A1D">
        <w:rPr>
          <w:rtl/>
        </w:rPr>
        <w:t>לשמור על חיי אדם, הרי ש</w:t>
      </w:r>
      <w:r w:rsidR="00C52CDA">
        <w:rPr>
          <w:rFonts w:hint="cs"/>
          <w:rtl/>
        </w:rPr>
        <w:t xml:space="preserve">התנהלותו של המערער </w:t>
      </w:r>
      <w:r w:rsidRPr="00B80A1D">
        <w:rPr>
          <w:rtl/>
        </w:rPr>
        <w:t xml:space="preserve">עולה כדי </w:t>
      </w:r>
      <w:r w:rsidRPr="00B80A1D">
        <w:rPr>
          <w:b/>
          <w:bCs/>
          <w:rtl/>
        </w:rPr>
        <w:t>חריגה ניכרת</w:t>
      </w:r>
      <w:r w:rsidRPr="00B80A1D">
        <w:rPr>
          <w:rtl/>
        </w:rPr>
        <w:t xml:space="preserve"> מאמת מידה של סבירות</w:t>
      </w:r>
      <w:r w:rsidR="00C52CDA">
        <w:rPr>
          <w:rFonts w:hint="cs"/>
          <w:rtl/>
        </w:rPr>
        <w:t xml:space="preserve"> והיא מגבשת </w:t>
      </w:r>
      <w:r w:rsidRPr="00B80A1D">
        <w:rPr>
          <w:b/>
          <w:bCs/>
          <w:rtl/>
        </w:rPr>
        <w:t>התרשלות במידה גבוהה</w:t>
      </w:r>
      <w:r w:rsidRPr="00B80A1D">
        <w:rPr>
          <w:rtl/>
        </w:rPr>
        <w:t xml:space="preserve">. </w:t>
      </w:r>
    </w:p>
    <w:p w14:paraId="1C96EC0D" w14:textId="77777777" w:rsidR="00B50A3F" w:rsidRDefault="00B50A3F" w:rsidP="00E5091F">
      <w:pPr>
        <w:pStyle w:val="Heading3"/>
        <w:rPr>
          <w:rtl/>
        </w:rPr>
      </w:pPr>
      <w:r>
        <w:rPr>
          <w:rFonts w:hint="cs"/>
          <w:rtl/>
        </w:rPr>
        <w:t>האם ניתק הקשר הסיבתי?</w:t>
      </w:r>
    </w:p>
    <w:p w14:paraId="64EA6F63" w14:textId="77777777" w:rsidR="00BA458C" w:rsidRDefault="00890FBD" w:rsidP="00267E8E">
      <w:pPr>
        <w:pStyle w:val="ListParagraph"/>
        <w:numPr>
          <w:ilvl w:val="0"/>
          <w:numId w:val="1"/>
        </w:numPr>
      </w:pPr>
      <w:r>
        <w:rPr>
          <w:rFonts w:hint="cs"/>
          <w:rtl/>
        </w:rPr>
        <w:t xml:space="preserve">כאמור, </w:t>
      </w:r>
      <w:r w:rsidR="00BA458C">
        <w:rPr>
          <w:rFonts w:hint="cs"/>
          <w:rtl/>
        </w:rPr>
        <w:t>כחלק מהיסוד העובדתי</w:t>
      </w:r>
      <w:r>
        <w:rPr>
          <w:rFonts w:hint="cs"/>
          <w:rtl/>
        </w:rPr>
        <w:t xml:space="preserve"> בעבירה</w:t>
      </w:r>
      <w:r w:rsidR="00BA458C">
        <w:rPr>
          <w:rFonts w:hint="cs"/>
          <w:rtl/>
        </w:rPr>
        <w:t xml:space="preserve">, </w:t>
      </w:r>
      <w:r>
        <w:rPr>
          <w:rFonts w:hint="cs"/>
          <w:rtl/>
        </w:rPr>
        <w:t xml:space="preserve">יש להוכיח קיומו של </w:t>
      </w:r>
      <w:r w:rsidR="00BA458C">
        <w:rPr>
          <w:rFonts w:hint="cs"/>
          <w:rtl/>
        </w:rPr>
        <w:t xml:space="preserve">קשר סיבתי בין </w:t>
      </w:r>
      <w:r>
        <w:rPr>
          <w:rFonts w:hint="cs"/>
          <w:rtl/>
        </w:rPr>
        <w:t>ה</w:t>
      </w:r>
      <w:r w:rsidR="00BA458C">
        <w:rPr>
          <w:rFonts w:hint="cs"/>
          <w:rtl/>
        </w:rPr>
        <w:t>מחדל לתוצאה</w:t>
      </w:r>
      <w:r>
        <w:rPr>
          <w:rFonts w:hint="cs"/>
          <w:rtl/>
        </w:rPr>
        <w:t xml:space="preserve"> </w:t>
      </w:r>
      <w:r w:rsidR="00434B10">
        <w:rPr>
          <w:rtl/>
        </w:rPr>
        <w:t>–</w:t>
      </w:r>
      <w:r>
        <w:rPr>
          <w:rFonts w:hint="cs"/>
          <w:rtl/>
        </w:rPr>
        <w:t xml:space="preserve"> </w:t>
      </w:r>
      <w:r w:rsidR="00BA458C">
        <w:rPr>
          <w:rFonts w:hint="cs"/>
          <w:rtl/>
        </w:rPr>
        <w:t xml:space="preserve">קשר סיבתי עובדתי, </w:t>
      </w:r>
      <w:r>
        <w:rPr>
          <w:rFonts w:hint="cs"/>
          <w:rtl/>
        </w:rPr>
        <w:t xml:space="preserve">הבוחן </w:t>
      </w:r>
      <w:r w:rsidR="00BA458C">
        <w:rPr>
          <w:rFonts w:hint="cs"/>
          <w:rtl/>
        </w:rPr>
        <w:t>אם התוצאה הייתה נגרמת אלמלא המחדל; וקשר סיבתי משפטי</w:t>
      </w:r>
      <w:r>
        <w:rPr>
          <w:rFonts w:hint="cs"/>
          <w:rtl/>
        </w:rPr>
        <w:t xml:space="preserve"> </w:t>
      </w:r>
      <w:r>
        <w:rPr>
          <w:rtl/>
        </w:rPr>
        <w:t>–</w:t>
      </w:r>
      <w:r>
        <w:rPr>
          <w:rFonts w:hint="cs"/>
          <w:rtl/>
        </w:rPr>
        <w:t xml:space="preserve"> הבוחן </w:t>
      </w:r>
      <w:r w:rsidR="00BA458C">
        <w:rPr>
          <w:rFonts w:hint="cs"/>
          <w:rtl/>
        </w:rPr>
        <w:t>אם אדם סביר היה יכול לצפות את התקיימות התוצאה, ואם היה צריך לצפות אותה (</w:t>
      </w:r>
      <w:proofErr w:type="spellStart"/>
      <w:r w:rsidR="00BA458C">
        <w:rPr>
          <w:rFonts w:hint="cs"/>
          <w:rtl/>
        </w:rPr>
        <w:t>דנ"פ</w:t>
      </w:r>
      <w:proofErr w:type="spellEnd"/>
      <w:r w:rsidR="00BA458C">
        <w:rPr>
          <w:rFonts w:hint="cs"/>
          <w:rtl/>
        </w:rPr>
        <w:t xml:space="preserve"> 404/13 </w:t>
      </w:r>
      <w:r w:rsidR="00BA458C">
        <w:rPr>
          <w:rFonts w:hint="cs"/>
          <w:b/>
          <w:bCs/>
          <w:rtl/>
        </w:rPr>
        <w:t>פלוני נ' מדינת ישראל</w:t>
      </w:r>
      <w:r w:rsidR="00BA458C">
        <w:rPr>
          <w:rFonts w:hint="cs"/>
          <w:rtl/>
        </w:rPr>
        <w:t>, פסקות 19–24 לפסק הדין של הנשיא (</w:t>
      </w:r>
      <w:proofErr w:type="spellStart"/>
      <w:r w:rsidR="00BA458C">
        <w:rPr>
          <w:rFonts w:hint="cs"/>
          <w:rtl/>
        </w:rPr>
        <w:t>בדימ</w:t>
      </w:r>
      <w:proofErr w:type="spellEnd"/>
      <w:r w:rsidR="00BA458C">
        <w:rPr>
          <w:rFonts w:hint="cs"/>
          <w:rtl/>
        </w:rPr>
        <w:t xml:space="preserve">') </w:t>
      </w:r>
      <w:proofErr w:type="spellStart"/>
      <w:r w:rsidR="00BA458C">
        <w:rPr>
          <w:rFonts w:hint="cs"/>
          <w:rtl/>
        </w:rPr>
        <w:t>גרוניס</w:t>
      </w:r>
      <w:proofErr w:type="spellEnd"/>
      <w:r w:rsidR="00BA458C">
        <w:rPr>
          <w:rFonts w:hint="cs"/>
          <w:rtl/>
        </w:rPr>
        <w:t xml:space="preserve"> (15.4.2015); ע"פ 1739/24 </w:t>
      </w:r>
      <w:r w:rsidR="00BA458C">
        <w:rPr>
          <w:rFonts w:hint="cs"/>
          <w:b/>
          <w:bCs/>
          <w:rtl/>
        </w:rPr>
        <w:t>מדינת ישראל נ' פלוני</w:t>
      </w:r>
      <w:r w:rsidR="00BA458C">
        <w:rPr>
          <w:rFonts w:hint="cs"/>
          <w:rtl/>
        </w:rPr>
        <w:t>, פסקות 4–9 (8.5.2025)).</w:t>
      </w:r>
      <w:r w:rsidRPr="00890FBD">
        <w:rPr>
          <w:rtl/>
        </w:rPr>
        <w:t xml:space="preserve"> בואר </w:t>
      </w:r>
      <w:r>
        <w:rPr>
          <w:rFonts w:hint="cs"/>
          <w:rtl/>
        </w:rPr>
        <w:t xml:space="preserve">גם </w:t>
      </w:r>
      <w:r w:rsidRPr="00890FBD">
        <w:rPr>
          <w:rtl/>
        </w:rPr>
        <w:t>כי "לא נדרשת צפיות של תהליך הגרימה המדויק לפרטיו" (ע"פ 7039/21 </w:t>
      </w:r>
      <w:r w:rsidRPr="00890FBD">
        <w:rPr>
          <w:b/>
          <w:bCs/>
          <w:rtl/>
        </w:rPr>
        <w:t xml:space="preserve"> </w:t>
      </w:r>
      <w:proofErr w:type="spellStart"/>
      <w:r w:rsidRPr="00890FBD">
        <w:rPr>
          <w:b/>
          <w:bCs/>
          <w:rtl/>
        </w:rPr>
        <w:t>מריאם</w:t>
      </w:r>
      <w:proofErr w:type="spellEnd"/>
      <w:r w:rsidRPr="00890FBD">
        <w:rPr>
          <w:b/>
          <w:bCs/>
          <w:rtl/>
        </w:rPr>
        <w:t xml:space="preserve"> נ' מדינת ישראל</w:t>
      </w:r>
      <w:r w:rsidRPr="00890FBD">
        <w:rPr>
          <w:rtl/>
        </w:rPr>
        <w:t xml:space="preserve"> (5.7.2023); ע/580/09 </w:t>
      </w:r>
      <w:r w:rsidRPr="00890FBD">
        <w:rPr>
          <w:b/>
          <w:bCs/>
          <w:rtl/>
        </w:rPr>
        <w:t xml:space="preserve">רב"ט </w:t>
      </w:r>
      <w:proofErr w:type="spellStart"/>
      <w:r w:rsidRPr="00890FBD">
        <w:rPr>
          <w:b/>
          <w:bCs/>
          <w:rtl/>
        </w:rPr>
        <w:t>ולטוצ'יאנו</w:t>
      </w:r>
      <w:proofErr w:type="spellEnd"/>
      <w:r w:rsidRPr="00890FBD">
        <w:rPr>
          <w:b/>
          <w:bCs/>
          <w:rtl/>
        </w:rPr>
        <w:t xml:space="preserve"> נ' התובע הצבאי הראשי</w:t>
      </w:r>
      <w:r w:rsidRPr="00890FBD">
        <w:rPr>
          <w:rtl/>
        </w:rPr>
        <w:t>, פסקה 61 (2010)).</w:t>
      </w:r>
    </w:p>
    <w:p w14:paraId="10C007D4" w14:textId="77777777" w:rsidR="005540F2" w:rsidRPr="005540F2" w:rsidRDefault="00207999" w:rsidP="00267E8E">
      <w:pPr>
        <w:pStyle w:val="ListParagraph"/>
        <w:numPr>
          <w:ilvl w:val="0"/>
          <w:numId w:val="1"/>
        </w:numPr>
        <w:rPr>
          <w:rtl/>
        </w:rPr>
      </w:pPr>
      <w:r>
        <w:rPr>
          <w:rFonts w:hint="cs"/>
          <w:rtl/>
        </w:rPr>
        <w:t>השתלשלות העניינים ב</w:t>
      </w:r>
      <w:r w:rsidR="005540F2" w:rsidRPr="005540F2">
        <w:rPr>
          <w:rtl/>
        </w:rPr>
        <w:t xml:space="preserve">מקרה שלפנינו </w:t>
      </w:r>
      <w:r>
        <w:rPr>
          <w:rFonts w:hint="cs"/>
          <w:rtl/>
        </w:rPr>
        <w:t xml:space="preserve">מעלה כי </w:t>
      </w:r>
      <w:r w:rsidR="00C11056">
        <w:rPr>
          <w:rFonts w:hint="cs"/>
          <w:rtl/>
        </w:rPr>
        <w:t xml:space="preserve">הוכח במידת הוודאות הדרושה בפלילים, קשר סיבתי עובדתי בין הימנעותו של המערער לקרוא למשגיח נוסף לבין התוצאה </w:t>
      </w:r>
      <w:r w:rsidR="00EA61C2">
        <w:rPr>
          <w:rFonts w:hint="cs"/>
          <w:rtl/>
        </w:rPr>
        <w:t>הקשה</w:t>
      </w:r>
      <w:r w:rsidR="00C11056">
        <w:rPr>
          <w:rFonts w:hint="cs"/>
          <w:rtl/>
        </w:rPr>
        <w:t xml:space="preserve">. כמו כן, </w:t>
      </w:r>
      <w:r w:rsidR="005540F2" w:rsidRPr="005540F2">
        <w:rPr>
          <w:rtl/>
        </w:rPr>
        <w:t xml:space="preserve">לנוכח הפרטים שהיו בידיעת המערער, יש לקבוע כי אדם סביר בנעליו יכול היה וצריך היה לצפות </w:t>
      </w:r>
      <w:r w:rsidR="000F5478">
        <w:rPr>
          <w:rFonts w:hint="cs"/>
          <w:rtl/>
        </w:rPr>
        <w:t xml:space="preserve">כי </w:t>
      </w:r>
      <w:r w:rsidR="00E727FA">
        <w:rPr>
          <w:rFonts w:hint="cs"/>
          <w:rtl/>
        </w:rPr>
        <w:t>הותרת משגיח יחיד</w:t>
      </w:r>
      <w:r w:rsidR="0059363C">
        <w:rPr>
          <w:rFonts w:hint="cs"/>
          <w:rtl/>
        </w:rPr>
        <w:t>, עייף,</w:t>
      </w:r>
      <w:r w:rsidR="00E727FA">
        <w:rPr>
          <w:rFonts w:hint="cs"/>
          <w:rtl/>
        </w:rPr>
        <w:t xml:space="preserve"> על הנפגע</w:t>
      </w:r>
      <w:r w:rsidR="005E208F">
        <w:rPr>
          <w:rFonts w:hint="cs"/>
          <w:rtl/>
        </w:rPr>
        <w:t xml:space="preserve"> </w:t>
      </w:r>
      <w:r w:rsidR="00434B10">
        <w:rPr>
          <w:rtl/>
        </w:rPr>
        <w:t>–</w:t>
      </w:r>
      <w:r w:rsidR="005E208F">
        <w:rPr>
          <w:rFonts w:hint="cs"/>
          <w:rtl/>
        </w:rPr>
        <w:t xml:space="preserve"> </w:t>
      </w:r>
      <w:r w:rsidR="00E727FA">
        <w:rPr>
          <w:rFonts w:hint="cs"/>
          <w:rtl/>
        </w:rPr>
        <w:t>בניגוד לפקודות שקיבל המערער ובניגוד ל</w:t>
      </w:r>
      <w:r w:rsidR="005540F2" w:rsidRPr="005540F2">
        <w:rPr>
          <w:rtl/>
        </w:rPr>
        <w:t xml:space="preserve">נוהל ההשגחה </w:t>
      </w:r>
      <w:r w:rsidR="00E727FA">
        <w:rPr>
          <w:rFonts w:hint="cs"/>
          <w:rtl/>
        </w:rPr>
        <w:t xml:space="preserve">שהכיר </w:t>
      </w:r>
      <w:r w:rsidR="00434B10">
        <w:rPr>
          <w:rtl/>
        </w:rPr>
        <w:t>–</w:t>
      </w:r>
      <w:r w:rsidR="00E727FA">
        <w:rPr>
          <w:rFonts w:hint="cs"/>
          <w:rtl/>
        </w:rPr>
        <w:t xml:space="preserve"> </w:t>
      </w:r>
      <w:r w:rsidR="005540F2" w:rsidRPr="005540F2">
        <w:rPr>
          <w:rtl/>
        </w:rPr>
        <w:t>עלול</w:t>
      </w:r>
      <w:r w:rsidR="00E727FA">
        <w:rPr>
          <w:rFonts w:hint="cs"/>
          <w:rtl/>
        </w:rPr>
        <w:t>ה</w:t>
      </w:r>
      <w:r w:rsidR="00434B10">
        <w:rPr>
          <w:rFonts w:hint="cs"/>
          <w:rtl/>
        </w:rPr>
        <w:t xml:space="preserve"> </w:t>
      </w:r>
      <w:r w:rsidR="005540F2" w:rsidRPr="005540F2">
        <w:rPr>
          <w:rtl/>
        </w:rPr>
        <w:t>ל</w:t>
      </w:r>
      <w:r w:rsidR="00E727FA">
        <w:rPr>
          <w:rFonts w:hint="cs"/>
          <w:rtl/>
        </w:rPr>
        <w:t xml:space="preserve">אפשר </w:t>
      </w:r>
      <w:r w:rsidR="00C412FE">
        <w:rPr>
          <w:rFonts w:hint="cs"/>
          <w:rtl/>
        </w:rPr>
        <w:t>ל</w:t>
      </w:r>
      <w:r w:rsidR="007A0F77">
        <w:rPr>
          <w:rFonts w:hint="cs"/>
          <w:rtl/>
        </w:rPr>
        <w:t>נ</w:t>
      </w:r>
      <w:r w:rsidR="00C412FE">
        <w:rPr>
          <w:rFonts w:hint="cs"/>
          <w:rtl/>
        </w:rPr>
        <w:t>פגע</w:t>
      </w:r>
      <w:r w:rsidR="00C412FE" w:rsidRPr="005540F2">
        <w:rPr>
          <w:rtl/>
        </w:rPr>
        <w:t xml:space="preserve"> </w:t>
      </w:r>
      <w:r w:rsidR="00E727FA">
        <w:rPr>
          <w:rFonts w:hint="cs"/>
          <w:rtl/>
        </w:rPr>
        <w:t xml:space="preserve">הזדמנות </w:t>
      </w:r>
      <w:r w:rsidR="005540F2" w:rsidRPr="005540F2">
        <w:rPr>
          <w:rtl/>
        </w:rPr>
        <w:t>לפגוע בעצמו, כפי ש</w:t>
      </w:r>
      <w:r w:rsidR="000F65A4">
        <w:rPr>
          <w:rFonts w:hint="cs"/>
          <w:rtl/>
        </w:rPr>
        <w:t xml:space="preserve">למרבה הצער </w:t>
      </w:r>
      <w:r w:rsidR="005540F2" w:rsidRPr="005540F2">
        <w:rPr>
          <w:rtl/>
        </w:rPr>
        <w:t xml:space="preserve">קרה. </w:t>
      </w:r>
    </w:p>
    <w:p w14:paraId="31F901D8" w14:textId="77777777" w:rsidR="005E208F" w:rsidRDefault="00BA458C" w:rsidP="005E208F">
      <w:pPr>
        <w:pStyle w:val="ListParagraph"/>
        <w:numPr>
          <w:ilvl w:val="0"/>
          <w:numId w:val="1"/>
        </w:numPr>
        <w:spacing w:after="240"/>
        <w:rPr>
          <w:rtl/>
        </w:rPr>
      </w:pPr>
      <w:r>
        <w:rPr>
          <w:rFonts w:hint="cs"/>
          <w:rtl/>
        </w:rPr>
        <w:t xml:space="preserve">לעיתים </w:t>
      </w:r>
      <w:r w:rsidR="00BF03BF">
        <w:rPr>
          <w:rFonts w:hint="cs"/>
          <w:rtl/>
        </w:rPr>
        <w:t xml:space="preserve">קיים </w:t>
      </w:r>
      <w:r>
        <w:rPr>
          <w:rFonts w:hint="cs"/>
          <w:rtl/>
        </w:rPr>
        <w:t>גורם אחר</w:t>
      </w:r>
      <w:r w:rsidR="00BF03BF">
        <w:rPr>
          <w:rFonts w:hint="cs"/>
          <w:rtl/>
        </w:rPr>
        <w:t>,</w:t>
      </w:r>
      <w:r>
        <w:rPr>
          <w:rFonts w:hint="cs"/>
          <w:rtl/>
        </w:rPr>
        <w:t xml:space="preserve"> </w:t>
      </w:r>
      <w:r w:rsidR="00BF03BF">
        <w:rPr>
          <w:rFonts w:hint="cs"/>
          <w:rtl/>
        </w:rPr>
        <w:t xml:space="preserve">למשל </w:t>
      </w:r>
      <w:r w:rsidR="0059363C">
        <w:rPr>
          <w:rFonts w:hint="cs"/>
          <w:rtl/>
        </w:rPr>
        <w:t>מתרשל נוסף</w:t>
      </w:r>
      <w:r w:rsidR="00BF03BF">
        <w:rPr>
          <w:rFonts w:hint="cs"/>
          <w:rtl/>
        </w:rPr>
        <w:t>,</w:t>
      </w:r>
      <w:r w:rsidR="0059363C">
        <w:rPr>
          <w:rFonts w:hint="cs"/>
          <w:rtl/>
        </w:rPr>
        <w:t xml:space="preserve"> </w:t>
      </w:r>
      <w:r w:rsidR="00BF03BF">
        <w:rPr>
          <w:rFonts w:hint="cs"/>
          <w:rtl/>
        </w:rPr>
        <w:t>מעבר ל</w:t>
      </w:r>
      <w:r w:rsidR="0059363C">
        <w:rPr>
          <w:rFonts w:hint="cs"/>
          <w:rtl/>
        </w:rPr>
        <w:t xml:space="preserve">התרשלות </w:t>
      </w:r>
      <w:r>
        <w:rPr>
          <w:rFonts w:hint="cs"/>
          <w:rtl/>
        </w:rPr>
        <w:t>הנאשם</w:t>
      </w:r>
      <w:r w:rsidR="0059363C">
        <w:rPr>
          <w:rFonts w:hint="cs"/>
          <w:rtl/>
        </w:rPr>
        <w:t xml:space="preserve">, </w:t>
      </w:r>
      <w:r w:rsidR="007A0F77">
        <w:rPr>
          <w:rFonts w:hint="cs"/>
          <w:rtl/>
        </w:rPr>
        <w:t>אשר תורם להיווצרות ה</w:t>
      </w:r>
      <w:r>
        <w:rPr>
          <w:rFonts w:hint="cs"/>
          <w:rtl/>
        </w:rPr>
        <w:t xml:space="preserve">תוצאה. </w:t>
      </w:r>
      <w:r w:rsidR="005E208F">
        <w:rPr>
          <w:rFonts w:hint="cs"/>
          <w:rtl/>
        </w:rPr>
        <w:t>ה</w:t>
      </w:r>
      <w:r>
        <w:rPr>
          <w:rFonts w:hint="cs"/>
          <w:rtl/>
        </w:rPr>
        <w:t xml:space="preserve">גורם </w:t>
      </w:r>
      <w:r w:rsidR="005E208F">
        <w:rPr>
          <w:rFonts w:hint="cs"/>
          <w:rtl/>
        </w:rPr>
        <w:t>ה</w:t>
      </w:r>
      <w:r>
        <w:rPr>
          <w:rFonts w:hint="cs"/>
          <w:rtl/>
        </w:rPr>
        <w:t xml:space="preserve">אחר </w:t>
      </w:r>
      <w:r w:rsidR="005E208F">
        <w:rPr>
          <w:rFonts w:hint="cs"/>
          <w:rtl/>
        </w:rPr>
        <w:t xml:space="preserve">ייחשב </w:t>
      </w:r>
      <w:r>
        <w:rPr>
          <w:rFonts w:hint="cs"/>
          <w:rtl/>
        </w:rPr>
        <w:t xml:space="preserve">ל"גורם זר מתערב" </w:t>
      </w:r>
      <w:r w:rsidR="005E208F">
        <w:rPr>
          <w:rFonts w:hint="cs"/>
          <w:rtl/>
        </w:rPr>
        <w:t>ה</w:t>
      </w:r>
      <w:r>
        <w:rPr>
          <w:rFonts w:hint="cs"/>
          <w:rtl/>
        </w:rPr>
        <w:t>קוטע את הקשר הסיבתי המשפטי בין מעשה הנאשם (או מחדלו) לתוצאה</w:t>
      </w:r>
      <w:r w:rsidR="005E208F">
        <w:rPr>
          <w:rFonts w:hint="cs"/>
          <w:rtl/>
        </w:rPr>
        <w:t>, כאשר התשובה לשאלות</w:t>
      </w:r>
      <w:r>
        <w:rPr>
          <w:rFonts w:hint="cs"/>
          <w:rtl/>
        </w:rPr>
        <w:t>: "</w:t>
      </w:r>
      <w:r w:rsidRPr="0062081F">
        <w:rPr>
          <w:rtl/>
        </w:rPr>
        <w:t>האם הייתה חובה על הנאשם, כאדם סביר, לצפות את התערבותו של הגורם המתערב</w:t>
      </w:r>
      <w:r>
        <w:rPr>
          <w:rFonts w:hint="cs"/>
          <w:rtl/>
        </w:rPr>
        <w:t>" (</w:t>
      </w:r>
      <w:proofErr w:type="spellStart"/>
      <w:r w:rsidR="005E208F" w:rsidRPr="005E208F">
        <w:rPr>
          <w:rtl/>
        </w:rPr>
        <w:t>דנ"פ</w:t>
      </w:r>
      <w:proofErr w:type="spellEnd"/>
      <w:r w:rsidR="005E208F" w:rsidRPr="005E208F">
        <w:rPr>
          <w:rtl/>
        </w:rPr>
        <w:t xml:space="preserve"> 404/13 </w:t>
      </w:r>
      <w:r w:rsidR="005E208F" w:rsidRPr="00DE30DB">
        <w:rPr>
          <w:b/>
          <w:bCs/>
          <w:rtl/>
        </w:rPr>
        <w:t>פלוני</w:t>
      </w:r>
      <w:r w:rsidR="005E208F" w:rsidRPr="005E208F">
        <w:rPr>
          <w:rtl/>
        </w:rPr>
        <w:t xml:space="preserve"> </w:t>
      </w:r>
      <w:r w:rsidR="005E208F" w:rsidRPr="005E208F">
        <w:rPr>
          <w:rFonts w:hint="cs"/>
          <w:rtl/>
        </w:rPr>
        <w:t>לעיל</w:t>
      </w:r>
      <w:r>
        <w:rPr>
          <w:rFonts w:hint="cs"/>
          <w:rtl/>
        </w:rPr>
        <w:t>, בפסקה 25), ו"</w:t>
      </w:r>
      <w:r w:rsidRPr="0062081F">
        <w:rPr>
          <w:rtl/>
        </w:rPr>
        <w:t>אם ניתן וצריך היה לצפות את פעולתו של גורם זה באורח סביר</w:t>
      </w:r>
      <w:r>
        <w:rPr>
          <w:rFonts w:hint="cs"/>
          <w:rtl/>
        </w:rPr>
        <w:t>" (</w:t>
      </w:r>
      <w:r w:rsidR="005E208F" w:rsidRPr="005E208F">
        <w:rPr>
          <w:rtl/>
        </w:rPr>
        <w:t xml:space="preserve">ע"פ 1739/24 </w:t>
      </w:r>
      <w:r w:rsidR="005E208F" w:rsidRPr="00DE30DB">
        <w:rPr>
          <w:b/>
          <w:bCs/>
          <w:rtl/>
        </w:rPr>
        <w:t>פלונ</w:t>
      </w:r>
      <w:r w:rsidR="005E208F" w:rsidRPr="00DE30DB">
        <w:rPr>
          <w:rFonts w:hint="cs"/>
          <w:b/>
          <w:bCs/>
          <w:rtl/>
        </w:rPr>
        <w:t>י</w:t>
      </w:r>
      <w:r w:rsidR="005E208F" w:rsidRPr="005E208F">
        <w:rPr>
          <w:rFonts w:hint="cs"/>
          <w:rtl/>
        </w:rPr>
        <w:t xml:space="preserve"> לעיל,</w:t>
      </w:r>
      <w:r w:rsidR="005E208F" w:rsidRPr="00DE30DB">
        <w:rPr>
          <w:rFonts w:hint="cs"/>
          <w:b/>
          <w:bCs/>
          <w:rtl/>
        </w:rPr>
        <w:t xml:space="preserve"> </w:t>
      </w:r>
      <w:r>
        <w:rPr>
          <w:rFonts w:hint="cs"/>
          <w:rtl/>
        </w:rPr>
        <w:t>בפסקה 10)</w:t>
      </w:r>
      <w:r w:rsidR="005E208F">
        <w:rPr>
          <w:rFonts w:hint="cs"/>
          <w:rtl/>
        </w:rPr>
        <w:t xml:space="preserve"> </w:t>
      </w:r>
      <w:r w:rsidR="005E208F">
        <w:rPr>
          <w:rtl/>
        </w:rPr>
        <w:t>–</w:t>
      </w:r>
      <w:r w:rsidR="005E208F">
        <w:rPr>
          <w:rFonts w:hint="cs"/>
          <w:rtl/>
        </w:rPr>
        <w:t xml:space="preserve"> היא שלילית</w:t>
      </w:r>
      <w:r>
        <w:rPr>
          <w:rFonts w:hint="cs"/>
          <w:rtl/>
        </w:rPr>
        <w:t xml:space="preserve">. </w:t>
      </w:r>
      <w:r w:rsidR="005E208F" w:rsidRPr="005E208F">
        <w:rPr>
          <w:rtl/>
        </w:rPr>
        <w:t xml:space="preserve">לצד מבחן הצפיות הסבירה נוהגים עוד שני מבחני </w:t>
      </w:r>
      <w:r w:rsidR="0059363C" w:rsidRPr="005E208F">
        <w:rPr>
          <w:rtl/>
        </w:rPr>
        <w:t>משנ</w:t>
      </w:r>
      <w:r w:rsidR="0059363C">
        <w:rPr>
          <w:rFonts w:hint="cs"/>
          <w:rtl/>
        </w:rPr>
        <w:t>ה</w:t>
      </w:r>
      <w:r w:rsidR="0059363C" w:rsidRPr="005E208F">
        <w:rPr>
          <w:rtl/>
        </w:rPr>
        <w:t xml:space="preserve"> </w:t>
      </w:r>
      <w:r w:rsidR="005E208F" w:rsidRPr="005E208F">
        <w:rPr>
          <w:rtl/>
        </w:rPr>
        <w:t>נוספים</w:t>
      </w:r>
      <w:r w:rsidR="005E208F">
        <w:rPr>
          <w:rFonts w:hint="cs"/>
          <w:rtl/>
        </w:rPr>
        <w:t>:</w:t>
      </w:r>
    </w:p>
    <w:p w14:paraId="38C88D4B" w14:textId="77777777" w:rsidR="00BA458C" w:rsidRDefault="005E208F" w:rsidP="005E208F">
      <w:pPr>
        <w:pStyle w:val="Quote"/>
      </w:pPr>
      <w:r>
        <w:rPr>
          <w:rFonts w:hint="cs"/>
          <w:rtl/>
        </w:rPr>
        <w:lastRenderedPageBreak/>
        <w:t>"</w:t>
      </w:r>
      <w:r w:rsidRPr="005E208F">
        <w:rPr>
          <w:rtl/>
        </w:rPr>
        <w:t xml:space="preserve">עניינו של </w:t>
      </w:r>
      <w:r>
        <w:rPr>
          <w:rFonts w:hint="cs"/>
          <w:rtl/>
        </w:rPr>
        <w:t>'</w:t>
      </w:r>
      <w:r w:rsidRPr="005E208F">
        <w:rPr>
          <w:rtl/>
        </w:rPr>
        <w:t>מבחן הסיכון</w:t>
      </w:r>
      <w:r>
        <w:rPr>
          <w:rFonts w:hint="cs"/>
          <w:rtl/>
        </w:rPr>
        <w:t>'</w:t>
      </w:r>
      <w:r w:rsidRPr="005E208F">
        <w:rPr>
          <w:rtl/>
        </w:rPr>
        <w:t xml:space="preserve"> בשאלה אם התוצאה שנגרמה מצויה בתחום הסיכון שיצרה התנהגותו של המבצע. אם התשובה לכך חיובית – הרי שהקשר הסיבתי המשפטי מתקיים גם כאשר גורם זר מתערב תרם להתהוות התוצאה. כמו כן, </w:t>
      </w:r>
      <w:r w:rsidR="00B157E7">
        <w:rPr>
          <w:rFonts w:hint="cs"/>
          <w:rtl/>
        </w:rPr>
        <w:t>'</w:t>
      </w:r>
      <w:r w:rsidRPr="005E208F">
        <w:rPr>
          <w:rtl/>
        </w:rPr>
        <w:t>מבחן השכל הישר</w:t>
      </w:r>
      <w:r w:rsidR="00B157E7">
        <w:rPr>
          <w:rFonts w:hint="cs"/>
          <w:rtl/>
        </w:rPr>
        <w:t>'</w:t>
      </w:r>
      <w:r w:rsidRPr="005E208F">
        <w:rPr>
          <w:rtl/>
        </w:rPr>
        <w:t xml:space="preserve"> בוחן, על רקע מאפייני התנהגותו של המבצע, אם התערבותו של הגורם הזר שוללת, מבחינה הגיונית, את הקשר הסיבתי</w:t>
      </w:r>
      <w:r w:rsidR="00B157E7">
        <w:rPr>
          <w:rFonts w:hint="cs"/>
          <w:rtl/>
        </w:rPr>
        <w:t>"</w:t>
      </w:r>
      <w:r w:rsidR="00BA458C">
        <w:rPr>
          <w:rFonts w:hint="cs"/>
          <w:rtl/>
        </w:rPr>
        <w:t xml:space="preserve"> (</w:t>
      </w:r>
      <w:r>
        <w:rPr>
          <w:rFonts w:hint="cs"/>
          <w:rtl/>
        </w:rPr>
        <w:t xml:space="preserve">שם, </w:t>
      </w:r>
      <w:r w:rsidR="00BA458C">
        <w:rPr>
          <w:rFonts w:hint="cs"/>
          <w:rtl/>
        </w:rPr>
        <w:t>בפסקה 1</w:t>
      </w:r>
      <w:r>
        <w:rPr>
          <w:rFonts w:hint="cs"/>
          <w:rtl/>
        </w:rPr>
        <w:t>1</w:t>
      </w:r>
      <w:r w:rsidR="00BA458C">
        <w:rPr>
          <w:rFonts w:hint="cs"/>
          <w:rtl/>
        </w:rPr>
        <w:t>).</w:t>
      </w:r>
    </w:p>
    <w:p w14:paraId="00E13737" w14:textId="77777777" w:rsidR="00BF03BF" w:rsidRDefault="00C11056" w:rsidP="00267E8E">
      <w:pPr>
        <w:pStyle w:val="ListParagraph"/>
        <w:numPr>
          <w:ilvl w:val="0"/>
          <w:numId w:val="1"/>
        </w:numPr>
      </w:pPr>
      <w:r>
        <w:rPr>
          <w:rFonts w:hint="cs"/>
          <w:rtl/>
        </w:rPr>
        <w:t xml:space="preserve">כאמור, </w:t>
      </w:r>
      <w:r w:rsidR="00BA458C">
        <w:rPr>
          <w:rFonts w:hint="cs"/>
          <w:rtl/>
        </w:rPr>
        <w:t xml:space="preserve">המערער טען כי </w:t>
      </w:r>
      <w:r>
        <w:rPr>
          <w:rFonts w:hint="cs"/>
          <w:rtl/>
        </w:rPr>
        <w:t>מחדלים של המפקדים</w:t>
      </w:r>
      <w:r w:rsidR="00C412FE">
        <w:rPr>
          <w:rFonts w:hint="cs"/>
          <w:rtl/>
        </w:rPr>
        <w:t>,</w:t>
      </w:r>
      <w:r>
        <w:rPr>
          <w:rFonts w:hint="cs"/>
          <w:rtl/>
        </w:rPr>
        <w:t xml:space="preserve"> ובפרט אי החלפתו</w:t>
      </w:r>
      <w:r w:rsidR="0059363C">
        <w:rPr>
          <w:rFonts w:hint="cs"/>
          <w:rtl/>
        </w:rPr>
        <w:t xml:space="preserve"> </w:t>
      </w:r>
      <w:r w:rsidR="00BF03BF">
        <w:rPr>
          <w:rFonts w:hint="cs"/>
          <w:rtl/>
        </w:rPr>
        <w:t xml:space="preserve">לאחר </w:t>
      </w:r>
      <w:r>
        <w:rPr>
          <w:rFonts w:hint="cs"/>
          <w:rtl/>
        </w:rPr>
        <w:t>שהשגיח על הנפגע שעות ארוכות ברציפות</w:t>
      </w:r>
      <w:r w:rsidR="00DE30DB">
        <w:rPr>
          <w:rFonts w:hint="cs"/>
          <w:rtl/>
        </w:rPr>
        <w:t>,</w:t>
      </w:r>
      <w:r>
        <w:rPr>
          <w:rFonts w:hint="cs"/>
          <w:rtl/>
        </w:rPr>
        <w:t xml:space="preserve"> וכן שליחת המשגיח האחר, סמל רומן, למשימות אחרות</w:t>
      </w:r>
      <w:r w:rsidR="00DE30DB">
        <w:rPr>
          <w:rFonts w:hint="cs"/>
          <w:rtl/>
        </w:rPr>
        <w:t>,</w:t>
      </w:r>
      <w:r>
        <w:rPr>
          <w:rFonts w:hint="cs"/>
          <w:rtl/>
        </w:rPr>
        <w:t xml:space="preserve"> בטרם יצורף משגיח שני </w:t>
      </w:r>
      <w:r w:rsidR="00C412FE">
        <w:rPr>
          <w:rtl/>
        </w:rPr>
        <w:t>–</w:t>
      </w:r>
      <w:r>
        <w:rPr>
          <w:rFonts w:hint="cs"/>
          <w:rtl/>
        </w:rPr>
        <w:t xml:space="preserve"> נ</w:t>
      </w:r>
      <w:r w:rsidR="0059363C">
        <w:rPr>
          <w:rFonts w:hint="cs"/>
          <w:rtl/>
        </w:rPr>
        <w:t>י</w:t>
      </w:r>
      <w:r>
        <w:rPr>
          <w:rFonts w:hint="cs"/>
          <w:rtl/>
        </w:rPr>
        <w:t>תקו את הקשר הסיבתי המשפטי. א</w:t>
      </w:r>
      <w:r w:rsidR="00C412FE">
        <w:rPr>
          <w:rFonts w:hint="cs"/>
          <w:rtl/>
        </w:rPr>
        <w:t>ו</w:t>
      </w:r>
      <w:r>
        <w:rPr>
          <w:rFonts w:hint="cs"/>
          <w:rtl/>
        </w:rPr>
        <w:t>ל</w:t>
      </w:r>
      <w:r w:rsidR="00C412FE">
        <w:rPr>
          <w:rFonts w:hint="cs"/>
          <w:rtl/>
        </w:rPr>
        <w:t>ם</w:t>
      </w:r>
      <w:r>
        <w:rPr>
          <w:rFonts w:hint="cs"/>
          <w:rtl/>
        </w:rPr>
        <w:t xml:space="preserve"> אף </w:t>
      </w:r>
      <w:r w:rsidR="00DE30DB">
        <w:rPr>
          <w:rFonts w:hint="cs"/>
          <w:rtl/>
        </w:rPr>
        <w:t>ש</w:t>
      </w:r>
      <w:r>
        <w:rPr>
          <w:rFonts w:hint="cs"/>
          <w:rtl/>
        </w:rPr>
        <w:t xml:space="preserve">למעשים ולמחדלים אלה תרומה להגברת הסיכון שהתממש, הם </w:t>
      </w:r>
      <w:r w:rsidRPr="00DE30DB">
        <w:rPr>
          <w:rFonts w:hint="cs"/>
          <w:b/>
          <w:bCs/>
          <w:rtl/>
        </w:rPr>
        <w:t>אינ</w:t>
      </w:r>
      <w:r w:rsidR="00DE30DB" w:rsidRPr="00DE30DB">
        <w:rPr>
          <w:rFonts w:hint="cs"/>
          <w:b/>
          <w:bCs/>
          <w:rtl/>
        </w:rPr>
        <w:t>ם</w:t>
      </w:r>
      <w:r w:rsidRPr="00DE30DB">
        <w:rPr>
          <w:rFonts w:hint="cs"/>
          <w:b/>
          <w:bCs/>
          <w:rtl/>
        </w:rPr>
        <w:t xml:space="preserve"> קוטעים את הקשר הסיבתי המובהק</w:t>
      </w:r>
      <w:r>
        <w:rPr>
          <w:rFonts w:hint="cs"/>
          <w:rtl/>
        </w:rPr>
        <w:t xml:space="preserve"> בין מחדלו של המערער לתוצאה. המערער היה מפקדו הישיר של הנפגע והיה ער למצבו הנפשי, לסיכון לחייו ולצורך בנוכחות שני משגיחים בסמוך לו. הוא המשגיח שנותר עם הנפגע</w:t>
      </w:r>
      <w:r w:rsidR="00C412FE">
        <w:rPr>
          <w:rFonts w:hint="cs"/>
          <w:rtl/>
        </w:rPr>
        <w:t>,</w:t>
      </w:r>
      <w:r>
        <w:rPr>
          <w:rFonts w:hint="cs"/>
          <w:rtl/>
        </w:rPr>
        <w:t xml:space="preserve"> ולבסוף, וזה העיקר </w:t>
      </w:r>
      <w:r>
        <w:rPr>
          <w:rtl/>
        </w:rPr>
        <w:t>–</w:t>
      </w:r>
      <w:r>
        <w:rPr>
          <w:rFonts w:hint="cs"/>
          <w:rtl/>
        </w:rPr>
        <w:t xml:space="preserve"> הוא </w:t>
      </w:r>
      <w:r w:rsidR="00DE30DB">
        <w:rPr>
          <w:rFonts w:hint="cs"/>
          <w:rtl/>
        </w:rPr>
        <w:t>ש</w:t>
      </w:r>
      <w:r>
        <w:rPr>
          <w:rFonts w:hint="cs"/>
          <w:rtl/>
        </w:rPr>
        <w:t>הפר</w:t>
      </w:r>
      <w:r w:rsidR="0059363C">
        <w:rPr>
          <w:rFonts w:hint="cs"/>
          <w:rtl/>
        </w:rPr>
        <w:t>, פעמיים,</w:t>
      </w:r>
      <w:r>
        <w:rPr>
          <w:rFonts w:hint="cs"/>
          <w:rtl/>
        </w:rPr>
        <w:t xml:space="preserve"> את הפקודות של מפקדיו לצרף משגיח נוסף ו</w:t>
      </w:r>
      <w:r w:rsidR="00DE30DB">
        <w:rPr>
          <w:rFonts w:hint="cs"/>
          <w:rtl/>
        </w:rPr>
        <w:t xml:space="preserve">לכן </w:t>
      </w:r>
      <w:r>
        <w:rPr>
          <w:rFonts w:hint="cs"/>
          <w:rtl/>
        </w:rPr>
        <w:t xml:space="preserve">נותר משגיח יחיד לאורך זמן, באופן שהגביר במידה ניכרת את הסיכון לחיי הנפגע. התוצאה </w:t>
      </w:r>
      <w:r w:rsidR="0059363C">
        <w:rPr>
          <w:rFonts w:hint="cs"/>
          <w:rtl/>
        </w:rPr>
        <w:t xml:space="preserve">הקשה </w:t>
      </w:r>
      <w:r>
        <w:rPr>
          <w:rFonts w:hint="cs"/>
          <w:rtl/>
        </w:rPr>
        <w:t>היא בתחום הסיכון שיצרה התנהגותו</w:t>
      </w:r>
      <w:r w:rsidR="007A0F77">
        <w:rPr>
          <w:rFonts w:hint="cs"/>
          <w:rtl/>
        </w:rPr>
        <w:t>, ו</w:t>
      </w:r>
      <w:r w:rsidR="00207999">
        <w:rPr>
          <w:rFonts w:hint="cs"/>
          <w:rtl/>
        </w:rPr>
        <w:t xml:space="preserve">במבחן השכל הישר, על רקע מאפייני התנהגותו </w:t>
      </w:r>
      <w:r w:rsidR="00207999">
        <w:rPr>
          <w:rtl/>
        </w:rPr>
        <w:t>–</w:t>
      </w:r>
      <w:r w:rsidR="00207999">
        <w:rPr>
          <w:rFonts w:hint="cs"/>
          <w:rtl/>
        </w:rPr>
        <w:t xml:space="preserve"> אין לקבוע כי התנהלות אחרים נ</w:t>
      </w:r>
      <w:r w:rsidR="004F2562">
        <w:rPr>
          <w:rFonts w:hint="cs"/>
          <w:rtl/>
        </w:rPr>
        <w:t>י</w:t>
      </w:r>
      <w:r w:rsidR="00207999">
        <w:rPr>
          <w:rFonts w:hint="cs"/>
          <w:rtl/>
        </w:rPr>
        <w:t xml:space="preserve">תקה את הקשר הסיבתי </w:t>
      </w:r>
      <w:r w:rsidR="004F2562">
        <w:rPr>
          <w:rFonts w:hint="cs"/>
          <w:rtl/>
        </w:rPr>
        <w:t xml:space="preserve">המשפטי </w:t>
      </w:r>
      <w:r w:rsidR="00207999">
        <w:rPr>
          <w:rFonts w:hint="cs"/>
          <w:rtl/>
        </w:rPr>
        <w:t xml:space="preserve">בינה לבין התוצאה. </w:t>
      </w:r>
    </w:p>
    <w:p w14:paraId="5B0FD899" w14:textId="77777777" w:rsidR="004A7AA0" w:rsidRDefault="00801069" w:rsidP="00267E8E">
      <w:pPr>
        <w:pStyle w:val="ListParagraph"/>
        <w:numPr>
          <w:ilvl w:val="0"/>
          <w:numId w:val="1"/>
        </w:numPr>
      </w:pPr>
      <w:r>
        <w:rPr>
          <w:rFonts w:hint="cs"/>
          <w:rtl/>
        </w:rPr>
        <w:t xml:space="preserve">אשר לטענה </w:t>
      </w:r>
      <w:r w:rsidR="00BF03BF">
        <w:rPr>
          <w:rFonts w:hint="cs"/>
          <w:rtl/>
        </w:rPr>
        <w:t xml:space="preserve">נוספת שהשמיעה ההגנה בהקשר זה, ולפיה </w:t>
      </w:r>
      <w:r>
        <w:rPr>
          <w:rFonts w:hint="cs"/>
          <w:rtl/>
        </w:rPr>
        <w:t>מעשיו של הנפגע קטעו את הקשר הסיבתי</w:t>
      </w:r>
      <w:r w:rsidR="00BF03BF">
        <w:rPr>
          <w:rFonts w:hint="cs"/>
          <w:rtl/>
        </w:rPr>
        <w:t xml:space="preserve"> </w:t>
      </w:r>
      <w:r w:rsidR="00C412FE">
        <w:rPr>
          <w:rtl/>
        </w:rPr>
        <w:t>–</w:t>
      </w:r>
      <w:r w:rsidR="00BF03BF">
        <w:rPr>
          <w:rFonts w:hint="cs"/>
          <w:rtl/>
        </w:rPr>
        <w:t xml:space="preserve"> </w:t>
      </w:r>
      <w:r>
        <w:rPr>
          <w:rFonts w:hint="cs"/>
          <w:rtl/>
        </w:rPr>
        <w:t>הרי ש</w:t>
      </w:r>
      <w:r w:rsidR="00BF03BF">
        <w:rPr>
          <w:rFonts w:hint="cs"/>
          <w:rtl/>
        </w:rPr>
        <w:t>אלה ב</w:t>
      </w:r>
      <w:r>
        <w:rPr>
          <w:rFonts w:hint="cs"/>
          <w:rtl/>
        </w:rPr>
        <w:t xml:space="preserve">וודאי </w:t>
      </w:r>
      <w:r w:rsidR="00BF03BF">
        <w:rPr>
          <w:rFonts w:hint="cs"/>
          <w:rtl/>
        </w:rPr>
        <w:t xml:space="preserve">מצויים </w:t>
      </w:r>
      <w:r>
        <w:rPr>
          <w:rFonts w:hint="cs"/>
          <w:rtl/>
        </w:rPr>
        <w:t>בתחום הסיכון שיצרה התנהגותו של המערער</w:t>
      </w:r>
      <w:r w:rsidR="00C412FE">
        <w:rPr>
          <w:rFonts w:hint="cs"/>
          <w:rtl/>
        </w:rPr>
        <w:t>. אדרבה, זהו בדיוק הסיכון שהיה על המערער למנוע</w:t>
      </w:r>
      <w:r>
        <w:rPr>
          <w:rFonts w:hint="cs"/>
          <w:rtl/>
        </w:rPr>
        <w:t>.</w:t>
      </w:r>
    </w:p>
    <w:p w14:paraId="09F55874" w14:textId="77777777" w:rsidR="00B50A3F" w:rsidRDefault="00DE30DB" w:rsidP="00E5091F">
      <w:pPr>
        <w:pStyle w:val="Heading3"/>
        <w:rPr>
          <w:rtl/>
        </w:rPr>
      </w:pPr>
      <w:r>
        <w:rPr>
          <w:rFonts w:hint="cs"/>
          <w:rtl/>
        </w:rPr>
        <w:t xml:space="preserve">טענות </w:t>
      </w:r>
      <w:r w:rsidR="001265AC">
        <w:rPr>
          <w:rFonts w:hint="cs"/>
          <w:rtl/>
        </w:rPr>
        <w:t xml:space="preserve">בדבר </w:t>
      </w:r>
      <w:r>
        <w:rPr>
          <w:rFonts w:hint="cs"/>
          <w:rtl/>
        </w:rPr>
        <w:t>הגנה מן הצדק</w:t>
      </w:r>
    </w:p>
    <w:p w14:paraId="244F042D" w14:textId="77777777" w:rsidR="00B50A3F" w:rsidRDefault="005F69EA" w:rsidP="00267E8E">
      <w:pPr>
        <w:pStyle w:val="ListParagraph"/>
        <w:numPr>
          <w:ilvl w:val="0"/>
          <w:numId w:val="1"/>
        </w:numPr>
        <w:rPr>
          <w:rtl/>
        </w:rPr>
      </w:pPr>
      <w:r>
        <w:rPr>
          <w:rFonts w:hint="cs"/>
          <w:rtl/>
        </w:rPr>
        <w:t xml:space="preserve">טענתה החלופית של ההגנה היא כי </w:t>
      </w:r>
      <w:r w:rsidR="001265AC">
        <w:rPr>
          <w:rFonts w:hint="cs"/>
          <w:rtl/>
        </w:rPr>
        <w:t xml:space="preserve">אף </w:t>
      </w:r>
      <w:r>
        <w:rPr>
          <w:rFonts w:hint="cs"/>
          <w:rtl/>
        </w:rPr>
        <w:t>אם הוכחו יסודות העבירה שיוחסה למערער, אין להרשיעו בה</w:t>
      </w:r>
      <w:r w:rsidR="00C412FE">
        <w:rPr>
          <w:rFonts w:hint="cs"/>
          <w:rtl/>
        </w:rPr>
        <w:t>,</w:t>
      </w:r>
      <w:r>
        <w:rPr>
          <w:rFonts w:hint="cs"/>
          <w:rtl/>
        </w:rPr>
        <w:t xml:space="preserve"> לנוכח "אכיפה בררנית", בהתחשב בפער הנטען בין העמדתו של המערער לדין לבין מדיניות ההעמדה לדין של מערכת התביעה הכללית ומערכת התביעה הצבאית</w:t>
      </w:r>
      <w:r w:rsidR="001265AC">
        <w:rPr>
          <w:rFonts w:hint="cs"/>
          <w:rtl/>
        </w:rPr>
        <w:t xml:space="preserve"> ויישומה</w:t>
      </w:r>
      <w:r>
        <w:rPr>
          <w:rFonts w:hint="cs"/>
          <w:rtl/>
        </w:rPr>
        <w:t xml:space="preserve">; ובהתחשב באי העמדתו </w:t>
      </w:r>
      <w:r w:rsidR="00C412FE">
        <w:rPr>
          <w:rFonts w:hint="cs"/>
          <w:rtl/>
        </w:rPr>
        <w:t xml:space="preserve">לדין </w:t>
      </w:r>
      <w:r>
        <w:rPr>
          <w:rFonts w:hint="cs"/>
          <w:rtl/>
        </w:rPr>
        <w:t xml:space="preserve">של מפקד הפלוגה ובתוצאות המשפטים של סגן תומר וסגן דניאל בבית הדין המחוזי. </w:t>
      </w:r>
    </w:p>
    <w:p w14:paraId="0660085F" w14:textId="77777777" w:rsidR="005F69EA" w:rsidRDefault="005F69EA" w:rsidP="00267E8E">
      <w:pPr>
        <w:pStyle w:val="ListParagraph"/>
        <w:numPr>
          <w:ilvl w:val="0"/>
          <w:numId w:val="1"/>
        </w:numPr>
      </w:pPr>
      <w:r>
        <w:rPr>
          <w:rFonts w:hint="cs"/>
          <w:rtl/>
        </w:rPr>
        <w:t>כידוע, "</w:t>
      </w:r>
      <w:r w:rsidR="00EA7184">
        <w:rPr>
          <w:rFonts w:hint="cs"/>
          <w:rtl/>
        </w:rPr>
        <w:t>אכיפה בררנית</w:t>
      </w:r>
      <w:r>
        <w:rPr>
          <w:rFonts w:hint="cs"/>
          <w:rtl/>
        </w:rPr>
        <w:t>"</w:t>
      </w:r>
      <w:r w:rsidR="00EA7184">
        <w:rPr>
          <w:rFonts w:hint="cs"/>
          <w:rtl/>
        </w:rPr>
        <w:t xml:space="preserve"> </w:t>
      </w:r>
      <w:r>
        <w:rPr>
          <w:rFonts w:hint="cs"/>
          <w:rtl/>
        </w:rPr>
        <w:t xml:space="preserve">מתקיימת כאשר </w:t>
      </w:r>
      <w:r w:rsidR="00EA7184">
        <w:rPr>
          <w:rFonts w:hint="cs"/>
          <w:rtl/>
        </w:rPr>
        <w:t>"</w:t>
      </w:r>
      <w:r w:rsidR="00EA7184" w:rsidRPr="000021C4">
        <w:rPr>
          <w:rtl/>
        </w:rPr>
        <w:t>סמכות האכיפה הופעלה נגד אחד ולא נגד אחרים, ללא כל טעם המצדיק את ההבחנה ביניהם</w:t>
      </w:r>
      <w:r w:rsidR="00EA7184">
        <w:rPr>
          <w:rFonts w:hint="cs"/>
          <w:rtl/>
        </w:rPr>
        <w:t>"</w:t>
      </w:r>
      <w:r w:rsidR="00116C5C">
        <w:rPr>
          <w:rFonts w:hint="cs"/>
          <w:rtl/>
        </w:rPr>
        <w:t xml:space="preserve"> (ע"פ 901/23 </w:t>
      </w:r>
      <w:r w:rsidR="00116C5C" w:rsidRPr="00630A7F">
        <w:rPr>
          <w:rFonts w:hint="cs"/>
          <w:b/>
          <w:bCs/>
          <w:rtl/>
        </w:rPr>
        <w:t>בנימין נ' מדינת ישראל</w:t>
      </w:r>
      <w:r w:rsidR="00116C5C">
        <w:rPr>
          <w:rFonts w:hint="cs"/>
          <w:rtl/>
        </w:rPr>
        <w:t>, פסקה 29 לפסק הדין של השופט כבוב (6.7.2025))</w:t>
      </w:r>
      <w:r w:rsidR="00EA7184">
        <w:rPr>
          <w:rFonts w:hint="cs"/>
          <w:rtl/>
        </w:rPr>
        <w:t xml:space="preserve">. </w:t>
      </w:r>
      <w:r>
        <w:rPr>
          <w:rFonts w:hint="cs"/>
          <w:rtl/>
        </w:rPr>
        <w:t xml:space="preserve">הוטעם </w:t>
      </w:r>
      <w:r w:rsidR="00630A7F">
        <w:rPr>
          <w:rFonts w:hint="cs"/>
          <w:rtl/>
        </w:rPr>
        <w:t xml:space="preserve">בעניין זה </w:t>
      </w:r>
      <w:r>
        <w:rPr>
          <w:rFonts w:hint="cs"/>
          <w:rtl/>
        </w:rPr>
        <w:t xml:space="preserve">כי </w:t>
      </w:r>
      <w:r w:rsidR="00116C5C">
        <w:rPr>
          <w:rFonts w:hint="cs"/>
          <w:rtl/>
        </w:rPr>
        <w:t>אין די בהבדל באכיפה</w:t>
      </w:r>
      <w:r>
        <w:rPr>
          <w:rFonts w:hint="cs"/>
          <w:rtl/>
        </w:rPr>
        <w:t xml:space="preserve"> ויש להראות </w:t>
      </w:r>
      <w:r w:rsidRPr="002B6FAF">
        <w:rPr>
          <w:rFonts w:hint="cs"/>
          <w:b/>
          <w:bCs/>
          <w:rtl/>
        </w:rPr>
        <w:t>שה</w:t>
      </w:r>
      <w:r w:rsidR="00116C5C" w:rsidRPr="002B6FAF">
        <w:rPr>
          <w:rFonts w:hint="cs"/>
          <w:b/>
          <w:bCs/>
          <w:rtl/>
        </w:rPr>
        <w:t xml:space="preserve">הבדל </w:t>
      </w:r>
      <w:r w:rsidRPr="002B6FAF">
        <w:rPr>
          <w:rFonts w:hint="cs"/>
          <w:b/>
          <w:bCs/>
          <w:rtl/>
        </w:rPr>
        <w:t xml:space="preserve">אינו </w:t>
      </w:r>
      <w:r w:rsidR="00116C5C" w:rsidRPr="002B6FAF">
        <w:rPr>
          <w:rFonts w:hint="cs"/>
          <w:b/>
          <w:bCs/>
          <w:rtl/>
        </w:rPr>
        <w:t>מוצדק</w:t>
      </w:r>
      <w:r w:rsidR="00C412FE">
        <w:rPr>
          <w:rFonts w:hint="cs"/>
          <w:rtl/>
        </w:rPr>
        <w:t>:</w:t>
      </w:r>
    </w:p>
    <w:p w14:paraId="2D2DC5B5" w14:textId="77777777" w:rsidR="00B50A3F" w:rsidRDefault="00B50A3F" w:rsidP="005F69EA">
      <w:pPr>
        <w:pStyle w:val="Quote"/>
        <w:rPr>
          <w:rtl/>
        </w:rPr>
      </w:pPr>
      <w:r>
        <w:rPr>
          <w:rFonts w:hint="cs"/>
          <w:rtl/>
        </w:rPr>
        <w:t>"</w:t>
      </w:r>
      <w:r w:rsidRPr="000021C4">
        <w:rPr>
          <w:rtl/>
        </w:rPr>
        <w:t xml:space="preserve">על המבקש לחסות </w:t>
      </w:r>
      <w:proofErr w:type="spellStart"/>
      <w:r w:rsidRPr="000021C4">
        <w:rPr>
          <w:rtl/>
        </w:rPr>
        <w:t>בצלה</w:t>
      </w:r>
      <w:proofErr w:type="spellEnd"/>
      <w:r w:rsidRPr="000021C4">
        <w:rPr>
          <w:rtl/>
        </w:rPr>
        <w:t xml:space="preserve"> של הגנה מן הצדק בטענה של אכיפה בררנית, להוכיח כי ההבחנה בין המעורבים השונים מבוססת על שיקולים בלתי ענייניים של המאשימה; או כי מדובר באכיפה אשר פוגעת בשוויון בין שווים כאשר הדבר נעשה למטרה פסולה, מתוך שרירות-לב או על בסיס שיקולים שלא ממין העניין</w:t>
      </w:r>
      <w:r w:rsidR="004F2562">
        <w:rPr>
          <w:rFonts w:hint="cs"/>
          <w:rtl/>
        </w:rPr>
        <w:t xml:space="preserve"> </w:t>
      </w:r>
      <w:r w:rsidRPr="000021C4">
        <w:rPr>
          <w:rtl/>
        </w:rPr>
        <w:t xml:space="preserve">או כי מדובר </w:t>
      </w:r>
      <w:r w:rsidRPr="000021C4">
        <w:rPr>
          <w:rtl/>
        </w:rPr>
        <w:lastRenderedPageBreak/>
        <w:t xml:space="preserve">במחדל, רשלנות או טעות בשיקול דעתה של הרשות, תוך שנדרש להצביע לעניין זה על </w:t>
      </w:r>
      <w:r w:rsidRPr="005F69EA">
        <w:rPr>
          <w:b/>
          <w:bCs/>
          <w:rtl/>
        </w:rPr>
        <w:t>ליקוי מהותי</w:t>
      </w:r>
      <w:r>
        <w:rPr>
          <w:rFonts w:hint="cs"/>
          <w:rtl/>
        </w:rPr>
        <w:t>" (</w:t>
      </w:r>
      <w:r w:rsidR="00C412FE">
        <w:rPr>
          <w:rFonts w:hint="cs"/>
          <w:rtl/>
        </w:rPr>
        <w:t>שם; ה</w:t>
      </w:r>
      <w:r w:rsidR="002B6FAF">
        <w:rPr>
          <w:rFonts w:hint="cs"/>
          <w:rtl/>
        </w:rPr>
        <w:t>הדגשה במקור</w:t>
      </w:r>
      <w:r>
        <w:rPr>
          <w:rFonts w:hint="cs"/>
          <w:rtl/>
        </w:rPr>
        <w:t>).</w:t>
      </w:r>
    </w:p>
    <w:p w14:paraId="50067623" w14:textId="77777777" w:rsidR="005F69EA" w:rsidRPr="005F69EA" w:rsidRDefault="005F69EA" w:rsidP="00267E8E">
      <w:pPr>
        <w:pStyle w:val="ListParagraph"/>
        <w:numPr>
          <w:ilvl w:val="0"/>
          <w:numId w:val="1"/>
        </w:numPr>
        <w:rPr>
          <w:rtl/>
        </w:rPr>
      </w:pPr>
      <w:r w:rsidRPr="005F69EA">
        <w:rPr>
          <w:rtl/>
        </w:rPr>
        <w:t xml:space="preserve">נטל השכנוע ונטל הבאת הראיות הראשוני להוכחת אכיפה בררנית מוטל על כתפי הנאשם, הנדרש לסתור את חזקת התקינות המנהלית. </w:t>
      </w:r>
      <w:r w:rsidR="00C412FE">
        <w:rPr>
          <w:rFonts w:hint="cs"/>
          <w:rtl/>
        </w:rPr>
        <w:t>אם</w:t>
      </w:r>
      <w:r w:rsidR="00C412FE" w:rsidRPr="005F69EA">
        <w:rPr>
          <w:rtl/>
        </w:rPr>
        <w:t xml:space="preserve"> </w:t>
      </w:r>
      <w:r w:rsidRPr="005F69EA">
        <w:rPr>
          <w:rtl/>
        </w:rPr>
        <w:t>עמד בנטל ו</w:t>
      </w:r>
      <w:r w:rsidR="002B6FAF">
        <w:rPr>
          <w:rFonts w:hint="cs"/>
          <w:rtl/>
        </w:rPr>
        <w:t>ה</w:t>
      </w:r>
      <w:r w:rsidRPr="005F69EA">
        <w:rPr>
          <w:rtl/>
        </w:rPr>
        <w:t xml:space="preserve">ציג תשתית ראייתית מספקת, </w:t>
      </w:r>
      <w:r w:rsidR="002B6FAF">
        <w:rPr>
          <w:rFonts w:hint="cs"/>
          <w:rtl/>
        </w:rPr>
        <w:t>י</w:t>
      </w:r>
      <w:r w:rsidRPr="005F69EA">
        <w:rPr>
          <w:rtl/>
        </w:rPr>
        <w:t>עב</w:t>
      </w:r>
      <w:r w:rsidR="002B6FAF">
        <w:rPr>
          <w:rFonts w:hint="cs"/>
          <w:rtl/>
        </w:rPr>
        <w:t>ו</w:t>
      </w:r>
      <w:r w:rsidRPr="005F69EA">
        <w:rPr>
          <w:rtl/>
        </w:rPr>
        <w:t xml:space="preserve">ר הנטל אל הרשות להוכיח כי פעלה מטעמים ענייניים וסבירים (ע"פ 3507/19 </w:t>
      </w:r>
      <w:proofErr w:type="spellStart"/>
      <w:r w:rsidRPr="005F69EA">
        <w:rPr>
          <w:b/>
          <w:bCs/>
          <w:rtl/>
        </w:rPr>
        <w:t>בורקאן</w:t>
      </w:r>
      <w:proofErr w:type="spellEnd"/>
      <w:r w:rsidRPr="005F69EA">
        <w:rPr>
          <w:b/>
          <w:bCs/>
          <w:rtl/>
        </w:rPr>
        <w:t xml:space="preserve"> נ' מדינת ישראל</w:t>
      </w:r>
      <w:r w:rsidRPr="005F69EA">
        <w:rPr>
          <w:rtl/>
        </w:rPr>
        <w:t xml:space="preserve"> (3.12.2020); יצחק עמית </w:t>
      </w:r>
      <w:r w:rsidRPr="005F69EA">
        <w:rPr>
          <w:b/>
          <w:bCs/>
          <w:rtl/>
        </w:rPr>
        <w:t>חסיונות ואינטרסים מוגנים – הליכי גילוי ועיון במשפט האזרחי והפלילי</w:t>
      </w:r>
      <w:r w:rsidRPr="005F69EA">
        <w:rPr>
          <w:rtl/>
        </w:rPr>
        <w:t xml:space="preserve"> 323 (2021)). </w:t>
      </w:r>
    </w:p>
    <w:p w14:paraId="22EEFE33" w14:textId="296D5E24" w:rsidR="005F69EA" w:rsidRPr="00754CB9" w:rsidRDefault="002B6FAF" w:rsidP="00267E8E">
      <w:pPr>
        <w:pStyle w:val="ListParagraph"/>
        <w:numPr>
          <w:ilvl w:val="0"/>
          <w:numId w:val="1"/>
        </w:numPr>
        <w:rPr>
          <w:rtl/>
        </w:rPr>
      </w:pPr>
      <w:r>
        <w:rPr>
          <w:rFonts w:hint="cs"/>
          <w:rtl/>
        </w:rPr>
        <w:t xml:space="preserve">כמו כן, </w:t>
      </w:r>
      <w:r w:rsidR="005F69EA" w:rsidRPr="005F69EA">
        <w:rPr>
          <w:rtl/>
        </w:rPr>
        <w:t xml:space="preserve">אף אם הוכחה אכיפה בררנית, יש להוסיף ולבחון מה הסעד הראוי בגינה: "האם האכיפה הבררנית מגיעה עד כדי הדרגה המקימה 'הגנה מן הצדק' או שמא, חרף הפגם, התשובה המתאימה היא במישור הענישה" (ע"פ 8551/11 </w:t>
      </w:r>
      <w:proofErr w:type="spellStart"/>
      <w:r w:rsidR="005F69EA" w:rsidRPr="005F69EA">
        <w:rPr>
          <w:b/>
          <w:bCs/>
          <w:rtl/>
        </w:rPr>
        <w:t>סלכגי</w:t>
      </w:r>
      <w:proofErr w:type="spellEnd"/>
      <w:r w:rsidR="005F69EA" w:rsidRPr="005F69EA">
        <w:rPr>
          <w:b/>
          <w:bCs/>
          <w:rtl/>
        </w:rPr>
        <w:t xml:space="preserve"> נ' מדינת ישראל</w:t>
      </w:r>
      <w:r w:rsidR="005F69EA" w:rsidRPr="005F69EA">
        <w:rPr>
          <w:rtl/>
        </w:rPr>
        <w:t>, פסקה 15 (12.8.2012))</w:t>
      </w:r>
      <w:r>
        <w:rPr>
          <w:rFonts w:hint="cs"/>
          <w:rtl/>
        </w:rPr>
        <w:t>.</w:t>
      </w:r>
      <w:r w:rsidR="009B036A">
        <w:rPr>
          <w:rFonts w:hint="cs"/>
          <w:rtl/>
        </w:rPr>
        <w:t xml:space="preserve"> הוטעם כי </w:t>
      </w:r>
      <w:r w:rsidR="005F69EA" w:rsidRPr="005F69EA">
        <w:rPr>
          <w:rtl/>
        </w:rPr>
        <w:t xml:space="preserve">"גם אם הוכח קיומה של אכיפה בררנית, הרי שסעד קיצוני של ביטול כתב האישום שמור למקרים חריגים, בהם לא ניתן לרפא את הפגם באמצעים חריפים פחות, כגון תיקון כתב האישום או הקלה במידת העונש" (ע"פ 7659/15 </w:t>
      </w:r>
      <w:r w:rsidR="005F69EA" w:rsidRPr="005F69EA">
        <w:rPr>
          <w:b/>
          <w:bCs/>
          <w:rtl/>
        </w:rPr>
        <w:t>הרוש נ' מדינת ישראל</w:t>
      </w:r>
      <w:r w:rsidR="005F69EA" w:rsidRPr="005F69EA">
        <w:rPr>
          <w:rtl/>
        </w:rPr>
        <w:t xml:space="preserve"> (20.4.2016</w:t>
      </w:r>
      <w:r w:rsidR="005F69EA" w:rsidRPr="00754CB9">
        <w:rPr>
          <w:rtl/>
        </w:rPr>
        <w:t>)</w:t>
      </w:r>
      <w:r w:rsidR="00255198">
        <w:rPr>
          <w:rFonts w:hint="cs"/>
          <w:rtl/>
        </w:rPr>
        <w:t>.</w:t>
      </w:r>
      <w:r w:rsidR="009B036A" w:rsidRPr="00754CB9">
        <w:rPr>
          <w:rFonts w:hint="cs"/>
          <w:rtl/>
        </w:rPr>
        <w:t xml:space="preserve"> ראו עניין </w:t>
      </w:r>
      <w:r w:rsidR="00213B48">
        <w:rPr>
          <w:rFonts w:hint="cs"/>
          <w:b/>
          <w:bCs/>
          <w:rtl/>
        </w:rPr>
        <w:t>ת' כ' א'</w:t>
      </w:r>
      <w:r w:rsidR="009B036A" w:rsidRPr="00754CB9">
        <w:rPr>
          <w:rFonts w:hint="cs"/>
          <w:rtl/>
        </w:rPr>
        <w:t xml:space="preserve"> לעיל, בפסקה 7</w:t>
      </w:r>
      <w:r w:rsidR="00754CB9" w:rsidRPr="00754CB9">
        <w:rPr>
          <w:rFonts w:hint="cs"/>
          <w:rtl/>
        </w:rPr>
        <w:t>1</w:t>
      </w:r>
      <w:r w:rsidR="009B036A" w:rsidRPr="00754CB9">
        <w:rPr>
          <w:rFonts w:hint="cs"/>
          <w:rtl/>
        </w:rPr>
        <w:t xml:space="preserve"> והאסמכתאות המנויות שם</w:t>
      </w:r>
      <w:r w:rsidR="005F69EA" w:rsidRPr="00754CB9">
        <w:rPr>
          <w:rtl/>
        </w:rPr>
        <w:t>)</w:t>
      </w:r>
      <w:r w:rsidR="009B036A" w:rsidRPr="00754CB9">
        <w:rPr>
          <w:rFonts w:hint="cs"/>
          <w:rtl/>
        </w:rPr>
        <w:t xml:space="preserve">. </w:t>
      </w:r>
    </w:p>
    <w:p w14:paraId="459AAA11" w14:textId="77777777" w:rsidR="001265AC" w:rsidRPr="001265AC" w:rsidRDefault="001265AC" w:rsidP="00267E8E">
      <w:pPr>
        <w:pStyle w:val="ListParagraph"/>
        <w:numPr>
          <w:ilvl w:val="0"/>
          <w:numId w:val="1"/>
        </w:numPr>
      </w:pPr>
      <w:r>
        <w:rPr>
          <w:rFonts w:hint="cs"/>
          <w:rtl/>
        </w:rPr>
        <w:t>בראי האמור</w:t>
      </w:r>
      <w:r w:rsidR="002B6FAF">
        <w:rPr>
          <w:rFonts w:hint="cs"/>
          <w:rtl/>
        </w:rPr>
        <w:t>,</w:t>
      </w:r>
      <w:r>
        <w:rPr>
          <w:rFonts w:hint="cs"/>
          <w:rtl/>
        </w:rPr>
        <w:t xml:space="preserve"> נדון תחילה </w:t>
      </w:r>
      <w:r w:rsidRPr="004A2A97">
        <w:rPr>
          <w:rFonts w:hint="cs"/>
          <w:b/>
          <w:bCs/>
          <w:rtl/>
        </w:rPr>
        <w:t>בטענה הפרטנית</w:t>
      </w:r>
      <w:r>
        <w:rPr>
          <w:rFonts w:hint="cs"/>
          <w:rtl/>
        </w:rPr>
        <w:t xml:space="preserve"> בדבר הבדל שאינו מוצדק בין העמדתו לדין של המערער והשלכות הרשעתו, לבין מצבם המשפטי של מפקדים אחרים המעורבים בפרשה. </w:t>
      </w:r>
      <w:r w:rsidR="00630A7F">
        <w:rPr>
          <w:rFonts w:hint="cs"/>
          <w:rtl/>
        </w:rPr>
        <w:t xml:space="preserve">ראשית </w:t>
      </w:r>
      <w:r>
        <w:rPr>
          <w:rFonts w:hint="cs"/>
          <w:rtl/>
        </w:rPr>
        <w:t xml:space="preserve">נפנה לקביעתו של בית הדין המחוזי, שלפיה על פי הראיות שהוצגו </w:t>
      </w:r>
      <w:r w:rsidR="00630A7F">
        <w:rPr>
          <w:rFonts w:hint="cs"/>
          <w:rtl/>
        </w:rPr>
        <w:t>במשפטו של המערער</w:t>
      </w:r>
      <w:r>
        <w:rPr>
          <w:rFonts w:hint="cs"/>
          <w:rtl/>
        </w:rPr>
        <w:t xml:space="preserve">, מפקד הפלוגה, סרן אורי, היה אחראי לנוהל ההשגחה וכן: </w:t>
      </w:r>
    </w:p>
    <w:p w14:paraId="597B2936" w14:textId="77777777" w:rsidR="001265AC" w:rsidRDefault="001265AC" w:rsidP="00322519">
      <w:pPr>
        <w:pStyle w:val="Quote"/>
      </w:pPr>
      <w:r>
        <w:rPr>
          <w:rFonts w:hint="cs"/>
          <w:rtl/>
        </w:rPr>
        <w:t xml:space="preserve">"[סרן] </w:t>
      </w:r>
      <w:r w:rsidRPr="001265AC">
        <w:rPr>
          <w:rtl/>
        </w:rPr>
        <w:t xml:space="preserve">אורי עזב את הבסיס במהלך נוהל ההשגחה </w:t>
      </w:r>
      <w:r w:rsidRPr="001265AC">
        <w:rPr>
          <w:b/>
          <w:bCs/>
          <w:rtl/>
        </w:rPr>
        <w:t xml:space="preserve">מבלי להעביר את </w:t>
      </w:r>
      <w:r w:rsidRPr="001265AC">
        <w:rPr>
          <w:rtl/>
        </w:rPr>
        <w:t xml:space="preserve"> </w:t>
      </w:r>
      <w:r w:rsidRPr="001265AC">
        <w:rPr>
          <w:b/>
          <w:bCs/>
          <w:rtl/>
        </w:rPr>
        <w:t>האחריות למפקד אחר</w:t>
      </w:r>
      <w:r w:rsidRPr="001265AC">
        <w:rPr>
          <w:rtl/>
        </w:rPr>
        <w:t xml:space="preserve">, ובפרט </w:t>
      </w:r>
      <w:proofErr w:type="spellStart"/>
      <w:r w:rsidRPr="001265AC">
        <w:rPr>
          <w:rtl/>
        </w:rPr>
        <w:t>לסגנו</w:t>
      </w:r>
      <w:proofErr w:type="spellEnd"/>
      <w:r w:rsidRPr="001265AC">
        <w:rPr>
          <w:rtl/>
        </w:rPr>
        <w:t xml:space="preserve">, </w:t>
      </w:r>
      <w:r w:rsidRPr="001265AC">
        <w:rPr>
          <w:b/>
          <w:bCs/>
          <w:rtl/>
        </w:rPr>
        <w:t>סגן תומר</w:t>
      </w:r>
      <w:r w:rsidRPr="001265AC">
        <w:rPr>
          <w:rtl/>
        </w:rPr>
        <w:t xml:space="preserve">, אשר היה אמור לשמש כממלא מקומו. מחדלו </w:t>
      </w:r>
      <w:r>
        <w:rPr>
          <w:rFonts w:hint="cs"/>
          <w:rtl/>
        </w:rPr>
        <w:t xml:space="preserve">... </w:t>
      </w:r>
      <w:r w:rsidRPr="001265AC">
        <w:rPr>
          <w:rtl/>
        </w:rPr>
        <w:t xml:space="preserve">מתעצם לאור כך </w:t>
      </w:r>
      <w:r w:rsidRPr="001265AC">
        <w:rPr>
          <w:b/>
          <w:bCs/>
          <w:rtl/>
        </w:rPr>
        <w:t>שידע על הפרות</w:t>
      </w:r>
      <w:r w:rsidRPr="001265AC">
        <w:rPr>
          <w:rtl/>
        </w:rPr>
        <w:t xml:space="preserve"> </w:t>
      </w:r>
      <w:r w:rsidRPr="001265AC">
        <w:rPr>
          <w:b/>
          <w:bCs/>
          <w:rtl/>
        </w:rPr>
        <w:t xml:space="preserve">הנוהל </w:t>
      </w:r>
      <w:r w:rsidRPr="001265AC">
        <w:rPr>
          <w:rtl/>
        </w:rPr>
        <w:t xml:space="preserve">ולמרות שמפקדים אחרים שהו באותה עת במטווחים, כאשר פנה </w:t>
      </w:r>
      <w:r>
        <w:rPr>
          <w:rFonts w:hint="cs"/>
          <w:rtl/>
        </w:rPr>
        <w:t xml:space="preserve">[סג"ם] </w:t>
      </w:r>
      <w:r w:rsidRPr="001265AC">
        <w:rPr>
          <w:rtl/>
        </w:rPr>
        <w:t>דניאל בבקשה לקבל אישור לשוב לפלוגה, נענה בסירוב מ</w:t>
      </w:r>
      <w:r>
        <w:rPr>
          <w:rFonts w:hint="cs"/>
          <w:rtl/>
        </w:rPr>
        <w:t>[סרן]</w:t>
      </w:r>
      <w:r w:rsidRPr="001265AC">
        <w:rPr>
          <w:rtl/>
        </w:rPr>
        <w:t xml:space="preserve"> אורי, </w:t>
      </w:r>
      <w:r w:rsidRPr="001265AC">
        <w:rPr>
          <w:b/>
          <w:bCs/>
          <w:rtl/>
        </w:rPr>
        <w:t>אשר</w:t>
      </w:r>
      <w:r w:rsidR="00322519">
        <w:rPr>
          <w:rFonts w:hint="cs"/>
          <w:b/>
          <w:bCs/>
          <w:rtl/>
        </w:rPr>
        <w:t xml:space="preserve"> </w:t>
      </w:r>
      <w:r w:rsidRPr="001265AC">
        <w:rPr>
          <w:b/>
          <w:bCs/>
          <w:rtl/>
        </w:rPr>
        <w:t>הסתפק בהנחיה כללית בדבר הסדרת הנוהל</w:t>
      </w:r>
      <w:r w:rsidRPr="001265AC">
        <w:rPr>
          <w:rtl/>
        </w:rPr>
        <w:t xml:space="preserve">. </w:t>
      </w:r>
    </w:p>
    <w:p w14:paraId="64E8F10E" w14:textId="77777777" w:rsidR="001265AC" w:rsidRDefault="001265AC" w:rsidP="00322519">
      <w:pPr>
        <w:pStyle w:val="Quote"/>
      </w:pPr>
      <w:r w:rsidRPr="001265AC">
        <w:rPr>
          <w:rtl/>
        </w:rPr>
        <w:t xml:space="preserve">מעבר למחדלים האמורים, </w:t>
      </w:r>
      <w:r>
        <w:rPr>
          <w:rFonts w:hint="cs"/>
          <w:rtl/>
        </w:rPr>
        <w:t xml:space="preserve">[סרן] </w:t>
      </w:r>
      <w:r w:rsidRPr="001265AC">
        <w:rPr>
          <w:rtl/>
        </w:rPr>
        <w:t xml:space="preserve">אורי </w:t>
      </w:r>
      <w:r w:rsidRPr="001265AC">
        <w:rPr>
          <w:b/>
          <w:bCs/>
          <w:rtl/>
        </w:rPr>
        <w:t xml:space="preserve">תרם להפרת הנהלים בכך שהעביר את סמל רומן למשימה אחרת </w:t>
      </w:r>
      <w:r w:rsidR="00322519" w:rsidRPr="00322519">
        <w:rPr>
          <w:rFonts w:hint="cs"/>
          <w:rtl/>
        </w:rPr>
        <w:t xml:space="preserve">[בשעות הבוקר </w:t>
      </w:r>
      <w:r w:rsidR="00322519" w:rsidRPr="00322519">
        <w:rPr>
          <w:rtl/>
        </w:rPr>
        <w:t>–</w:t>
      </w:r>
      <w:r w:rsidR="00322519" w:rsidRPr="00322519">
        <w:rPr>
          <w:rFonts w:hint="cs"/>
          <w:rtl/>
        </w:rPr>
        <w:t xml:space="preserve"> הבהרה שלנו]</w:t>
      </w:r>
      <w:r w:rsidR="00322519">
        <w:rPr>
          <w:rFonts w:hint="cs"/>
          <w:b/>
          <w:bCs/>
          <w:rtl/>
        </w:rPr>
        <w:t xml:space="preserve"> </w:t>
      </w:r>
      <w:r w:rsidRPr="001265AC">
        <w:rPr>
          <w:b/>
          <w:bCs/>
          <w:rtl/>
        </w:rPr>
        <w:t xml:space="preserve">והותיר את </w:t>
      </w:r>
      <w:r>
        <w:rPr>
          <w:rFonts w:hint="cs"/>
          <w:b/>
          <w:bCs/>
          <w:rtl/>
        </w:rPr>
        <w:t>[המערער]</w:t>
      </w:r>
      <w:r w:rsidRPr="001265AC">
        <w:rPr>
          <w:b/>
          <w:bCs/>
          <w:rtl/>
        </w:rPr>
        <w:t xml:space="preserve"> כמשגיח יחיד</w:t>
      </w:r>
      <w:r w:rsidRPr="001265AC">
        <w:rPr>
          <w:rtl/>
        </w:rPr>
        <w:t>.</w:t>
      </w:r>
      <w:r>
        <w:rPr>
          <w:rFonts w:hint="cs"/>
          <w:rtl/>
        </w:rPr>
        <w:t>..</w:t>
      </w:r>
      <w:r w:rsidR="00322519">
        <w:rPr>
          <w:rFonts w:hint="cs"/>
          <w:rtl/>
        </w:rPr>
        <w:t>"</w:t>
      </w:r>
      <w:r w:rsidRPr="001265AC">
        <w:rPr>
          <w:rtl/>
        </w:rPr>
        <w:t xml:space="preserve"> </w:t>
      </w:r>
      <w:r w:rsidR="00322519">
        <w:rPr>
          <w:rFonts w:hint="cs"/>
          <w:rtl/>
        </w:rPr>
        <w:t>(</w:t>
      </w:r>
      <w:r w:rsidR="00903A5D">
        <w:rPr>
          <w:rFonts w:hint="cs"/>
          <w:rtl/>
        </w:rPr>
        <w:t xml:space="preserve">הדגשות במקור, </w:t>
      </w:r>
      <w:r w:rsidR="00322519">
        <w:rPr>
          <w:rFonts w:hint="cs"/>
          <w:rtl/>
        </w:rPr>
        <w:t xml:space="preserve">פסקאות </w:t>
      </w:r>
      <w:r w:rsidR="00255198">
        <w:rPr>
          <w:rFonts w:hint="cs"/>
          <w:rtl/>
        </w:rPr>
        <w:t>179</w:t>
      </w:r>
      <w:r w:rsidR="00255198">
        <w:rPr>
          <w:rFonts w:hint="eastAsia"/>
          <w:rtl/>
        </w:rPr>
        <w:t>–</w:t>
      </w:r>
      <w:r w:rsidR="00322519">
        <w:rPr>
          <w:rFonts w:hint="cs"/>
          <w:rtl/>
        </w:rPr>
        <w:t>180 להכרעת הדין).</w:t>
      </w:r>
    </w:p>
    <w:p w14:paraId="57748A44" w14:textId="77777777" w:rsidR="00322519" w:rsidRDefault="00322519" w:rsidP="00322519">
      <w:pPr>
        <w:spacing w:after="240"/>
      </w:pPr>
      <w:r>
        <w:rPr>
          <w:rFonts w:hint="cs"/>
          <w:rtl/>
        </w:rPr>
        <w:t xml:space="preserve">אכן, על פני הדברים, </w:t>
      </w:r>
      <w:r w:rsidRPr="00322519">
        <w:rPr>
          <w:rtl/>
        </w:rPr>
        <w:t>התרשלותו של מפקד הפלוגה</w:t>
      </w:r>
      <w:r w:rsidR="00801069">
        <w:rPr>
          <w:rFonts w:hint="cs"/>
          <w:rtl/>
        </w:rPr>
        <w:t xml:space="preserve"> מצויה במדרג גבוה</w:t>
      </w:r>
      <w:r>
        <w:rPr>
          <w:rFonts w:hint="cs"/>
          <w:rtl/>
        </w:rPr>
        <w:t>.</w:t>
      </w:r>
    </w:p>
    <w:p w14:paraId="2CE926ED" w14:textId="77777777" w:rsidR="00322519" w:rsidRDefault="00322519" w:rsidP="00322519">
      <w:pPr>
        <w:pStyle w:val="ListParagraph"/>
        <w:numPr>
          <w:ilvl w:val="0"/>
          <w:numId w:val="1"/>
        </w:numPr>
        <w:spacing w:after="240"/>
      </w:pPr>
      <w:r>
        <w:rPr>
          <w:rFonts w:hint="cs"/>
          <w:rtl/>
        </w:rPr>
        <w:t>אשר למעורבותם של מפקדים אחרים, מאז הדיון בערעורים שלפנינו ניתנו פסקי הדין בערעורים בעניינו של סג"ם דניאל ובעניינו של סגן תומר. סג"ם דניאל זוכה מאשמה</w:t>
      </w:r>
      <w:r w:rsidR="004A7AA0">
        <w:rPr>
          <w:rFonts w:hint="cs"/>
          <w:rtl/>
        </w:rPr>
        <w:t>,</w:t>
      </w:r>
      <w:r>
        <w:rPr>
          <w:rFonts w:hint="cs"/>
          <w:rtl/>
        </w:rPr>
        <w:t xml:space="preserve"> ונקבע </w:t>
      </w:r>
      <w:r w:rsidR="00630A7F">
        <w:rPr>
          <w:rFonts w:hint="cs"/>
          <w:rtl/>
        </w:rPr>
        <w:t>לגביו</w:t>
      </w:r>
      <w:r>
        <w:rPr>
          <w:rFonts w:hint="cs"/>
          <w:rtl/>
        </w:rPr>
        <w:t xml:space="preserve"> כי על פי הראיות שהוצגו במשפטו והקביעות העובדתיות שם,  </w:t>
      </w:r>
    </w:p>
    <w:p w14:paraId="07870BDF" w14:textId="401C439A" w:rsidR="00322519" w:rsidRDefault="00322519" w:rsidP="00322519">
      <w:pPr>
        <w:pStyle w:val="Quote"/>
        <w:rPr>
          <w:rtl/>
        </w:rPr>
      </w:pPr>
      <w:r>
        <w:rPr>
          <w:rFonts w:hint="cs"/>
          <w:rtl/>
        </w:rPr>
        <w:t>"</w:t>
      </w:r>
      <w:r w:rsidRPr="00322519">
        <w:rPr>
          <w:rtl/>
        </w:rPr>
        <w:t xml:space="preserve">בנסיבות המיוחדות של המקרה, כפי שהן עולות מחומר הראיות שלפנינו, על אף הסיכון לחיי אדם ולשלמות גופו שלמרבה הצער התממש – התנהלותו של המערער לא חצתה את הרף הפלילי, ולו </w:t>
      </w:r>
      <w:r w:rsidRPr="00322519">
        <w:rPr>
          <w:rtl/>
        </w:rPr>
        <w:lastRenderedPageBreak/>
        <w:t>מחמת הספק. מכלול הפעולות שנקט המערער – ובראשן הנחייתו המדויקת לסמל ש</w:t>
      </w:r>
      <w:r w:rsidR="00256BE4">
        <w:rPr>
          <w:rFonts w:hint="cs"/>
          <w:rtl/>
        </w:rPr>
        <w:t>' ע'</w:t>
      </w:r>
      <w:r w:rsidRPr="00322519">
        <w:rPr>
          <w:rtl/>
        </w:rPr>
        <w:t xml:space="preserve">, מפקד כיתה ותיק ומוערך, שנחשב מיומן ומקצועי, לצרף משגיח ספציפי שנכח במקום (לצד הנחיה נוספת לסמל שלו, </w:t>
      </w:r>
      <w:r w:rsidR="004A7AA0">
        <w:rPr>
          <w:rFonts w:hint="cs"/>
          <w:rtl/>
        </w:rPr>
        <w:t>'</w:t>
      </w:r>
      <w:r w:rsidRPr="00322519">
        <w:rPr>
          <w:rtl/>
        </w:rPr>
        <w:t>שלא לזוז מן הנפגע</w:t>
      </w:r>
      <w:r w:rsidR="004A7AA0">
        <w:rPr>
          <w:rFonts w:hint="cs"/>
          <w:rtl/>
        </w:rPr>
        <w:t>'</w:t>
      </w:r>
      <w:r w:rsidRPr="00322519">
        <w:rPr>
          <w:rtl/>
        </w:rPr>
        <w:t>) – אינו עולה כדי הפרת החובה שהמערער היה חייב בה במרחב הפלילי, אך בשל אי-וידוא ביצועה של ההנחיה בדבר צירוף המשגיח הנוסף</w:t>
      </w:r>
      <w:r>
        <w:rPr>
          <w:rFonts w:hint="cs"/>
          <w:rtl/>
        </w:rPr>
        <w:t>.</w:t>
      </w:r>
    </w:p>
    <w:p w14:paraId="62DF1F36" w14:textId="00097DA8" w:rsidR="00322519" w:rsidRPr="00322519" w:rsidRDefault="00322519" w:rsidP="00322519">
      <w:pPr>
        <w:pStyle w:val="Quote"/>
      </w:pPr>
      <w:r w:rsidRPr="00322519">
        <w:rPr>
          <w:rtl/>
        </w:rPr>
        <w:t>נזכיר שוב כי המערער לא היה אחראי על נוהל ההשגחה ואף לא שהה בסמוך לנפגע. מפקדיו דחו את בקשותיו לפגוש בנפגע במהלך הימים הרלוונטיים. מפקדיו הם שניהלו את נוהל ההשגחה על הנפגע והם ששלחו, כל אחד בנפרד, את אחד משני המשגיחים למשימות אחרות. בד בבד, המערער היה אחראי על פעילות עצימה, אינטנסיבית וכרוכה בירי חי</w:t>
      </w:r>
      <w:r w:rsidRPr="00322519">
        <w:rPr>
          <w:b/>
          <w:bCs/>
          <w:rtl/>
        </w:rPr>
        <w:t xml:space="preserve"> </w:t>
      </w:r>
      <w:r w:rsidRPr="00322519">
        <w:rPr>
          <w:rtl/>
        </w:rPr>
        <w:t>של 30 חיילים שהיו תחת פיקודו. המסר הפיקודי שהועבר למערער היה כי הוא נחוץ יותר במטווחים</w:t>
      </w:r>
      <w:r>
        <w:rPr>
          <w:rFonts w:hint="cs"/>
          <w:rtl/>
        </w:rPr>
        <w:t xml:space="preserve">" (עניין </w:t>
      </w:r>
      <w:r w:rsidR="00A920AC">
        <w:rPr>
          <w:rFonts w:hint="cs"/>
          <w:b/>
          <w:bCs/>
          <w:rtl/>
        </w:rPr>
        <w:t>ד' א'</w:t>
      </w:r>
      <w:r>
        <w:rPr>
          <w:rFonts w:hint="cs"/>
          <w:rtl/>
        </w:rPr>
        <w:t xml:space="preserve"> לעיל, פסקאות </w:t>
      </w:r>
      <w:r w:rsidR="004A7AA0">
        <w:rPr>
          <w:rFonts w:hint="cs"/>
          <w:rtl/>
        </w:rPr>
        <w:t>65–</w:t>
      </w:r>
      <w:r>
        <w:rPr>
          <w:rFonts w:hint="cs"/>
          <w:rtl/>
        </w:rPr>
        <w:t xml:space="preserve">66). </w:t>
      </w:r>
      <w:r w:rsidRPr="00322519">
        <w:t xml:space="preserve"> </w:t>
      </w:r>
    </w:p>
    <w:p w14:paraId="24BD331C" w14:textId="77777777" w:rsidR="00322519" w:rsidRDefault="0046644E" w:rsidP="009B036A">
      <w:pPr>
        <w:pStyle w:val="ListParagraph"/>
        <w:numPr>
          <w:ilvl w:val="0"/>
          <w:numId w:val="1"/>
        </w:numPr>
        <w:spacing w:after="240"/>
      </w:pPr>
      <w:r>
        <w:rPr>
          <w:rFonts w:hint="cs"/>
          <w:rtl/>
        </w:rPr>
        <w:t xml:space="preserve">לעומת זאת, </w:t>
      </w:r>
      <w:r w:rsidR="00E75D02">
        <w:rPr>
          <w:rFonts w:hint="cs"/>
          <w:rtl/>
        </w:rPr>
        <w:t xml:space="preserve">על פי הראיות שהוצגו במשפטו, </w:t>
      </w:r>
      <w:r w:rsidR="004A7AA0">
        <w:rPr>
          <w:rFonts w:hint="cs"/>
          <w:rtl/>
        </w:rPr>
        <w:t xml:space="preserve">סגן תומר </w:t>
      </w:r>
      <w:r>
        <w:rPr>
          <w:rFonts w:hint="cs"/>
          <w:rtl/>
        </w:rPr>
        <w:t xml:space="preserve">הורשע בסופו של דבר בעבירה </w:t>
      </w:r>
      <w:r w:rsidR="00903A5D">
        <w:rPr>
          <w:rFonts w:hint="cs"/>
          <w:rtl/>
        </w:rPr>
        <w:t xml:space="preserve">של חבלה ברשלנות </w:t>
      </w:r>
      <w:r>
        <w:rPr>
          <w:rFonts w:hint="cs"/>
          <w:rtl/>
        </w:rPr>
        <w:t>שיוחסה לו בכתב האישום (ולא בעבירה חלופית כפי שקבע בית הדין המחוזי),</w:t>
      </w:r>
      <w:r w:rsidR="004F2562">
        <w:rPr>
          <w:rFonts w:hint="cs"/>
          <w:rtl/>
        </w:rPr>
        <w:t xml:space="preserve"> הזהה לזו שבה מואשם המערער. </w:t>
      </w:r>
      <w:r>
        <w:rPr>
          <w:rFonts w:hint="cs"/>
          <w:rtl/>
        </w:rPr>
        <w:t xml:space="preserve">על אף ההבדל בין תוצאות הרשעתו </w:t>
      </w:r>
      <w:r w:rsidR="004F2562">
        <w:rPr>
          <w:rFonts w:hint="cs"/>
          <w:rtl/>
        </w:rPr>
        <w:t xml:space="preserve">של סגן </w:t>
      </w:r>
      <w:r w:rsidR="00F77A3C">
        <w:rPr>
          <w:rFonts w:hint="cs"/>
          <w:rtl/>
        </w:rPr>
        <w:t>תומר</w:t>
      </w:r>
      <w:r w:rsidR="004F2562">
        <w:rPr>
          <w:rFonts w:hint="cs"/>
          <w:rtl/>
        </w:rPr>
        <w:t xml:space="preserve"> </w:t>
      </w:r>
      <w:r>
        <w:rPr>
          <w:rFonts w:hint="cs"/>
          <w:rtl/>
        </w:rPr>
        <w:t>לבין אי העמדתו לדין של מפקד הפלוגה, נקבע בעניינו כדל</w:t>
      </w:r>
      <w:r w:rsidR="004F2562">
        <w:rPr>
          <w:rFonts w:hint="cs"/>
          <w:rtl/>
        </w:rPr>
        <w:t>ק</w:t>
      </w:r>
      <w:r>
        <w:rPr>
          <w:rFonts w:hint="cs"/>
          <w:rtl/>
        </w:rPr>
        <w:t xml:space="preserve">מן: </w:t>
      </w:r>
    </w:p>
    <w:p w14:paraId="095E8082" w14:textId="77777777" w:rsidR="0046644E" w:rsidRDefault="0046644E" w:rsidP="0046644E">
      <w:pPr>
        <w:pStyle w:val="Quote"/>
      </w:pPr>
      <w:r>
        <w:rPr>
          <w:rFonts w:hint="cs"/>
          <w:rtl/>
        </w:rPr>
        <w:t>"</w:t>
      </w:r>
      <w:r>
        <w:rPr>
          <w:rtl/>
        </w:rPr>
        <w:t xml:space="preserve">בשונה מבית הדין קמא, לא סברנו כי הסעד הראוי בנסיבות העניין הוא המרת סעיף האישום, כאמור, אלא, כפי שנראה להלן - התחשבות במישור הענישה. כמובא לעיל, מצאנו לדחות את מסקנת בית הדין קמא כי רשלנותו של המערער מצויה ברף </w:t>
      </w:r>
      <w:r w:rsidR="00630A7F">
        <w:rPr>
          <w:rFonts w:hint="cs"/>
          <w:rtl/>
        </w:rPr>
        <w:t>'</w:t>
      </w:r>
      <w:r>
        <w:rPr>
          <w:rtl/>
        </w:rPr>
        <w:t>קל או לכל היותר בינוני</w:t>
      </w:r>
      <w:r w:rsidR="00630A7F">
        <w:rPr>
          <w:rFonts w:hint="cs"/>
          <w:rtl/>
        </w:rPr>
        <w:t>'...</w:t>
      </w:r>
      <w:r>
        <w:rPr>
          <w:rtl/>
        </w:rPr>
        <w:t xml:space="preserve"> קבענו כי, לנוכח חובת הזהירות שהוטלה עליו כמפקד סביר וכמי שיצר את הסכנה תוך שהוא מפר את הדין, לאחר שראה מקרוב כי המשגיחים הפרו את נוהל ההשגחה ובוודאי </w:t>
      </w:r>
      <w:proofErr w:type="spellStart"/>
      <w:r>
        <w:rPr>
          <w:rtl/>
        </w:rPr>
        <w:t>משלא</w:t>
      </w:r>
      <w:proofErr w:type="spellEnd"/>
      <w:r>
        <w:rPr>
          <w:rtl/>
        </w:rPr>
        <w:t xml:space="preserve"> וידא את קיומו על אף שנוכח פעם נוספת כי המשגיח היחיד הפר אותו ואת הוראתו בנושא – יש לקבוע כי רשלנותו גבוהה. </w:t>
      </w:r>
    </w:p>
    <w:p w14:paraId="0974ABB5" w14:textId="6E406DE6" w:rsidR="0046644E" w:rsidRDefault="0046644E" w:rsidP="0046644E">
      <w:pPr>
        <w:pStyle w:val="Quote"/>
        <w:rPr>
          <w:rtl/>
        </w:rPr>
      </w:pPr>
      <w:r>
        <w:rPr>
          <w:rtl/>
        </w:rPr>
        <w:t xml:space="preserve">למידת הרשלנות הגבוהה מצטבר הסיכון לחיי הנפגע, פקודו, והסיכון לשלמות גופו שלמרבה הצער התממש. בצד הרשלנות הגבוהה נמצא אפוא ערך קדושת החיים ולפיכך, לא ניתן להימנע מהרשעתו של המערער בעבירה שיוחסה לו ואין לקבוע כי בנסיבות הכוללות של המקרה, הסעד לאכיפה הבררנית כאמור מצוי בהמרת סעיף האישום (ראו גם פסיקת בית המשפט העליון על ההתחשבות, בבחינת הסעד הראוי במקרה של אכיפה בררנית, בכלל שלפיו אין זה נכון לתקן </w:t>
      </w:r>
      <w:r w:rsidR="004A7AA0">
        <w:rPr>
          <w:rFonts w:hint="cs"/>
          <w:rtl/>
        </w:rPr>
        <w:t>'</w:t>
      </w:r>
      <w:r>
        <w:rPr>
          <w:rtl/>
        </w:rPr>
        <w:t>טעות בטעות ועוול בעוול</w:t>
      </w:r>
      <w:r w:rsidR="004A7AA0">
        <w:rPr>
          <w:rFonts w:hint="cs"/>
          <w:rtl/>
        </w:rPr>
        <w:t>'</w:t>
      </w:r>
      <w:r>
        <w:rPr>
          <w:rFonts w:hint="cs"/>
          <w:rtl/>
        </w:rPr>
        <w:t>" (</w:t>
      </w:r>
      <w:r w:rsidRPr="00754CB9">
        <w:rPr>
          <w:rFonts w:hint="cs"/>
          <w:rtl/>
        </w:rPr>
        <w:t xml:space="preserve">עניין </w:t>
      </w:r>
      <w:r w:rsidR="00213B48">
        <w:rPr>
          <w:rFonts w:hint="cs"/>
          <w:b/>
          <w:bCs/>
          <w:rtl/>
        </w:rPr>
        <w:t>ת' כ' א'</w:t>
      </w:r>
      <w:r w:rsidRPr="00754CB9">
        <w:rPr>
          <w:rFonts w:hint="cs"/>
          <w:rtl/>
        </w:rPr>
        <w:t>, פסקאות</w:t>
      </w:r>
      <w:r>
        <w:rPr>
          <w:rFonts w:hint="cs"/>
          <w:rtl/>
        </w:rPr>
        <w:t xml:space="preserve"> </w:t>
      </w:r>
      <w:r w:rsidR="004A7AA0">
        <w:rPr>
          <w:rFonts w:hint="cs"/>
          <w:rtl/>
        </w:rPr>
        <w:t>75–</w:t>
      </w:r>
      <w:r>
        <w:rPr>
          <w:rFonts w:hint="cs"/>
          <w:rtl/>
        </w:rPr>
        <w:t>7</w:t>
      </w:r>
      <w:r w:rsidR="00754CB9">
        <w:rPr>
          <w:rFonts w:hint="cs"/>
          <w:rtl/>
        </w:rPr>
        <w:t>6</w:t>
      </w:r>
      <w:r>
        <w:rPr>
          <w:rFonts w:hint="cs"/>
          <w:rtl/>
        </w:rPr>
        <w:t>)</w:t>
      </w:r>
      <w:r>
        <w:rPr>
          <w:rtl/>
        </w:rPr>
        <w:t xml:space="preserve">. </w:t>
      </w:r>
    </w:p>
    <w:p w14:paraId="5BEC063C" w14:textId="77777777" w:rsidR="0046644E" w:rsidRDefault="0046644E" w:rsidP="0046644E">
      <w:pPr>
        <w:spacing w:after="240"/>
        <w:rPr>
          <w:rtl/>
        </w:rPr>
      </w:pPr>
      <w:r>
        <w:rPr>
          <w:rFonts w:hint="cs"/>
          <w:rtl/>
        </w:rPr>
        <w:t xml:space="preserve">לגבי הרשעתו של סגן תומר בעבירה של חבלה ברשלנות, </w:t>
      </w:r>
      <w:r w:rsidR="004A7AA0">
        <w:rPr>
          <w:rFonts w:hint="cs"/>
          <w:rtl/>
        </w:rPr>
        <w:t>הוטעם עוד</w:t>
      </w:r>
      <w:r w:rsidR="00903A5D">
        <w:rPr>
          <w:rFonts w:hint="cs"/>
          <w:rtl/>
        </w:rPr>
        <w:t>:</w:t>
      </w:r>
      <w:r>
        <w:rPr>
          <w:rFonts w:hint="cs"/>
          <w:rtl/>
        </w:rPr>
        <w:t xml:space="preserve"> </w:t>
      </w:r>
    </w:p>
    <w:p w14:paraId="08B81094" w14:textId="77777777" w:rsidR="0046644E" w:rsidRDefault="0046644E" w:rsidP="004A7AA0">
      <w:pPr>
        <w:pStyle w:val="Quote"/>
      </w:pPr>
      <w:r>
        <w:rPr>
          <w:rFonts w:hint="cs"/>
          <w:rtl/>
        </w:rPr>
        <w:t>"</w:t>
      </w:r>
      <w:r>
        <w:rPr>
          <w:rtl/>
        </w:rPr>
        <w:t xml:space="preserve">הרשעתו של המערער בעבירה שיוחסה לו בכתב האישום, בהיותה עבירת עוון, גוררת רישום פלילי </w:t>
      </w:r>
      <w:r>
        <w:rPr>
          <w:rFonts w:hint="cs"/>
          <w:rtl/>
        </w:rPr>
        <w:t>'</w:t>
      </w:r>
      <w:r>
        <w:rPr>
          <w:rtl/>
        </w:rPr>
        <w:t>מופחת</w:t>
      </w:r>
      <w:r>
        <w:rPr>
          <w:rFonts w:hint="cs"/>
          <w:rtl/>
        </w:rPr>
        <w:t xml:space="preserve">' </w:t>
      </w:r>
      <w:r>
        <w:rPr>
          <w:rtl/>
        </w:rPr>
        <w:t xml:space="preserve">שהשלכותיו ממילא מצומצמות (ראו סעיף 404א לחוק השיפוט הצבאי) </w:t>
      </w:r>
      <w:r w:rsidR="004A7AA0">
        <w:rPr>
          <w:rFonts w:hint="cs"/>
          <w:rtl/>
        </w:rPr>
        <w:t>–</w:t>
      </w:r>
      <w:r w:rsidR="002B6FAF">
        <w:rPr>
          <w:rFonts w:hint="cs"/>
          <w:rtl/>
        </w:rPr>
        <w:t>'</w:t>
      </w:r>
      <w:r>
        <w:rPr>
          <w:rtl/>
        </w:rPr>
        <w:t xml:space="preserve">תוצאות העמדתו לדין </w:t>
      </w:r>
      <w:r w:rsidR="002B6FAF">
        <w:rPr>
          <w:rFonts w:hint="cs"/>
          <w:rtl/>
        </w:rPr>
        <w:t xml:space="preserve">... </w:t>
      </w:r>
      <w:r>
        <w:rPr>
          <w:rtl/>
        </w:rPr>
        <w:t>אינן כתוצאות של רישום פלילי 'מלא', אלא רישום פלילי 'מופחת' שהשלכותיו זהות להשלכות של הימנעות מהרשעה</w:t>
      </w:r>
      <w:r w:rsidR="002B6FAF">
        <w:rPr>
          <w:rFonts w:hint="cs"/>
          <w:rtl/>
        </w:rPr>
        <w:t>'</w:t>
      </w:r>
      <w:r>
        <w:rPr>
          <w:rtl/>
        </w:rPr>
        <w:t xml:space="preserve"> </w:t>
      </w:r>
      <w:r>
        <w:rPr>
          <w:rFonts w:hint="cs"/>
          <w:rtl/>
        </w:rPr>
        <w:t>...</w:t>
      </w:r>
      <w:r>
        <w:rPr>
          <w:rtl/>
        </w:rPr>
        <w:t xml:space="preserve"> והדברים יפים גם לאחר כניסתו לתוקף של חוק המידע הפלילי ותקנת השבים, </w:t>
      </w:r>
      <w:proofErr w:type="spellStart"/>
      <w:r w:rsidR="004A7AA0">
        <w:rPr>
          <w:rFonts w:hint="cs"/>
          <w:rtl/>
        </w:rPr>
        <w:t>ה</w:t>
      </w:r>
      <w:r>
        <w:rPr>
          <w:rtl/>
        </w:rPr>
        <w:t>תשע"ט</w:t>
      </w:r>
      <w:proofErr w:type="spellEnd"/>
      <w:r w:rsidR="004A7AA0">
        <w:rPr>
          <w:rFonts w:hint="eastAsia"/>
          <w:rtl/>
        </w:rPr>
        <w:t>–</w:t>
      </w:r>
      <w:r w:rsidR="004A7AA0">
        <w:rPr>
          <w:rFonts w:hint="cs"/>
          <w:rtl/>
        </w:rPr>
        <w:t>2019</w:t>
      </w:r>
      <w:r>
        <w:rPr>
          <w:rFonts w:hint="cs"/>
          <w:rtl/>
        </w:rPr>
        <w:t xml:space="preserve">" </w:t>
      </w:r>
      <w:r w:rsidRPr="00754CB9">
        <w:rPr>
          <w:rFonts w:hint="cs"/>
          <w:rtl/>
        </w:rPr>
        <w:t xml:space="preserve">(שם, </w:t>
      </w:r>
      <w:r w:rsidR="004A7AA0">
        <w:rPr>
          <w:rFonts w:hint="cs"/>
          <w:rtl/>
        </w:rPr>
        <w:t>ב</w:t>
      </w:r>
      <w:r w:rsidRPr="00754CB9">
        <w:rPr>
          <w:rFonts w:hint="cs"/>
          <w:rtl/>
        </w:rPr>
        <w:t>פסקה 7</w:t>
      </w:r>
      <w:r w:rsidR="00754CB9" w:rsidRPr="00754CB9">
        <w:rPr>
          <w:rFonts w:hint="cs"/>
          <w:rtl/>
        </w:rPr>
        <w:t>7</w:t>
      </w:r>
      <w:r w:rsidRPr="00754CB9">
        <w:rPr>
          <w:rFonts w:hint="cs"/>
          <w:rtl/>
        </w:rPr>
        <w:t>)</w:t>
      </w:r>
      <w:r>
        <w:rPr>
          <w:rtl/>
        </w:rPr>
        <w:t xml:space="preserve">. </w:t>
      </w:r>
    </w:p>
    <w:p w14:paraId="1860BD02" w14:textId="77777777" w:rsidR="003F06C6" w:rsidRPr="003F06C6" w:rsidRDefault="003F06C6" w:rsidP="00267E8E">
      <w:pPr>
        <w:pStyle w:val="ListParagraph"/>
        <w:numPr>
          <w:ilvl w:val="0"/>
          <w:numId w:val="1"/>
        </w:numPr>
      </w:pPr>
      <w:r>
        <w:rPr>
          <w:rFonts w:hint="cs"/>
          <w:rtl/>
        </w:rPr>
        <w:lastRenderedPageBreak/>
        <w:t>לעניינו, כפי שהדגיש בית הדין קמא</w:t>
      </w:r>
      <w:r w:rsidR="004A7AA0">
        <w:rPr>
          <w:rFonts w:hint="cs"/>
          <w:rtl/>
        </w:rPr>
        <w:t>,</w:t>
      </w:r>
      <w:r>
        <w:rPr>
          <w:rFonts w:hint="cs"/>
          <w:rtl/>
        </w:rPr>
        <w:t xml:space="preserve"> "</w:t>
      </w:r>
      <w:r w:rsidRPr="003F06C6">
        <w:rPr>
          <w:b/>
          <w:bCs/>
          <w:rtl/>
        </w:rPr>
        <w:t xml:space="preserve">אחריותו </w:t>
      </w:r>
      <w:r w:rsidR="002B6FAF" w:rsidRPr="002B6FAF">
        <w:rPr>
          <w:rFonts w:hint="cs"/>
          <w:rtl/>
        </w:rPr>
        <w:t>[</w:t>
      </w:r>
      <w:r w:rsidRPr="002B6FAF">
        <w:rPr>
          <w:rtl/>
        </w:rPr>
        <w:t xml:space="preserve">של </w:t>
      </w:r>
      <w:r w:rsidRPr="003F06C6">
        <w:rPr>
          <w:rFonts w:hint="cs"/>
          <w:rtl/>
        </w:rPr>
        <w:t xml:space="preserve">המערער] </w:t>
      </w:r>
      <w:r w:rsidRPr="003F06C6">
        <w:rPr>
          <w:b/>
          <w:bCs/>
          <w:rtl/>
        </w:rPr>
        <w:t>מובחנת מאחריותם של יתר המעורבים בפרשה</w:t>
      </w:r>
      <w:r w:rsidRPr="003F06C6">
        <w:rPr>
          <w:rFonts w:hint="cs"/>
          <w:rtl/>
        </w:rPr>
        <w:t>"</w:t>
      </w:r>
      <w:r w:rsidRPr="003F06C6">
        <w:rPr>
          <w:rtl/>
        </w:rPr>
        <w:t xml:space="preserve"> </w:t>
      </w:r>
      <w:r>
        <w:rPr>
          <w:rFonts w:hint="cs"/>
          <w:rtl/>
        </w:rPr>
        <w:t>(</w:t>
      </w:r>
      <w:r w:rsidR="004A7AA0">
        <w:rPr>
          <w:rFonts w:hint="cs"/>
          <w:rtl/>
        </w:rPr>
        <w:t>ה</w:t>
      </w:r>
      <w:r>
        <w:rPr>
          <w:rFonts w:hint="cs"/>
          <w:rtl/>
        </w:rPr>
        <w:t>ה</w:t>
      </w:r>
      <w:r w:rsidR="00903A5D">
        <w:rPr>
          <w:rFonts w:hint="cs"/>
          <w:rtl/>
        </w:rPr>
        <w:t>ד</w:t>
      </w:r>
      <w:r>
        <w:rPr>
          <w:rFonts w:hint="cs"/>
          <w:rtl/>
        </w:rPr>
        <w:t xml:space="preserve">גשה במקור, פסקה 187 להכרעת הדין). אכן, אין לבחון את רשלנותו במנותק ממחדלים </w:t>
      </w:r>
      <w:r w:rsidR="000E0ECD">
        <w:rPr>
          <w:rFonts w:hint="cs"/>
          <w:rtl/>
        </w:rPr>
        <w:t xml:space="preserve">רשלניים </w:t>
      </w:r>
      <w:r>
        <w:rPr>
          <w:rFonts w:hint="cs"/>
          <w:rtl/>
        </w:rPr>
        <w:t>של מפקדים אחרים</w:t>
      </w:r>
      <w:r w:rsidR="004A7AA0">
        <w:rPr>
          <w:rFonts w:hint="cs"/>
          <w:rtl/>
        </w:rPr>
        <w:t>,</w:t>
      </w:r>
      <w:r>
        <w:rPr>
          <w:rFonts w:hint="cs"/>
          <w:rtl/>
        </w:rPr>
        <w:t xml:space="preserve"> ויש להשקיף על התמונה הכוללת (ראו והשוו</w:t>
      </w:r>
      <w:r w:rsidR="004A7AA0">
        <w:rPr>
          <w:rFonts w:hint="cs"/>
          <w:rtl/>
        </w:rPr>
        <w:t xml:space="preserve"> </w:t>
      </w:r>
      <w:r>
        <w:rPr>
          <w:rFonts w:hint="cs"/>
          <w:rtl/>
        </w:rPr>
        <w:t xml:space="preserve">ע/59/05 </w:t>
      </w:r>
      <w:r w:rsidRPr="003F06C6">
        <w:rPr>
          <w:rFonts w:hint="cs"/>
          <w:b/>
          <w:bCs/>
          <w:rtl/>
        </w:rPr>
        <w:t xml:space="preserve">סג"ם </w:t>
      </w:r>
      <w:proofErr w:type="spellStart"/>
      <w:r w:rsidRPr="003F06C6">
        <w:rPr>
          <w:rFonts w:hint="cs"/>
          <w:b/>
          <w:bCs/>
          <w:rtl/>
        </w:rPr>
        <w:t>ויניק</w:t>
      </w:r>
      <w:proofErr w:type="spellEnd"/>
      <w:r w:rsidRPr="003F06C6">
        <w:rPr>
          <w:rFonts w:hint="cs"/>
          <w:b/>
          <w:bCs/>
          <w:rtl/>
        </w:rPr>
        <w:t xml:space="preserve"> נ' התובע הצבאי הראשי</w:t>
      </w:r>
      <w:r>
        <w:rPr>
          <w:rFonts w:hint="cs"/>
          <w:b/>
          <w:bCs/>
          <w:rtl/>
        </w:rPr>
        <w:t xml:space="preserve"> </w:t>
      </w:r>
      <w:r>
        <w:rPr>
          <w:rFonts w:hint="cs"/>
          <w:rtl/>
        </w:rPr>
        <w:t>(2005))</w:t>
      </w:r>
      <w:r w:rsidR="00630A7F">
        <w:rPr>
          <w:rFonts w:hint="cs"/>
          <w:rtl/>
        </w:rPr>
        <w:t>;</w:t>
      </w:r>
      <w:r>
        <w:rPr>
          <w:rFonts w:hint="cs"/>
          <w:rtl/>
        </w:rPr>
        <w:t xml:space="preserve"> אלא שכאמור, למערער, מפקדו הישיר של הנפגע ומי שמונה להשגיח עליו </w:t>
      </w:r>
      <w:r w:rsidR="000E0ECD">
        <w:rPr>
          <w:rFonts w:hint="cs"/>
          <w:rtl/>
        </w:rPr>
        <w:t xml:space="preserve">מקרוב ולהרחיקו מנשק </w:t>
      </w:r>
      <w:r>
        <w:rPr>
          <w:rFonts w:hint="cs"/>
          <w:rtl/>
        </w:rPr>
        <w:t>לנוכח הסיכון מפני מעשה אובדני שלו</w:t>
      </w:r>
      <w:r w:rsidR="002B6FAF">
        <w:rPr>
          <w:rFonts w:hint="cs"/>
          <w:rtl/>
        </w:rPr>
        <w:t xml:space="preserve"> </w:t>
      </w:r>
      <w:r w:rsidR="004A7AA0">
        <w:rPr>
          <w:rtl/>
        </w:rPr>
        <w:t>–</w:t>
      </w:r>
      <w:r w:rsidR="002B6FAF">
        <w:rPr>
          <w:rFonts w:hint="cs"/>
          <w:rtl/>
        </w:rPr>
        <w:t xml:space="preserve"> </w:t>
      </w:r>
      <w:r>
        <w:rPr>
          <w:rFonts w:hint="cs"/>
          <w:rtl/>
        </w:rPr>
        <w:t>נ</w:t>
      </w:r>
      <w:r w:rsidR="000E0ECD">
        <w:rPr>
          <w:rFonts w:hint="cs"/>
          <w:rtl/>
        </w:rPr>
        <w:t>י</w:t>
      </w:r>
      <w:r>
        <w:rPr>
          <w:rFonts w:hint="cs"/>
          <w:rtl/>
        </w:rPr>
        <w:t>תנ</w:t>
      </w:r>
      <w:r w:rsidR="004A7AA0">
        <w:rPr>
          <w:rFonts w:hint="cs"/>
          <w:rtl/>
        </w:rPr>
        <w:t>ו</w:t>
      </w:r>
      <w:r>
        <w:rPr>
          <w:rFonts w:hint="cs"/>
          <w:rtl/>
        </w:rPr>
        <w:t xml:space="preserve"> משימה ברורה ופקודות ישירות ומדויקות</w:t>
      </w:r>
      <w:r w:rsidR="004A7AA0">
        <w:rPr>
          <w:rFonts w:hint="cs"/>
          <w:rtl/>
        </w:rPr>
        <w:t>:</w:t>
      </w:r>
      <w:r>
        <w:rPr>
          <w:rFonts w:hint="cs"/>
          <w:rtl/>
        </w:rPr>
        <w:t xml:space="preserve"> לקרוא לחייל </w:t>
      </w:r>
      <w:r w:rsidR="004A7AA0">
        <w:rPr>
          <w:rFonts w:hint="cs"/>
          <w:rtl/>
        </w:rPr>
        <w:t xml:space="preserve">מסוים </w:t>
      </w:r>
      <w:r>
        <w:rPr>
          <w:rFonts w:hint="cs"/>
          <w:rtl/>
        </w:rPr>
        <w:t>כדי שישמש משגיח נוסף לצ</w:t>
      </w:r>
      <w:r w:rsidR="004A7AA0">
        <w:rPr>
          <w:rFonts w:hint="cs"/>
          <w:rtl/>
        </w:rPr>
        <w:t>י</w:t>
      </w:r>
      <w:r>
        <w:rPr>
          <w:rFonts w:hint="cs"/>
          <w:rtl/>
        </w:rPr>
        <w:t xml:space="preserve">דו. </w:t>
      </w:r>
      <w:r w:rsidRPr="000E0ECD">
        <w:rPr>
          <w:rFonts w:hint="cs"/>
          <w:rtl/>
        </w:rPr>
        <w:t>המערער בחר להפר את הפקודות והגביר את הסיכון הרב לחייו של הנפגע, סיכון שלמרבה הצער התממש</w:t>
      </w:r>
      <w:r w:rsidR="004A7AA0">
        <w:rPr>
          <w:rFonts w:hint="cs"/>
          <w:rtl/>
        </w:rPr>
        <w:t>.</w:t>
      </w:r>
      <w:r w:rsidR="000E0ECD" w:rsidRPr="000E0ECD">
        <w:rPr>
          <w:rFonts w:hint="cs"/>
          <w:rtl/>
        </w:rPr>
        <w:t xml:space="preserve"> </w:t>
      </w:r>
      <w:r w:rsidR="002B6FAF">
        <w:rPr>
          <w:rFonts w:hint="cs"/>
          <w:rtl/>
        </w:rPr>
        <w:t xml:space="preserve">התנהלותו היא בבחינת </w:t>
      </w:r>
      <w:r w:rsidR="000E0ECD" w:rsidRPr="000E0ECD">
        <w:rPr>
          <w:rFonts w:hint="cs"/>
          <w:b/>
          <w:bCs/>
          <w:rtl/>
        </w:rPr>
        <w:t>רשל</w:t>
      </w:r>
      <w:r w:rsidR="000E0ECD">
        <w:rPr>
          <w:rFonts w:hint="cs"/>
          <w:b/>
          <w:bCs/>
          <w:rtl/>
        </w:rPr>
        <w:t>נ</w:t>
      </w:r>
      <w:r w:rsidR="000E0ECD" w:rsidRPr="000E0ECD">
        <w:rPr>
          <w:rFonts w:hint="cs"/>
          <w:b/>
          <w:bCs/>
          <w:rtl/>
        </w:rPr>
        <w:t>ות</w:t>
      </w:r>
      <w:r w:rsidR="00801069">
        <w:rPr>
          <w:rFonts w:hint="cs"/>
          <w:b/>
          <w:bCs/>
          <w:rtl/>
        </w:rPr>
        <w:t xml:space="preserve"> </w:t>
      </w:r>
      <w:r w:rsidR="004A7AA0">
        <w:rPr>
          <w:rFonts w:hint="cs"/>
          <w:b/>
          <w:bCs/>
          <w:rtl/>
        </w:rPr>
        <w:t xml:space="preserve">ברמה </w:t>
      </w:r>
      <w:r w:rsidR="00801069">
        <w:rPr>
          <w:rFonts w:hint="cs"/>
          <w:b/>
          <w:bCs/>
          <w:rtl/>
        </w:rPr>
        <w:t>גבוהה</w:t>
      </w:r>
      <w:r w:rsidR="000E0ECD">
        <w:rPr>
          <w:rFonts w:hint="cs"/>
          <w:rtl/>
        </w:rPr>
        <w:t xml:space="preserve">. </w:t>
      </w:r>
      <w:r>
        <w:rPr>
          <w:rFonts w:hint="cs"/>
          <w:rtl/>
        </w:rPr>
        <w:t xml:space="preserve"> </w:t>
      </w:r>
    </w:p>
    <w:p w14:paraId="523FB4E4" w14:textId="77777777" w:rsidR="003F06C6" w:rsidRPr="003F06C6" w:rsidRDefault="000E0ECD" w:rsidP="00267E8E">
      <w:pPr>
        <w:pStyle w:val="ListParagraph"/>
        <w:numPr>
          <w:ilvl w:val="0"/>
          <w:numId w:val="1"/>
        </w:numPr>
      </w:pPr>
      <w:r w:rsidRPr="000E0ECD">
        <w:rPr>
          <w:rFonts w:hint="cs"/>
          <w:rtl/>
        </w:rPr>
        <w:t>המערער היה המשגיח הישיר והקרוב ביותר לנפגע</w:t>
      </w:r>
      <w:r>
        <w:rPr>
          <w:rFonts w:hint="cs"/>
          <w:rtl/>
        </w:rPr>
        <w:t>.</w:t>
      </w:r>
      <w:r w:rsidRPr="000E0ECD">
        <w:rPr>
          <w:rFonts w:hint="cs"/>
          <w:rtl/>
        </w:rPr>
        <w:t xml:space="preserve"> משימתו הייתה אחת </w:t>
      </w:r>
      <w:r w:rsidR="00DC0374">
        <w:rPr>
          <w:rtl/>
        </w:rPr>
        <w:t>–</w:t>
      </w:r>
      <w:r w:rsidRPr="000E0ECD">
        <w:rPr>
          <w:rFonts w:hint="cs"/>
          <w:rtl/>
        </w:rPr>
        <w:t xml:space="preserve"> </w:t>
      </w:r>
      <w:r w:rsidR="003F06C6" w:rsidRPr="003F06C6">
        <w:rPr>
          <w:rtl/>
        </w:rPr>
        <w:t xml:space="preserve">למנוע </w:t>
      </w:r>
      <w:r>
        <w:rPr>
          <w:rFonts w:hint="cs"/>
          <w:rtl/>
        </w:rPr>
        <w:t>מן הנפגע גישה לנשק ולצמצם את הסיכון שייפגע בעצמו. הוא היה הגורם המרכזי (והיעיל) ביותר לצמצום הסיכון לתוצאה, אך התרשל בביצוע המשימה והפר בתוך כך פקודות שניתנו לו ל</w:t>
      </w:r>
      <w:r w:rsidR="00903A5D">
        <w:rPr>
          <w:rFonts w:hint="cs"/>
          <w:rtl/>
        </w:rPr>
        <w:t>טובת ביצועה</w:t>
      </w:r>
      <w:r>
        <w:rPr>
          <w:rFonts w:hint="cs"/>
          <w:rtl/>
        </w:rPr>
        <w:t xml:space="preserve">. </w:t>
      </w:r>
      <w:r w:rsidR="006B0EB2">
        <w:rPr>
          <w:rFonts w:hint="cs"/>
          <w:rtl/>
        </w:rPr>
        <w:t xml:space="preserve">יש </w:t>
      </w:r>
      <w:r w:rsidR="00903A5D">
        <w:rPr>
          <w:rFonts w:hint="cs"/>
          <w:rtl/>
        </w:rPr>
        <w:t xml:space="preserve">באמור </w:t>
      </w:r>
      <w:r w:rsidR="006B0EB2">
        <w:rPr>
          <w:rFonts w:hint="cs"/>
          <w:rtl/>
        </w:rPr>
        <w:t xml:space="preserve">כדי להסביר </w:t>
      </w:r>
      <w:r w:rsidR="00903A5D">
        <w:rPr>
          <w:rFonts w:hint="cs"/>
          <w:rtl/>
        </w:rPr>
        <w:t xml:space="preserve">ולהצדיק </w:t>
      </w:r>
      <w:r w:rsidR="006B0EB2">
        <w:rPr>
          <w:rFonts w:hint="cs"/>
          <w:rtl/>
        </w:rPr>
        <w:t xml:space="preserve">את ההבדל </w:t>
      </w:r>
      <w:r w:rsidR="006C5F82">
        <w:rPr>
          <w:rFonts w:hint="cs"/>
          <w:rtl/>
        </w:rPr>
        <w:t>שעליו הצביעה</w:t>
      </w:r>
      <w:r w:rsidR="006B0EB2">
        <w:rPr>
          <w:rFonts w:hint="cs"/>
          <w:rtl/>
        </w:rPr>
        <w:t xml:space="preserve"> ההגנה. </w:t>
      </w:r>
    </w:p>
    <w:p w14:paraId="710B6D63" w14:textId="77777777" w:rsidR="003F06C6" w:rsidRPr="00630A7F" w:rsidRDefault="006B0EB2" w:rsidP="00267E8E">
      <w:pPr>
        <w:pStyle w:val="ListParagraph"/>
        <w:numPr>
          <w:ilvl w:val="0"/>
          <w:numId w:val="1"/>
        </w:numPr>
      </w:pPr>
      <w:r w:rsidRPr="00630A7F">
        <w:rPr>
          <w:rFonts w:hint="cs"/>
          <w:rtl/>
        </w:rPr>
        <w:t xml:space="preserve">אכן, על פני הדברים, החלטתה של התביעה הצבאית להימנע מלהעמיד לדין את מפקד הפלוגה </w:t>
      </w:r>
      <w:r w:rsidR="00DC0374" w:rsidRPr="00630A7F">
        <w:rPr>
          <w:rFonts w:hint="cs"/>
          <w:rtl/>
        </w:rPr>
        <w:t xml:space="preserve">מעוררת </w:t>
      </w:r>
      <w:r w:rsidRPr="00630A7F">
        <w:rPr>
          <w:rFonts w:hint="cs"/>
          <w:rtl/>
        </w:rPr>
        <w:t xml:space="preserve">קושי, אך בנסיבות העניין, לנוכח </w:t>
      </w:r>
      <w:r w:rsidR="00DC0374">
        <w:rPr>
          <w:rFonts w:hint="cs"/>
          <w:b/>
          <w:bCs/>
          <w:rtl/>
        </w:rPr>
        <w:t>ה</w:t>
      </w:r>
      <w:r w:rsidR="003A0A1C">
        <w:rPr>
          <w:rFonts w:hint="cs"/>
          <w:b/>
          <w:bCs/>
          <w:rtl/>
        </w:rPr>
        <w:t>עוצמה ו</w:t>
      </w:r>
      <w:r w:rsidR="00DC0374">
        <w:rPr>
          <w:rFonts w:hint="cs"/>
          <w:b/>
          <w:bCs/>
          <w:rtl/>
        </w:rPr>
        <w:t>ה</w:t>
      </w:r>
      <w:r w:rsidR="003A0A1C">
        <w:rPr>
          <w:rFonts w:hint="cs"/>
          <w:b/>
          <w:bCs/>
          <w:rtl/>
        </w:rPr>
        <w:t xml:space="preserve">מרכזיות של </w:t>
      </w:r>
      <w:r w:rsidRPr="00630A7F">
        <w:rPr>
          <w:rFonts w:hint="cs"/>
          <w:b/>
          <w:bCs/>
          <w:rtl/>
        </w:rPr>
        <w:t>רשלנות</w:t>
      </w:r>
      <w:r w:rsidR="003A0A1C">
        <w:rPr>
          <w:rFonts w:hint="cs"/>
          <w:b/>
          <w:bCs/>
          <w:rtl/>
        </w:rPr>
        <w:t xml:space="preserve"> </w:t>
      </w:r>
      <w:r w:rsidRPr="00630A7F">
        <w:rPr>
          <w:rFonts w:hint="cs"/>
          <w:b/>
          <w:bCs/>
          <w:rtl/>
        </w:rPr>
        <w:t>המערער</w:t>
      </w:r>
      <w:r w:rsidR="003A0A1C">
        <w:rPr>
          <w:rFonts w:hint="cs"/>
          <w:b/>
          <w:bCs/>
          <w:rtl/>
        </w:rPr>
        <w:t>, שהביאה</w:t>
      </w:r>
      <w:r w:rsidR="00F77A3C">
        <w:rPr>
          <w:rFonts w:hint="cs"/>
          <w:b/>
          <w:bCs/>
          <w:rtl/>
        </w:rPr>
        <w:t xml:space="preserve"> </w:t>
      </w:r>
      <w:r w:rsidR="003A0A1C">
        <w:rPr>
          <w:rFonts w:hint="cs"/>
          <w:b/>
          <w:bCs/>
          <w:rtl/>
        </w:rPr>
        <w:t>ל</w:t>
      </w:r>
      <w:r w:rsidRPr="00630A7F">
        <w:rPr>
          <w:rFonts w:hint="cs"/>
          <w:b/>
          <w:bCs/>
          <w:rtl/>
        </w:rPr>
        <w:t>תוצאה</w:t>
      </w:r>
      <w:r w:rsidR="00903A5D" w:rsidRPr="00630A7F">
        <w:rPr>
          <w:rFonts w:hint="cs"/>
          <w:b/>
          <w:bCs/>
          <w:rtl/>
        </w:rPr>
        <w:t xml:space="preserve"> </w:t>
      </w:r>
      <w:r w:rsidRPr="00630A7F">
        <w:rPr>
          <w:rtl/>
        </w:rPr>
        <w:t>–</w:t>
      </w:r>
      <w:r w:rsidRPr="00630A7F">
        <w:rPr>
          <w:rFonts w:hint="cs"/>
          <w:rtl/>
        </w:rPr>
        <w:t xml:space="preserve"> אין בכך כדי לבסס אכיפה בררנית, ודאי לא כזו המצדיקה סעד של המרת סעיף האישום (וראו גם ההלכה שלפיה </w:t>
      </w:r>
      <w:r w:rsidRPr="00630A7F">
        <w:rPr>
          <w:rtl/>
        </w:rPr>
        <w:t>אין מתקנים עוול בעוול</w:t>
      </w:r>
      <w:r w:rsidR="00DC0374">
        <w:rPr>
          <w:rFonts w:hint="cs"/>
          <w:rtl/>
        </w:rPr>
        <w:t>.</w:t>
      </w:r>
      <w:r w:rsidRPr="00630A7F">
        <w:rPr>
          <w:rtl/>
        </w:rPr>
        <w:t xml:space="preserve"> ע"פ 5975/14 </w:t>
      </w:r>
      <w:proofErr w:type="spellStart"/>
      <w:r w:rsidRPr="00630A7F">
        <w:rPr>
          <w:b/>
          <w:bCs/>
          <w:rtl/>
        </w:rPr>
        <w:t>אגבריה</w:t>
      </w:r>
      <w:proofErr w:type="spellEnd"/>
      <w:r w:rsidRPr="00630A7F">
        <w:rPr>
          <w:b/>
          <w:bCs/>
          <w:rtl/>
        </w:rPr>
        <w:t xml:space="preserve"> נ' מדינת ישראל, </w:t>
      </w:r>
      <w:r w:rsidRPr="00630A7F">
        <w:rPr>
          <w:rtl/>
        </w:rPr>
        <w:t>פסקה 65 (31.12.2015))</w:t>
      </w:r>
      <w:r w:rsidRPr="00630A7F">
        <w:rPr>
          <w:rFonts w:hint="cs"/>
          <w:rtl/>
        </w:rPr>
        <w:t>.</w:t>
      </w:r>
      <w:r w:rsidR="00630A7F" w:rsidRPr="00630A7F">
        <w:rPr>
          <w:rFonts w:hint="cs"/>
          <w:rtl/>
        </w:rPr>
        <w:t xml:space="preserve"> </w:t>
      </w:r>
      <w:r w:rsidRPr="00630A7F">
        <w:rPr>
          <w:rFonts w:hint="cs"/>
          <w:rtl/>
        </w:rPr>
        <w:t xml:space="preserve">זאת ועוד, כאמור, בינתיים, הורשע גם סגן תומר בעבירה של חבלה ברשלנות ואף בשינוי זה, יש כדי לכרסם בטענות ההגנה בדבר </w:t>
      </w:r>
      <w:r w:rsidRPr="00630A7F">
        <w:rPr>
          <w:rFonts w:hint="cs"/>
          <w:b/>
          <w:bCs/>
          <w:rtl/>
        </w:rPr>
        <w:t>הבדל</w:t>
      </w:r>
      <w:r w:rsidRPr="00630A7F">
        <w:rPr>
          <w:rFonts w:hint="cs"/>
          <w:rtl/>
        </w:rPr>
        <w:t xml:space="preserve"> לא מוצדק באכיפה. </w:t>
      </w:r>
    </w:p>
    <w:p w14:paraId="5E7051A5" w14:textId="77777777" w:rsidR="00C040C0" w:rsidRDefault="009B036A" w:rsidP="00267E8E">
      <w:pPr>
        <w:pStyle w:val="ListParagraph"/>
        <w:numPr>
          <w:ilvl w:val="0"/>
          <w:numId w:val="1"/>
        </w:numPr>
      </w:pPr>
      <w:r>
        <w:rPr>
          <w:rFonts w:hint="cs"/>
          <w:rtl/>
        </w:rPr>
        <w:t xml:space="preserve">בכל הנוגע </w:t>
      </w:r>
      <w:r w:rsidRPr="00C040C0">
        <w:rPr>
          <w:rFonts w:hint="cs"/>
          <w:b/>
          <w:bCs/>
          <w:rtl/>
        </w:rPr>
        <w:t>לטענה הכללית</w:t>
      </w:r>
      <w:r>
        <w:rPr>
          <w:rFonts w:hint="cs"/>
          <w:rtl/>
        </w:rPr>
        <w:t xml:space="preserve"> בדבר סטייה מהנחיות וממדיניות התביעה הכללית ו</w:t>
      </w:r>
      <w:r w:rsidR="00C86252">
        <w:rPr>
          <w:rFonts w:hint="cs"/>
          <w:rtl/>
        </w:rPr>
        <w:t>התביעה הצבאית</w:t>
      </w:r>
      <w:r w:rsidR="00C040C0">
        <w:rPr>
          <w:rFonts w:hint="cs"/>
          <w:rtl/>
        </w:rPr>
        <w:t>, נקדים ונ</w:t>
      </w:r>
      <w:r w:rsidR="00065D8E">
        <w:rPr>
          <w:rFonts w:hint="cs"/>
          <w:rtl/>
        </w:rPr>
        <w:t>א</w:t>
      </w:r>
      <w:r w:rsidR="00C040C0">
        <w:rPr>
          <w:rFonts w:hint="cs"/>
          <w:rtl/>
        </w:rPr>
        <w:t xml:space="preserve">מר כי </w:t>
      </w:r>
      <w:r w:rsidR="00C040C0" w:rsidRPr="00C040C0">
        <w:rPr>
          <w:rtl/>
        </w:rPr>
        <w:t>ב</w:t>
      </w:r>
      <w:r w:rsidR="00C040C0">
        <w:rPr>
          <w:rFonts w:hint="cs"/>
          <w:rtl/>
        </w:rPr>
        <w:t xml:space="preserve">ראי </w:t>
      </w:r>
      <w:r w:rsidR="00C040C0" w:rsidRPr="00C040C0">
        <w:rPr>
          <w:rtl/>
        </w:rPr>
        <w:t>קביעותינו ביחס ל</w:t>
      </w:r>
      <w:r w:rsidR="00C040C0">
        <w:rPr>
          <w:rFonts w:hint="cs"/>
          <w:rtl/>
        </w:rPr>
        <w:t xml:space="preserve">חובת הזהירות שחלה בעניינו של המערער, </w:t>
      </w:r>
      <w:r w:rsidR="003A0A1C">
        <w:rPr>
          <w:rFonts w:hint="cs"/>
          <w:rtl/>
        </w:rPr>
        <w:t xml:space="preserve">לעוצמתה של רשלנותו </w:t>
      </w:r>
      <w:r w:rsidR="00C040C0">
        <w:rPr>
          <w:rFonts w:hint="cs"/>
          <w:rtl/>
        </w:rPr>
        <w:t>ולקשר הסיבתי</w:t>
      </w:r>
      <w:r w:rsidR="00065D8E">
        <w:rPr>
          <w:rFonts w:hint="cs"/>
          <w:rtl/>
        </w:rPr>
        <w:t xml:space="preserve"> העובדתי והמשפטי</w:t>
      </w:r>
      <w:r w:rsidR="003A0A1C">
        <w:rPr>
          <w:rFonts w:hint="cs"/>
          <w:rtl/>
        </w:rPr>
        <w:t xml:space="preserve"> בינה לבין התוצאה</w:t>
      </w:r>
      <w:r w:rsidR="00065D8E">
        <w:rPr>
          <w:rFonts w:hint="cs"/>
          <w:rtl/>
        </w:rPr>
        <w:t xml:space="preserve">, ובהתחשב בכל </w:t>
      </w:r>
      <w:r w:rsidR="00C040C0" w:rsidRPr="00C040C0">
        <w:rPr>
          <w:rtl/>
        </w:rPr>
        <w:t>נסיבות המקרה</w:t>
      </w:r>
      <w:r w:rsidR="00065D8E">
        <w:rPr>
          <w:rFonts w:hint="cs"/>
          <w:rtl/>
        </w:rPr>
        <w:t xml:space="preserve"> </w:t>
      </w:r>
      <w:r w:rsidR="00DC0374">
        <w:rPr>
          <w:rtl/>
        </w:rPr>
        <w:t>–</w:t>
      </w:r>
      <w:r w:rsidR="00065D8E">
        <w:rPr>
          <w:rFonts w:hint="cs"/>
          <w:rtl/>
        </w:rPr>
        <w:t xml:space="preserve"> </w:t>
      </w:r>
      <w:r w:rsidR="00C040C0" w:rsidRPr="00C040C0">
        <w:rPr>
          <w:rtl/>
        </w:rPr>
        <w:t>העמד</w:t>
      </w:r>
      <w:r w:rsidR="00C040C0">
        <w:rPr>
          <w:rFonts w:hint="cs"/>
          <w:rtl/>
        </w:rPr>
        <w:t xml:space="preserve">תו </w:t>
      </w:r>
      <w:r w:rsidR="00C040C0" w:rsidRPr="00C040C0">
        <w:rPr>
          <w:rtl/>
        </w:rPr>
        <w:t xml:space="preserve">לדין בעבירה שיוחסה לו, עולה בקנה אחד </w:t>
      </w:r>
      <w:r w:rsidR="00804658">
        <w:rPr>
          <w:rFonts w:hint="cs"/>
          <w:rtl/>
        </w:rPr>
        <w:t xml:space="preserve">עם </w:t>
      </w:r>
      <w:r w:rsidR="00804658" w:rsidRPr="00C040C0">
        <w:rPr>
          <w:rtl/>
        </w:rPr>
        <w:t>הנחיית פרקליט המדינה 2.37</w:t>
      </w:r>
      <w:r w:rsidR="00C040C0" w:rsidRPr="00C040C0">
        <w:rPr>
          <w:rtl/>
        </w:rPr>
        <w:t xml:space="preserve">. </w:t>
      </w:r>
      <w:r w:rsidR="00065D8E">
        <w:rPr>
          <w:rFonts w:hint="cs"/>
          <w:rtl/>
        </w:rPr>
        <w:t xml:space="preserve">כמו כן, </w:t>
      </w:r>
      <w:r w:rsidR="00C040C0" w:rsidRPr="00C040C0">
        <w:rPr>
          <w:rtl/>
        </w:rPr>
        <w:t>הגם שהנחיה 2.01 של התביעה הצבאית הראשית עוסקת בעבירה של גרימת מוות ברשלנות ואינה דנה בהעמדה לדין ברשלנות שגרמה לחבלה</w:t>
      </w:r>
      <w:r w:rsidR="00065D8E">
        <w:rPr>
          <w:rFonts w:hint="cs"/>
          <w:rtl/>
        </w:rPr>
        <w:t>, בחינת השיקולים המנחים על העמדה לדין שם, אינה מצביעה על סטי</w:t>
      </w:r>
      <w:r w:rsidR="00DC0374">
        <w:rPr>
          <w:rFonts w:hint="cs"/>
          <w:rtl/>
        </w:rPr>
        <w:t>י</w:t>
      </w:r>
      <w:r w:rsidR="00065D8E">
        <w:rPr>
          <w:rFonts w:hint="cs"/>
          <w:rtl/>
        </w:rPr>
        <w:t xml:space="preserve">ה ממנה במקרה שלפנינו.  </w:t>
      </w:r>
    </w:p>
    <w:p w14:paraId="15F90953" w14:textId="77777777" w:rsidR="004E094A" w:rsidRDefault="00065D8E" w:rsidP="00267E8E">
      <w:pPr>
        <w:pStyle w:val="ListParagraph"/>
        <w:numPr>
          <w:ilvl w:val="0"/>
          <w:numId w:val="1"/>
        </w:numPr>
      </w:pPr>
      <w:r>
        <w:rPr>
          <w:rFonts w:hint="cs"/>
          <w:rtl/>
        </w:rPr>
        <w:t>נזכיר</w:t>
      </w:r>
      <w:r w:rsidR="00BF03BF">
        <w:rPr>
          <w:rFonts w:hint="cs"/>
          <w:rtl/>
        </w:rPr>
        <w:t xml:space="preserve"> עוד</w:t>
      </w:r>
      <w:r w:rsidR="004E094A">
        <w:rPr>
          <w:rFonts w:hint="cs"/>
          <w:rtl/>
        </w:rPr>
        <w:t>:</w:t>
      </w:r>
    </w:p>
    <w:p w14:paraId="5788A258" w14:textId="77777777" w:rsidR="00267E8E" w:rsidRPr="00267E8E" w:rsidRDefault="00267E8E" w:rsidP="00267E8E">
      <w:pPr>
        <w:pStyle w:val="ListParagraph"/>
        <w:ind w:left="0" w:firstLine="0"/>
        <w:rPr>
          <w:sz w:val="2"/>
          <w:szCs w:val="2"/>
        </w:rPr>
      </w:pPr>
    </w:p>
    <w:p w14:paraId="0DE77B97" w14:textId="77777777" w:rsidR="004E094A" w:rsidRDefault="00065D8E" w:rsidP="008E33AC">
      <w:pPr>
        <w:pStyle w:val="Quote"/>
        <w:rPr>
          <w:rtl/>
        </w:rPr>
      </w:pPr>
      <w:r w:rsidRPr="00065D8E">
        <w:rPr>
          <w:rtl/>
        </w:rPr>
        <w:t xml:space="preserve">"הגנה מן הצדק בשל אכיפה בררנית שמורה למקרים חריגים, והנטל המוטל על כתפי נאשם הטוען לקיומה הוא כבד, שכן לרשות עומדת חזקת תקינות מנהלית ביחס לפעולותיה. אין די בהעלאת טענה בעלמא ויש להניח תשתית ראייתית מספקת. תחילה על הנאשם להניח תשתית ראייתית ראשונית ולהראות כי לכאורה בוצעה אבחנה בלתי ראויה בין שווים, אז עובר הנטל לסתור לכתפי הרשות" (עניין </w:t>
      </w:r>
      <w:proofErr w:type="spellStart"/>
      <w:r w:rsidRPr="00065D8E">
        <w:rPr>
          <w:b/>
          <w:bCs/>
          <w:rtl/>
        </w:rPr>
        <w:t>בורקאן</w:t>
      </w:r>
      <w:proofErr w:type="spellEnd"/>
      <w:r w:rsidRPr="00065D8E">
        <w:rPr>
          <w:rtl/>
        </w:rPr>
        <w:t xml:space="preserve"> לעיל, בפסקה 12).</w:t>
      </w:r>
      <w:r>
        <w:rPr>
          <w:rFonts w:hint="cs"/>
          <w:rtl/>
        </w:rPr>
        <w:t xml:space="preserve"> </w:t>
      </w:r>
    </w:p>
    <w:p w14:paraId="047CF972" w14:textId="77777777" w:rsidR="00C040C0" w:rsidRPr="00C040C0" w:rsidRDefault="00C040C0" w:rsidP="00267E8E">
      <w:pPr>
        <w:pStyle w:val="ListParagraph"/>
        <w:ind w:left="0" w:firstLine="0"/>
        <w:rPr>
          <w:rtl/>
        </w:rPr>
      </w:pPr>
      <w:r w:rsidRPr="00C040C0">
        <w:rPr>
          <w:rtl/>
        </w:rPr>
        <w:lastRenderedPageBreak/>
        <w:t xml:space="preserve">ההגנה הפנתה </w:t>
      </w:r>
      <w:r w:rsidR="00065D8E">
        <w:rPr>
          <w:rFonts w:hint="cs"/>
          <w:rtl/>
        </w:rPr>
        <w:t xml:space="preserve">בטיעוניה </w:t>
      </w:r>
      <w:r w:rsidRPr="00C040C0">
        <w:rPr>
          <w:rtl/>
        </w:rPr>
        <w:t>לפסקי דין שונים</w:t>
      </w:r>
      <w:r w:rsidR="004E094A">
        <w:rPr>
          <w:rFonts w:hint="cs"/>
          <w:rtl/>
        </w:rPr>
        <w:t>,</w:t>
      </w:r>
      <w:r w:rsidR="00065D8E">
        <w:rPr>
          <w:rFonts w:hint="cs"/>
          <w:rtl/>
        </w:rPr>
        <w:t xml:space="preserve"> ובהם </w:t>
      </w:r>
      <w:r w:rsidRPr="00C040C0">
        <w:rPr>
          <w:rtl/>
        </w:rPr>
        <w:t xml:space="preserve">בג"ץ 88/10 </w:t>
      </w:r>
      <w:r w:rsidRPr="00065D8E">
        <w:rPr>
          <w:b/>
          <w:bCs/>
          <w:rtl/>
        </w:rPr>
        <w:t xml:space="preserve">שוורץ נ' מדינת ישראל </w:t>
      </w:r>
      <w:r w:rsidR="00065D8E" w:rsidRPr="00065D8E">
        <w:rPr>
          <w:rFonts w:hint="cs"/>
          <w:rtl/>
        </w:rPr>
        <w:t>(</w:t>
      </w:r>
      <w:r w:rsidRPr="00C040C0">
        <w:rPr>
          <w:rtl/>
        </w:rPr>
        <w:t>12.7.2010</w:t>
      </w:r>
      <w:r w:rsidR="00065D8E">
        <w:rPr>
          <w:rFonts w:hint="cs"/>
          <w:rtl/>
        </w:rPr>
        <w:t xml:space="preserve">), שם נבחנה החלטה </w:t>
      </w:r>
      <w:r w:rsidRPr="00C040C0">
        <w:rPr>
          <w:rtl/>
        </w:rPr>
        <w:t xml:space="preserve">להעמיד לדין משמעתי רופא שלא פעל </w:t>
      </w:r>
      <w:r w:rsidR="00065D8E">
        <w:rPr>
          <w:rFonts w:hint="cs"/>
          <w:rtl/>
        </w:rPr>
        <w:t xml:space="preserve">באופן מספק </w:t>
      </w:r>
      <w:r w:rsidRPr="00C040C0">
        <w:rPr>
          <w:rtl/>
        </w:rPr>
        <w:t xml:space="preserve">למניעת מעשה אובדני, </w:t>
      </w:r>
      <w:r w:rsidR="00065D8E">
        <w:rPr>
          <w:rFonts w:hint="cs"/>
          <w:rtl/>
        </w:rPr>
        <w:t>חרף החשש לשלומו</w:t>
      </w:r>
      <w:r w:rsidR="004E094A">
        <w:rPr>
          <w:rFonts w:hint="cs"/>
          <w:rtl/>
        </w:rPr>
        <w:t>.</w:t>
      </w:r>
      <w:r w:rsidR="00065D8E">
        <w:rPr>
          <w:rFonts w:hint="cs"/>
          <w:rtl/>
        </w:rPr>
        <w:t xml:space="preserve"> אלא שבחינת אותם מקרים </w:t>
      </w:r>
      <w:r w:rsidR="004E094A">
        <w:rPr>
          <w:rFonts w:hint="cs"/>
          <w:rtl/>
        </w:rPr>
        <w:t xml:space="preserve">מול </w:t>
      </w:r>
      <w:r w:rsidR="00065D8E">
        <w:rPr>
          <w:rFonts w:hint="cs"/>
          <w:rtl/>
        </w:rPr>
        <w:t>נסיבות המקרה שלפנינו, אינ</w:t>
      </w:r>
      <w:r w:rsidR="003B5CE9">
        <w:rPr>
          <w:rFonts w:hint="cs"/>
          <w:rtl/>
        </w:rPr>
        <w:t>ה</w:t>
      </w:r>
      <w:r w:rsidR="00065D8E">
        <w:rPr>
          <w:rFonts w:hint="cs"/>
          <w:rtl/>
        </w:rPr>
        <w:t xml:space="preserve"> מבסס</w:t>
      </w:r>
      <w:r w:rsidR="003B5CE9">
        <w:rPr>
          <w:rFonts w:hint="cs"/>
          <w:rtl/>
        </w:rPr>
        <w:t>ת</w:t>
      </w:r>
      <w:r w:rsidR="00065D8E">
        <w:rPr>
          <w:rFonts w:hint="cs"/>
          <w:rtl/>
        </w:rPr>
        <w:t xml:space="preserve"> </w:t>
      </w:r>
      <w:r w:rsidR="003B5CE9">
        <w:rPr>
          <w:rFonts w:hint="cs"/>
          <w:rtl/>
        </w:rPr>
        <w:t xml:space="preserve">את </w:t>
      </w:r>
      <w:r w:rsidR="00065D8E">
        <w:rPr>
          <w:rFonts w:hint="cs"/>
          <w:rtl/>
        </w:rPr>
        <w:t>הנטל הראשוני</w:t>
      </w:r>
      <w:r w:rsidR="003B5CE9">
        <w:rPr>
          <w:rFonts w:hint="cs"/>
          <w:rtl/>
        </w:rPr>
        <w:t xml:space="preserve"> המוטל על כתפי ההגנה</w:t>
      </w:r>
      <w:r w:rsidR="00065D8E">
        <w:rPr>
          <w:rFonts w:hint="cs"/>
          <w:rtl/>
        </w:rPr>
        <w:t xml:space="preserve">, </w:t>
      </w:r>
      <w:r w:rsidR="003B5CE9">
        <w:rPr>
          <w:rFonts w:hint="cs"/>
          <w:rtl/>
        </w:rPr>
        <w:t xml:space="preserve">אינה מלמדת על </w:t>
      </w:r>
      <w:r w:rsidR="00065D8E">
        <w:rPr>
          <w:rFonts w:hint="cs"/>
          <w:rtl/>
        </w:rPr>
        <w:t xml:space="preserve">סטייה ממדיניות </w:t>
      </w:r>
      <w:r w:rsidR="004E094A">
        <w:rPr>
          <w:rFonts w:hint="cs"/>
          <w:rtl/>
        </w:rPr>
        <w:t>ה</w:t>
      </w:r>
      <w:r w:rsidR="00065D8E">
        <w:rPr>
          <w:rFonts w:hint="cs"/>
          <w:rtl/>
        </w:rPr>
        <w:t xml:space="preserve">העמדה לדין ואין בה כדי להצביע על אכיפה בררנית. במשפטו </w:t>
      </w:r>
      <w:r w:rsidR="00153503">
        <w:rPr>
          <w:rFonts w:hint="cs"/>
          <w:rtl/>
        </w:rPr>
        <w:t xml:space="preserve">של המערער </w:t>
      </w:r>
      <w:r w:rsidR="00065D8E">
        <w:rPr>
          <w:rFonts w:hint="cs"/>
          <w:rtl/>
        </w:rPr>
        <w:t>הוכח כי היה ער לסכנה קונק</w:t>
      </w:r>
      <w:r w:rsidR="003B5CE9">
        <w:rPr>
          <w:rFonts w:hint="cs"/>
          <w:rtl/>
        </w:rPr>
        <w:t>ר</w:t>
      </w:r>
      <w:r w:rsidR="00065D8E">
        <w:rPr>
          <w:rFonts w:hint="cs"/>
          <w:rtl/>
        </w:rPr>
        <w:t>טית לחיי הנפגע, פקודו</w:t>
      </w:r>
      <w:r w:rsidR="003B5CE9">
        <w:rPr>
          <w:rFonts w:hint="cs"/>
          <w:rtl/>
        </w:rPr>
        <w:t>,</w:t>
      </w:r>
      <w:r w:rsidR="00065D8E">
        <w:rPr>
          <w:rFonts w:hint="cs"/>
          <w:rtl/>
        </w:rPr>
        <w:t xml:space="preserve"> ו</w:t>
      </w:r>
      <w:r w:rsidR="003B5CE9">
        <w:rPr>
          <w:rFonts w:hint="cs"/>
          <w:rtl/>
        </w:rPr>
        <w:t xml:space="preserve">הבין </w:t>
      </w:r>
      <w:proofErr w:type="spellStart"/>
      <w:r w:rsidR="003B5CE9">
        <w:rPr>
          <w:rFonts w:hint="cs"/>
          <w:rtl/>
        </w:rPr>
        <w:t>לאשורה</w:t>
      </w:r>
      <w:proofErr w:type="spellEnd"/>
      <w:r w:rsidR="003B5CE9">
        <w:rPr>
          <w:rFonts w:hint="cs"/>
          <w:rtl/>
        </w:rPr>
        <w:t xml:space="preserve"> את ה</w:t>
      </w:r>
      <w:r w:rsidR="00065D8E">
        <w:rPr>
          <w:rFonts w:hint="cs"/>
          <w:rtl/>
        </w:rPr>
        <w:t xml:space="preserve">משימה הממוקדת שקיבל עקב כך </w:t>
      </w:r>
      <w:r w:rsidR="00065D8E">
        <w:rPr>
          <w:rtl/>
        </w:rPr>
        <w:t>–</w:t>
      </w:r>
      <w:r w:rsidR="00065D8E">
        <w:rPr>
          <w:rFonts w:hint="cs"/>
          <w:rtl/>
        </w:rPr>
        <w:t xml:space="preserve"> להשגיח מקרוב על הנפגע ולהרחיקו מנשק. </w:t>
      </w:r>
      <w:r w:rsidR="005F5B4B">
        <w:rPr>
          <w:rFonts w:hint="cs"/>
          <w:rtl/>
        </w:rPr>
        <w:t>רשלנות</w:t>
      </w:r>
      <w:r w:rsidR="003B5CE9">
        <w:rPr>
          <w:rFonts w:hint="cs"/>
          <w:rtl/>
        </w:rPr>
        <w:t>ו</w:t>
      </w:r>
      <w:r w:rsidR="005F5B4B">
        <w:rPr>
          <w:rFonts w:hint="cs"/>
          <w:rtl/>
        </w:rPr>
        <w:t xml:space="preserve"> החמורה של המערער בביצוע המשימה</w:t>
      </w:r>
      <w:r w:rsidR="00153503">
        <w:rPr>
          <w:rFonts w:hint="cs"/>
          <w:rtl/>
        </w:rPr>
        <w:t>,</w:t>
      </w:r>
      <w:r w:rsidR="005F5B4B">
        <w:rPr>
          <w:rFonts w:hint="cs"/>
          <w:rtl/>
        </w:rPr>
        <w:t xml:space="preserve"> תוך הפרת הפקודות כאמור, מבססת הבחנה ברורה בין מקרה זה לבין הדוגמאות שאליהן הפנתה ההגנה. </w:t>
      </w:r>
    </w:p>
    <w:p w14:paraId="497A369F" w14:textId="46ECD8AB" w:rsidR="00C040C0" w:rsidRPr="00C040C0" w:rsidRDefault="00C040C0" w:rsidP="00267E8E">
      <w:pPr>
        <w:pStyle w:val="ListParagraph"/>
        <w:numPr>
          <w:ilvl w:val="0"/>
          <w:numId w:val="1"/>
        </w:numPr>
      </w:pPr>
      <w:r w:rsidRPr="00C040C0">
        <w:rPr>
          <w:rtl/>
        </w:rPr>
        <w:t>עולה מן המקובץ כי בשים לב לרשלנות הגבוהה</w:t>
      </w:r>
      <w:r w:rsidR="005F5B4B">
        <w:rPr>
          <w:rFonts w:hint="cs"/>
          <w:rtl/>
        </w:rPr>
        <w:t xml:space="preserve"> של המערער</w:t>
      </w:r>
      <w:r w:rsidRPr="00C040C0">
        <w:rPr>
          <w:rtl/>
        </w:rPr>
        <w:t xml:space="preserve">, בראי הסיכון לחיי אדם הכרוך בה </w:t>
      </w:r>
      <w:r w:rsidRPr="005F5B4B">
        <w:rPr>
          <w:b/>
          <w:bCs/>
          <w:rtl/>
        </w:rPr>
        <w:t xml:space="preserve">ואף לנוכח השלכות ההרשעה </w:t>
      </w:r>
      <w:r w:rsidR="00153503" w:rsidRPr="005F5B4B">
        <w:rPr>
          <w:rFonts w:hint="cs"/>
          <w:b/>
          <w:bCs/>
          <w:rtl/>
        </w:rPr>
        <w:t>המצומצמות</w:t>
      </w:r>
      <w:r w:rsidR="005F5B4B">
        <w:rPr>
          <w:rFonts w:hint="cs"/>
          <w:rtl/>
        </w:rPr>
        <w:t xml:space="preserve"> לגביו</w:t>
      </w:r>
      <w:r w:rsidRPr="00C040C0">
        <w:rPr>
          <w:rtl/>
        </w:rPr>
        <w:t xml:space="preserve"> </w:t>
      </w:r>
      <w:r w:rsidR="005F5B4B" w:rsidRPr="00754CB9">
        <w:rPr>
          <w:rFonts w:hint="cs"/>
          <w:rtl/>
        </w:rPr>
        <w:t xml:space="preserve">(ראו עניין </w:t>
      </w:r>
      <w:r w:rsidR="00213B48">
        <w:rPr>
          <w:rFonts w:hint="cs"/>
          <w:b/>
          <w:bCs/>
          <w:rtl/>
        </w:rPr>
        <w:t>ת' כ' א'</w:t>
      </w:r>
      <w:r w:rsidR="005F5B4B" w:rsidRPr="00754CB9">
        <w:rPr>
          <w:rFonts w:hint="cs"/>
          <w:rtl/>
        </w:rPr>
        <w:t xml:space="preserve"> לעיל, בפסקה 7</w:t>
      </w:r>
      <w:r w:rsidR="00754CB9" w:rsidRPr="00754CB9">
        <w:rPr>
          <w:rFonts w:hint="cs"/>
          <w:rtl/>
        </w:rPr>
        <w:t>7</w:t>
      </w:r>
      <w:r w:rsidR="005F5B4B" w:rsidRPr="00754CB9">
        <w:rPr>
          <w:rFonts w:hint="cs"/>
          <w:rtl/>
        </w:rPr>
        <w:t>)</w:t>
      </w:r>
      <w:r w:rsidRPr="00754CB9">
        <w:rPr>
          <w:rtl/>
        </w:rPr>
        <w:t>, באיזון בין מכלול השיקול</w:t>
      </w:r>
      <w:r w:rsidR="005F5B4B" w:rsidRPr="00754CB9">
        <w:rPr>
          <w:rFonts w:hint="cs"/>
          <w:rtl/>
        </w:rPr>
        <w:t xml:space="preserve">ים </w:t>
      </w:r>
      <w:r w:rsidR="004E094A">
        <w:rPr>
          <w:rFonts w:hint="cs"/>
          <w:rtl/>
        </w:rPr>
        <w:t>ו</w:t>
      </w:r>
      <w:r w:rsidR="005F5B4B" w:rsidRPr="00754CB9">
        <w:rPr>
          <w:rFonts w:hint="cs"/>
          <w:rtl/>
        </w:rPr>
        <w:t>בהתחשב ב</w:t>
      </w:r>
      <w:r w:rsidRPr="00754CB9">
        <w:rPr>
          <w:rtl/>
        </w:rPr>
        <w:t>ע</w:t>
      </w:r>
      <w:r w:rsidRPr="00C040C0">
        <w:rPr>
          <w:rtl/>
        </w:rPr>
        <w:t xml:space="preserve">רך החברתי הראשון במעלה – ההגנה על קדושת החיים – </w:t>
      </w:r>
      <w:r w:rsidR="005F5B4B">
        <w:rPr>
          <w:rFonts w:hint="cs"/>
          <w:rtl/>
        </w:rPr>
        <w:t>אין לקבל את עתירת</w:t>
      </w:r>
      <w:r w:rsidR="003B5CE9">
        <w:rPr>
          <w:rFonts w:hint="cs"/>
          <w:rtl/>
        </w:rPr>
        <w:t>ה</w:t>
      </w:r>
      <w:r w:rsidR="005F5B4B">
        <w:rPr>
          <w:rFonts w:hint="cs"/>
          <w:rtl/>
        </w:rPr>
        <w:t xml:space="preserve"> </w:t>
      </w:r>
      <w:r w:rsidR="003B5CE9">
        <w:rPr>
          <w:rFonts w:hint="cs"/>
          <w:rtl/>
        </w:rPr>
        <w:t xml:space="preserve">החלופית של </w:t>
      </w:r>
      <w:r w:rsidR="005F5B4B">
        <w:rPr>
          <w:rFonts w:hint="cs"/>
          <w:rtl/>
        </w:rPr>
        <w:t xml:space="preserve">ההגנה לסעד בעקבות </w:t>
      </w:r>
      <w:r w:rsidRPr="00C040C0">
        <w:rPr>
          <w:rtl/>
        </w:rPr>
        <w:t>אכיפה בררנית</w:t>
      </w:r>
      <w:r w:rsidR="005F5B4B">
        <w:rPr>
          <w:rFonts w:hint="cs"/>
          <w:rtl/>
        </w:rPr>
        <w:t>,</w:t>
      </w:r>
      <w:r w:rsidRPr="00C040C0">
        <w:rPr>
          <w:rtl/>
        </w:rPr>
        <w:t xml:space="preserve"> </w:t>
      </w:r>
      <w:r w:rsidR="005F5B4B" w:rsidRPr="005F5B4B">
        <w:rPr>
          <w:rFonts w:hint="cs"/>
          <w:b/>
          <w:bCs/>
          <w:rtl/>
        </w:rPr>
        <w:t>במישור הכרעת הדין</w:t>
      </w:r>
      <w:r w:rsidR="005F5B4B">
        <w:rPr>
          <w:rFonts w:hint="cs"/>
          <w:rtl/>
        </w:rPr>
        <w:t xml:space="preserve">. </w:t>
      </w:r>
    </w:p>
    <w:p w14:paraId="708E520B" w14:textId="77777777" w:rsidR="007E6789" w:rsidRDefault="007E6789" w:rsidP="007E6789">
      <w:pPr>
        <w:pStyle w:val="Heading2"/>
      </w:pPr>
      <w:r>
        <w:rPr>
          <w:rFonts w:hint="cs"/>
          <w:rtl/>
        </w:rPr>
        <w:t>סיכום</w:t>
      </w:r>
    </w:p>
    <w:p w14:paraId="0F042FC4" w14:textId="69740261" w:rsidR="00F539EA" w:rsidRDefault="00DC3DF1" w:rsidP="00F539EA">
      <w:pPr>
        <w:pStyle w:val="ListParagraph"/>
        <w:numPr>
          <w:ilvl w:val="0"/>
          <w:numId w:val="1"/>
        </w:numPr>
        <w:spacing w:after="240"/>
      </w:pPr>
      <w:r>
        <w:rPr>
          <w:rFonts w:hint="cs"/>
          <w:rtl/>
        </w:rPr>
        <w:t>ערעור ההגנה על הכרעת הדין נדחה</w:t>
      </w:r>
      <w:r w:rsidR="005F5B4B">
        <w:rPr>
          <w:rFonts w:hint="cs"/>
          <w:rtl/>
        </w:rPr>
        <w:t xml:space="preserve"> אפוא</w:t>
      </w:r>
      <w:r w:rsidR="007E6789">
        <w:rPr>
          <w:rFonts w:hint="cs"/>
          <w:rtl/>
        </w:rPr>
        <w:t>.</w:t>
      </w:r>
    </w:p>
    <w:p w14:paraId="38EC2D63" w14:textId="77777777" w:rsidR="0060359E" w:rsidRDefault="0060359E" w:rsidP="0060359E">
      <w:pPr>
        <w:pStyle w:val="Heading1"/>
      </w:pPr>
      <w:r>
        <w:rPr>
          <w:rFonts w:hint="cs"/>
          <w:rtl/>
        </w:rPr>
        <w:t>הערעור על גזר הדין</w:t>
      </w:r>
    </w:p>
    <w:p w14:paraId="5795F70B" w14:textId="77777777" w:rsidR="0060359E" w:rsidRPr="0060359E" w:rsidRDefault="003A7FAE" w:rsidP="0060359E">
      <w:pPr>
        <w:pStyle w:val="Heading2"/>
      </w:pPr>
      <w:r>
        <w:rPr>
          <w:rFonts w:hint="cs"/>
          <w:rtl/>
        </w:rPr>
        <w:t>גזר</w:t>
      </w:r>
      <w:r w:rsidR="0060359E">
        <w:rPr>
          <w:rFonts w:hint="cs"/>
          <w:rtl/>
        </w:rPr>
        <w:t xml:space="preserve"> דינו של בית הדין קמא</w:t>
      </w:r>
    </w:p>
    <w:p w14:paraId="2F335729" w14:textId="77777777" w:rsidR="00B93741" w:rsidRDefault="00B93741" w:rsidP="00267E8E">
      <w:pPr>
        <w:pStyle w:val="ListParagraph"/>
        <w:numPr>
          <w:ilvl w:val="0"/>
          <w:numId w:val="1"/>
        </w:numPr>
      </w:pPr>
      <w:r>
        <w:rPr>
          <w:rFonts w:hint="cs"/>
          <w:rtl/>
        </w:rPr>
        <w:t xml:space="preserve">בשלב הראיות לעונש </w:t>
      </w:r>
      <w:r>
        <w:rPr>
          <w:rtl/>
        </w:rPr>
        <w:t xml:space="preserve">הוגש תצהיר נפגע העבירה, </w:t>
      </w:r>
      <w:r>
        <w:rPr>
          <w:rFonts w:hint="cs"/>
          <w:rtl/>
        </w:rPr>
        <w:t xml:space="preserve">שבו תיאר את </w:t>
      </w:r>
      <w:r>
        <w:rPr>
          <w:rtl/>
        </w:rPr>
        <w:t xml:space="preserve">מצבו הרפואי והנפשי המורכב. </w:t>
      </w:r>
      <w:r>
        <w:rPr>
          <w:rFonts w:hint="cs"/>
          <w:rtl/>
        </w:rPr>
        <w:t xml:space="preserve">לצד זאת, </w:t>
      </w:r>
      <w:r>
        <w:rPr>
          <w:rtl/>
        </w:rPr>
        <w:t xml:space="preserve">נפגע העבירה הביע </w:t>
      </w:r>
      <w:r w:rsidR="005750C1">
        <w:rPr>
          <w:rFonts w:hint="cs"/>
          <w:rtl/>
        </w:rPr>
        <w:t xml:space="preserve">בתצהיר </w:t>
      </w:r>
      <w:r>
        <w:rPr>
          <w:rtl/>
        </w:rPr>
        <w:t>הערכה רבה כלפי ה</w:t>
      </w:r>
      <w:r>
        <w:rPr>
          <w:rFonts w:hint="cs"/>
          <w:rtl/>
        </w:rPr>
        <w:t>מערער</w:t>
      </w:r>
      <w:r>
        <w:rPr>
          <w:rtl/>
        </w:rPr>
        <w:t>, שהיה מפקדו הישיר</w:t>
      </w:r>
      <w:r w:rsidR="002D050C">
        <w:rPr>
          <w:rFonts w:hint="cs"/>
          <w:rtl/>
        </w:rPr>
        <w:t>,</w:t>
      </w:r>
      <w:r w:rsidR="00FB374D">
        <w:rPr>
          <w:rFonts w:hint="cs"/>
          <w:rtl/>
        </w:rPr>
        <w:t xml:space="preserve"> ו</w:t>
      </w:r>
      <w:r w:rsidR="005750C1">
        <w:rPr>
          <w:rFonts w:hint="cs"/>
          <w:rtl/>
        </w:rPr>
        <w:t xml:space="preserve">ציין </w:t>
      </w:r>
      <w:r w:rsidR="00FB374D">
        <w:rPr>
          <w:rFonts w:hint="cs"/>
          <w:rtl/>
        </w:rPr>
        <w:t xml:space="preserve">כי הוא </w:t>
      </w:r>
      <w:r>
        <w:rPr>
          <w:rtl/>
        </w:rPr>
        <w:t>אדם ישר ו</w:t>
      </w:r>
      <w:r w:rsidR="00FB374D">
        <w:rPr>
          <w:rFonts w:hint="cs"/>
          <w:rtl/>
        </w:rPr>
        <w:t xml:space="preserve">מפקד </w:t>
      </w:r>
      <w:r>
        <w:rPr>
          <w:rtl/>
        </w:rPr>
        <w:t>מסור.</w:t>
      </w:r>
    </w:p>
    <w:p w14:paraId="5FA38487" w14:textId="77777777" w:rsidR="00B56B15" w:rsidRDefault="005C40CA" w:rsidP="00267E8E">
      <w:pPr>
        <w:pStyle w:val="ListParagraph"/>
        <w:numPr>
          <w:ilvl w:val="0"/>
          <w:numId w:val="1"/>
        </w:numPr>
      </w:pPr>
      <w:r>
        <w:rPr>
          <w:rFonts w:hint="cs"/>
          <w:rtl/>
        </w:rPr>
        <w:t xml:space="preserve">בבואו לגזור את דינו של המערער </w:t>
      </w:r>
      <w:r w:rsidR="002732EA">
        <w:rPr>
          <w:rFonts w:hint="cs"/>
          <w:rtl/>
        </w:rPr>
        <w:t xml:space="preserve">ציין </w:t>
      </w:r>
      <w:r w:rsidR="007F575E">
        <w:rPr>
          <w:rFonts w:hint="cs"/>
          <w:rtl/>
        </w:rPr>
        <w:t xml:space="preserve">בית הדין המחוזי </w:t>
      </w:r>
      <w:r w:rsidR="00B56B15">
        <w:rPr>
          <w:rFonts w:hint="cs"/>
          <w:rtl/>
        </w:rPr>
        <w:t xml:space="preserve">שהמערער פגע בערכי קדושת החיים ושלמות הגוף של חיילים ובאמון הציבור בצה"ל. </w:t>
      </w:r>
      <w:r w:rsidR="005750C1">
        <w:rPr>
          <w:rFonts w:hint="cs"/>
          <w:rtl/>
        </w:rPr>
        <w:t xml:space="preserve">הוטעם כי </w:t>
      </w:r>
      <w:r w:rsidR="00B56B15">
        <w:rPr>
          <w:rFonts w:hint="cs"/>
          <w:rtl/>
        </w:rPr>
        <w:t xml:space="preserve">המערער השתייך למעגל הפנימי של ההשגחה על הנפגע ונשא באחריות ישירה לביצוע נוהל ההשגחה בפועל. הוא הפר פעמיים פקודה ישירה מפורשת לצרף </w:t>
      </w:r>
      <w:r w:rsidR="00BA089E">
        <w:rPr>
          <w:rFonts w:hint="cs"/>
          <w:rtl/>
        </w:rPr>
        <w:t xml:space="preserve">אליו </w:t>
      </w:r>
      <w:r w:rsidR="00B56B15">
        <w:rPr>
          <w:rFonts w:hint="cs"/>
          <w:rtl/>
        </w:rPr>
        <w:t>משגיח נוסף, והיה מודע למצב הנפשי החריג של הנפגע. מחדלי המערער גרמו לנזק ניכר לנפגע ו</w:t>
      </w:r>
      <w:r w:rsidR="00BA089E">
        <w:rPr>
          <w:rFonts w:hint="cs"/>
          <w:rtl/>
        </w:rPr>
        <w:t>היו עלולים להביא למותו</w:t>
      </w:r>
      <w:r w:rsidR="00B56B15">
        <w:rPr>
          <w:rFonts w:hint="cs"/>
          <w:rtl/>
        </w:rPr>
        <w:t xml:space="preserve">. מנגד, </w:t>
      </w:r>
      <w:r w:rsidR="00BA089E">
        <w:rPr>
          <w:rFonts w:hint="cs"/>
          <w:rtl/>
        </w:rPr>
        <w:t>עמד בית הדין קמא על ה</w:t>
      </w:r>
      <w:r w:rsidR="00B56B15">
        <w:rPr>
          <w:rFonts w:hint="cs"/>
          <w:rtl/>
        </w:rPr>
        <w:t xml:space="preserve">רקע </w:t>
      </w:r>
      <w:r w:rsidR="00BA089E">
        <w:rPr>
          <w:rFonts w:hint="cs"/>
          <w:rtl/>
        </w:rPr>
        <w:t>ל</w:t>
      </w:r>
      <w:r w:rsidR="00B56B15">
        <w:rPr>
          <w:rFonts w:hint="cs"/>
          <w:rtl/>
        </w:rPr>
        <w:t>מעשים</w:t>
      </w:r>
      <w:r w:rsidR="002D050C">
        <w:rPr>
          <w:rFonts w:hint="cs"/>
          <w:rtl/>
        </w:rPr>
        <w:t>:</w:t>
      </w:r>
      <w:r w:rsidR="00BA089E">
        <w:rPr>
          <w:rFonts w:hint="cs"/>
          <w:rtl/>
        </w:rPr>
        <w:t xml:space="preserve"> </w:t>
      </w:r>
      <w:r w:rsidR="00B56B15">
        <w:rPr>
          <w:rFonts w:hint="cs"/>
          <w:rtl/>
        </w:rPr>
        <w:t>כשל מערכתי ופיקודי כולל</w:t>
      </w:r>
      <w:r w:rsidR="00BA089E">
        <w:rPr>
          <w:rFonts w:hint="cs"/>
          <w:rtl/>
        </w:rPr>
        <w:t xml:space="preserve"> בניהול ההשגחה על חייל </w:t>
      </w:r>
      <w:r w:rsidR="005750C1">
        <w:rPr>
          <w:rFonts w:hint="cs"/>
          <w:rtl/>
        </w:rPr>
        <w:t xml:space="preserve">שהיה </w:t>
      </w:r>
      <w:r w:rsidR="00BA089E">
        <w:rPr>
          <w:rFonts w:hint="cs"/>
          <w:rtl/>
        </w:rPr>
        <w:t>מצוי בסכנה למעשה אובדני</w:t>
      </w:r>
      <w:r w:rsidR="00B56B15">
        <w:rPr>
          <w:rFonts w:hint="cs"/>
          <w:rtl/>
        </w:rPr>
        <w:t xml:space="preserve">. נוכח </w:t>
      </w:r>
      <w:r w:rsidR="00BA089E">
        <w:rPr>
          <w:rFonts w:hint="cs"/>
          <w:rtl/>
        </w:rPr>
        <w:t>האמור, ב</w:t>
      </w:r>
      <w:r w:rsidR="00B56B15">
        <w:rPr>
          <w:rFonts w:hint="cs"/>
          <w:rtl/>
        </w:rPr>
        <w:t>השוואה למקרים אחרים</w:t>
      </w:r>
      <w:r w:rsidR="00BA089E">
        <w:rPr>
          <w:rFonts w:hint="cs"/>
          <w:rtl/>
        </w:rPr>
        <w:t>,</w:t>
      </w:r>
      <w:r w:rsidR="00B56B15">
        <w:rPr>
          <w:rFonts w:hint="cs"/>
          <w:rtl/>
        </w:rPr>
        <w:t xml:space="preserve"> קבע בית הדין המחוזי מתחם עונש הולם </w:t>
      </w:r>
      <w:r w:rsidR="00BA089E">
        <w:rPr>
          <w:rFonts w:hint="cs"/>
          <w:rtl/>
        </w:rPr>
        <w:t>ה</w:t>
      </w:r>
      <w:r w:rsidR="00B56B15">
        <w:rPr>
          <w:rFonts w:hint="cs"/>
          <w:rtl/>
        </w:rPr>
        <w:t xml:space="preserve">נע </w:t>
      </w:r>
      <w:r w:rsidR="00BA089E">
        <w:rPr>
          <w:rFonts w:hint="cs"/>
          <w:rtl/>
        </w:rPr>
        <w:t xml:space="preserve">בין </w:t>
      </w:r>
      <w:r w:rsidR="00B56B15">
        <w:rPr>
          <w:rFonts w:hint="cs"/>
          <w:rtl/>
        </w:rPr>
        <w:t xml:space="preserve">מאסר מותנה </w:t>
      </w:r>
      <w:r w:rsidR="00BA089E">
        <w:rPr>
          <w:rFonts w:hint="cs"/>
          <w:rtl/>
        </w:rPr>
        <w:t>ל</w:t>
      </w:r>
      <w:r w:rsidR="00B56B15">
        <w:rPr>
          <w:rFonts w:hint="cs"/>
          <w:rtl/>
        </w:rPr>
        <w:t xml:space="preserve">שישה חודשי מאסר בפועל בעבודה צבאית; </w:t>
      </w:r>
      <w:r w:rsidR="00BA089E">
        <w:rPr>
          <w:rFonts w:hint="cs"/>
          <w:rtl/>
        </w:rPr>
        <w:t xml:space="preserve">לצד מתחם הנע בין </w:t>
      </w:r>
      <w:r w:rsidR="00B56B15">
        <w:rPr>
          <w:rFonts w:hint="cs"/>
          <w:rtl/>
        </w:rPr>
        <w:t>הימנעות מפגיעה בדרגה עד הורדה לדרגת טוראי</w:t>
      </w:r>
      <w:r w:rsidR="00BF03BF">
        <w:rPr>
          <w:rFonts w:hint="cs"/>
          <w:rtl/>
        </w:rPr>
        <w:t xml:space="preserve"> </w:t>
      </w:r>
      <w:r w:rsidR="00BF03BF" w:rsidRPr="00BF03BF">
        <w:rPr>
          <w:rtl/>
        </w:rPr>
        <w:t>– והכול תוך קביעת תמהיל מתאים של כל הרכיבים</w:t>
      </w:r>
      <w:r w:rsidR="00BF03BF">
        <w:rPr>
          <w:rFonts w:hint="cs"/>
          <w:rtl/>
        </w:rPr>
        <w:t xml:space="preserve">. כמו כן, נקבע </w:t>
      </w:r>
      <w:r w:rsidR="00B56B15">
        <w:rPr>
          <w:rFonts w:hint="cs"/>
          <w:rtl/>
        </w:rPr>
        <w:t>מ</w:t>
      </w:r>
      <w:r w:rsidR="00BA089E">
        <w:rPr>
          <w:rFonts w:hint="cs"/>
          <w:rtl/>
        </w:rPr>
        <w:t xml:space="preserve">תחם של פיצויים </w:t>
      </w:r>
      <w:r w:rsidR="002D050C">
        <w:rPr>
          <w:rFonts w:hint="cs"/>
          <w:rtl/>
        </w:rPr>
        <w:t xml:space="preserve">לנפגע </w:t>
      </w:r>
      <w:r w:rsidR="00BA089E">
        <w:rPr>
          <w:rFonts w:hint="cs"/>
          <w:rtl/>
        </w:rPr>
        <w:t xml:space="preserve">בין </w:t>
      </w:r>
      <w:r w:rsidR="00B56B15">
        <w:rPr>
          <w:rFonts w:hint="cs"/>
          <w:rtl/>
        </w:rPr>
        <w:t>1,000 ל-5,000 ש"ח.</w:t>
      </w:r>
    </w:p>
    <w:p w14:paraId="1F201792" w14:textId="77777777" w:rsidR="00B93741" w:rsidRDefault="00C47B96" w:rsidP="00267E8E">
      <w:pPr>
        <w:pStyle w:val="ListParagraph"/>
        <w:numPr>
          <w:ilvl w:val="0"/>
          <w:numId w:val="1"/>
        </w:numPr>
      </w:pPr>
      <w:r>
        <w:rPr>
          <w:rFonts w:hint="cs"/>
          <w:rtl/>
        </w:rPr>
        <w:lastRenderedPageBreak/>
        <w:t>ב</w:t>
      </w:r>
      <w:r w:rsidR="00E17CB6">
        <w:rPr>
          <w:rFonts w:hint="cs"/>
          <w:rtl/>
        </w:rPr>
        <w:t xml:space="preserve">קביעת העונש </w:t>
      </w:r>
      <w:r w:rsidR="0022635B">
        <w:rPr>
          <w:rFonts w:hint="cs"/>
          <w:rtl/>
        </w:rPr>
        <w:t>בתוך מתחם העונש ההולם</w:t>
      </w:r>
      <w:r w:rsidR="002A6E19">
        <w:rPr>
          <w:rFonts w:hint="cs"/>
          <w:rtl/>
        </w:rPr>
        <w:t>,</w:t>
      </w:r>
      <w:r w:rsidR="0022635B">
        <w:rPr>
          <w:rFonts w:hint="cs"/>
          <w:rtl/>
        </w:rPr>
        <w:t xml:space="preserve"> </w:t>
      </w:r>
      <w:r w:rsidR="00E17CB6">
        <w:rPr>
          <w:rFonts w:hint="cs"/>
          <w:rtl/>
        </w:rPr>
        <w:t>ציין בית הדין</w:t>
      </w:r>
      <w:r w:rsidR="00605F10">
        <w:rPr>
          <w:rFonts w:hint="cs"/>
          <w:rtl/>
        </w:rPr>
        <w:t xml:space="preserve"> שלמערער עבר משמעתי </w:t>
      </w:r>
      <w:r w:rsidR="002A6E19">
        <w:rPr>
          <w:rFonts w:hint="cs"/>
          <w:rtl/>
        </w:rPr>
        <w:t>זניח,</w:t>
      </w:r>
      <w:r w:rsidR="00605F10">
        <w:rPr>
          <w:rFonts w:hint="cs"/>
          <w:rtl/>
        </w:rPr>
        <w:t xml:space="preserve"> ואין </w:t>
      </w:r>
      <w:r w:rsidR="00BA089E">
        <w:rPr>
          <w:rFonts w:hint="cs"/>
          <w:rtl/>
        </w:rPr>
        <w:t xml:space="preserve">לחובתו </w:t>
      </w:r>
      <w:r w:rsidR="00605F10">
        <w:rPr>
          <w:rFonts w:hint="cs"/>
          <w:rtl/>
        </w:rPr>
        <w:t xml:space="preserve">הרשעות פליליות קודמות. </w:t>
      </w:r>
      <w:r w:rsidR="002A6E19">
        <w:rPr>
          <w:rFonts w:hint="cs"/>
          <w:rtl/>
        </w:rPr>
        <w:t xml:space="preserve">לצד השבחים שחלק לו כאמור הנפגע, ציינו גם </w:t>
      </w:r>
      <w:r w:rsidR="00605F10">
        <w:rPr>
          <w:rFonts w:hint="cs"/>
          <w:rtl/>
        </w:rPr>
        <w:t>מפקדיו</w:t>
      </w:r>
      <w:r w:rsidR="002A6E19">
        <w:rPr>
          <w:rFonts w:hint="cs"/>
          <w:rtl/>
        </w:rPr>
        <w:t xml:space="preserve">, </w:t>
      </w:r>
      <w:r w:rsidR="00BA089E">
        <w:rPr>
          <w:rFonts w:hint="cs"/>
          <w:rtl/>
        </w:rPr>
        <w:t xml:space="preserve">בהערכה </w:t>
      </w:r>
      <w:r w:rsidR="005750C1">
        <w:rPr>
          <w:rFonts w:hint="cs"/>
          <w:rtl/>
        </w:rPr>
        <w:t>רבה</w:t>
      </w:r>
      <w:r w:rsidR="002A6E19">
        <w:rPr>
          <w:rFonts w:hint="cs"/>
          <w:rtl/>
        </w:rPr>
        <w:t>,</w:t>
      </w:r>
      <w:r w:rsidR="005750C1">
        <w:rPr>
          <w:rFonts w:hint="cs"/>
          <w:rtl/>
        </w:rPr>
        <w:t xml:space="preserve"> </w:t>
      </w:r>
      <w:r w:rsidR="00BA089E">
        <w:rPr>
          <w:rFonts w:hint="cs"/>
          <w:rtl/>
        </w:rPr>
        <w:t xml:space="preserve">את תרומתו לשירות הצבאי ואת תכונותיו הטובות. הודגש כי המערער </w:t>
      </w:r>
      <w:r w:rsidR="00605F10">
        <w:rPr>
          <w:rFonts w:hint="cs"/>
          <w:rtl/>
        </w:rPr>
        <w:t>המשיך לתרום לביטחון המדינה לאחר שחרורו</w:t>
      </w:r>
      <w:r w:rsidR="00BA089E">
        <w:rPr>
          <w:rFonts w:hint="cs"/>
          <w:rtl/>
        </w:rPr>
        <w:t xml:space="preserve"> משירות סדיר</w:t>
      </w:r>
      <w:r w:rsidR="00605F10">
        <w:rPr>
          <w:rFonts w:hint="cs"/>
          <w:rtl/>
        </w:rPr>
        <w:t xml:space="preserve">, בלחימה </w:t>
      </w:r>
      <w:r w:rsidR="00BA089E">
        <w:rPr>
          <w:rFonts w:hint="cs"/>
          <w:rtl/>
        </w:rPr>
        <w:t xml:space="preserve">בשירות מילואים </w:t>
      </w:r>
      <w:r w:rsidR="00605F10">
        <w:rPr>
          <w:rFonts w:hint="cs"/>
          <w:rtl/>
        </w:rPr>
        <w:t xml:space="preserve">במשך תקופה ארוכה. </w:t>
      </w:r>
      <w:r w:rsidR="00BA089E">
        <w:rPr>
          <w:rFonts w:hint="cs"/>
          <w:rtl/>
        </w:rPr>
        <w:t>בית הדין עמד על כך ש</w:t>
      </w:r>
      <w:r w:rsidR="00605F10">
        <w:rPr>
          <w:rFonts w:hint="cs"/>
          <w:rtl/>
        </w:rPr>
        <w:t>ההליך התנהל ביעילות, ו</w:t>
      </w:r>
      <w:r w:rsidR="002D050C">
        <w:rPr>
          <w:rFonts w:hint="cs"/>
          <w:rtl/>
        </w:rPr>
        <w:t>ש</w:t>
      </w:r>
      <w:r w:rsidR="00605F10">
        <w:rPr>
          <w:rFonts w:hint="cs"/>
          <w:rtl/>
        </w:rPr>
        <w:t xml:space="preserve">ההגנה ויתרה על העדת הנפגע ועדים רבים נוספים. </w:t>
      </w:r>
      <w:r w:rsidR="00BA089E">
        <w:rPr>
          <w:rFonts w:hint="cs"/>
          <w:rtl/>
        </w:rPr>
        <w:t xml:space="preserve">בואר גם כי </w:t>
      </w:r>
      <w:r w:rsidR="00605F10">
        <w:rPr>
          <w:rFonts w:hint="cs"/>
          <w:rtl/>
        </w:rPr>
        <w:t xml:space="preserve">המערער הפגין לאורך כל ההליך תחושות אחריות וצער. מאז האירוע חלפו יותר משלוש שנים, וכתב האישום הוגש בשיהוי, כשנה </w:t>
      </w:r>
      <w:r w:rsidR="002A6E19">
        <w:rPr>
          <w:rFonts w:hint="cs"/>
          <w:rtl/>
        </w:rPr>
        <w:t xml:space="preserve">ומחצה </w:t>
      </w:r>
      <w:r w:rsidR="00605F10">
        <w:rPr>
          <w:rFonts w:hint="cs"/>
          <w:rtl/>
        </w:rPr>
        <w:t xml:space="preserve">לאחר האירוע. שיקול זה השפיע רבות על ההחלטה לא להטיל מאסר </w:t>
      </w:r>
      <w:r w:rsidR="005750C1">
        <w:rPr>
          <w:rFonts w:hint="cs"/>
          <w:rtl/>
        </w:rPr>
        <w:t xml:space="preserve">בפועל </w:t>
      </w:r>
      <w:r w:rsidR="00605F10">
        <w:rPr>
          <w:rFonts w:hint="cs"/>
          <w:rtl/>
        </w:rPr>
        <w:t>בעבודה צבאית. עוד עמד בית הדין על העונשים שהוטלו על סג"ם דניאל ועל סגן תומר</w:t>
      </w:r>
      <w:r w:rsidR="00B93741">
        <w:rPr>
          <w:rFonts w:hint="cs"/>
          <w:rtl/>
        </w:rPr>
        <w:t xml:space="preserve"> בבית הדין המחוזי</w:t>
      </w:r>
      <w:r w:rsidR="00605F10">
        <w:rPr>
          <w:rFonts w:hint="cs"/>
          <w:rtl/>
        </w:rPr>
        <w:t xml:space="preserve">, על כך שהמערער לבדו </w:t>
      </w:r>
      <w:r w:rsidR="005750C1">
        <w:rPr>
          <w:rFonts w:hint="cs"/>
          <w:rtl/>
        </w:rPr>
        <w:t xml:space="preserve">(במועד גזר הדין) </w:t>
      </w:r>
      <w:r w:rsidR="00605F10">
        <w:rPr>
          <w:rFonts w:hint="cs"/>
          <w:rtl/>
        </w:rPr>
        <w:t>הורשע בעבירה נושאת רישום פלילי</w:t>
      </w:r>
      <w:r w:rsidR="002A6E19">
        <w:rPr>
          <w:rFonts w:hint="cs"/>
          <w:rtl/>
        </w:rPr>
        <w:t xml:space="preserve"> (גם אם מופחת)</w:t>
      </w:r>
      <w:r w:rsidR="00605F10">
        <w:rPr>
          <w:rFonts w:hint="cs"/>
          <w:rtl/>
        </w:rPr>
        <w:t xml:space="preserve">, על כך שהחל להשתלב בחיים </w:t>
      </w:r>
      <w:r w:rsidR="00B93741">
        <w:rPr>
          <w:rFonts w:hint="cs"/>
          <w:rtl/>
        </w:rPr>
        <w:t>"</w:t>
      </w:r>
      <w:r w:rsidR="00605F10">
        <w:rPr>
          <w:rFonts w:hint="cs"/>
          <w:rtl/>
        </w:rPr>
        <w:t>האזרחיים</w:t>
      </w:r>
      <w:r w:rsidR="00B93741">
        <w:rPr>
          <w:rFonts w:hint="cs"/>
          <w:rtl/>
        </w:rPr>
        <w:t>"</w:t>
      </w:r>
      <w:r w:rsidR="00605F10">
        <w:rPr>
          <w:rFonts w:hint="cs"/>
          <w:rtl/>
        </w:rPr>
        <w:t>, ועל כך ש</w:t>
      </w:r>
      <w:r w:rsidR="005750C1">
        <w:rPr>
          <w:rFonts w:hint="cs"/>
          <w:rtl/>
        </w:rPr>
        <w:t xml:space="preserve">עקב הפרשה </w:t>
      </w:r>
      <w:r w:rsidR="00605F10">
        <w:rPr>
          <w:rFonts w:hint="cs"/>
          <w:rtl/>
        </w:rPr>
        <w:t xml:space="preserve">קידומו </w:t>
      </w:r>
      <w:r w:rsidR="005750C1">
        <w:rPr>
          <w:rFonts w:hint="cs"/>
          <w:rtl/>
        </w:rPr>
        <w:t xml:space="preserve">בדרגה </w:t>
      </w:r>
      <w:r w:rsidR="00605F10">
        <w:rPr>
          <w:rFonts w:hint="cs"/>
          <w:rtl/>
        </w:rPr>
        <w:t xml:space="preserve">עוכב. </w:t>
      </w:r>
    </w:p>
    <w:p w14:paraId="2D34FE6D" w14:textId="77777777" w:rsidR="00605F10" w:rsidRDefault="00605F10" w:rsidP="005378FB">
      <w:pPr>
        <w:pStyle w:val="ListParagraph"/>
        <w:numPr>
          <w:ilvl w:val="0"/>
          <w:numId w:val="1"/>
        </w:numPr>
        <w:spacing w:after="240"/>
      </w:pPr>
      <w:r>
        <w:rPr>
          <w:rFonts w:hint="cs"/>
          <w:rtl/>
        </w:rPr>
        <w:t>בסופו של דבר הוטלו על</w:t>
      </w:r>
      <w:r w:rsidR="005750C1">
        <w:rPr>
          <w:rFonts w:hint="cs"/>
          <w:rtl/>
        </w:rPr>
        <w:t xml:space="preserve"> המערער</w:t>
      </w:r>
      <w:r>
        <w:rPr>
          <w:rFonts w:hint="cs"/>
          <w:rtl/>
        </w:rPr>
        <w:t xml:space="preserve"> 60 ימי מאסר על תנאי ל</w:t>
      </w:r>
      <w:r w:rsidR="00B93741">
        <w:rPr>
          <w:rFonts w:hint="cs"/>
          <w:rtl/>
        </w:rPr>
        <w:t xml:space="preserve">משך </w:t>
      </w:r>
      <w:r>
        <w:rPr>
          <w:rFonts w:hint="cs"/>
          <w:rtl/>
        </w:rPr>
        <w:t>שלוש שנים לבל יעבור עבירה שיש בה יסוד של רשלנות בנסיבות שבהן אדם נפגע</w:t>
      </w:r>
      <w:r w:rsidR="002D050C">
        <w:rPr>
          <w:rFonts w:hint="cs"/>
          <w:rtl/>
        </w:rPr>
        <w:t>,</w:t>
      </w:r>
      <w:r w:rsidR="002A6E19">
        <w:rPr>
          <w:rFonts w:hint="cs"/>
          <w:rtl/>
        </w:rPr>
        <w:t xml:space="preserve"> ו</w:t>
      </w:r>
      <w:r w:rsidR="00B93741">
        <w:rPr>
          <w:rFonts w:hint="cs"/>
          <w:rtl/>
        </w:rPr>
        <w:t>הורדה לדרגת רב"ט</w:t>
      </w:r>
      <w:r w:rsidR="002A6E19">
        <w:rPr>
          <w:rFonts w:hint="cs"/>
          <w:rtl/>
        </w:rPr>
        <w:t>. ל</w:t>
      </w:r>
      <w:r w:rsidR="002D050C">
        <w:rPr>
          <w:rFonts w:hint="cs"/>
          <w:rtl/>
        </w:rPr>
        <w:t xml:space="preserve">טובת </w:t>
      </w:r>
      <w:r w:rsidR="002A6E19">
        <w:rPr>
          <w:rFonts w:hint="cs"/>
          <w:rtl/>
        </w:rPr>
        <w:t xml:space="preserve">נפגע העבירה נפסקו פיצויים בסך </w:t>
      </w:r>
      <w:r>
        <w:rPr>
          <w:rFonts w:hint="cs"/>
          <w:rtl/>
        </w:rPr>
        <w:t>2,000 ש"ח.</w:t>
      </w:r>
    </w:p>
    <w:p w14:paraId="651172E3" w14:textId="77777777" w:rsidR="0004496B" w:rsidRDefault="00B93741" w:rsidP="0060359E">
      <w:pPr>
        <w:pStyle w:val="Heading2"/>
      </w:pPr>
      <w:r>
        <w:rPr>
          <w:rFonts w:hint="cs"/>
          <w:rtl/>
        </w:rPr>
        <w:t xml:space="preserve">תמצית </w:t>
      </w:r>
      <w:r w:rsidR="0004496B">
        <w:rPr>
          <w:rFonts w:hint="cs"/>
          <w:rtl/>
        </w:rPr>
        <w:t>טענ</w:t>
      </w:r>
      <w:r w:rsidR="0060359E">
        <w:rPr>
          <w:rFonts w:hint="cs"/>
          <w:rtl/>
        </w:rPr>
        <w:t>ות</w:t>
      </w:r>
      <w:r w:rsidR="0004496B">
        <w:rPr>
          <w:rFonts w:hint="cs"/>
          <w:rtl/>
        </w:rPr>
        <w:t xml:space="preserve"> הצדדים</w:t>
      </w:r>
    </w:p>
    <w:p w14:paraId="69715FC1" w14:textId="77777777" w:rsidR="0013708B" w:rsidRPr="0013708B" w:rsidRDefault="00987920" w:rsidP="00267E8E">
      <w:pPr>
        <w:pStyle w:val="ListParagraph"/>
        <w:numPr>
          <w:ilvl w:val="0"/>
          <w:numId w:val="1"/>
        </w:numPr>
      </w:pPr>
      <w:r w:rsidRPr="0013708B">
        <w:rPr>
          <w:rFonts w:hint="cs"/>
          <w:rtl/>
        </w:rPr>
        <w:t xml:space="preserve">התביעה </w:t>
      </w:r>
      <w:r w:rsidR="00C57C25" w:rsidRPr="0013708B">
        <w:rPr>
          <w:rFonts w:hint="cs"/>
          <w:rtl/>
        </w:rPr>
        <w:t xml:space="preserve">עתרה </w:t>
      </w:r>
      <w:r w:rsidR="00685550" w:rsidRPr="0013708B">
        <w:rPr>
          <w:rFonts w:hint="cs"/>
          <w:rtl/>
        </w:rPr>
        <w:t xml:space="preserve">להחמיר </w:t>
      </w:r>
      <w:r w:rsidR="005E6632" w:rsidRPr="0013708B">
        <w:rPr>
          <w:rFonts w:hint="cs"/>
          <w:rtl/>
        </w:rPr>
        <w:t>ב</w:t>
      </w:r>
      <w:r w:rsidR="00685550" w:rsidRPr="0013708B">
        <w:rPr>
          <w:rFonts w:hint="cs"/>
          <w:rtl/>
        </w:rPr>
        <w:t>עונשו של המערער</w:t>
      </w:r>
      <w:r w:rsidR="0013708B" w:rsidRPr="0013708B">
        <w:rPr>
          <w:rFonts w:hint="cs"/>
          <w:rtl/>
        </w:rPr>
        <w:t xml:space="preserve"> ואף להגדיל את שיעור הפיצויים לנפגע</w:t>
      </w:r>
      <w:r w:rsidR="00685550" w:rsidRPr="0013708B">
        <w:rPr>
          <w:rFonts w:hint="cs"/>
          <w:rtl/>
        </w:rPr>
        <w:t xml:space="preserve">. </w:t>
      </w:r>
    </w:p>
    <w:p w14:paraId="3D736187" w14:textId="77777777" w:rsidR="005E6632" w:rsidRPr="0013708B" w:rsidRDefault="005E6632" w:rsidP="00267E8E">
      <w:pPr>
        <w:pStyle w:val="ListParagraph"/>
        <w:numPr>
          <w:ilvl w:val="0"/>
          <w:numId w:val="1"/>
        </w:numPr>
      </w:pPr>
      <w:r w:rsidRPr="0013708B">
        <w:rPr>
          <w:rFonts w:hint="cs"/>
          <w:rtl/>
        </w:rPr>
        <w:t xml:space="preserve">נטען כי יש לגלם בעונשו של המערער </w:t>
      </w:r>
      <w:r w:rsidRPr="0013708B">
        <w:rPr>
          <w:rtl/>
        </w:rPr>
        <w:t xml:space="preserve">מסר חינוכי וערכי, אשר ידגיש </w:t>
      </w:r>
      <w:r w:rsidRPr="0013708B">
        <w:rPr>
          <w:rFonts w:hint="cs"/>
          <w:rtl/>
        </w:rPr>
        <w:t xml:space="preserve">את </w:t>
      </w:r>
      <w:r w:rsidRPr="0013708B">
        <w:rPr>
          <w:rtl/>
        </w:rPr>
        <w:t xml:space="preserve">נורמות </w:t>
      </w:r>
      <w:r w:rsidRPr="0013708B">
        <w:rPr>
          <w:rFonts w:hint="cs"/>
          <w:rtl/>
        </w:rPr>
        <w:t>ה</w:t>
      </w:r>
      <w:r w:rsidRPr="0013708B">
        <w:rPr>
          <w:rtl/>
        </w:rPr>
        <w:t xml:space="preserve">התנהגות </w:t>
      </w:r>
      <w:r w:rsidRPr="0013708B">
        <w:rPr>
          <w:rFonts w:hint="cs"/>
          <w:rtl/>
        </w:rPr>
        <w:t>ה</w:t>
      </w:r>
      <w:r w:rsidRPr="0013708B">
        <w:rPr>
          <w:rtl/>
        </w:rPr>
        <w:t>ראויות וי</w:t>
      </w:r>
      <w:r w:rsidRPr="0013708B">
        <w:rPr>
          <w:rFonts w:hint="cs"/>
          <w:rtl/>
        </w:rPr>
        <w:t xml:space="preserve">בטא </w:t>
      </w:r>
      <w:r w:rsidRPr="0013708B">
        <w:rPr>
          <w:rtl/>
        </w:rPr>
        <w:t>את האחריות המוטלת על מפקד כלפי פקודו</w:t>
      </w:r>
      <w:r w:rsidRPr="0013708B">
        <w:rPr>
          <w:rFonts w:hint="cs"/>
          <w:rtl/>
        </w:rPr>
        <w:t xml:space="preserve"> במקרים של סכנה </w:t>
      </w:r>
      <w:r w:rsidR="00F46B61" w:rsidRPr="0013708B">
        <w:rPr>
          <w:rFonts w:hint="cs"/>
          <w:rtl/>
        </w:rPr>
        <w:t>ל</w:t>
      </w:r>
      <w:r w:rsidRPr="0013708B">
        <w:rPr>
          <w:rFonts w:hint="cs"/>
          <w:rtl/>
        </w:rPr>
        <w:t>אובדנ</w:t>
      </w:r>
      <w:r w:rsidR="00F46B61" w:rsidRPr="0013708B">
        <w:rPr>
          <w:rFonts w:hint="cs"/>
          <w:rtl/>
        </w:rPr>
        <w:t>ו</w:t>
      </w:r>
      <w:r w:rsidRPr="0013708B">
        <w:rPr>
          <w:rFonts w:hint="cs"/>
          <w:rtl/>
        </w:rPr>
        <w:t>ת</w:t>
      </w:r>
      <w:r w:rsidRPr="0013708B">
        <w:rPr>
          <w:rtl/>
        </w:rPr>
        <w:t>.</w:t>
      </w:r>
      <w:r w:rsidR="00F46B61" w:rsidRPr="0013708B">
        <w:rPr>
          <w:rFonts w:hint="cs"/>
          <w:rtl/>
        </w:rPr>
        <w:t xml:space="preserve"> </w:t>
      </w:r>
      <w:r w:rsidRPr="0013708B">
        <w:rPr>
          <w:rFonts w:hint="cs"/>
          <w:rtl/>
        </w:rPr>
        <w:t xml:space="preserve">התביעה הדגישה </w:t>
      </w:r>
      <w:r w:rsidRPr="0013708B">
        <w:rPr>
          <w:rtl/>
        </w:rPr>
        <w:t>כי ה</w:t>
      </w:r>
      <w:r w:rsidRPr="0013708B">
        <w:rPr>
          <w:rFonts w:hint="cs"/>
          <w:rtl/>
        </w:rPr>
        <w:t xml:space="preserve">מערער </w:t>
      </w:r>
      <w:r w:rsidRPr="0013708B">
        <w:rPr>
          <w:rtl/>
        </w:rPr>
        <w:t>התרשל במילוי תפקידו</w:t>
      </w:r>
      <w:r w:rsidRPr="0013708B">
        <w:rPr>
          <w:rFonts w:hint="cs"/>
          <w:rtl/>
        </w:rPr>
        <w:t xml:space="preserve"> אף </w:t>
      </w:r>
      <w:r w:rsidRPr="0013708B">
        <w:rPr>
          <w:rtl/>
        </w:rPr>
        <w:t xml:space="preserve">שהיה מודע היטב לסיכון המוגבר שנשקף </w:t>
      </w:r>
      <w:r w:rsidR="00F46B61" w:rsidRPr="0013708B">
        <w:rPr>
          <w:rFonts w:hint="cs"/>
          <w:rtl/>
        </w:rPr>
        <w:t>ל</w:t>
      </w:r>
      <w:r w:rsidRPr="0013708B">
        <w:rPr>
          <w:rtl/>
        </w:rPr>
        <w:t>נפגע העבירה</w:t>
      </w:r>
      <w:r w:rsidRPr="0013708B">
        <w:rPr>
          <w:b/>
          <w:bCs/>
          <w:rtl/>
        </w:rPr>
        <w:t xml:space="preserve"> </w:t>
      </w:r>
      <w:r w:rsidRPr="0013708B">
        <w:rPr>
          <w:rtl/>
        </w:rPr>
        <w:t>ל</w:t>
      </w:r>
      <w:r w:rsidRPr="0013708B">
        <w:rPr>
          <w:rFonts w:hint="cs"/>
          <w:rtl/>
        </w:rPr>
        <w:t xml:space="preserve">נוכח </w:t>
      </w:r>
      <w:r w:rsidRPr="0013708B">
        <w:rPr>
          <w:rtl/>
        </w:rPr>
        <w:t>מצבו הנפשי</w:t>
      </w:r>
      <w:r w:rsidRPr="0013708B">
        <w:rPr>
          <w:rFonts w:hint="cs"/>
          <w:rtl/>
        </w:rPr>
        <w:t xml:space="preserve">; וכי בתוך כך </w:t>
      </w:r>
      <w:r w:rsidRPr="0013708B">
        <w:rPr>
          <w:rtl/>
        </w:rPr>
        <w:t xml:space="preserve">הפר </w:t>
      </w:r>
      <w:r w:rsidRPr="0013708B">
        <w:rPr>
          <w:rFonts w:hint="cs"/>
          <w:rtl/>
        </w:rPr>
        <w:t xml:space="preserve">במספר הזדמנויות </w:t>
      </w:r>
      <w:r w:rsidRPr="0013708B">
        <w:rPr>
          <w:rtl/>
        </w:rPr>
        <w:t>פקודות ישירות שנועדו להגן על חיי אדם</w:t>
      </w:r>
      <w:r w:rsidRPr="0013708B">
        <w:rPr>
          <w:rFonts w:hint="cs"/>
          <w:rtl/>
        </w:rPr>
        <w:t>.</w:t>
      </w:r>
      <w:r w:rsidRPr="0013708B">
        <w:rPr>
          <w:rtl/>
        </w:rPr>
        <w:t xml:space="preserve"> ל</w:t>
      </w:r>
      <w:r w:rsidRPr="0013708B">
        <w:rPr>
          <w:rFonts w:hint="cs"/>
          <w:rtl/>
        </w:rPr>
        <w:t xml:space="preserve">שיטת </w:t>
      </w:r>
      <w:r w:rsidRPr="0013708B">
        <w:rPr>
          <w:rtl/>
        </w:rPr>
        <w:t xml:space="preserve">התביעה, </w:t>
      </w:r>
      <w:r w:rsidRPr="0013708B">
        <w:rPr>
          <w:rFonts w:hint="cs"/>
          <w:rtl/>
        </w:rPr>
        <w:t xml:space="preserve">יש </w:t>
      </w:r>
      <w:r w:rsidRPr="0013708B">
        <w:rPr>
          <w:rtl/>
        </w:rPr>
        <w:t>לקבוע מתחם ע</w:t>
      </w:r>
      <w:r w:rsidRPr="0013708B">
        <w:rPr>
          <w:rFonts w:hint="cs"/>
          <w:rtl/>
        </w:rPr>
        <w:t xml:space="preserve">ונש הולם </w:t>
      </w:r>
      <w:r w:rsidR="00F46B61" w:rsidRPr="0013708B">
        <w:rPr>
          <w:rFonts w:hint="cs"/>
          <w:rtl/>
        </w:rPr>
        <w:t xml:space="preserve">של מאסר בפועל </w:t>
      </w:r>
      <w:r w:rsidR="002D050C">
        <w:rPr>
          <w:rFonts w:hint="cs"/>
          <w:rtl/>
        </w:rPr>
        <w:t xml:space="preserve">שאורכו </w:t>
      </w:r>
      <w:r w:rsidRPr="0013708B">
        <w:rPr>
          <w:rtl/>
        </w:rPr>
        <w:t xml:space="preserve">בין </w:t>
      </w:r>
      <w:r w:rsidRPr="0013708B">
        <w:rPr>
          <w:rFonts w:hint="cs"/>
          <w:rtl/>
        </w:rPr>
        <w:t xml:space="preserve">מספר </w:t>
      </w:r>
      <w:r w:rsidRPr="0013708B">
        <w:rPr>
          <w:rtl/>
        </w:rPr>
        <w:t>שבועות ועד מספר חודשי</w:t>
      </w:r>
      <w:r w:rsidR="00F46B61" w:rsidRPr="0013708B">
        <w:rPr>
          <w:rFonts w:hint="cs"/>
          <w:rtl/>
        </w:rPr>
        <w:t>ם</w:t>
      </w:r>
      <w:r w:rsidRPr="0013708B">
        <w:rPr>
          <w:rtl/>
        </w:rPr>
        <w:t xml:space="preserve">, </w:t>
      </w:r>
      <w:r w:rsidR="002D050C">
        <w:rPr>
          <w:rFonts w:hint="cs"/>
          <w:rtl/>
        </w:rPr>
        <w:t>ו</w:t>
      </w:r>
      <w:r w:rsidRPr="0013708B">
        <w:rPr>
          <w:rFonts w:hint="cs"/>
          <w:rtl/>
        </w:rPr>
        <w:t xml:space="preserve">לטעמה </w:t>
      </w:r>
      <w:r w:rsidRPr="0013708B">
        <w:rPr>
          <w:rtl/>
        </w:rPr>
        <w:t xml:space="preserve">ניתן </w:t>
      </w:r>
      <w:r w:rsidRPr="0013708B">
        <w:rPr>
          <w:rFonts w:hint="cs"/>
          <w:rtl/>
        </w:rPr>
        <w:t xml:space="preserve">להורות כי המערער יישא אותו </w:t>
      </w:r>
      <w:r w:rsidRPr="0013708B">
        <w:rPr>
          <w:rtl/>
        </w:rPr>
        <w:t>ב</w:t>
      </w:r>
      <w:r w:rsidRPr="0013708B">
        <w:rPr>
          <w:rFonts w:hint="cs"/>
          <w:rtl/>
        </w:rPr>
        <w:t xml:space="preserve">דרך של </w:t>
      </w:r>
      <w:r w:rsidRPr="0013708B">
        <w:rPr>
          <w:rtl/>
        </w:rPr>
        <w:t>עבוד</w:t>
      </w:r>
      <w:r w:rsidRPr="0013708B">
        <w:rPr>
          <w:rFonts w:hint="cs"/>
          <w:rtl/>
        </w:rPr>
        <w:t xml:space="preserve">ה </w:t>
      </w:r>
      <w:r w:rsidRPr="0013708B">
        <w:rPr>
          <w:rtl/>
        </w:rPr>
        <w:t xml:space="preserve">צבאית, </w:t>
      </w:r>
      <w:r w:rsidRPr="0013708B">
        <w:rPr>
          <w:rFonts w:hint="cs"/>
          <w:rtl/>
        </w:rPr>
        <w:t xml:space="preserve">לצד </w:t>
      </w:r>
      <w:r w:rsidRPr="0013708B">
        <w:rPr>
          <w:rtl/>
        </w:rPr>
        <w:t>מאסר על תנאי</w:t>
      </w:r>
      <w:r w:rsidR="0013708B" w:rsidRPr="0013708B">
        <w:rPr>
          <w:rFonts w:hint="cs"/>
          <w:rtl/>
        </w:rPr>
        <w:t xml:space="preserve"> ו</w:t>
      </w:r>
      <w:r w:rsidRPr="0013708B">
        <w:rPr>
          <w:rtl/>
        </w:rPr>
        <w:t>הורדה לדרגת טוראי</w:t>
      </w:r>
      <w:r w:rsidR="0013708B" w:rsidRPr="0013708B">
        <w:rPr>
          <w:rFonts w:hint="cs"/>
          <w:rtl/>
        </w:rPr>
        <w:t xml:space="preserve">. </w:t>
      </w:r>
    </w:p>
    <w:p w14:paraId="0E715FE6" w14:textId="77777777" w:rsidR="0013708B" w:rsidRPr="0013708B" w:rsidRDefault="005E6632" w:rsidP="00267E8E">
      <w:pPr>
        <w:pStyle w:val="ListParagraph"/>
        <w:numPr>
          <w:ilvl w:val="0"/>
          <w:numId w:val="1"/>
        </w:numPr>
      </w:pPr>
      <w:r w:rsidRPr="0013708B">
        <w:rPr>
          <w:rFonts w:hint="cs"/>
          <w:rtl/>
        </w:rPr>
        <w:t xml:space="preserve">בתוך מתחם העונש ההולם, עתרה התביעה למקם את עונשו של המערער </w:t>
      </w:r>
      <w:r w:rsidRPr="0013708B">
        <w:rPr>
          <w:rtl/>
        </w:rPr>
        <w:t>בחלקו התחתון של המתחם, אך לא בתחתיתו ממש</w:t>
      </w:r>
      <w:r w:rsidR="00103277" w:rsidRPr="0013708B">
        <w:rPr>
          <w:rFonts w:hint="cs"/>
          <w:rtl/>
        </w:rPr>
        <w:t xml:space="preserve">, לנוכח </w:t>
      </w:r>
      <w:r w:rsidRPr="0013708B">
        <w:rPr>
          <w:rtl/>
        </w:rPr>
        <w:t xml:space="preserve">היעדר נסיבות חריגות </w:t>
      </w:r>
      <w:r w:rsidR="00103277" w:rsidRPr="0013708B">
        <w:rPr>
          <w:rFonts w:hint="cs"/>
          <w:rtl/>
        </w:rPr>
        <w:t>ה</w:t>
      </w:r>
      <w:r w:rsidRPr="0013708B">
        <w:rPr>
          <w:rtl/>
        </w:rPr>
        <w:t>מצדיקות הקלה משמעותית בעונש, ו</w:t>
      </w:r>
      <w:r w:rsidR="00103277" w:rsidRPr="0013708B">
        <w:rPr>
          <w:rFonts w:hint="cs"/>
          <w:rtl/>
        </w:rPr>
        <w:t xml:space="preserve">מכיוון שהמערער </w:t>
      </w:r>
      <w:r w:rsidRPr="0013708B">
        <w:rPr>
          <w:rtl/>
        </w:rPr>
        <w:t xml:space="preserve">בחר לנהל את ההליך </w:t>
      </w:r>
      <w:r w:rsidR="00103277" w:rsidRPr="0013708B">
        <w:rPr>
          <w:rFonts w:hint="cs"/>
          <w:rtl/>
        </w:rPr>
        <w:t xml:space="preserve">ולא </w:t>
      </w:r>
      <w:r w:rsidR="002D050C">
        <w:rPr>
          <w:rFonts w:hint="cs"/>
          <w:rtl/>
        </w:rPr>
        <w:t>קיבל</w:t>
      </w:r>
      <w:r w:rsidR="002D050C" w:rsidRPr="0013708B">
        <w:rPr>
          <w:rFonts w:hint="cs"/>
          <w:rtl/>
        </w:rPr>
        <w:t xml:space="preserve"> </w:t>
      </w:r>
      <w:r w:rsidR="00103277" w:rsidRPr="0013708B">
        <w:rPr>
          <w:rFonts w:hint="cs"/>
          <w:rtl/>
        </w:rPr>
        <w:t>אחריות למעשיו</w:t>
      </w:r>
      <w:r w:rsidRPr="0013708B">
        <w:rPr>
          <w:rtl/>
        </w:rPr>
        <w:t xml:space="preserve">. </w:t>
      </w:r>
      <w:r w:rsidR="0013708B" w:rsidRPr="0013708B">
        <w:rPr>
          <w:rFonts w:hint="cs"/>
          <w:rtl/>
        </w:rPr>
        <w:t>נטען בהתאם כי ראוי להשית על המערער חודשיים מאסר בפועל בעבודה צבאית, וכן להורידו לדרגת טוראי.</w:t>
      </w:r>
    </w:p>
    <w:p w14:paraId="2E78A497" w14:textId="77777777" w:rsidR="005E6632" w:rsidRPr="0013708B" w:rsidRDefault="0013708B" w:rsidP="00267E8E">
      <w:pPr>
        <w:pStyle w:val="ListParagraph"/>
        <w:numPr>
          <w:ilvl w:val="0"/>
          <w:numId w:val="1"/>
        </w:numPr>
      </w:pPr>
      <w:r w:rsidRPr="0013708B">
        <w:rPr>
          <w:rFonts w:hint="cs"/>
          <w:rtl/>
        </w:rPr>
        <w:t>התביעה עתרה גם להגדיל את סכום הפיצויים לנפגע</w:t>
      </w:r>
      <w:r w:rsidR="002D050C">
        <w:rPr>
          <w:rFonts w:hint="cs"/>
          <w:rtl/>
        </w:rPr>
        <w:t>,</w:t>
      </w:r>
      <w:r w:rsidRPr="0013708B">
        <w:rPr>
          <w:rFonts w:hint="cs"/>
          <w:rtl/>
        </w:rPr>
        <w:t xml:space="preserve"> לנוכח הפגיעה הקשה שנגרמה לו.  </w:t>
      </w:r>
    </w:p>
    <w:p w14:paraId="654F0ADF" w14:textId="77777777" w:rsidR="0013708B" w:rsidRPr="0013708B" w:rsidRDefault="00C57C25" w:rsidP="00267E8E">
      <w:pPr>
        <w:pStyle w:val="ListParagraph"/>
        <w:numPr>
          <w:ilvl w:val="0"/>
          <w:numId w:val="1"/>
        </w:numPr>
      </w:pPr>
      <w:r w:rsidRPr="0013708B">
        <w:rPr>
          <w:rFonts w:hint="cs"/>
          <w:rtl/>
        </w:rPr>
        <w:t>ההגנה, מצידה, עתרה שלא להתערב בעונשו של המערער, בהמשך לטענותיה בנוגע לאכיפה בררנית והסעד בעקבותיה</w:t>
      </w:r>
      <w:r w:rsidR="0013708B">
        <w:rPr>
          <w:rFonts w:hint="cs"/>
          <w:rtl/>
        </w:rPr>
        <w:t xml:space="preserve">. ההגנה הדגישה אף </w:t>
      </w:r>
      <w:r w:rsidR="001B6D61">
        <w:rPr>
          <w:rFonts w:hint="cs"/>
          <w:rtl/>
        </w:rPr>
        <w:t xml:space="preserve">את היותו של המערער חייל בשירות </w:t>
      </w:r>
      <w:r w:rsidR="001B6D61">
        <w:rPr>
          <w:rFonts w:hint="cs"/>
          <w:rtl/>
        </w:rPr>
        <w:lastRenderedPageBreak/>
        <w:t xml:space="preserve">חובה בעת האירוע, </w:t>
      </w:r>
      <w:r w:rsidR="0013708B">
        <w:rPr>
          <w:rFonts w:hint="cs"/>
          <w:rtl/>
        </w:rPr>
        <w:t xml:space="preserve">את </w:t>
      </w:r>
      <w:r w:rsidRPr="0013708B">
        <w:rPr>
          <w:rFonts w:hint="cs"/>
          <w:rtl/>
        </w:rPr>
        <w:t>חלוף הזמן</w:t>
      </w:r>
      <w:r w:rsidR="0013708B">
        <w:rPr>
          <w:rFonts w:hint="cs"/>
          <w:rtl/>
        </w:rPr>
        <w:t xml:space="preserve">, </w:t>
      </w:r>
      <w:r w:rsidR="002D050C">
        <w:rPr>
          <w:rFonts w:hint="cs"/>
          <w:rtl/>
        </w:rPr>
        <w:t xml:space="preserve">את </w:t>
      </w:r>
      <w:r w:rsidR="0013708B">
        <w:rPr>
          <w:rFonts w:hint="cs"/>
          <w:rtl/>
        </w:rPr>
        <w:t>העיכוב שחל בהעלאת המערער בדרגה לנוכח ההליך בעניינו</w:t>
      </w:r>
      <w:r w:rsidR="002D050C">
        <w:rPr>
          <w:rFonts w:hint="cs"/>
          <w:rtl/>
        </w:rPr>
        <w:t>,</w:t>
      </w:r>
      <w:r w:rsidR="0013708B">
        <w:rPr>
          <w:rFonts w:hint="cs"/>
          <w:rtl/>
        </w:rPr>
        <w:t xml:space="preserve"> </w:t>
      </w:r>
      <w:r w:rsidRPr="0013708B">
        <w:rPr>
          <w:rFonts w:hint="cs"/>
          <w:rtl/>
        </w:rPr>
        <w:t>ו</w:t>
      </w:r>
      <w:r w:rsidR="002D050C">
        <w:rPr>
          <w:rFonts w:hint="cs"/>
          <w:rtl/>
        </w:rPr>
        <w:t xml:space="preserve">את </w:t>
      </w:r>
      <w:r w:rsidRPr="0013708B">
        <w:rPr>
          <w:rFonts w:hint="cs"/>
          <w:rtl/>
        </w:rPr>
        <w:t xml:space="preserve">תרומתו הרבה בלחימה מסוכנת בשירות סדיר ובשירות מילואים. </w:t>
      </w:r>
    </w:p>
    <w:p w14:paraId="2460FAEF" w14:textId="77777777" w:rsidR="00C57C25" w:rsidRPr="0013708B" w:rsidRDefault="0013708B" w:rsidP="00267E8E">
      <w:pPr>
        <w:pStyle w:val="ListParagraph"/>
        <w:numPr>
          <w:ilvl w:val="0"/>
          <w:numId w:val="1"/>
        </w:numPr>
      </w:pPr>
      <w:r>
        <w:rPr>
          <w:rFonts w:hint="cs"/>
          <w:rtl/>
        </w:rPr>
        <w:t>ההגנה התנגד</w:t>
      </w:r>
      <w:r w:rsidR="002D050C">
        <w:rPr>
          <w:rFonts w:hint="cs"/>
          <w:rtl/>
        </w:rPr>
        <w:t>ה</w:t>
      </w:r>
      <w:r>
        <w:rPr>
          <w:rFonts w:hint="cs"/>
          <w:rtl/>
        </w:rPr>
        <w:t xml:space="preserve"> גם להגדיל את סכום הפיצויים, בין היתר, בשים לב לזכאותו של הנפגע לפיצוי ממקורות אחרים ואף לחלקו באירוע. </w:t>
      </w:r>
    </w:p>
    <w:p w14:paraId="37876835" w14:textId="77777777" w:rsidR="0060359E" w:rsidRDefault="0060359E" w:rsidP="0060359E">
      <w:pPr>
        <w:pStyle w:val="Heading2"/>
      </w:pPr>
      <w:r>
        <w:rPr>
          <w:rFonts w:hint="cs"/>
          <w:rtl/>
        </w:rPr>
        <w:t>דיון והכרעה</w:t>
      </w:r>
    </w:p>
    <w:p w14:paraId="60B59ABC" w14:textId="77777777" w:rsidR="007C1AC7" w:rsidRDefault="00583780" w:rsidP="00267E8E">
      <w:pPr>
        <w:pStyle w:val="ListParagraph"/>
        <w:numPr>
          <w:ilvl w:val="0"/>
          <w:numId w:val="1"/>
        </w:numPr>
      </w:pPr>
      <w:r>
        <w:rPr>
          <w:rFonts w:hint="cs"/>
          <w:rtl/>
        </w:rPr>
        <w:t xml:space="preserve">כידוע, ערכאת הערעור לא תתערב בעונש שהערכאה הדיונית פסקה, אלא במקרים חריגים שבהם נפלה טעות מהותית בגזר הדין או סטייה ניכרת ממדיניות הענישה הנוהגת (ע"פ </w:t>
      </w:r>
      <w:r w:rsidR="004118B2">
        <w:rPr>
          <w:rFonts w:hint="cs"/>
          <w:rtl/>
        </w:rPr>
        <w:t>288</w:t>
      </w:r>
      <w:r>
        <w:rPr>
          <w:rFonts w:hint="cs"/>
          <w:rtl/>
        </w:rPr>
        <w:t xml:space="preserve">/24 </w:t>
      </w:r>
      <w:r w:rsidR="004118B2" w:rsidRPr="005743A5">
        <w:rPr>
          <w:rFonts w:hint="cs"/>
          <w:b/>
          <w:bCs/>
          <w:rtl/>
        </w:rPr>
        <w:t xml:space="preserve">פלוני </w:t>
      </w:r>
      <w:r w:rsidRPr="005743A5">
        <w:rPr>
          <w:rFonts w:hint="cs"/>
          <w:b/>
          <w:bCs/>
          <w:rtl/>
        </w:rPr>
        <w:t>נ' מדינת ישראל</w:t>
      </w:r>
      <w:r>
        <w:rPr>
          <w:rFonts w:hint="cs"/>
          <w:rtl/>
        </w:rPr>
        <w:t>, פסקה 1</w:t>
      </w:r>
      <w:r w:rsidR="004118B2">
        <w:rPr>
          <w:rFonts w:hint="cs"/>
          <w:rtl/>
        </w:rPr>
        <w:t>0</w:t>
      </w:r>
      <w:r>
        <w:rPr>
          <w:rFonts w:hint="cs"/>
          <w:rtl/>
        </w:rPr>
        <w:t xml:space="preserve"> (</w:t>
      </w:r>
      <w:r w:rsidR="004118B2">
        <w:rPr>
          <w:rFonts w:hint="cs"/>
          <w:rtl/>
        </w:rPr>
        <w:t>18</w:t>
      </w:r>
      <w:r>
        <w:rPr>
          <w:rFonts w:hint="cs"/>
          <w:rtl/>
        </w:rPr>
        <w:t>.</w:t>
      </w:r>
      <w:r w:rsidR="004118B2">
        <w:rPr>
          <w:rFonts w:hint="cs"/>
          <w:rtl/>
        </w:rPr>
        <w:t>12</w:t>
      </w:r>
      <w:r>
        <w:rPr>
          <w:rFonts w:hint="cs"/>
          <w:rtl/>
        </w:rPr>
        <w:t xml:space="preserve">.2025); ע"פ 3376-08-25 </w:t>
      </w:r>
      <w:r w:rsidRPr="005743A5">
        <w:rPr>
          <w:rFonts w:hint="cs"/>
          <w:b/>
          <w:bCs/>
          <w:rtl/>
        </w:rPr>
        <w:t>רס"ל בן אדיבה נ' התובע הצבאי הראשי</w:t>
      </w:r>
      <w:r>
        <w:rPr>
          <w:rFonts w:hint="cs"/>
          <w:rtl/>
        </w:rPr>
        <w:t xml:space="preserve">, פסקה 21 (2025)). </w:t>
      </w:r>
      <w:r w:rsidR="009E3830">
        <w:rPr>
          <w:rFonts w:hint="cs"/>
          <w:rtl/>
        </w:rPr>
        <w:t>בדומה, אין להתערב ב</w:t>
      </w:r>
      <w:r w:rsidR="00315E4B">
        <w:rPr>
          <w:rFonts w:hint="cs"/>
          <w:rtl/>
        </w:rPr>
        <w:t>גובה ה</w:t>
      </w:r>
      <w:r w:rsidR="009E3830">
        <w:rPr>
          <w:rFonts w:hint="cs"/>
          <w:rtl/>
        </w:rPr>
        <w:t xml:space="preserve">פיצויים אלא אם כן הוא חורג קיצונית משיעור הפיצוי הראוי (ע"פ 77069-09-24 </w:t>
      </w:r>
      <w:proofErr w:type="spellStart"/>
      <w:r w:rsidR="009E3830" w:rsidRPr="005743A5">
        <w:rPr>
          <w:rFonts w:hint="cs"/>
          <w:b/>
          <w:bCs/>
          <w:rtl/>
        </w:rPr>
        <w:t>פרסגי</w:t>
      </w:r>
      <w:proofErr w:type="spellEnd"/>
      <w:r w:rsidR="009E3830" w:rsidRPr="005743A5">
        <w:rPr>
          <w:rFonts w:hint="cs"/>
          <w:b/>
          <w:bCs/>
          <w:rtl/>
        </w:rPr>
        <w:t xml:space="preserve"> נ' מדינת ישראל</w:t>
      </w:r>
      <w:r w:rsidR="009E3830">
        <w:rPr>
          <w:rFonts w:hint="cs"/>
          <w:rtl/>
        </w:rPr>
        <w:t>, פסקה 47 (30.11.2025)</w:t>
      </w:r>
      <w:r w:rsidR="0069139F">
        <w:rPr>
          <w:rFonts w:hint="cs"/>
          <w:rtl/>
        </w:rPr>
        <w:t xml:space="preserve">; </w:t>
      </w:r>
      <w:r w:rsidR="0069139F" w:rsidRPr="0069139F">
        <w:rPr>
          <w:rtl/>
        </w:rPr>
        <w:t xml:space="preserve">ע"פ 36438-07-25, 61475-07-25 </w:t>
      </w:r>
      <w:r w:rsidR="0069139F" w:rsidRPr="0069139F">
        <w:rPr>
          <w:b/>
          <w:bCs/>
          <w:rtl/>
        </w:rPr>
        <w:t>טור' שיש נ' התובע הצבאי הראשי</w:t>
      </w:r>
      <w:r w:rsidR="0069139F" w:rsidRPr="0069139F">
        <w:rPr>
          <w:rtl/>
        </w:rPr>
        <w:t>, פסקה 58 (2026)).</w:t>
      </w:r>
      <w:r w:rsidR="005743A5">
        <w:rPr>
          <w:rFonts w:hint="cs"/>
          <w:rtl/>
        </w:rPr>
        <w:t xml:space="preserve"> </w:t>
      </w:r>
      <w:r>
        <w:rPr>
          <w:rFonts w:hint="cs"/>
          <w:rtl/>
        </w:rPr>
        <w:t xml:space="preserve">לאחר שבחנו את מכלול הנתונים והשיקולים בענייננו ואת טענות הצדדים, מצאנו </w:t>
      </w:r>
      <w:r w:rsidR="007C1AC7">
        <w:rPr>
          <w:rFonts w:hint="cs"/>
          <w:rtl/>
        </w:rPr>
        <w:t xml:space="preserve">להימנע מלהתערב בעונש שהוטל על המערער, על מרכיביו השונים. </w:t>
      </w:r>
    </w:p>
    <w:p w14:paraId="31FE0433" w14:textId="7BDF2419" w:rsidR="008369CE" w:rsidRDefault="008369CE" w:rsidP="00267E8E">
      <w:pPr>
        <w:pStyle w:val="ListParagraph"/>
        <w:numPr>
          <w:ilvl w:val="0"/>
          <w:numId w:val="1"/>
        </w:numPr>
      </w:pPr>
      <w:r>
        <w:rPr>
          <w:rFonts w:hint="cs"/>
          <w:rtl/>
        </w:rPr>
        <w:t>כפי שה</w:t>
      </w:r>
      <w:r w:rsidR="001B6D61">
        <w:rPr>
          <w:rFonts w:hint="cs"/>
          <w:rtl/>
        </w:rPr>
        <w:t>ו</w:t>
      </w:r>
      <w:r>
        <w:rPr>
          <w:rFonts w:hint="cs"/>
          <w:rtl/>
        </w:rPr>
        <w:t xml:space="preserve">טעם בעניין </w:t>
      </w:r>
      <w:r w:rsidR="00213B48">
        <w:rPr>
          <w:rFonts w:hint="cs"/>
          <w:b/>
          <w:bCs/>
          <w:rtl/>
        </w:rPr>
        <w:t>ת' כ' א'</w:t>
      </w:r>
      <w:r>
        <w:rPr>
          <w:rFonts w:hint="cs"/>
          <w:rtl/>
        </w:rPr>
        <w:t xml:space="preserve"> לעיל: </w:t>
      </w:r>
    </w:p>
    <w:p w14:paraId="4B89ABC7" w14:textId="77777777" w:rsidR="00267E8E" w:rsidRPr="00267E8E" w:rsidRDefault="00267E8E" w:rsidP="00267E8E">
      <w:pPr>
        <w:pStyle w:val="ListParagraph"/>
        <w:ind w:left="0" w:firstLine="0"/>
        <w:rPr>
          <w:sz w:val="2"/>
          <w:szCs w:val="4"/>
        </w:rPr>
      </w:pPr>
    </w:p>
    <w:p w14:paraId="78F3F390" w14:textId="77777777" w:rsidR="003F440E" w:rsidRDefault="008369CE" w:rsidP="008369CE">
      <w:pPr>
        <w:pStyle w:val="Quote"/>
        <w:rPr>
          <w:rtl/>
        </w:rPr>
      </w:pPr>
      <w:r>
        <w:rPr>
          <w:rFonts w:hint="cs"/>
          <w:rtl/>
        </w:rPr>
        <w:t>"</w:t>
      </w:r>
      <w:r w:rsidR="003F440E">
        <w:rPr>
          <w:rtl/>
        </w:rPr>
        <w:t>אין חולק בדבר חשיבותו של ערך קדושת החיים במדינת ישראל בכלל ובצה"ל בפרט</w:t>
      </w:r>
      <w:r>
        <w:rPr>
          <w:rFonts w:hint="cs"/>
          <w:rtl/>
        </w:rPr>
        <w:t xml:space="preserve"> ..</w:t>
      </w:r>
      <w:r w:rsidR="003F440E">
        <w:rPr>
          <w:rtl/>
        </w:rPr>
        <w:t xml:space="preserve">. </w:t>
      </w:r>
    </w:p>
    <w:p w14:paraId="41D3CFC0" w14:textId="77777777" w:rsidR="008369CE" w:rsidRPr="0013708B" w:rsidRDefault="008369CE" w:rsidP="008369CE">
      <w:pPr>
        <w:pStyle w:val="Quote"/>
        <w:rPr>
          <w:rtl/>
        </w:rPr>
      </w:pPr>
      <w:r>
        <w:rPr>
          <w:rFonts w:hint="cs"/>
          <w:rtl/>
        </w:rPr>
        <w:t>'</w:t>
      </w:r>
      <w:r w:rsidR="003F440E">
        <w:rPr>
          <w:rtl/>
        </w:rPr>
        <w:t>מושכלות יסוד במורשת צה"ל הן כי '</w:t>
      </w:r>
      <w:r w:rsidR="003F440E" w:rsidRPr="0013708B">
        <w:rPr>
          <w:b/>
          <w:bCs/>
          <w:rtl/>
        </w:rPr>
        <w:t>הראשונה בחובותיו של המפקד</w:t>
      </w:r>
      <w:r w:rsidR="003F440E">
        <w:rPr>
          <w:rtl/>
        </w:rPr>
        <w:t xml:space="preserve"> ... </w:t>
      </w:r>
      <w:r w:rsidR="003F440E" w:rsidRPr="0013708B">
        <w:rPr>
          <w:b/>
          <w:bCs/>
          <w:rtl/>
        </w:rPr>
        <w:t>היא חובת הטיפול באנשיו</w:t>
      </w:r>
      <w:r w:rsidR="003F440E">
        <w:rPr>
          <w:rtl/>
        </w:rPr>
        <w:t>'</w:t>
      </w:r>
      <w:r w:rsidR="0013708B">
        <w:rPr>
          <w:rFonts w:hint="cs"/>
          <w:rtl/>
        </w:rPr>
        <w:t xml:space="preserve"> ..</w:t>
      </w:r>
      <w:r w:rsidR="003F440E">
        <w:rPr>
          <w:rtl/>
        </w:rPr>
        <w:t xml:space="preserve">. ומעל כל אלה </w:t>
      </w:r>
      <w:r w:rsidR="003F440E" w:rsidRPr="0013708B">
        <w:rPr>
          <w:b/>
          <w:bCs/>
          <w:rtl/>
        </w:rPr>
        <w:t>מצויה החובה לדאוג לחייו של החייל ולשלמות גופו ונפשו</w:t>
      </w:r>
      <w:r>
        <w:rPr>
          <w:rFonts w:hint="cs"/>
          <w:rtl/>
        </w:rPr>
        <w:t xml:space="preserve">" </w:t>
      </w:r>
      <w:r w:rsidRPr="0013708B">
        <w:rPr>
          <w:rFonts w:hint="cs"/>
          <w:rtl/>
        </w:rPr>
        <w:t>(</w:t>
      </w:r>
      <w:r w:rsidR="002D050C">
        <w:rPr>
          <w:rFonts w:hint="cs"/>
          <w:rtl/>
        </w:rPr>
        <w:t>פסקה 93; ה</w:t>
      </w:r>
      <w:r w:rsidR="0013708B" w:rsidRPr="0013708B">
        <w:rPr>
          <w:rFonts w:hint="cs"/>
          <w:rtl/>
        </w:rPr>
        <w:t>הדגשות במקור</w:t>
      </w:r>
      <w:r w:rsidRPr="00E66B7A">
        <w:rPr>
          <w:rFonts w:hint="cs"/>
          <w:rtl/>
        </w:rPr>
        <w:t>)</w:t>
      </w:r>
      <w:r w:rsidR="003F440E" w:rsidRPr="00E66B7A">
        <w:rPr>
          <w:rtl/>
        </w:rPr>
        <w:t>.</w:t>
      </w:r>
      <w:r w:rsidR="003F440E" w:rsidRPr="0013708B">
        <w:rPr>
          <w:rtl/>
        </w:rPr>
        <w:t xml:space="preserve"> </w:t>
      </w:r>
    </w:p>
    <w:p w14:paraId="75D5DD13" w14:textId="77777777" w:rsidR="008369CE" w:rsidRDefault="002D050C" w:rsidP="00267E8E">
      <w:pPr>
        <w:rPr>
          <w:rtl/>
        </w:rPr>
      </w:pPr>
      <w:r>
        <w:rPr>
          <w:rFonts w:hint="cs"/>
          <w:rtl/>
        </w:rPr>
        <w:t xml:space="preserve">במקרה אחר </w:t>
      </w:r>
      <w:r w:rsidR="008369CE" w:rsidRPr="0013708B">
        <w:rPr>
          <w:rFonts w:hint="cs"/>
          <w:rtl/>
        </w:rPr>
        <w:t>נפסק</w:t>
      </w:r>
      <w:r w:rsidR="003F440E" w:rsidRPr="0013708B">
        <w:rPr>
          <w:rtl/>
        </w:rPr>
        <w:t>:</w:t>
      </w:r>
      <w:r w:rsidR="003F440E">
        <w:rPr>
          <w:rtl/>
        </w:rPr>
        <w:t xml:space="preserve"> </w:t>
      </w:r>
    </w:p>
    <w:p w14:paraId="288F2A6C" w14:textId="77777777" w:rsidR="003F440E" w:rsidRDefault="008369CE" w:rsidP="008369CE">
      <w:pPr>
        <w:pStyle w:val="Quote"/>
        <w:rPr>
          <w:rtl/>
        </w:rPr>
      </w:pPr>
      <w:r>
        <w:rPr>
          <w:rFonts w:hint="cs"/>
          <w:rtl/>
        </w:rPr>
        <w:t>"</w:t>
      </w:r>
      <w:r w:rsidR="003F440E">
        <w:rPr>
          <w:rtl/>
        </w:rPr>
        <w:t xml:space="preserve">חשוב להדגיש ... לכל מפקדי צבא ההגנה לישראל, כי מוטלת עליהם אחריות כבדה ביותר לדאוג לשלום פקודיהם בכל מקום, בכל זמן, ומפני כל איום, ועליהם להיות להם לעזר ולתמיכה במשך שירותם ... על כן, חייבים המפקדים והקצינים להיות קשובים לרחשי ליבם ולמצוקותיהם של החיילים ... </w:t>
      </w:r>
      <w:r w:rsidR="003F440E" w:rsidRPr="008369CE">
        <w:rPr>
          <w:b/>
          <w:bCs/>
          <w:rtl/>
        </w:rPr>
        <w:t>עליהם לתת לחייליהם את מלוא תשומת הלב והעזרה במקרים הדרושים</w:t>
      </w:r>
      <w:r w:rsidR="003F440E">
        <w:rPr>
          <w:rtl/>
        </w:rPr>
        <w:t xml:space="preserve">" (עניין </w:t>
      </w:r>
      <w:r w:rsidR="003F440E" w:rsidRPr="008369CE">
        <w:rPr>
          <w:b/>
          <w:bCs/>
          <w:rtl/>
        </w:rPr>
        <w:t xml:space="preserve">שוורץ </w:t>
      </w:r>
      <w:r w:rsidR="003F440E">
        <w:rPr>
          <w:rtl/>
        </w:rPr>
        <w:t>לעיל, בפסקה 30</w:t>
      </w:r>
      <w:r w:rsidR="002D050C">
        <w:rPr>
          <w:rFonts w:hint="cs"/>
          <w:rtl/>
        </w:rPr>
        <w:t>; ההדגשות הוספו</w:t>
      </w:r>
      <w:r w:rsidR="003F440E">
        <w:rPr>
          <w:rtl/>
        </w:rPr>
        <w:t>)</w:t>
      </w:r>
      <w:r>
        <w:rPr>
          <w:rFonts w:hint="cs"/>
          <w:rtl/>
        </w:rPr>
        <w:t>.</w:t>
      </w:r>
    </w:p>
    <w:p w14:paraId="175B4947" w14:textId="77777777" w:rsidR="007926CB" w:rsidRDefault="008369CE" w:rsidP="00267E8E">
      <w:pPr>
        <w:pStyle w:val="ListParagraph"/>
        <w:numPr>
          <w:ilvl w:val="0"/>
          <w:numId w:val="1"/>
        </w:numPr>
      </w:pPr>
      <w:r>
        <w:rPr>
          <w:rFonts w:hint="cs"/>
          <w:rtl/>
        </w:rPr>
        <w:t>הערכים המוגנים המרכזיים</w:t>
      </w:r>
      <w:r w:rsidR="00E55F6D">
        <w:rPr>
          <w:rFonts w:hint="cs"/>
          <w:rtl/>
        </w:rPr>
        <w:t>;</w:t>
      </w:r>
      <w:r>
        <w:rPr>
          <w:rFonts w:hint="cs"/>
          <w:rtl/>
        </w:rPr>
        <w:t xml:space="preserve"> נסיבות ביצוע העבירה</w:t>
      </w:r>
      <w:r w:rsidR="00E55F6D">
        <w:rPr>
          <w:rFonts w:hint="cs"/>
          <w:rtl/>
        </w:rPr>
        <w:t>,</w:t>
      </w:r>
      <w:r>
        <w:rPr>
          <w:rFonts w:hint="cs"/>
          <w:rtl/>
        </w:rPr>
        <w:t xml:space="preserve"> ובהן רשלנותו החמורה של המערער</w:t>
      </w:r>
      <w:r w:rsidR="00E55F6D">
        <w:rPr>
          <w:rFonts w:hint="cs"/>
          <w:rtl/>
        </w:rPr>
        <w:t>;</w:t>
      </w:r>
      <w:r>
        <w:rPr>
          <w:rFonts w:hint="cs"/>
          <w:rtl/>
        </w:rPr>
        <w:t xml:space="preserve"> ה</w:t>
      </w:r>
      <w:r w:rsidR="003F440E">
        <w:rPr>
          <w:rtl/>
        </w:rPr>
        <w:t xml:space="preserve">נזק הרב שנגרם לנפגע העבירה ופוטנציאל הנזק </w:t>
      </w:r>
      <w:r w:rsidR="00CF65CE">
        <w:rPr>
          <w:rFonts w:hint="cs"/>
          <w:rtl/>
        </w:rPr>
        <w:t>(</w:t>
      </w:r>
      <w:r w:rsidR="003F440E">
        <w:rPr>
          <w:rtl/>
        </w:rPr>
        <w:t>הסיכון לחייו</w:t>
      </w:r>
      <w:r w:rsidR="00CF65CE">
        <w:rPr>
          <w:rFonts w:hint="cs"/>
          <w:rtl/>
        </w:rPr>
        <w:t>.</w:t>
      </w:r>
      <w:r w:rsidR="003F440E">
        <w:rPr>
          <w:rtl/>
        </w:rPr>
        <w:t xml:space="preserve"> סעיף 40ט לחוק העונשין)</w:t>
      </w:r>
      <w:r>
        <w:rPr>
          <w:rFonts w:hint="cs"/>
          <w:rtl/>
        </w:rPr>
        <w:t xml:space="preserve"> </w:t>
      </w:r>
      <w:r w:rsidR="00CF65CE">
        <w:rPr>
          <w:rFonts w:hint="eastAsia"/>
          <w:rtl/>
        </w:rPr>
        <w:t>–</w:t>
      </w:r>
      <w:r w:rsidR="00CF65CE">
        <w:rPr>
          <w:rFonts w:hint="cs"/>
          <w:rtl/>
        </w:rPr>
        <w:t xml:space="preserve"> </w:t>
      </w:r>
      <w:r>
        <w:rPr>
          <w:rFonts w:hint="cs"/>
          <w:rtl/>
        </w:rPr>
        <w:t>כל אלה, בראי הפסיקה שסקר בית הדין קמא בגזר הדין (</w:t>
      </w:r>
      <w:r w:rsidR="00AF096B">
        <w:rPr>
          <w:rFonts w:hint="cs"/>
          <w:rtl/>
        </w:rPr>
        <w:t xml:space="preserve">פסקאות </w:t>
      </w:r>
      <w:r w:rsidR="00CF65CE">
        <w:rPr>
          <w:rFonts w:hint="cs"/>
          <w:rtl/>
        </w:rPr>
        <w:t>27–</w:t>
      </w:r>
      <w:r w:rsidR="00AF096B">
        <w:rPr>
          <w:rFonts w:hint="cs"/>
          <w:rtl/>
        </w:rPr>
        <w:t>31 לגזר הדין</w:t>
      </w:r>
      <w:r>
        <w:rPr>
          <w:rFonts w:hint="cs"/>
          <w:rtl/>
        </w:rPr>
        <w:t>)</w:t>
      </w:r>
      <w:r w:rsidR="005B6423">
        <w:rPr>
          <w:rFonts w:hint="cs"/>
          <w:rtl/>
        </w:rPr>
        <w:t>,</w:t>
      </w:r>
      <w:r>
        <w:rPr>
          <w:rFonts w:hint="cs"/>
          <w:rtl/>
        </w:rPr>
        <w:t xml:space="preserve"> מבססים מתחם עונש הולם, </w:t>
      </w:r>
      <w:r w:rsidR="00473C11">
        <w:rPr>
          <w:rFonts w:hint="cs"/>
          <w:rtl/>
        </w:rPr>
        <w:t xml:space="preserve">המאפשר </w:t>
      </w:r>
      <w:r w:rsidR="00AF096B">
        <w:rPr>
          <w:rFonts w:hint="cs"/>
          <w:rtl/>
        </w:rPr>
        <w:t xml:space="preserve">תמהיל הכולל רכיב </w:t>
      </w:r>
      <w:r w:rsidR="00473C11">
        <w:rPr>
          <w:rFonts w:hint="cs"/>
          <w:rtl/>
        </w:rPr>
        <w:t xml:space="preserve">הנע בין </w:t>
      </w:r>
      <w:r w:rsidR="00AF096B">
        <w:rPr>
          <w:rFonts w:hint="cs"/>
          <w:rtl/>
        </w:rPr>
        <w:t>מאסר בפועל בעבודה צבאית</w:t>
      </w:r>
      <w:r w:rsidR="00473C11">
        <w:rPr>
          <w:rFonts w:hint="cs"/>
          <w:rtl/>
        </w:rPr>
        <w:t xml:space="preserve"> ל</w:t>
      </w:r>
      <w:r w:rsidR="00AF096B">
        <w:rPr>
          <w:rFonts w:hint="cs"/>
          <w:rtl/>
        </w:rPr>
        <w:t xml:space="preserve">מאסר מותנה </w:t>
      </w:r>
      <w:r w:rsidR="00473C11">
        <w:rPr>
          <w:rFonts w:hint="cs"/>
          <w:rtl/>
        </w:rPr>
        <w:t>ו</w:t>
      </w:r>
      <w:r w:rsidR="00AF096B">
        <w:rPr>
          <w:rFonts w:hint="cs"/>
          <w:rtl/>
        </w:rPr>
        <w:t xml:space="preserve">פגיעה בדרגות, </w:t>
      </w:r>
      <w:r w:rsidR="00473C11">
        <w:rPr>
          <w:rFonts w:hint="cs"/>
          <w:rtl/>
        </w:rPr>
        <w:t xml:space="preserve">לצד </w:t>
      </w:r>
      <w:r w:rsidR="00AF096B">
        <w:rPr>
          <w:rFonts w:hint="cs"/>
          <w:rtl/>
        </w:rPr>
        <w:t xml:space="preserve">רכיב של פיצויים. </w:t>
      </w:r>
    </w:p>
    <w:p w14:paraId="2416ECAE" w14:textId="3B42C322" w:rsidR="003238B3" w:rsidRDefault="00AF096B" w:rsidP="00267E8E">
      <w:pPr>
        <w:pStyle w:val="ListParagraph"/>
        <w:numPr>
          <w:ilvl w:val="0"/>
          <w:numId w:val="1"/>
        </w:numPr>
      </w:pPr>
      <w:r>
        <w:rPr>
          <w:rFonts w:hint="cs"/>
          <w:rtl/>
        </w:rPr>
        <w:t>בנסיבות הכוללות של המקרה</w:t>
      </w:r>
      <w:r w:rsidR="007926CB">
        <w:rPr>
          <w:rFonts w:hint="cs"/>
          <w:rtl/>
        </w:rPr>
        <w:t xml:space="preserve">, בהתחשב בפער בין אי העמדתו לדין של המ"פ לבין הרשעתו של המערער </w:t>
      </w:r>
      <w:r>
        <w:rPr>
          <w:rFonts w:hint="cs"/>
          <w:rtl/>
        </w:rPr>
        <w:t xml:space="preserve">(ראו והשוו </w:t>
      </w:r>
      <w:r w:rsidRPr="00AF096B">
        <w:rPr>
          <w:rtl/>
        </w:rPr>
        <w:t xml:space="preserve">ע"פ 5107/18 </w:t>
      </w:r>
      <w:r w:rsidRPr="00AF096B">
        <w:rPr>
          <w:b/>
          <w:bCs/>
          <w:rtl/>
        </w:rPr>
        <w:t>קייס נ' מדינת ישראל</w:t>
      </w:r>
      <w:r w:rsidRPr="00AF096B">
        <w:rPr>
          <w:rtl/>
        </w:rPr>
        <w:t xml:space="preserve"> (16.1.2019); </w:t>
      </w:r>
      <w:proofErr w:type="spellStart"/>
      <w:r w:rsidRPr="00AF096B">
        <w:rPr>
          <w:rtl/>
        </w:rPr>
        <w:t>רע"פ</w:t>
      </w:r>
      <w:proofErr w:type="spellEnd"/>
      <w:r w:rsidRPr="00AF096B">
        <w:rPr>
          <w:rtl/>
        </w:rPr>
        <w:t xml:space="preserve"> </w:t>
      </w:r>
      <w:r w:rsidRPr="00AF096B">
        <w:rPr>
          <w:rtl/>
        </w:rPr>
        <w:lastRenderedPageBreak/>
        <w:t xml:space="preserve">4070/18 </w:t>
      </w:r>
      <w:r w:rsidRPr="00AF096B">
        <w:rPr>
          <w:b/>
          <w:bCs/>
          <w:rtl/>
        </w:rPr>
        <w:t>שניר נ' מדינת ישראל</w:t>
      </w:r>
      <w:r w:rsidRPr="00AF096B">
        <w:rPr>
          <w:rtl/>
        </w:rPr>
        <w:t xml:space="preserve"> (1.8.2018)</w:t>
      </w:r>
      <w:r>
        <w:rPr>
          <w:rFonts w:hint="cs"/>
          <w:rtl/>
        </w:rPr>
        <w:t xml:space="preserve">; עניין </w:t>
      </w:r>
      <w:r w:rsidR="00213B48">
        <w:rPr>
          <w:rFonts w:hint="cs"/>
          <w:b/>
          <w:bCs/>
          <w:rtl/>
        </w:rPr>
        <w:t>ת' כ' א'</w:t>
      </w:r>
      <w:r w:rsidRPr="00AF096B">
        <w:rPr>
          <w:rFonts w:hint="cs"/>
          <w:b/>
          <w:bCs/>
          <w:rtl/>
        </w:rPr>
        <w:t xml:space="preserve"> </w:t>
      </w:r>
      <w:r>
        <w:rPr>
          <w:rFonts w:hint="cs"/>
          <w:rtl/>
        </w:rPr>
        <w:t xml:space="preserve">לעיל, </w:t>
      </w:r>
      <w:r w:rsidR="00E55F6D">
        <w:rPr>
          <w:rFonts w:hint="cs"/>
          <w:rtl/>
        </w:rPr>
        <w:t>ב</w:t>
      </w:r>
      <w:r>
        <w:rPr>
          <w:rFonts w:hint="cs"/>
          <w:rtl/>
        </w:rPr>
        <w:t>פסקה 9</w:t>
      </w:r>
      <w:r w:rsidR="007926CB">
        <w:rPr>
          <w:rFonts w:hint="cs"/>
          <w:rtl/>
        </w:rPr>
        <w:t>5</w:t>
      </w:r>
      <w:r w:rsidRPr="00AF096B">
        <w:rPr>
          <w:rtl/>
        </w:rPr>
        <w:t>)</w:t>
      </w:r>
      <w:r>
        <w:rPr>
          <w:rFonts w:hint="cs"/>
          <w:rtl/>
        </w:rPr>
        <w:t xml:space="preserve"> </w:t>
      </w:r>
      <w:r w:rsidR="00E55F6D">
        <w:rPr>
          <w:rtl/>
        </w:rPr>
        <w:t>–</w:t>
      </w:r>
      <w:r>
        <w:rPr>
          <w:rFonts w:hint="cs"/>
          <w:rtl/>
        </w:rPr>
        <w:t xml:space="preserve"> סברנו כי </w:t>
      </w:r>
      <w:r w:rsidR="007926CB">
        <w:rPr>
          <w:rFonts w:hint="cs"/>
          <w:rtl/>
        </w:rPr>
        <w:t xml:space="preserve">אין להתערב </w:t>
      </w:r>
      <w:r w:rsidR="003238B3">
        <w:rPr>
          <w:rFonts w:hint="cs"/>
          <w:rtl/>
        </w:rPr>
        <w:t xml:space="preserve">במתחם שנקבע. </w:t>
      </w:r>
    </w:p>
    <w:p w14:paraId="1E82986B" w14:textId="77777777" w:rsidR="003F440E" w:rsidRDefault="003238B3" w:rsidP="00267E8E">
      <w:pPr>
        <w:pStyle w:val="ListParagraph"/>
        <w:numPr>
          <w:ilvl w:val="0"/>
          <w:numId w:val="1"/>
        </w:numPr>
        <w:rPr>
          <w:rtl/>
        </w:rPr>
      </w:pPr>
      <w:r>
        <w:rPr>
          <w:rFonts w:hint="cs"/>
          <w:rtl/>
        </w:rPr>
        <w:t xml:space="preserve">אף בתוך המתחם, </w:t>
      </w:r>
      <w:r w:rsidR="007926CB">
        <w:rPr>
          <w:rFonts w:hint="cs"/>
          <w:rtl/>
        </w:rPr>
        <w:t xml:space="preserve">בשים לב </w:t>
      </w:r>
      <w:r w:rsidR="00CF65CE">
        <w:rPr>
          <w:rtl/>
        </w:rPr>
        <w:t>–</w:t>
      </w:r>
      <w:r w:rsidR="007926CB">
        <w:rPr>
          <w:rFonts w:hint="cs"/>
          <w:rtl/>
        </w:rPr>
        <w:t xml:space="preserve"> </w:t>
      </w:r>
      <w:r w:rsidR="007926CB" w:rsidRPr="007926CB">
        <w:rPr>
          <w:rtl/>
        </w:rPr>
        <w:t xml:space="preserve">בראי עקרון אחידות הענישה </w:t>
      </w:r>
      <w:r w:rsidR="00CF65CE">
        <w:rPr>
          <w:rFonts w:hint="cs"/>
          <w:rtl/>
        </w:rPr>
        <w:t>–</w:t>
      </w:r>
      <w:r w:rsidR="007926CB" w:rsidRPr="007926CB">
        <w:rPr>
          <w:rtl/>
        </w:rPr>
        <w:t xml:space="preserve"> לעונש המאסר המותנה בלבד (לצד תשלום פיצויים) שהוטל על סגן תומר, סגן מפקד הפלוגה</w:t>
      </w:r>
      <w:r w:rsidR="007926CB">
        <w:rPr>
          <w:rFonts w:hint="cs"/>
          <w:rtl/>
        </w:rPr>
        <w:t xml:space="preserve">; </w:t>
      </w:r>
      <w:r>
        <w:rPr>
          <w:rFonts w:hint="cs"/>
          <w:rtl/>
        </w:rPr>
        <w:t>לחלוף הזמן ממועד ביצוע העבירה</w:t>
      </w:r>
      <w:r w:rsidR="007D31CE">
        <w:rPr>
          <w:rFonts w:hint="cs"/>
          <w:rtl/>
        </w:rPr>
        <w:t xml:space="preserve"> (כמעט ארבע שנים)</w:t>
      </w:r>
      <w:r w:rsidR="00CF65CE">
        <w:rPr>
          <w:rFonts w:hint="cs"/>
          <w:rtl/>
        </w:rPr>
        <w:t>;</w:t>
      </w:r>
      <w:r>
        <w:rPr>
          <w:rFonts w:hint="cs"/>
          <w:rtl/>
        </w:rPr>
        <w:t xml:space="preserve"> </w:t>
      </w:r>
      <w:r w:rsidR="00B420D3">
        <w:rPr>
          <w:rFonts w:hint="cs"/>
          <w:rtl/>
        </w:rPr>
        <w:t>ל</w:t>
      </w:r>
      <w:r>
        <w:rPr>
          <w:rFonts w:hint="cs"/>
          <w:rtl/>
        </w:rPr>
        <w:t>שיהוי בהגשת כתב האישום</w:t>
      </w:r>
      <w:r w:rsidR="00CF65CE">
        <w:rPr>
          <w:rFonts w:hint="cs"/>
          <w:rtl/>
        </w:rPr>
        <w:t>;</w:t>
      </w:r>
      <w:r>
        <w:rPr>
          <w:rFonts w:hint="cs"/>
          <w:rtl/>
        </w:rPr>
        <w:t xml:space="preserve"> </w:t>
      </w:r>
      <w:r w:rsidR="00B420D3">
        <w:rPr>
          <w:rFonts w:hint="cs"/>
          <w:rtl/>
        </w:rPr>
        <w:t>ל</w:t>
      </w:r>
      <w:r w:rsidR="00753799">
        <w:rPr>
          <w:rFonts w:hint="cs"/>
          <w:rtl/>
        </w:rPr>
        <w:t>עיכוב בקידום בדרגה</w:t>
      </w:r>
      <w:r w:rsidR="007D31CE">
        <w:rPr>
          <w:rFonts w:hint="cs"/>
          <w:rtl/>
        </w:rPr>
        <w:t xml:space="preserve">; </w:t>
      </w:r>
      <w:r w:rsidR="00B420D3">
        <w:rPr>
          <w:rFonts w:hint="cs"/>
          <w:rtl/>
        </w:rPr>
        <w:t>ל</w:t>
      </w:r>
      <w:r w:rsidR="007D31CE">
        <w:rPr>
          <w:rFonts w:hint="cs"/>
          <w:rtl/>
        </w:rPr>
        <w:t>הערכה ה</w:t>
      </w:r>
      <w:r w:rsidR="003F440E">
        <w:rPr>
          <w:rtl/>
        </w:rPr>
        <w:t xml:space="preserve">רבה </w:t>
      </w:r>
      <w:r w:rsidR="00D5183F">
        <w:rPr>
          <w:rFonts w:hint="cs"/>
          <w:rtl/>
        </w:rPr>
        <w:t xml:space="preserve">שזכה </w:t>
      </w:r>
      <w:r w:rsidR="00CF65CE">
        <w:rPr>
          <w:rFonts w:hint="cs"/>
          <w:rtl/>
        </w:rPr>
        <w:t xml:space="preserve">לה </w:t>
      </w:r>
      <w:r w:rsidR="003F440E">
        <w:rPr>
          <w:rtl/>
        </w:rPr>
        <w:t>ממפקדיו ו</w:t>
      </w:r>
      <w:r>
        <w:rPr>
          <w:rFonts w:hint="cs"/>
          <w:rtl/>
        </w:rPr>
        <w:t>אף מפקודו,</w:t>
      </w:r>
      <w:r w:rsidR="003F440E">
        <w:rPr>
          <w:rtl/>
        </w:rPr>
        <w:t xml:space="preserve"> נפגע העבירה</w:t>
      </w:r>
      <w:r w:rsidR="00CF65CE">
        <w:rPr>
          <w:rFonts w:hint="cs"/>
          <w:rtl/>
        </w:rPr>
        <w:t xml:space="preserve">; ובעיקר </w:t>
      </w:r>
      <w:r w:rsidR="00CF65CE">
        <w:rPr>
          <w:rtl/>
        </w:rPr>
        <w:t>–</w:t>
      </w:r>
      <w:r w:rsidR="00CF65CE">
        <w:rPr>
          <w:rFonts w:hint="cs"/>
          <w:rtl/>
        </w:rPr>
        <w:t xml:space="preserve"> לתרומתו הרבה של המערער אשר </w:t>
      </w:r>
      <w:r w:rsidR="00CF65CE">
        <w:rPr>
          <w:rtl/>
        </w:rPr>
        <w:t>שירת כמפקד מסור בשירות סדיר ובשירות מילואים ממושך, לאורך המלחמה</w:t>
      </w:r>
      <w:r w:rsidR="00CF65CE">
        <w:rPr>
          <w:rFonts w:hint="cs"/>
          <w:rtl/>
        </w:rPr>
        <w:t>, שירות</w:t>
      </w:r>
      <w:r w:rsidR="00CF65CE">
        <w:rPr>
          <w:rtl/>
        </w:rPr>
        <w:t xml:space="preserve"> שמרביתו הוקדש ללחימה בזירות קרב מסוכנות</w:t>
      </w:r>
      <w:r>
        <w:rPr>
          <w:rFonts w:hint="cs"/>
          <w:rtl/>
        </w:rPr>
        <w:t xml:space="preserve"> </w:t>
      </w:r>
      <w:r>
        <w:rPr>
          <w:rtl/>
        </w:rPr>
        <w:t>–</w:t>
      </w:r>
      <w:r>
        <w:rPr>
          <w:rFonts w:hint="cs"/>
          <w:rtl/>
        </w:rPr>
        <w:t xml:space="preserve"> מצאנו להימנע מלהתערב </w:t>
      </w:r>
      <w:r w:rsidR="00473C11">
        <w:rPr>
          <w:rFonts w:hint="cs"/>
          <w:rtl/>
        </w:rPr>
        <w:t>ב</w:t>
      </w:r>
      <w:r>
        <w:rPr>
          <w:rFonts w:hint="cs"/>
          <w:rtl/>
        </w:rPr>
        <w:t>עונש שנגזר</w:t>
      </w:r>
      <w:r w:rsidR="00473C11">
        <w:rPr>
          <w:rFonts w:hint="cs"/>
          <w:rtl/>
        </w:rPr>
        <w:t xml:space="preserve"> וברכיב הפיצויים</w:t>
      </w:r>
      <w:r w:rsidR="003F440E">
        <w:rPr>
          <w:rtl/>
        </w:rPr>
        <w:t xml:space="preserve">. </w:t>
      </w:r>
    </w:p>
    <w:p w14:paraId="131E061C" w14:textId="77777777" w:rsidR="0060359E" w:rsidRDefault="0060359E" w:rsidP="0060359E">
      <w:pPr>
        <w:pStyle w:val="Heading1"/>
        <w:rPr>
          <w:rtl/>
        </w:rPr>
      </w:pPr>
      <w:r>
        <w:rPr>
          <w:rFonts w:hint="cs"/>
          <w:rtl/>
        </w:rPr>
        <w:t>סוף דבר</w:t>
      </w:r>
    </w:p>
    <w:p w14:paraId="49331CD8" w14:textId="00FBF648" w:rsidR="00F539EA" w:rsidRDefault="00202426" w:rsidP="00267E8E">
      <w:pPr>
        <w:pStyle w:val="ListParagraph"/>
        <w:numPr>
          <w:ilvl w:val="0"/>
          <w:numId w:val="1"/>
        </w:numPr>
        <w:spacing w:after="240"/>
      </w:pPr>
      <w:r>
        <w:rPr>
          <w:rFonts w:hint="cs"/>
          <w:rtl/>
        </w:rPr>
        <w:t>ערעור</w:t>
      </w:r>
      <w:r w:rsidR="00473C11">
        <w:rPr>
          <w:rFonts w:hint="cs"/>
          <w:rtl/>
        </w:rPr>
        <w:t xml:space="preserve"> ההגנה </w:t>
      </w:r>
      <w:r>
        <w:rPr>
          <w:rFonts w:hint="cs"/>
          <w:rtl/>
        </w:rPr>
        <w:t xml:space="preserve">על הכרעת הדין </w:t>
      </w:r>
      <w:r w:rsidR="00473C11">
        <w:rPr>
          <w:rFonts w:hint="cs"/>
          <w:rtl/>
        </w:rPr>
        <w:t xml:space="preserve">נדחה. </w:t>
      </w:r>
      <w:r w:rsidR="003238B3">
        <w:rPr>
          <w:rFonts w:hint="cs"/>
          <w:rtl/>
        </w:rPr>
        <w:t>ערעור</w:t>
      </w:r>
      <w:r w:rsidR="00473C11">
        <w:rPr>
          <w:rFonts w:hint="cs"/>
          <w:rtl/>
        </w:rPr>
        <w:t xml:space="preserve"> התביעה </w:t>
      </w:r>
      <w:r w:rsidR="003238B3">
        <w:rPr>
          <w:rFonts w:hint="cs"/>
          <w:rtl/>
        </w:rPr>
        <w:t>על גזר הדין נדח</w:t>
      </w:r>
      <w:r w:rsidR="00473C11">
        <w:rPr>
          <w:rFonts w:hint="cs"/>
          <w:rtl/>
        </w:rPr>
        <w:t>ה גם הוא</w:t>
      </w:r>
      <w:r w:rsidR="00F67F94">
        <w:rPr>
          <w:rFonts w:hint="cs"/>
          <w:rtl/>
        </w:rPr>
        <w:t>.</w:t>
      </w:r>
    </w:p>
    <w:p w14:paraId="7B6C21A7" w14:textId="536FBDD3" w:rsidR="00ED74B5" w:rsidRDefault="009C6599" w:rsidP="00ED74B5">
      <w:pPr>
        <w:pStyle w:val="ListParagraph"/>
        <w:spacing w:after="240"/>
        <w:ind w:left="0" w:firstLine="0"/>
        <w:rPr>
          <w:sz w:val="28"/>
          <w:rtl/>
        </w:rPr>
      </w:pPr>
      <w:r w:rsidRPr="00D52B24">
        <w:rPr>
          <w:sz w:val="28"/>
          <w:rtl/>
        </w:rPr>
        <w:t>ניתן והודע היום</w:t>
      </w:r>
      <w:r>
        <w:rPr>
          <w:rFonts w:hint="cs"/>
          <w:sz w:val="28"/>
          <w:rtl/>
        </w:rPr>
        <w:t xml:space="preserve">, </w:t>
      </w:r>
      <w:r w:rsidR="000A5C46">
        <w:rPr>
          <w:rFonts w:hint="cs"/>
          <w:sz w:val="28"/>
          <w:rtl/>
        </w:rPr>
        <w:t>כ"ד באלול</w:t>
      </w:r>
      <w:r>
        <w:rPr>
          <w:rFonts w:hint="cs"/>
          <w:sz w:val="28"/>
          <w:rtl/>
        </w:rPr>
        <w:t xml:space="preserve"> </w:t>
      </w:r>
      <w:proofErr w:type="spellStart"/>
      <w:r>
        <w:rPr>
          <w:rFonts w:hint="cs"/>
          <w:sz w:val="28"/>
          <w:rtl/>
        </w:rPr>
        <w:t>התשפ"</w:t>
      </w:r>
      <w:r w:rsidR="00507E68">
        <w:rPr>
          <w:rFonts w:hint="cs"/>
          <w:sz w:val="28"/>
          <w:rtl/>
        </w:rPr>
        <w:t>ו</w:t>
      </w:r>
      <w:proofErr w:type="spellEnd"/>
      <w:r>
        <w:rPr>
          <w:rFonts w:hint="cs"/>
          <w:sz w:val="28"/>
          <w:rtl/>
        </w:rPr>
        <w:t xml:space="preserve">, </w:t>
      </w:r>
      <w:r w:rsidR="000A5C46">
        <w:rPr>
          <w:rFonts w:hint="cs"/>
          <w:sz w:val="28"/>
          <w:rtl/>
        </w:rPr>
        <w:t>6</w:t>
      </w:r>
      <w:r>
        <w:rPr>
          <w:rFonts w:hint="cs"/>
          <w:sz w:val="28"/>
          <w:rtl/>
        </w:rPr>
        <w:t xml:space="preserve"> ב</w:t>
      </w:r>
      <w:r w:rsidR="000A5C46">
        <w:rPr>
          <w:rFonts w:hint="cs"/>
          <w:sz w:val="28"/>
          <w:rtl/>
        </w:rPr>
        <w:t>ספטמבר</w:t>
      </w:r>
      <w:r>
        <w:rPr>
          <w:rFonts w:hint="cs"/>
          <w:sz w:val="28"/>
          <w:rtl/>
        </w:rPr>
        <w:t xml:space="preserve"> 202</w:t>
      </w:r>
      <w:r w:rsidR="00D7399C">
        <w:rPr>
          <w:rFonts w:hint="cs"/>
          <w:sz w:val="28"/>
          <w:rtl/>
        </w:rPr>
        <w:t>6</w:t>
      </w:r>
      <w:r>
        <w:rPr>
          <w:rFonts w:hint="cs"/>
          <w:sz w:val="28"/>
          <w:rtl/>
        </w:rPr>
        <w:t>,</w:t>
      </w:r>
      <w:r w:rsidRPr="00D52B24">
        <w:rPr>
          <w:sz w:val="28"/>
          <w:rtl/>
        </w:rPr>
        <w:t xml:space="preserve"> בפומבי ובמעמד הצדדים.</w:t>
      </w:r>
    </w:p>
    <w:p w14:paraId="194D2596" w14:textId="77777777" w:rsidR="00ED74B5" w:rsidRPr="00267E8E" w:rsidRDefault="00ED74B5" w:rsidP="00ED74B5">
      <w:pPr>
        <w:pStyle w:val="ListParagraph"/>
        <w:spacing w:after="240"/>
        <w:ind w:left="0" w:firstLine="0"/>
        <w:rPr>
          <w:sz w:val="28"/>
          <w:rtl/>
        </w:rPr>
      </w:pPr>
    </w:p>
    <w:p w14:paraId="638BDA30" w14:textId="275C6975" w:rsidR="00F539EA" w:rsidRPr="007102F3" w:rsidRDefault="00F539EA" w:rsidP="00F539EA">
      <w:pPr>
        <w:rPr>
          <w:rFonts w:ascii="David" w:hAnsi="David"/>
          <w:rtl/>
        </w:rPr>
      </w:pPr>
      <w:r w:rsidRPr="007102F3">
        <w:rPr>
          <w:rFonts w:ascii="David" w:hAnsi="David"/>
          <w:rtl/>
        </w:rPr>
        <w:t>_____________</w:t>
      </w:r>
      <w:r w:rsidRPr="007102F3">
        <w:rPr>
          <w:rFonts w:ascii="David" w:hAnsi="David"/>
          <w:rtl/>
        </w:rPr>
        <w:tab/>
      </w:r>
      <w:r w:rsidRPr="007102F3">
        <w:rPr>
          <w:rFonts w:ascii="David" w:hAnsi="David" w:hint="cs"/>
          <w:rtl/>
        </w:rPr>
        <w:t xml:space="preserve">       </w:t>
      </w:r>
      <w:r>
        <w:rPr>
          <w:rFonts w:ascii="David" w:hAnsi="David" w:hint="cs"/>
          <w:rtl/>
        </w:rPr>
        <w:t xml:space="preserve">   </w:t>
      </w:r>
      <w:r w:rsidR="00267E8E">
        <w:rPr>
          <w:rFonts w:ascii="David" w:hAnsi="David" w:hint="cs"/>
          <w:rtl/>
        </w:rPr>
        <w:t xml:space="preserve">   </w:t>
      </w:r>
      <w:r>
        <w:rPr>
          <w:rFonts w:ascii="David" w:hAnsi="David"/>
        </w:rPr>
        <w:t xml:space="preserve"> </w:t>
      </w:r>
      <w:r w:rsidR="00267E8E">
        <w:rPr>
          <w:rFonts w:ascii="David" w:hAnsi="David" w:hint="cs"/>
          <w:rtl/>
        </w:rPr>
        <w:t xml:space="preserve">  </w:t>
      </w:r>
      <w:r>
        <w:rPr>
          <w:rFonts w:ascii="David" w:hAnsi="David"/>
        </w:rPr>
        <w:t xml:space="preserve"> </w:t>
      </w:r>
      <w:r w:rsidRPr="007102F3">
        <w:rPr>
          <w:rFonts w:ascii="David" w:hAnsi="David" w:hint="cs"/>
          <w:rtl/>
        </w:rPr>
        <w:t xml:space="preserve"> </w:t>
      </w:r>
      <w:r w:rsidRPr="007102F3">
        <w:rPr>
          <w:rFonts w:ascii="David" w:hAnsi="David"/>
          <w:rtl/>
        </w:rPr>
        <w:t>______________</w:t>
      </w:r>
      <w:r w:rsidRPr="007102F3">
        <w:rPr>
          <w:rFonts w:ascii="David" w:hAnsi="David"/>
          <w:rtl/>
        </w:rPr>
        <w:tab/>
      </w:r>
      <w:r w:rsidRPr="007102F3">
        <w:rPr>
          <w:rFonts w:ascii="David" w:hAnsi="David" w:hint="cs"/>
          <w:rtl/>
        </w:rPr>
        <w:t xml:space="preserve">   </w:t>
      </w:r>
      <w:r>
        <w:rPr>
          <w:rFonts w:ascii="David" w:hAnsi="David" w:hint="cs"/>
          <w:rtl/>
        </w:rPr>
        <w:t xml:space="preserve">                </w:t>
      </w:r>
      <w:r w:rsidR="00267E8E">
        <w:rPr>
          <w:rFonts w:ascii="David" w:hAnsi="David" w:hint="cs"/>
          <w:rtl/>
        </w:rPr>
        <w:t xml:space="preserve">      </w:t>
      </w:r>
      <w:r w:rsidRPr="007102F3">
        <w:rPr>
          <w:rFonts w:ascii="David" w:hAnsi="David"/>
          <w:rtl/>
        </w:rPr>
        <w:t>_____________</w:t>
      </w:r>
    </w:p>
    <w:p w14:paraId="7C81DEC7" w14:textId="79FD3771" w:rsidR="00F539EA" w:rsidRDefault="00F539EA" w:rsidP="00F539EA">
      <w:pPr>
        <w:rPr>
          <w:rFonts w:ascii="David" w:hAnsi="David"/>
          <w:b/>
          <w:bCs/>
          <w:rtl/>
        </w:rPr>
      </w:pPr>
      <w:r w:rsidRPr="007102F3">
        <w:rPr>
          <w:rFonts w:ascii="David" w:hAnsi="David" w:hint="cs"/>
          <w:rtl/>
        </w:rPr>
        <w:t xml:space="preserve"> </w:t>
      </w:r>
      <w:r w:rsidRPr="00B576B9">
        <w:rPr>
          <w:rFonts w:ascii="David" w:hAnsi="David" w:hint="cs"/>
          <w:b/>
          <w:bCs/>
          <w:rtl/>
        </w:rPr>
        <w:t xml:space="preserve">   </w:t>
      </w:r>
      <w:r>
        <w:rPr>
          <w:rFonts w:ascii="David" w:hAnsi="David" w:hint="cs"/>
          <w:b/>
          <w:bCs/>
          <w:rtl/>
        </w:rPr>
        <w:t xml:space="preserve">  </w:t>
      </w:r>
      <w:r w:rsidRPr="00B576B9">
        <w:rPr>
          <w:rFonts w:ascii="David" w:hAnsi="David" w:hint="cs"/>
          <w:b/>
          <w:bCs/>
          <w:rtl/>
        </w:rPr>
        <w:t xml:space="preserve"> הנשיאה</w:t>
      </w:r>
      <w:r w:rsidRPr="007102F3">
        <w:rPr>
          <w:rFonts w:ascii="David" w:hAnsi="David"/>
          <w:rtl/>
        </w:rPr>
        <w:tab/>
      </w:r>
      <w:r w:rsidRPr="007102F3">
        <w:rPr>
          <w:rFonts w:ascii="David" w:hAnsi="David" w:hint="cs"/>
          <w:rtl/>
        </w:rPr>
        <w:t xml:space="preserve">                      </w:t>
      </w:r>
      <w:r w:rsidR="00267E8E">
        <w:rPr>
          <w:rFonts w:ascii="David" w:hAnsi="David" w:hint="cs"/>
          <w:rtl/>
        </w:rPr>
        <w:t xml:space="preserve">   </w:t>
      </w:r>
      <w:r>
        <w:rPr>
          <w:rFonts w:ascii="David" w:hAnsi="David"/>
        </w:rPr>
        <w:t xml:space="preserve">  </w:t>
      </w:r>
      <w:r w:rsidR="00267E8E">
        <w:rPr>
          <w:rFonts w:ascii="David" w:hAnsi="David" w:hint="cs"/>
          <w:rtl/>
        </w:rPr>
        <w:t xml:space="preserve">  </w:t>
      </w:r>
      <w:r w:rsidRPr="00B576B9">
        <w:rPr>
          <w:rFonts w:ascii="David" w:hAnsi="David" w:hint="cs"/>
          <w:b/>
          <w:bCs/>
          <w:rtl/>
        </w:rPr>
        <w:t>המשנה</w:t>
      </w:r>
      <w:r w:rsidRPr="00B576B9">
        <w:rPr>
          <w:rFonts w:ascii="David" w:hAnsi="David"/>
          <w:b/>
          <w:bCs/>
          <w:rtl/>
        </w:rPr>
        <w:t xml:space="preserve"> </w:t>
      </w:r>
      <w:r w:rsidRPr="00B576B9">
        <w:rPr>
          <w:rFonts w:ascii="David" w:hAnsi="David" w:hint="cs"/>
          <w:b/>
          <w:bCs/>
          <w:rtl/>
        </w:rPr>
        <w:t>לנשיאה</w:t>
      </w:r>
      <w:r w:rsidRPr="007102F3">
        <w:rPr>
          <w:rFonts w:ascii="David" w:hAnsi="David"/>
          <w:rtl/>
        </w:rPr>
        <w:tab/>
      </w:r>
      <w:r w:rsidRPr="007102F3">
        <w:rPr>
          <w:rFonts w:ascii="David" w:hAnsi="David" w:hint="cs"/>
          <w:rtl/>
        </w:rPr>
        <w:t xml:space="preserve">                </w:t>
      </w:r>
      <w:r>
        <w:rPr>
          <w:rFonts w:ascii="David" w:hAnsi="David" w:hint="cs"/>
          <w:rtl/>
        </w:rPr>
        <w:t xml:space="preserve">       </w:t>
      </w:r>
      <w:r w:rsidR="00267E8E">
        <w:rPr>
          <w:rFonts w:ascii="David" w:hAnsi="David" w:hint="cs"/>
          <w:rtl/>
        </w:rPr>
        <w:t xml:space="preserve">          </w:t>
      </w:r>
      <w:r w:rsidRPr="007102F3">
        <w:rPr>
          <w:rFonts w:ascii="David" w:hAnsi="David" w:hint="cs"/>
          <w:rtl/>
        </w:rPr>
        <w:t xml:space="preserve"> </w:t>
      </w:r>
      <w:r w:rsidRPr="00B576B9">
        <w:rPr>
          <w:rFonts w:ascii="David" w:hAnsi="David" w:hint="cs"/>
          <w:b/>
          <w:bCs/>
          <w:rtl/>
        </w:rPr>
        <w:t>שופט</w:t>
      </w:r>
      <w:r>
        <w:rPr>
          <w:rFonts w:ascii="David" w:hAnsi="David" w:hint="cs"/>
          <w:b/>
          <w:bCs/>
          <w:rtl/>
        </w:rPr>
        <w:t>ת</w:t>
      </w:r>
    </w:p>
    <w:p w14:paraId="1D4C6BD6" w14:textId="77777777" w:rsidR="00F539EA" w:rsidRDefault="00F539EA" w:rsidP="00F539EA">
      <w:pPr>
        <w:rPr>
          <w:rFonts w:ascii="David" w:hAnsi="David"/>
          <w:b/>
          <w:bCs/>
          <w:sz w:val="52"/>
          <w:szCs w:val="56"/>
          <w:rtl/>
        </w:rPr>
      </w:pPr>
    </w:p>
    <w:p w14:paraId="1C56AF99" w14:textId="77777777" w:rsidR="00ED74B5" w:rsidRPr="001F318F" w:rsidRDefault="00ED74B5" w:rsidP="00F539EA">
      <w:pPr>
        <w:rPr>
          <w:rFonts w:ascii="David" w:hAnsi="David"/>
          <w:b/>
          <w:bCs/>
          <w:rtl/>
        </w:rPr>
      </w:pPr>
    </w:p>
    <w:p w14:paraId="17D1A7D1" w14:textId="17AC3773" w:rsidR="00F539EA" w:rsidRPr="005425B8" w:rsidRDefault="00F539EA" w:rsidP="00F539EA">
      <w:pPr>
        <w:ind w:left="-58" w:right="-630"/>
        <w:rPr>
          <w:rFonts w:ascii="David" w:hAnsi="David"/>
          <w:b/>
          <w:bCs/>
          <w:rtl/>
        </w:rPr>
      </w:pPr>
      <w:bookmarkStart w:id="2" w:name="_Hlk141797760"/>
      <w:bookmarkStart w:id="3" w:name="_Hlk122599666"/>
      <w:r>
        <w:rPr>
          <w:rFonts w:ascii="David" w:hAnsi="David" w:hint="cs"/>
          <w:b/>
          <w:bCs/>
          <w:rtl/>
        </w:rPr>
        <w:t xml:space="preserve"> </w:t>
      </w:r>
      <w:r w:rsidRPr="005425B8">
        <w:rPr>
          <w:rFonts w:ascii="David" w:hAnsi="David"/>
          <w:b/>
          <w:bCs/>
          <w:rtl/>
        </w:rPr>
        <w:t xml:space="preserve">חתימת המגיה: </w:t>
      </w:r>
      <w:r>
        <w:rPr>
          <w:rFonts w:ascii="David" w:hAnsi="David" w:hint="cs"/>
          <w:b/>
          <w:bCs/>
          <w:rtl/>
        </w:rPr>
        <w:t xml:space="preserve">  </w:t>
      </w:r>
      <w:r w:rsidRPr="005425B8">
        <w:rPr>
          <w:rFonts w:ascii="David" w:hAnsi="David"/>
          <w:b/>
          <w:bCs/>
          <w:rtl/>
        </w:rPr>
        <w:t>_______________________________</w:t>
      </w:r>
      <w:r>
        <w:rPr>
          <w:rFonts w:ascii="David" w:hAnsi="David" w:hint="cs"/>
          <w:b/>
          <w:bCs/>
          <w:rtl/>
        </w:rPr>
        <w:t xml:space="preserve">  </w:t>
      </w:r>
      <w:r w:rsidRPr="005425B8">
        <w:rPr>
          <w:rFonts w:ascii="David" w:hAnsi="David"/>
          <w:b/>
          <w:bCs/>
          <w:rtl/>
        </w:rPr>
        <w:t xml:space="preserve">העתק       נאמן    </w:t>
      </w:r>
      <w:r>
        <w:rPr>
          <w:rFonts w:ascii="David" w:hAnsi="David" w:hint="cs"/>
          <w:b/>
          <w:bCs/>
          <w:rtl/>
        </w:rPr>
        <w:t xml:space="preserve"> </w:t>
      </w:r>
      <w:r w:rsidRPr="005425B8">
        <w:rPr>
          <w:rFonts w:ascii="David" w:hAnsi="David"/>
          <w:b/>
          <w:bCs/>
          <w:rtl/>
        </w:rPr>
        <w:t xml:space="preserve">  למקור             </w:t>
      </w:r>
    </w:p>
    <w:p w14:paraId="611FC3CE" w14:textId="4BE3CC18" w:rsidR="00F539EA" w:rsidRPr="005425B8" w:rsidRDefault="00F539EA" w:rsidP="00F539EA">
      <w:pPr>
        <w:ind w:left="-58" w:right="-630"/>
        <w:rPr>
          <w:rFonts w:ascii="David" w:hAnsi="David"/>
          <w:b/>
          <w:bCs/>
          <w:rtl/>
        </w:rPr>
      </w:pPr>
      <w:r w:rsidRPr="005425B8">
        <w:rPr>
          <w:rFonts w:ascii="David" w:hAnsi="David"/>
          <w:b/>
          <w:bCs/>
          <w:rtl/>
        </w:rPr>
        <w:t xml:space="preserve">                                                                                                   </w:t>
      </w:r>
      <w:r>
        <w:rPr>
          <w:rFonts w:ascii="David" w:hAnsi="David" w:hint="cs"/>
          <w:b/>
          <w:bCs/>
          <w:rtl/>
        </w:rPr>
        <w:t xml:space="preserve"> </w:t>
      </w:r>
      <w:r w:rsidRPr="005425B8">
        <w:rPr>
          <w:rFonts w:ascii="David" w:hAnsi="David"/>
          <w:b/>
          <w:bCs/>
          <w:rtl/>
        </w:rPr>
        <w:t xml:space="preserve"> </w:t>
      </w:r>
      <w:r>
        <w:rPr>
          <w:rFonts w:ascii="David" w:hAnsi="David" w:hint="cs"/>
          <w:b/>
          <w:bCs/>
          <w:rtl/>
        </w:rPr>
        <w:t xml:space="preserve"> </w:t>
      </w:r>
      <w:r w:rsidRPr="005425B8">
        <w:rPr>
          <w:rFonts w:ascii="David" w:hAnsi="David"/>
          <w:b/>
          <w:bCs/>
          <w:rtl/>
        </w:rPr>
        <w:t xml:space="preserve">רס"ל   </w:t>
      </w:r>
      <w:r>
        <w:rPr>
          <w:rFonts w:ascii="David" w:hAnsi="David" w:hint="cs"/>
          <w:b/>
          <w:bCs/>
          <w:rtl/>
        </w:rPr>
        <w:t xml:space="preserve"> </w:t>
      </w:r>
      <w:r w:rsidRPr="005425B8">
        <w:rPr>
          <w:rFonts w:ascii="David" w:hAnsi="David"/>
          <w:b/>
          <w:bCs/>
          <w:rtl/>
        </w:rPr>
        <w:t xml:space="preserve"> </w:t>
      </w:r>
      <w:r>
        <w:rPr>
          <w:rFonts w:ascii="David" w:hAnsi="David" w:hint="cs"/>
          <w:b/>
          <w:bCs/>
          <w:rtl/>
        </w:rPr>
        <w:t xml:space="preserve">  </w:t>
      </w:r>
      <w:r w:rsidRPr="005425B8">
        <w:rPr>
          <w:rFonts w:ascii="David" w:hAnsi="David"/>
          <w:b/>
          <w:bCs/>
          <w:rtl/>
        </w:rPr>
        <w:t xml:space="preserve">מיקה     </w:t>
      </w:r>
      <w:r>
        <w:rPr>
          <w:rFonts w:ascii="David" w:hAnsi="David" w:hint="cs"/>
          <w:b/>
          <w:bCs/>
          <w:rtl/>
        </w:rPr>
        <w:t xml:space="preserve"> </w:t>
      </w:r>
      <w:proofErr w:type="spellStart"/>
      <w:r w:rsidRPr="005425B8">
        <w:rPr>
          <w:rFonts w:ascii="David" w:hAnsi="David"/>
          <w:b/>
          <w:bCs/>
          <w:rtl/>
        </w:rPr>
        <w:t>אשרוב</w:t>
      </w:r>
      <w:proofErr w:type="spellEnd"/>
    </w:p>
    <w:p w14:paraId="1AA7AF99" w14:textId="5AFA190A" w:rsidR="00F539EA" w:rsidRPr="005425B8" w:rsidRDefault="00F539EA" w:rsidP="00F539EA">
      <w:pPr>
        <w:ind w:left="-58" w:right="-630"/>
        <w:rPr>
          <w:rFonts w:ascii="David" w:hAnsi="David"/>
          <w:b/>
          <w:bCs/>
          <w:rtl/>
        </w:rPr>
      </w:pPr>
      <w:r>
        <w:rPr>
          <w:rFonts w:ascii="David" w:hAnsi="David" w:hint="cs"/>
          <w:b/>
          <w:bCs/>
          <w:rtl/>
        </w:rPr>
        <w:t xml:space="preserve"> </w:t>
      </w:r>
      <w:r w:rsidRPr="005425B8">
        <w:rPr>
          <w:rFonts w:ascii="David" w:hAnsi="David"/>
          <w:b/>
          <w:bCs/>
          <w:rtl/>
        </w:rPr>
        <w:t xml:space="preserve">תאריך: </w:t>
      </w:r>
      <w:r>
        <w:rPr>
          <w:rFonts w:ascii="David" w:hAnsi="David" w:hint="cs"/>
          <w:b/>
          <w:bCs/>
          <w:rtl/>
        </w:rPr>
        <w:t xml:space="preserve">  </w:t>
      </w:r>
      <w:r w:rsidRPr="005425B8">
        <w:rPr>
          <w:rFonts w:ascii="David" w:hAnsi="David"/>
          <w:b/>
          <w:bCs/>
          <w:rtl/>
        </w:rPr>
        <w:t xml:space="preserve">____________________________________  </w:t>
      </w:r>
      <w:r>
        <w:rPr>
          <w:rFonts w:ascii="David" w:hAnsi="David" w:hint="cs"/>
          <w:b/>
          <w:bCs/>
          <w:rtl/>
        </w:rPr>
        <w:t xml:space="preserve"> </w:t>
      </w:r>
      <w:r w:rsidRPr="005425B8">
        <w:rPr>
          <w:rFonts w:ascii="David" w:hAnsi="David"/>
          <w:b/>
          <w:bCs/>
          <w:rtl/>
        </w:rPr>
        <w:t xml:space="preserve">קצינת      </w:t>
      </w:r>
      <w:r>
        <w:rPr>
          <w:rFonts w:ascii="David" w:hAnsi="David" w:hint="cs"/>
          <w:b/>
          <w:bCs/>
          <w:rtl/>
        </w:rPr>
        <w:t xml:space="preserve"> </w:t>
      </w:r>
      <w:r w:rsidRPr="005425B8">
        <w:rPr>
          <w:rFonts w:ascii="David" w:hAnsi="David"/>
          <w:b/>
          <w:bCs/>
          <w:rtl/>
        </w:rPr>
        <w:t xml:space="preserve"> בית      </w:t>
      </w:r>
      <w:r>
        <w:rPr>
          <w:rFonts w:ascii="David" w:hAnsi="David" w:hint="cs"/>
          <w:b/>
          <w:bCs/>
          <w:rtl/>
        </w:rPr>
        <w:t xml:space="preserve"> </w:t>
      </w:r>
      <w:r w:rsidRPr="005425B8">
        <w:rPr>
          <w:rFonts w:ascii="David" w:hAnsi="David"/>
          <w:b/>
          <w:bCs/>
          <w:rtl/>
        </w:rPr>
        <w:t xml:space="preserve">   הדין</w:t>
      </w:r>
      <w:bookmarkEnd w:id="2"/>
      <w:bookmarkEnd w:id="3"/>
    </w:p>
    <w:sectPr w:rsidR="00F539EA" w:rsidRPr="005425B8" w:rsidSect="00F539EA">
      <w:headerReference w:type="default" r:id="rId10"/>
      <w:footerReference w:type="default" r:id="rId11"/>
      <w:pgSz w:w="11906" w:h="16838"/>
      <w:pgMar w:top="1418" w:right="1418" w:bottom="1418" w:left="1418"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2581E" w14:textId="77777777" w:rsidR="00431DEB" w:rsidRDefault="00431DEB" w:rsidP="005378FB">
      <w:pPr>
        <w:spacing w:line="240" w:lineRule="auto"/>
      </w:pPr>
      <w:r>
        <w:separator/>
      </w:r>
    </w:p>
  </w:endnote>
  <w:endnote w:type="continuationSeparator" w:id="0">
    <w:p w14:paraId="599BF73C" w14:textId="77777777" w:rsidR="00431DEB" w:rsidRDefault="00431DEB" w:rsidP="005378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BB0F6" w14:textId="77777777" w:rsidR="007264C3" w:rsidRPr="00F539EA" w:rsidRDefault="007264C3">
    <w:pPr>
      <w:pStyle w:val="Footer"/>
      <w:jc w:val="center"/>
      <w:rPr>
        <w:rFonts w:ascii="David" w:hAnsi="David"/>
        <w:sz w:val="28"/>
        <w:szCs w:val="32"/>
      </w:rPr>
    </w:pPr>
    <w:r w:rsidRPr="00F539EA">
      <w:rPr>
        <w:rFonts w:ascii="David" w:hAnsi="David"/>
        <w:sz w:val="28"/>
        <w:szCs w:val="32"/>
      </w:rPr>
      <w:fldChar w:fldCharType="begin"/>
    </w:r>
    <w:r w:rsidRPr="00F539EA">
      <w:rPr>
        <w:rFonts w:ascii="David" w:hAnsi="David"/>
        <w:sz w:val="28"/>
        <w:szCs w:val="32"/>
      </w:rPr>
      <w:instrText xml:space="preserve"> PAGE   \* MERGEFORMAT </w:instrText>
    </w:r>
    <w:r w:rsidRPr="00F539EA">
      <w:rPr>
        <w:rFonts w:ascii="David" w:hAnsi="David"/>
        <w:sz w:val="28"/>
        <w:szCs w:val="32"/>
      </w:rPr>
      <w:fldChar w:fldCharType="separate"/>
    </w:r>
    <w:r w:rsidRPr="00F539EA">
      <w:rPr>
        <w:rFonts w:ascii="David" w:hAnsi="David"/>
        <w:noProof/>
        <w:sz w:val="28"/>
        <w:szCs w:val="32"/>
      </w:rPr>
      <w:t>2</w:t>
    </w:r>
    <w:r w:rsidRPr="00F539EA">
      <w:rPr>
        <w:rFonts w:ascii="David" w:hAnsi="David"/>
        <w:noProof/>
        <w:sz w:val="28"/>
        <w:szCs w:val="32"/>
      </w:rPr>
      <w:fldChar w:fldCharType="end"/>
    </w:r>
  </w:p>
  <w:p w14:paraId="32C0BBE3" w14:textId="77777777" w:rsidR="007264C3" w:rsidRDefault="00726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1B507E" w14:textId="77777777" w:rsidR="00431DEB" w:rsidRDefault="00431DEB" w:rsidP="005378FB">
      <w:pPr>
        <w:spacing w:line="240" w:lineRule="auto"/>
      </w:pPr>
      <w:r>
        <w:separator/>
      </w:r>
    </w:p>
  </w:footnote>
  <w:footnote w:type="continuationSeparator" w:id="0">
    <w:p w14:paraId="23D433D0" w14:textId="77777777" w:rsidR="00431DEB" w:rsidRDefault="00431DEB" w:rsidP="005378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B8076" w14:textId="1DB9F91D" w:rsidR="00D033D8" w:rsidRDefault="006610F9" w:rsidP="006610F9">
    <w:pPr>
      <w:pStyle w:val="Header"/>
      <w:jc w:val="center"/>
    </w:pPr>
    <w:r>
      <w:rPr>
        <w:rFonts w:hint="cs"/>
        <w:rtl/>
      </w:rPr>
      <w:t xml:space="preserve">                                                                 </w:t>
    </w:r>
    <w:r w:rsidR="00F539EA">
      <w:t xml:space="preserve"> </w:t>
    </w:r>
    <w:r w:rsidR="00CF3BEF">
      <w:rPr>
        <w:rFonts w:hint="cs"/>
        <w:rtl/>
      </w:rPr>
      <w:t>ב ל מ " ס</w:t>
    </w:r>
    <w:r w:rsidR="00F539EA">
      <w:rPr>
        <w:rFonts w:hint="cs"/>
        <w:rtl/>
      </w:rPr>
      <w:t xml:space="preserve">         </w:t>
    </w:r>
    <w:r>
      <w:rPr>
        <w:rFonts w:hint="cs"/>
        <w:rtl/>
      </w:rPr>
      <w:t xml:space="preserve">  </w:t>
    </w:r>
    <w:r w:rsidR="00F539EA">
      <w:rPr>
        <w:rFonts w:hint="cs"/>
        <w:rtl/>
      </w:rPr>
      <w:t xml:space="preserve">  </w:t>
    </w:r>
    <w:r w:rsidR="00D033D8">
      <w:rPr>
        <w:rFonts w:hint="cs"/>
        <w:rtl/>
      </w:rPr>
      <w:t xml:space="preserve">ע"פ </w:t>
    </w:r>
    <w:r w:rsidR="003F28B4">
      <w:rPr>
        <w:rFonts w:hint="cs"/>
        <w:rtl/>
      </w:rPr>
      <w:t>25787-03-26, 24809-03-26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87619"/>
    <w:multiLevelType w:val="hybridMultilevel"/>
    <w:tmpl w:val="8578BDB4"/>
    <w:lvl w:ilvl="0" w:tplc="7E863B12">
      <w:start w:val="1"/>
      <w:numFmt w:val="hebrew1"/>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3D55FC"/>
    <w:multiLevelType w:val="hybridMultilevel"/>
    <w:tmpl w:val="E758CA5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63381769"/>
    <w:multiLevelType w:val="multilevel"/>
    <w:tmpl w:val="862823D2"/>
    <w:lvl w:ilvl="0">
      <w:start w:val="1"/>
      <w:numFmt w:val="decimal"/>
      <w:suff w:val="space"/>
      <w:lvlText w:val="%1."/>
      <w:lvlJc w:val="left"/>
      <w:pPr>
        <w:ind w:left="0" w:firstLine="0"/>
      </w:pPr>
      <w:rPr>
        <w:rFonts w:hint="default"/>
      </w:rPr>
    </w:lvl>
    <w:lvl w:ilvl="1">
      <w:start w:val="1"/>
      <w:numFmt w:val="hebrew1"/>
      <w:lvlText w:val="%2."/>
      <w:lvlJc w:val="left"/>
      <w:pPr>
        <w:ind w:left="1134"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775D0079"/>
    <w:multiLevelType w:val="hybridMultilevel"/>
    <w:tmpl w:val="8578BDB4"/>
    <w:lvl w:ilvl="0" w:tplc="7E863B12">
      <w:start w:val="1"/>
      <w:numFmt w:val="hebrew1"/>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8363216">
    <w:abstractNumId w:val="2"/>
  </w:num>
  <w:num w:numId="2" w16cid:durableId="1343583797">
    <w:abstractNumId w:val="3"/>
  </w:num>
  <w:num w:numId="3" w16cid:durableId="242959632">
    <w:abstractNumId w:val="0"/>
  </w:num>
  <w:num w:numId="4" w16cid:durableId="1098332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CAD"/>
    <w:rsid w:val="000010F1"/>
    <w:rsid w:val="00002740"/>
    <w:rsid w:val="00003806"/>
    <w:rsid w:val="0001026C"/>
    <w:rsid w:val="00013781"/>
    <w:rsid w:val="00022458"/>
    <w:rsid w:val="00023FB5"/>
    <w:rsid w:val="00024570"/>
    <w:rsid w:val="000247C7"/>
    <w:rsid w:val="00024D1B"/>
    <w:rsid w:val="00027819"/>
    <w:rsid w:val="00030837"/>
    <w:rsid w:val="00031406"/>
    <w:rsid w:val="000315B1"/>
    <w:rsid w:val="000366FB"/>
    <w:rsid w:val="00040150"/>
    <w:rsid w:val="000407B5"/>
    <w:rsid w:val="00043F61"/>
    <w:rsid w:val="0004496B"/>
    <w:rsid w:val="000460DD"/>
    <w:rsid w:val="00050A33"/>
    <w:rsid w:val="000530C5"/>
    <w:rsid w:val="00053A09"/>
    <w:rsid w:val="00057656"/>
    <w:rsid w:val="000615D1"/>
    <w:rsid w:val="00065939"/>
    <w:rsid w:val="00065A7F"/>
    <w:rsid w:val="00065D8E"/>
    <w:rsid w:val="00077A10"/>
    <w:rsid w:val="00077FB8"/>
    <w:rsid w:val="00087F6A"/>
    <w:rsid w:val="0009311B"/>
    <w:rsid w:val="00094204"/>
    <w:rsid w:val="000A5C46"/>
    <w:rsid w:val="000A5D38"/>
    <w:rsid w:val="000B0A46"/>
    <w:rsid w:val="000B243E"/>
    <w:rsid w:val="000B5510"/>
    <w:rsid w:val="000C1EB3"/>
    <w:rsid w:val="000C3694"/>
    <w:rsid w:val="000C49CA"/>
    <w:rsid w:val="000E0ECD"/>
    <w:rsid w:val="000E2816"/>
    <w:rsid w:val="000E4C2D"/>
    <w:rsid w:val="000E7307"/>
    <w:rsid w:val="000F5478"/>
    <w:rsid w:val="000F65A4"/>
    <w:rsid w:val="000F7CAD"/>
    <w:rsid w:val="00102413"/>
    <w:rsid w:val="00103277"/>
    <w:rsid w:val="0010359C"/>
    <w:rsid w:val="00105582"/>
    <w:rsid w:val="0010598F"/>
    <w:rsid w:val="001106A6"/>
    <w:rsid w:val="0011327A"/>
    <w:rsid w:val="00114C64"/>
    <w:rsid w:val="00116C4E"/>
    <w:rsid w:val="00116C5C"/>
    <w:rsid w:val="00116D94"/>
    <w:rsid w:val="00121070"/>
    <w:rsid w:val="001265AC"/>
    <w:rsid w:val="00127A6B"/>
    <w:rsid w:val="001319DE"/>
    <w:rsid w:val="00132FA3"/>
    <w:rsid w:val="001346E8"/>
    <w:rsid w:val="0013708B"/>
    <w:rsid w:val="001513AD"/>
    <w:rsid w:val="00153503"/>
    <w:rsid w:val="0015350F"/>
    <w:rsid w:val="001622D6"/>
    <w:rsid w:val="001629B1"/>
    <w:rsid w:val="00163CA4"/>
    <w:rsid w:val="00167221"/>
    <w:rsid w:val="00174CB2"/>
    <w:rsid w:val="001752CB"/>
    <w:rsid w:val="00176200"/>
    <w:rsid w:val="00176D08"/>
    <w:rsid w:val="00177441"/>
    <w:rsid w:val="001805AE"/>
    <w:rsid w:val="00180D3E"/>
    <w:rsid w:val="00182C20"/>
    <w:rsid w:val="00182DBB"/>
    <w:rsid w:val="0018496B"/>
    <w:rsid w:val="00191265"/>
    <w:rsid w:val="0019573F"/>
    <w:rsid w:val="001A0564"/>
    <w:rsid w:val="001A0C4D"/>
    <w:rsid w:val="001A57DD"/>
    <w:rsid w:val="001A67EA"/>
    <w:rsid w:val="001A6B68"/>
    <w:rsid w:val="001B1D0E"/>
    <w:rsid w:val="001B5138"/>
    <w:rsid w:val="001B6D61"/>
    <w:rsid w:val="001C01DF"/>
    <w:rsid w:val="001C12D9"/>
    <w:rsid w:val="001C1AC8"/>
    <w:rsid w:val="001C5C14"/>
    <w:rsid w:val="001C5F9E"/>
    <w:rsid w:val="001D0B52"/>
    <w:rsid w:val="001D0B6D"/>
    <w:rsid w:val="001D64B9"/>
    <w:rsid w:val="001D667B"/>
    <w:rsid w:val="001D7FB9"/>
    <w:rsid w:val="001E01DC"/>
    <w:rsid w:val="001E1A81"/>
    <w:rsid w:val="001E3EAC"/>
    <w:rsid w:val="001E7DA4"/>
    <w:rsid w:val="001F16C3"/>
    <w:rsid w:val="001F2D14"/>
    <w:rsid w:val="001F318F"/>
    <w:rsid w:val="00200370"/>
    <w:rsid w:val="00202426"/>
    <w:rsid w:val="00207080"/>
    <w:rsid w:val="00207999"/>
    <w:rsid w:val="002134AC"/>
    <w:rsid w:val="00213B48"/>
    <w:rsid w:val="002149AA"/>
    <w:rsid w:val="00216CAB"/>
    <w:rsid w:val="0021720A"/>
    <w:rsid w:val="0022506E"/>
    <w:rsid w:val="0022635B"/>
    <w:rsid w:val="002268BA"/>
    <w:rsid w:val="00226C8F"/>
    <w:rsid w:val="00230EDC"/>
    <w:rsid w:val="00232C96"/>
    <w:rsid w:val="00235DE6"/>
    <w:rsid w:val="002425E4"/>
    <w:rsid w:val="00243954"/>
    <w:rsid w:val="0024797E"/>
    <w:rsid w:val="00247CE1"/>
    <w:rsid w:val="00253EA6"/>
    <w:rsid w:val="00255198"/>
    <w:rsid w:val="00256BE4"/>
    <w:rsid w:val="00257F43"/>
    <w:rsid w:val="00260863"/>
    <w:rsid w:val="00261E4A"/>
    <w:rsid w:val="0026209A"/>
    <w:rsid w:val="00266D9C"/>
    <w:rsid w:val="002679CD"/>
    <w:rsid w:val="00267E8E"/>
    <w:rsid w:val="00271C4C"/>
    <w:rsid w:val="002720D6"/>
    <w:rsid w:val="00272513"/>
    <w:rsid w:val="002728A7"/>
    <w:rsid w:val="002732EA"/>
    <w:rsid w:val="00273E71"/>
    <w:rsid w:val="00277672"/>
    <w:rsid w:val="0028013F"/>
    <w:rsid w:val="00280FD6"/>
    <w:rsid w:val="00282D0A"/>
    <w:rsid w:val="0028798E"/>
    <w:rsid w:val="0029020D"/>
    <w:rsid w:val="00294C93"/>
    <w:rsid w:val="0029600F"/>
    <w:rsid w:val="00296C61"/>
    <w:rsid w:val="002A6E19"/>
    <w:rsid w:val="002A7DDB"/>
    <w:rsid w:val="002B549F"/>
    <w:rsid w:val="002B6FAF"/>
    <w:rsid w:val="002C3424"/>
    <w:rsid w:val="002D050C"/>
    <w:rsid w:val="002D0FAB"/>
    <w:rsid w:val="002D1E6A"/>
    <w:rsid w:val="002D1EE6"/>
    <w:rsid w:val="002D3AA9"/>
    <w:rsid w:val="002D7655"/>
    <w:rsid w:val="002E0651"/>
    <w:rsid w:val="002E101B"/>
    <w:rsid w:val="002E129B"/>
    <w:rsid w:val="002E149E"/>
    <w:rsid w:val="002F0AFD"/>
    <w:rsid w:val="002F1844"/>
    <w:rsid w:val="002F19AC"/>
    <w:rsid w:val="002F2BB8"/>
    <w:rsid w:val="002F5D26"/>
    <w:rsid w:val="002F6464"/>
    <w:rsid w:val="002F7EFA"/>
    <w:rsid w:val="00300805"/>
    <w:rsid w:val="00302E24"/>
    <w:rsid w:val="00307DD2"/>
    <w:rsid w:val="00314946"/>
    <w:rsid w:val="003154E2"/>
    <w:rsid w:val="00315E4B"/>
    <w:rsid w:val="00316303"/>
    <w:rsid w:val="00320EED"/>
    <w:rsid w:val="00322519"/>
    <w:rsid w:val="00322B5B"/>
    <w:rsid w:val="003238B3"/>
    <w:rsid w:val="003252E4"/>
    <w:rsid w:val="00326940"/>
    <w:rsid w:val="00331402"/>
    <w:rsid w:val="0033765F"/>
    <w:rsid w:val="00342A93"/>
    <w:rsid w:val="00345325"/>
    <w:rsid w:val="003474DA"/>
    <w:rsid w:val="003475C5"/>
    <w:rsid w:val="0035230F"/>
    <w:rsid w:val="00356FBE"/>
    <w:rsid w:val="0036059D"/>
    <w:rsid w:val="00362632"/>
    <w:rsid w:val="003646AF"/>
    <w:rsid w:val="0036771A"/>
    <w:rsid w:val="00373B3E"/>
    <w:rsid w:val="003762A5"/>
    <w:rsid w:val="00383067"/>
    <w:rsid w:val="00385070"/>
    <w:rsid w:val="0038578C"/>
    <w:rsid w:val="00386FD2"/>
    <w:rsid w:val="00390658"/>
    <w:rsid w:val="003943F3"/>
    <w:rsid w:val="00395C74"/>
    <w:rsid w:val="003A0A1C"/>
    <w:rsid w:val="003A0E6D"/>
    <w:rsid w:val="003A0FFB"/>
    <w:rsid w:val="003A4A3F"/>
    <w:rsid w:val="003A629F"/>
    <w:rsid w:val="003A6965"/>
    <w:rsid w:val="003A7FAE"/>
    <w:rsid w:val="003B08A8"/>
    <w:rsid w:val="003B5A32"/>
    <w:rsid w:val="003B5CE9"/>
    <w:rsid w:val="003B7C16"/>
    <w:rsid w:val="003C6872"/>
    <w:rsid w:val="003C7BA3"/>
    <w:rsid w:val="003D0BD5"/>
    <w:rsid w:val="003D544F"/>
    <w:rsid w:val="003E777C"/>
    <w:rsid w:val="003E7E2D"/>
    <w:rsid w:val="003F06C6"/>
    <w:rsid w:val="003F0794"/>
    <w:rsid w:val="003F2325"/>
    <w:rsid w:val="003F28B4"/>
    <w:rsid w:val="003F440E"/>
    <w:rsid w:val="003F5DB3"/>
    <w:rsid w:val="003F64BA"/>
    <w:rsid w:val="003F694B"/>
    <w:rsid w:val="00401ED8"/>
    <w:rsid w:val="0040401F"/>
    <w:rsid w:val="004118B2"/>
    <w:rsid w:val="0042176E"/>
    <w:rsid w:val="00426CA0"/>
    <w:rsid w:val="00427516"/>
    <w:rsid w:val="004303D9"/>
    <w:rsid w:val="004308F1"/>
    <w:rsid w:val="00431DEB"/>
    <w:rsid w:val="0043434C"/>
    <w:rsid w:val="004348EB"/>
    <w:rsid w:val="00434B10"/>
    <w:rsid w:val="0043722B"/>
    <w:rsid w:val="004459F0"/>
    <w:rsid w:val="00446276"/>
    <w:rsid w:val="00447641"/>
    <w:rsid w:val="004546F9"/>
    <w:rsid w:val="0046644E"/>
    <w:rsid w:val="00471C62"/>
    <w:rsid w:val="00473C11"/>
    <w:rsid w:val="004760BA"/>
    <w:rsid w:val="00477E5E"/>
    <w:rsid w:val="004817EA"/>
    <w:rsid w:val="00481F1D"/>
    <w:rsid w:val="004872C5"/>
    <w:rsid w:val="00487FF4"/>
    <w:rsid w:val="004906B7"/>
    <w:rsid w:val="00491A61"/>
    <w:rsid w:val="0049738A"/>
    <w:rsid w:val="004A281A"/>
    <w:rsid w:val="004A2A97"/>
    <w:rsid w:val="004A7AA0"/>
    <w:rsid w:val="004B044B"/>
    <w:rsid w:val="004B2EF4"/>
    <w:rsid w:val="004C1521"/>
    <w:rsid w:val="004C77D9"/>
    <w:rsid w:val="004D045A"/>
    <w:rsid w:val="004D0DA8"/>
    <w:rsid w:val="004E094A"/>
    <w:rsid w:val="004E3327"/>
    <w:rsid w:val="004E541E"/>
    <w:rsid w:val="004E68FF"/>
    <w:rsid w:val="004E695A"/>
    <w:rsid w:val="004E6ADE"/>
    <w:rsid w:val="004F2562"/>
    <w:rsid w:val="004F4200"/>
    <w:rsid w:val="004F51E9"/>
    <w:rsid w:val="00500E5A"/>
    <w:rsid w:val="00503411"/>
    <w:rsid w:val="00505E57"/>
    <w:rsid w:val="00506BBA"/>
    <w:rsid w:val="00507E68"/>
    <w:rsid w:val="00512B75"/>
    <w:rsid w:val="005146E1"/>
    <w:rsid w:val="00520262"/>
    <w:rsid w:val="0052103E"/>
    <w:rsid w:val="00521918"/>
    <w:rsid w:val="0052207A"/>
    <w:rsid w:val="00523720"/>
    <w:rsid w:val="00523B53"/>
    <w:rsid w:val="00526634"/>
    <w:rsid w:val="00526D43"/>
    <w:rsid w:val="00527231"/>
    <w:rsid w:val="00532D5F"/>
    <w:rsid w:val="005355C7"/>
    <w:rsid w:val="005378FB"/>
    <w:rsid w:val="00543B03"/>
    <w:rsid w:val="0054532F"/>
    <w:rsid w:val="00547660"/>
    <w:rsid w:val="00550666"/>
    <w:rsid w:val="00550AEF"/>
    <w:rsid w:val="00550BBA"/>
    <w:rsid w:val="00553D75"/>
    <w:rsid w:val="005540F2"/>
    <w:rsid w:val="00554AB6"/>
    <w:rsid w:val="005605C4"/>
    <w:rsid w:val="00561698"/>
    <w:rsid w:val="0056372A"/>
    <w:rsid w:val="00563B0B"/>
    <w:rsid w:val="0056532A"/>
    <w:rsid w:val="00565C8C"/>
    <w:rsid w:val="00565EE5"/>
    <w:rsid w:val="00567A07"/>
    <w:rsid w:val="0057225B"/>
    <w:rsid w:val="00573A01"/>
    <w:rsid w:val="005743A5"/>
    <w:rsid w:val="005750C1"/>
    <w:rsid w:val="00575716"/>
    <w:rsid w:val="00575EAF"/>
    <w:rsid w:val="005774CF"/>
    <w:rsid w:val="00583386"/>
    <w:rsid w:val="0058357D"/>
    <w:rsid w:val="00583780"/>
    <w:rsid w:val="0058739A"/>
    <w:rsid w:val="0059363C"/>
    <w:rsid w:val="00593C35"/>
    <w:rsid w:val="005A7570"/>
    <w:rsid w:val="005B3844"/>
    <w:rsid w:val="005B6423"/>
    <w:rsid w:val="005C1C02"/>
    <w:rsid w:val="005C40CA"/>
    <w:rsid w:val="005C6554"/>
    <w:rsid w:val="005D17A6"/>
    <w:rsid w:val="005D42AF"/>
    <w:rsid w:val="005D6A43"/>
    <w:rsid w:val="005E208F"/>
    <w:rsid w:val="005E3CA6"/>
    <w:rsid w:val="005E4309"/>
    <w:rsid w:val="005E6632"/>
    <w:rsid w:val="005E7025"/>
    <w:rsid w:val="005F0387"/>
    <w:rsid w:val="005F06C1"/>
    <w:rsid w:val="005F5B4B"/>
    <w:rsid w:val="005F5F63"/>
    <w:rsid w:val="005F69EA"/>
    <w:rsid w:val="0060359E"/>
    <w:rsid w:val="00604727"/>
    <w:rsid w:val="00604810"/>
    <w:rsid w:val="00605F10"/>
    <w:rsid w:val="00607B35"/>
    <w:rsid w:val="00613210"/>
    <w:rsid w:val="006132B0"/>
    <w:rsid w:val="00613BF6"/>
    <w:rsid w:val="006145A1"/>
    <w:rsid w:val="00614F49"/>
    <w:rsid w:val="00615C91"/>
    <w:rsid w:val="00616CA5"/>
    <w:rsid w:val="0061728D"/>
    <w:rsid w:val="00617D34"/>
    <w:rsid w:val="00621937"/>
    <w:rsid w:val="00623FE1"/>
    <w:rsid w:val="0062564C"/>
    <w:rsid w:val="00626562"/>
    <w:rsid w:val="00630A7F"/>
    <w:rsid w:val="00636414"/>
    <w:rsid w:val="00636647"/>
    <w:rsid w:val="00636D06"/>
    <w:rsid w:val="00637691"/>
    <w:rsid w:val="00640A28"/>
    <w:rsid w:val="00640BD5"/>
    <w:rsid w:val="00641D42"/>
    <w:rsid w:val="0064223F"/>
    <w:rsid w:val="00642C20"/>
    <w:rsid w:val="006444AB"/>
    <w:rsid w:val="00646B6F"/>
    <w:rsid w:val="00646F23"/>
    <w:rsid w:val="006505F3"/>
    <w:rsid w:val="006515DA"/>
    <w:rsid w:val="00654276"/>
    <w:rsid w:val="00654B28"/>
    <w:rsid w:val="00656E9C"/>
    <w:rsid w:val="006577D7"/>
    <w:rsid w:val="006610F9"/>
    <w:rsid w:val="006635FA"/>
    <w:rsid w:val="00663871"/>
    <w:rsid w:val="006644B0"/>
    <w:rsid w:val="006660EE"/>
    <w:rsid w:val="0067423F"/>
    <w:rsid w:val="00685134"/>
    <w:rsid w:val="00685550"/>
    <w:rsid w:val="006901CB"/>
    <w:rsid w:val="0069139F"/>
    <w:rsid w:val="00692515"/>
    <w:rsid w:val="00692B42"/>
    <w:rsid w:val="006943CF"/>
    <w:rsid w:val="00694D8A"/>
    <w:rsid w:val="006A22EF"/>
    <w:rsid w:val="006A5CF9"/>
    <w:rsid w:val="006A64D5"/>
    <w:rsid w:val="006B0EB2"/>
    <w:rsid w:val="006B2DDB"/>
    <w:rsid w:val="006B5245"/>
    <w:rsid w:val="006C0C6A"/>
    <w:rsid w:val="006C22A7"/>
    <w:rsid w:val="006C5F82"/>
    <w:rsid w:val="006C6902"/>
    <w:rsid w:val="006C707E"/>
    <w:rsid w:val="006D0CDD"/>
    <w:rsid w:val="006D155A"/>
    <w:rsid w:val="006D1958"/>
    <w:rsid w:val="006D1DEA"/>
    <w:rsid w:val="006D2142"/>
    <w:rsid w:val="006D4C0E"/>
    <w:rsid w:val="006D7A1A"/>
    <w:rsid w:val="006E1262"/>
    <w:rsid w:val="006E140F"/>
    <w:rsid w:val="006E16B5"/>
    <w:rsid w:val="006E2293"/>
    <w:rsid w:val="006E35AA"/>
    <w:rsid w:val="006E3961"/>
    <w:rsid w:val="006E3D41"/>
    <w:rsid w:val="006E3EA2"/>
    <w:rsid w:val="006E4CD1"/>
    <w:rsid w:val="006E5446"/>
    <w:rsid w:val="006F07B4"/>
    <w:rsid w:val="006F1883"/>
    <w:rsid w:val="006F1E10"/>
    <w:rsid w:val="006F23E5"/>
    <w:rsid w:val="006F3B18"/>
    <w:rsid w:val="006F7282"/>
    <w:rsid w:val="006F729A"/>
    <w:rsid w:val="00700D12"/>
    <w:rsid w:val="00707DEE"/>
    <w:rsid w:val="00710C58"/>
    <w:rsid w:val="007127DE"/>
    <w:rsid w:val="00714D79"/>
    <w:rsid w:val="00717A95"/>
    <w:rsid w:val="007264C3"/>
    <w:rsid w:val="0072780B"/>
    <w:rsid w:val="007303AD"/>
    <w:rsid w:val="00731044"/>
    <w:rsid w:val="00733603"/>
    <w:rsid w:val="00735A29"/>
    <w:rsid w:val="007422C4"/>
    <w:rsid w:val="00742E6C"/>
    <w:rsid w:val="00745AA4"/>
    <w:rsid w:val="00746467"/>
    <w:rsid w:val="00746987"/>
    <w:rsid w:val="00753799"/>
    <w:rsid w:val="007542A2"/>
    <w:rsid w:val="00754CB9"/>
    <w:rsid w:val="00754F40"/>
    <w:rsid w:val="007560E3"/>
    <w:rsid w:val="00761486"/>
    <w:rsid w:val="00767576"/>
    <w:rsid w:val="007709CF"/>
    <w:rsid w:val="00770F6C"/>
    <w:rsid w:val="007737E4"/>
    <w:rsid w:val="00774932"/>
    <w:rsid w:val="00775404"/>
    <w:rsid w:val="00776CD4"/>
    <w:rsid w:val="0077730A"/>
    <w:rsid w:val="0078120E"/>
    <w:rsid w:val="007821E6"/>
    <w:rsid w:val="00790854"/>
    <w:rsid w:val="00791651"/>
    <w:rsid w:val="00791A86"/>
    <w:rsid w:val="00791CB9"/>
    <w:rsid w:val="007926CB"/>
    <w:rsid w:val="00792BF3"/>
    <w:rsid w:val="00794C91"/>
    <w:rsid w:val="00796945"/>
    <w:rsid w:val="0079713E"/>
    <w:rsid w:val="007A0F77"/>
    <w:rsid w:val="007A7E23"/>
    <w:rsid w:val="007B5852"/>
    <w:rsid w:val="007B78BD"/>
    <w:rsid w:val="007C1AC7"/>
    <w:rsid w:val="007C2828"/>
    <w:rsid w:val="007C2CAB"/>
    <w:rsid w:val="007C3557"/>
    <w:rsid w:val="007C4529"/>
    <w:rsid w:val="007C7A66"/>
    <w:rsid w:val="007D0211"/>
    <w:rsid w:val="007D1249"/>
    <w:rsid w:val="007D31CE"/>
    <w:rsid w:val="007E25CC"/>
    <w:rsid w:val="007E4420"/>
    <w:rsid w:val="007E6789"/>
    <w:rsid w:val="007E6E4E"/>
    <w:rsid w:val="007F1833"/>
    <w:rsid w:val="007F575E"/>
    <w:rsid w:val="007F6F16"/>
    <w:rsid w:val="007F7251"/>
    <w:rsid w:val="008007C0"/>
    <w:rsid w:val="00801069"/>
    <w:rsid w:val="00804658"/>
    <w:rsid w:val="008049C4"/>
    <w:rsid w:val="00811F71"/>
    <w:rsid w:val="00813046"/>
    <w:rsid w:val="0081389A"/>
    <w:rsid w:val="00813CE7"/>
    <w:rsid w:val="0081549B"/>
    <w:rsid w:val="00815ABB"/>
    <w:rsid w:val="0081631F"/>
    <w:rsid w:val="00816DA2"/>
    <w:rsid w:val="00822175"/>
    <w:rsid w:val="00824125"/>
    <w:rsid w:val="00825878"/>
    <w:rsid w:val="00825D79"/>
    <w:rsid w:val="00827EEE"/>
    <w:rsid w:val="0083120A"/>
    <w:rsid w:val="00835416"/>
    <w:rsid w:val="008369CE"/>
    <w:rsid w:val="00840CDB"/>
    <w:rsid w:val="00841D9A"/>
    <w:rsid w:val="008423C6"/>
    <w:rsid w:val="008442C0"/>
    <w:rsid w:val="00845A6F"/>
    <w:rsid w:val="008476DC"/>
    <w:rsid w:val="00854117"/>
    <w:rsid w:val="0085514E"/>
    <w:rsid w:val="008561F9"/>
    <w:rsid w:val="00856D38"/>
    <w:rsid w:val="00860142"/>
    <w:rsid w:val="00862EE8"/>
    <w:rsid w:val="008700FF"/>
    <w:rsid w:val="00871D4D"/>
    <w:rsid w:val="008800AC"/>
    <w:rsid w:val="00883EB6"/>
    <w:rsid w:val="008868A1"/>
    <w:rsid w:val="0088708E"/>
    <w:rsid w:val="00890FBD"/>
    <w:rsid w:val="00893184"/>
    <w:rsid w:val="00893D63"/>
    <w:rsid w:val="008950F8"/>
    <w:rsid w:val="008A50C0"/>
    <w:rsid w:val="008B0B55"/>
    <w:rsid w:val="008B0E47"/>
    <w:rsid w:val="008B530D"/>
    <w:rsid w:val="008B5614"/>
    <w:rsid w:val="008C32DA"/>
    <w:rsid w:val="008C44F0"/>
    <w:rsid w:val="008C76C2"/>
    <w:rsid w:val="008C7A37"/>
    <w:rsid w:val="008D12E1"/>
    <w:rsid w:val="008D38A7"/>
    <w:rsid w:val="008E1B6A"/>
    <w:rsid w:val="008E25CF"/>
    <w:rsid w:val="008E2977"/>
    <w:rsid w:val="008E2BF1"/>
    <w:rsid w:val="008E33AC"/>
    <w:rsid w:val="008E5264"/>
    <w:rsid w:val="008F4169"/>
    <w:rsid w:val="008F4B64"/>
    <w:rsid w:val="008F5DE6"/>
    <w:rsid w:val="00901D9B"/>
    <w:rsid w:val="00902988"/>
    <w:rsid w:val="00903A5D"/>
    <w:rsid w:val="00910233"/>
    <w:rsid w:val="00914373"/>
    <w:rsid w:val="0091498D"/>
    <w:rsid w:val="00914E5B"/>
    <w:rsid w:val="009208F9"/>
    <w:rsid w:val="009220C3"/>
    <w:rsid w:val="0092528E"/>
    <w:rsid w:val="00926C1F"/>
    <w:rsid w:val="00936FC9"/>
    <w:rsid w:val="00941539"/>
    <w:rsid w:val="0094585A"/>
    <w:rsid w:val="009476C2"/>
    <w:rsid w:val="00950ECD"/>
    <w:rsid w:val="009529AE"/>
    <w:rsid w:val="00957457"/>
    <w:rsid w:val="00960D2E"/>
    <w:rsid w:val="009665CD"/>
    <w:rsid w:val="00974289"/>
    <w:rsid w:val="00976C63"/>
    <w:rsid w:val="009860B3"/>
    <w:rsid w:val="0098622E"/>
    <w:rsid w:val="00986CE7"/>
    <w:rsid w:val="00987920"/>
    <w:rsid w:val="0099365E"/>
    <w:rsid w:val="00994145"/>
    <w:rsid w:val="00995565"/>
    <w:rsid w:val="009970BF"/>
    <w:rsid w:val="009A0B38"/>
    <w:rsid w:val="009A6E97"/>
    <w:rsid w:val="009B036A"/>
    <w:rsid w:val="009B11F3"/>
    <w:rsid w:val="009B3CAA"/>
    <w:rsid w:val="009B5BB4"/>
    <w:rsid w:val="009B6997"/>
    <w:rsid w:val="009B6A32"/>
    <w:rsid w:val="009B7CF7"/>
    <w:rsid w:val="009C324E"/>
    <w:rsid w:val="009C411A"/>
    <w:rsid w:val="009C43B9"/>
    <w:rsid w:val="009C4519"/>
    <w:rsid w:val="009C5093"/>
    <w:rsid w:val="009C636D"/>
    <w:rsid w:val="009C6599"/>
    <w:rsid w:val="009C6B02"/>
    <w:rsid w:val="009D2165"/>
    <w:rsid w:val="009D6B9B"/>
    <w:rsid w:val="009D7C08"/>
    <w:rsid w:val="009D7F22"/>
    <w:rsid w:val="009E3830"/>
    <w:rsid w:val="009E77C2"/>
    <w:rsid w:val="009F0722"/>
    <w:rsid w:val="009F1681"/>
    <w:rsid w:val="009F2ECB"/>
    <w:rsid w:val="009F4FBA"/>
    <w:rsid w:val="00A011CF"/>
    <w:rsid w:val="00A036BB"/>
    <w:rsid w:val="00A03DF7"/>
    <w:rsid w:val="00A04A16"/>
    <w:rsid w:val="00A066E6"/>
    <w:rsid w:val="00A145A8"/>
    <w:rsid w:val="00A145B6"/>
    <w:rsid w:val="00A15EFC"/>
    <w:rsid w:val="00A16154"/>
    <w:rsid w:val="00A34D76"/>
    <w:rsid w:val="00A36712"/>
    <w:rsid w:val="00A36901"/>
    <w:rsid w:val="00A375FE"/>
    <w:rsid w:val="00A4221E"/>
    <w:rsid w:val="00A42493"/>
    <w:rsid w:val="00A530A2"/>
    <w:rsid w:val="00A56542"/>
    <w:rsid w:val="00A56FF0"/>
    <w:rsid w:val="00A62521"/>
    <w:rsid w:val="00A63172"/>
    <w:rsid w:val="00A64932"/>
    <w:rsid w:val="00A64AC8"/>
    <w:rsid w:val="00A661D6"/>
    <w:rsid w:val="00A669ED"/>
    <w:rsid w:val="00A71C69"/>
    <w:rsid w:val="00A72FC6"/>
    <w:rsid w:val="00A77236"/>
    <w:rsid w:val="00A81573"/>
    <w:rsid w:val="00A82E54"/>
    <w:rsid w:val="00A838A2"/>
    <w:rsid w:val="00A8455E"/>
    <w:rsid w:val="00A86E85"/>
    <w:rsid w:val="00A87EE2"/>
    <w:rsid w:val="00A91E2A"/>
    <w:rsid w:val="00A920AC"/>
    <w:rsid w:val="00A924C0"/>
    <w:rsid w:val="00A931CE"/>
    <w:rsid w:val="00AA67CF"/>
    <w:rsid w:val="00AA6B69"/>
    <w:rsid w:val="00AB1263"/>
    <w:rsid w:val="00AB1FAF"/>
    <w:rsid w:val="00AB2848"/>
    <w:rsid w:val="00AB2872"/>
    <w:rsid w:val="00AB2A01"/>
    <w:rsid w:val="00AB2B2C"/>
    <w:rsid w:val="00AB2B9E"/>
    <w:rsid w:val="00AC2EF7"/>
    <w:rsid w:val="00AD27B6"/>
    <w:rsid w:val="00AD2A61"/>
    <w:rsid w:val="00AD3474"/>
    <w:rsid w:val="00AD3833"/>
    <w:rsid w:val="00AD533F"/>
    <w:rsid w:val="00AE07B5"/>
    <w:rsid w:val="00AE11E2"/>
    <w:rsid w:val="00AF096B"/>
    <w:rsid w:val="00AF5826"/>
    <w:rsid w:val="00B02D4C"/>
    <w:rsid w:val="00B053D8"/>
    <w:rsid w:val="00B07B15"/>
    <w:rsid w:val="00B12D6A"/>
    <w:rsid w:val="00B141B2"/>
    <w:rsid w:val="00B157E7"/>
    <w:rsid w:val="00B167F8"/>
    <w:rsid w:val="00B17FA0"/>
    <w:rsid w:val="00B24826"/>
    <w:rsid w:val="00B264F6"/>
    <w:rsid w:val="00B35ED3"/>
    <w:rsid w:val="00B35F37"/>
    <w:rsid w:val="00B41349"/>
    <w:rsid w:val="00B420D3"/>
    <w:rsid w:val="00B438F6"/>
    <w:rsid w:val="00B50A3F"/>
    <w:rsid w:val="00B517CA"/>
    <w:rsid w:val="00B5189E"/>
    <w:rsid w:val="00B56B15"/>
    <w:rsid w:val="00B61E7D"/>
    <w:rsid w:val="00B71C8B"/>
    <w:rsid w:val="00B80A1D"/>
    <w:rsid w:val="00B8343C"/>
    <w:rsid w:val="00B84548"/>
    <w:rsid w:val="00B876C5"/>
    <w:rsid w:val="00B916A9"/>
    <w:rsid w:val="00B93741"/>
    <w:rsid w:val="00B96732"/>
    <w:rsid w:val="00BA089E"/>
    <w:rsid w:val="00BA458C"/>
    <w:rsid w:val="00BA5712"/>
    <w:rsid w:val="00BA7671"/>
    <w:rsid w:val="00BB21AF"/>
    <w:rsid w:val="00BB43CB"/>
    <w:rsid w:val="00BB529A"/>
    <w:rsid w:val="00BB6CA8"/>
    <w:rsid w:val="00BC3619"/>
    <w:rsid w:val="00BD3CB1"/>
    <w:rsid w:val="00BE58A7"/>
    <w:rsid w:val="00BF03BF"/>
    <w:rsid w:val="00BF0D61"/>
    <w:rsid w:val="00BF479D"/>
    <w:rsid w:val="00C007A0"/>
    <w:rsid w:val="00C0184A"/>
    <w:rsid w:val="00C040C0"/>
    <w:rsid w:val="00C04A82"/>
    <w:rsid w:val="00C0640F"/>
    <w:rsid w:val="00C10172"/>
    <w:rsid w:val="00C11056"/>
    <w:rsid w:val="00C1470D"/>
    <w:rsid w:val="00C17033"/>
    <w:rsid w:val="00C205A6"/>
    <w:rsid w:val="00C30767"/>
    <w:rsid w:val="00C36CF1"/>
    <w:rsid w:val="00C36EB8"/>
    <w:rsid w:val="00C3746F"/>
    <w:rsid w:val="00C40837"/>
    <w:rsid w:val="00C412FE"/>
    <w:rsid w:val="00C44FEA"/>
    <w:rsid w:val="00C45802"/>
    <w:rsid w:val="00C45D05"/>
    <w:rsid w:val="00C47429"/>
    <w:rsid w:val="00C47B96"/>
    <w:rsid w:val="00C51E3F"/>
    <w:rsid w:val="00C52CDA"/>
    <w:rsid w:val="00C52F7B"/>
    <w:rsid w:val="00C53A01"/>
    <w:rsid w:val="00C556BB"/>
    <w:rsid w:val="00C57C25"/>
    <w:rsid w:val="00C60275"/>
    <w:rsid w:val="00C623F9"/>
    <w:rsid w:val="00C66DFF"/>
    <w:rsid w:val="00C71B3C"/>
    <w:rsid w:val="00C754A9"/>
    <w:rsid w:val="00C8071F"/>
    <w:rsid w:val="00C80BAD"/>
    <w:rsid w:val="00C81382"/>
    <w:rsid w:val="00C82235"/>
    <w:rsid w:val="00C82E4A"/>
    <w:rsid w:val="00C83C44"/>
    <w:rsid w:val="00C86252"/>
    <w:rsid w:val="00C9234F"/>
    <w:rsid w:val="00C95E91"/>
    <w:rsid w:val="00CA004D"/>
    <w:rsid w:val="00CA0389"/>
    <w:rsid w:val="00CA34EF"/>
    <w:rsid w:val="00CA44B2"/>
    <w:rsid w:val="00CA4910"/>
    <w:rsid w:val="00CA5600"/>
    <w:rsid w:val="00CA57A5"/>
    <w:rsid w:val="00CB4C6D"/>
    <w:rsid w:val="00CB4EBE"/>
    <w:rsid w:val="00CB5442"/>
    <w:rsid w:val="00CC22BC"/>
    <w:rsid w:val="00CC52FB"/>
    <w:rsid w:val="00CC5400"/>
    <w:rsid w:val="00CC54BC"/>
    <w:rsid w:val="00CC5511"/>
    <w:rsid w:val="00CC58B8"/>
    <w:rsid w:val="00CC5BB5"/>
    <w:rsid w:val="00CD282F"/>
    <w:rsid w:val="00CD7449"/>
    <w:rsid w:val="00CE0185"/>
    <w:rsid w:val="00CE0E5B"/>
    <w:rsid w:val="00CE1302"/>
    <w:rsid w:val="00CE1706"/>
    <w:rsid w:val="00CE6E26"/>
    <w:rsid w:val="00CE7671"/>
    <w:rsid w:val="00CF3BEF"/>
    <w:rsid w:val="00CF65CE"/>
    <w:rsid w:val="00D00AA3"/>
    <w:rsid w:val="00D033D8"/>
    <w:rsid w:val="00D03E40"/>
    <w:rsid w:val="00D07D76"/>
    <w:rsid w:val="00D12524"/>
    <w:rsid w:val="00D1274E"/>
    <w:rsid w:val="00D16741"/>
    <w:rsid w:val="00D24290"/>
    <w:rsid w:val="00D41641"/>
    <w:rsid w:val="00D41E17"/>
    <w:rsid w:val="00D50CFF"/>
    <w:rsid w:val="00D5158E"/>
    <w:rsid w:val="00D5183F"/>
    <w:rsid w:val="00D66037"/>
    <w:rsid w:val="00D66B07"/>
    <w:rsid w:val="00D66D4A"/>
    <w:rsid w:val="00D701A5"/>
    <w:rsid w:val="00D70973"/>
    <w:rsid w:val="00D7399C"/>
    <w:rsid w:val="00D7491F"/>
    <w:rsid w:val="00D75F87"/>
    <w:rsid w:val="00D7675E"/>
    <w:rsid w:val="00D8044B"/>
    <w:rsid w:val="00D866BC"/>
    <w:rsid w:val="00D932C3"/>
    <w:rsid w:val="00D96D36"/>
    <w:rsid w:val="00D96EDC"/>
    <w:rsid w:val="00D97A96"/>
    <w:rsid w:val="00DA23AD"/>
    <w:rsid w:val="00DA442E"/>
    <w:rsid w:val="00DA5845"/>
    <w:rsid w:val="00DA641B"/>
    <w:rsid w:val="00DB0367"/>
    <w:rsid w:val="00DB0B46"/>
    <w:rsid w:val="00DB1415"/>
    <w:rsid w:val="00DB721D"/>
    <w:rsid w:val="00DB7285"/>
    <w:rsid w:val="00DC0374"/>
    <w:rsid w:val="00DC11E0"/>
    <w:rsid w:val="00DC1BC1"/>
    <w:rsid w:val="00DC1BEA"/>
    <w:rsid w:val="00DC3845"/>
    <w:rsid w:val="00DC3DF1"/>
    <w:rsid w:val="00DC4D1E"/>
    <w:rsid w:val="00DC54FB"/>
    <w:rsid w:val="00DD009E"/>
    <w:rsid w:val="00DD3EC1"/>
    <w:rsid w:val="00DD4556"/>
    <w:rsid w:val="00DD499B"/>
    <w:rsid w:val="00DD631A"/>
    <w:rsid w:val="00DE005F"/>
    <w:rsid w:val="00DE01A5"/>
    <w:rsid w:val="00DE229C"/>
    <w:rsid w:val="00DE30DB"/>
    <w:rsid w:val="00DE3769"/>
    <w:rsid w:val="00DE6BF7"/>
    <w:rsid w:val="00DF17E2"/>
    <w:rsid w:val="00DF4DF8"/>
    <w:rsid w:val="00DF548E"/>
    <w:rsid w:val="00DF5A47"/>
    <w:rsid w:val="00DF762F"/>
    <w:rsid w:val="00E02E5A"/>
    <w:rsid w:val="00E050F4"/>
    <w:rsid w:val="00E065B1"/>
    <w:rsid w:val="00E06DAC"/>
    <w:rsid w:val="00E07429"/>
    <w:rsid w:val="00E07D38"/>
    <w:rsid w:val="00E1061B"/>
    <w:rsid w:val="00E17CB6"/>
    <w:rsid w:val="00E20A90"/>
    <w:rsid w:val="00E223EA"/>
    <w:rsid w:val="00E234FC"/>
    <w:rsid w:val="00E235CF"/>
    <w:rsid w:val="00E277D4"/>
    <w:rsid w:val="00E32186"/>
    <w:rsid w:val="00E35F3A"/>
    <w:rsid w:val="00E37C72"/>
    <w:rsid w:val="00E434DE"/>
    <w:rsid w:val="00E449B5"/>
    <w:rsid w:val="00E44D6F"/>
    <w:rsid w:val="00E50558"/>
    <w:rsid w:val="00E5091F"/>
    <w:rsid w:val="00E527BD"/>
    <w:rsid w:val="00E5477D"/>
    <w:rsid w:val="00E55F6D"/>
    <w:rsid w:val="00E5679B"/>
    <w:rsid w:val="00E56985"/>
    <w:rsid w:val="00E609F8"/>
    <w:rsid w:val="00E66B7A"/>
    <w:rsid w:val="00E727FA"/>
    <w:rsid w:val="00E72AD2"/>
    <w:rsid w:val="00E75A14"/>
    <w:rsid w:val="00E75D02"/>
    <w:rsid w:val="00E76681"/>
    <w:rsid w:val="00E76E6B"/>
    <w:rsid w:val="00E81211"/>
    <w:rsid w:val="00E833EC"/>
    <w:rsid w:val="00E859DA"/>
    <w:rsid w:val="00E87D2D"/>
    <w:rsid w:val="00E95744"/>
    <w:rsid w:val="00E96668"/>
    <w:rsid w:val="00EA1745"/>
    <w:rsid w:val="00EA61C2"/>
    <w:rsid w:val="00EA7184"/>
    <w:rsid w:val="00EB0310"/>
    <w:rsid w:val="00EB29F5"/>
    <w:rsid w:val="00EB44C4"/>
    <w:rsid w:val="00EB79CC"/>
    <w:rsid w:val="00EC0397"/>
    <w:rsid w:val="00EC149E"/>
    <w:rsid w:val="00EC7492"/>
    <w:rsid w:val="00ED037E"/>
    <w:rsid w:val="00ED26AF"/>
    <w:rsid w:val="00ED29B4"/>
    <w:rsid w:val="00ED74B5"/>
    <w:rsid w:val="00ED7602"/>
    <w:rsid w:val="00ED7B28"/>
    <w:rsid w:val="00EE3CF8"/>
    <w:rsid w:val="00EE53A0"/>
    <w:rsid w:val="00EE66EE"/>
    <w:rsid w:val="00EF04B7"/>
    <w:rsid w:val="00EF1F6A"/>
    <w:rsid w:val="00EF4822"/>
    <w:rsid w:val="00EF742F"/>
    <w:rsid w:val="00EF7824"/>
    <w:rsid w:val="00F003B3"/>
    <w:rsid w:val="00F043B6"/>
    <w:rsid w:val="00F05FA4"/>
    <w:rsid w:val="00F062B5"/>
    <w:rsid w:val="00F075B4"/>
    <w:rsid w:val="00F2079A"/>
    <w:rsid w:val="00F21267"/>
    <w:rsid w:val="00F24062"/>
    <w:rsid w:val="00F27848"/>
    <w:rsid w:val="00F31FC9"/>
    <w:rsid w:val="00F3269B"/>
    <w:rsid w:val="00F34F47"/>
    <w:rsid w:val="00F3715D"/>
    <w:rsid w:val="00F37E25"/>
    <w:rsid w:val="00F407F3"/>
    <w:rsid w:val="00F43CF8"/>
    <w:rsid w:val="00F467D9"/>
    <w:rsid w:val="00F46B61"/>
    <w:rsid w:val="00F539EA"/>
    <w:rsid w:val="00F562B7"/>
    <w:rsid w:val="00F637ED"/>
    <w:rsid w:val="00F63D52"/>
    <w:rsid w:val="00F64D18"/>
    <w:rsid w:val="00F64DA2"/>
    <w:rsid w:val="00F64DD9"/>
    <w:rsid w:val="00F65210"/>
    <w:rsid w:val="00F66552"/>
    <w:rsid w:val="00F67F94"/>
    <w:rsid w:val="00F7075B"/>
    <w:rsid w:val="00F7149D"/>
    <w:rsid w:val="00F71619"/>
    <w:rsid w:val="00F71658"/>
    <w:rsid w:val="00F71D28"/>
    <w:rsid w:val="00F71E5A"/>
    <w:rsid w:val="00F77A3C"/>
    <w:rsid w:val="00F84E83"/>
    <w:rsid w:val="00F945FF"/>
    <w:rsid w:val="00F94AE4"/>
    <w:rsid w:val="00F961DA"/>
    <w:rsid w:val="00FA6099"/>
    <w:rsid w:val="00FB0658"/>
    <w:rsid w:val="00FB0A27"/>
    <w:rsid w:val="00FB374D"/>
    <w:rsid w:val="00FB4A8E"/>
    <w:rsid w:val="00FB7902"/>
    <w:rsid w:val="00FC0185"/>
    <w:rsid w:val="00FC0F9B"/>
    <w:rsid w:val="00FC67FF"/>
    <w:rsid w:val="00FD0CEF"/>
    <w:rsid w:val="00FD6B63"/>
    <w:rsid w:val="00FD6CCE"/>
    <w:rsid w:val="00FD7082"/>
    <w:rsid w:val="00FE0C0C"/>
    <w:rsid w:val="00FE27CB"/>
    <w:rsid w:val="00FF11A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6970C"/>
  <w15:chartTrackingRefBased/>
  <w15:docId w15:val="{26A721CB-A639-4907-9816-32CFAF5A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1A3"/>
    <w:pPr>
      <w:bidi/>
      <w:spacing w:line="360" w:lineRule="auto"/>
      <w:jc w:val="both"/>
    </w:pPr>
    <w:rPr>
      <w:rFonts w:ascii="Times New Roman" w:hAnsi="Times New Roman" w:cs="David"/>
      <w:sz w:val="24"/>
      <w:szCs w:val="28"/>
    </w:rPr>
  </w:style>
  <w:style w:type="paragraph" w:styleId="Heading1">
    <w:name w:val="heading 1"/>
    <w:basedOn w:val="Normal"/>
    <w:next w:val="Normal"/>
    <w:link w:val="Heading1Char"/>
    <w:qFormat/>
    <w:rsid w:val="00373B3E"/>
    <w:pPr>
      <w:keepNext/>
      <w:spacing w:before="360" w:after="120" w:line="240" w:lineRule="auto"/>
      <w:jc w:val="left"/>
      <w:outlineLvl w:val="0"/>
    </w:pPr>
    <w:rPr>
      <w:rFonts w:eastAsia="Times New Roman"/>
      <w:b/>
      <w:bCs/>
      <w:sz w:val="28"/>
      <w:u w:val="single"/>
    </w:rPr>
  </w:style>
  <w:style w:type="paragraph" w:styleId="Heading2">
    <w:name w:val="heading 2"/>
    <w:basedOn w:val="Normal"/>
    <w:next w:val="Normal"/>
    <w:link w:val="Heading2Char"/>
    <w:qFormat/>
    <w:rsid w:val="00373B3E"/>
    <w:pPr>
      <w:keepNext/>
      <w:spacing w:before="360" w:after="120" w:line="240" w:lineRule="auto"/>
      <w:jc w:val="left"/>
      <w:outlineLvl w:val="1"/>
    </w:pPr>
    <w:rPr>
      <w:rFonts w:eastAsia="Times New Roman"/>
      <w:b/>
      <w:bCs/>
      <w:sz w:val="28"/>
    </w:rPr>
  </w:style>
  <w:style w:type="paragraph" w:styleId="Heading3">
    <w:name w:val="heading 3"/>
    <w:basedOn w:val="Normal"/>
    <w:next w:val="Normal"/>
    <w:link w:val="Heading3Char"/>
    <w:qFormat/>
    <w:rsid w:val="00373B3E"/>
    <w:pPr>
      <w:keepNext/>
      <w:spacing w:before="360" w:after="120" w:line="240" w:lineRule="auto"/>
      <w:jc w:val="left"/>
      <w:outlineLvl w:val="2"/>
    </w:pPr>
    <w:rPr>
      <w:rFonts w:eastAsia="Times New Roman"/>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1A3"/>
    <w:pPr>
      <w:ind w:left="397" w:hanging="397"/>
    </w:pPr>
  </w:style>
  <w:style w:type="paragraph" w:styleId="Header">
    <w:name w:val="header"/>
    <w:basedOn w:val="Normal"/>
    <w:link w:val="HeaderChar"/>
    <w:uiPriority w:val="99"/>
    <w:unhideWhenUsed/>
    <w:rsid w:val="005378FB"/>
    <w:pPr>
      <w:tabs>
        <w:tab w:val="center" w:pos="4153"/>
        <w:tab w:val="right" w:pos="8306"/>
      </w:tabs>
      <w:spacing w:line="240" w:lineRule="auto"/>
    </w:pPr>
  </w:style>
  <w:style w:type="character" w:customStyle="1" w:styleId="HeaderChar">
    <w:name w:val="Header Char"/>
    <w:link w:val="Header"/>
    <w:uiPriority w:val="99"/>
    <w:rsid w:val="005378FB"/>
    <w:rPr>
      <w:rFonts w:ascii="Times New Roman" w:hAnsi="Times New Roman" w:cs="David"/>
      <w:sz w:val="24"/>
      <w:szCs w:val="28"/>
    </w:rPr>
  </w:style>
  <w:style w:type="paragraph" w:styleId="Footer">
    <w:name w:val="footer"/>
    <w:basedOn w:val="Normal"/>
    <w:link w:val="FooterChar"/>
    <w:uiPriority w:val="99"/>
    <w:unhideWhenUsed/>
    <w:rsid w:val="005378FB"/>
    <w:pPr>
      <w:tabs>
        <w:tab w:val="center" w:pos="4153"/>
        <w:tab w:val="right" w:pos="8306"/>
      </w:tabs>
      <w:spacing w:line="240" w:lineRule="auto"/>
    </w:pPr>
  </w:style>
  <w:style w:type="character" w:customStyle="1" w:styleId="FooterChar">
    <w:name w:val="Footer Char"/>
    <w:link w:val="Footer"/>
    <w:uiPriority w:val="99"/>
    <w:rsid w:val="005378FB"/>
    <w:rPr>
      <w:rFonts w:ascii="Times New Roman" w:hAnsi="Times New Roman" w:cs="David"/>
      <w:sz w:val="24"/>
      <w:szCs w:val="28"/>
    </w:rPr>
  </w:style>
  <w:style w:type="character" w:customStyle="1" w:styleId="Heading1Char">
    <w:name w:val="Heading 1 Char"/>
    <w:link w:val="Heading1"/>
    <w:rsid w:val="00373B3E"/>
    <w:rPr>
      <w:rFonts w:ascii="Times New Roman" w:eastAsia="Times New Roman" w:hAnsi="Times New Roman" w:cs="David"/>
      <w:b/>
      <w:bCs/>
      <w:sz w:val="28"/>
      <w:szCs w:val="28"/>
      <w:u w:val="single"/>
    </w:rPr>
  </w:style>
  <w:style w:type="character" w:customStyle="1" w:styleId="Heading2Char">
    <w:name w:val="Heading 2 Char"/>
    <w:link w:val="Heading2"/>
    <w:rsid w:val="00373B3E"/>
    <w:rPr>
      <w:rFonts w:ascii="Times New Roman" w:eastAsia="Times New Roman" w:hAnsi="Times New Roman" w:cs="David"/>
      <w:b/>
      <w:bCs/>
      <w:sz w:val="28"/>
      <w:szCs w:val="28"/>
    </w:rPr>
  </w:style>
  <w:style w:type="character" w:customStyle="1" w:styleId="Heading3Char">
    <w:name w:val="Heading 3 Char"/>
    <w:link w:val="Heading3"/>
    <w:rsid w:val="00373B3E"/>
    <w:rPr>
      <w:rFonts w:ascii="Times New Roman" w:eastAsia="Times New Roman" w:hAnsi="Times New Roman" w:cs="David"/>
      <w:sz w:val="28"/>
      <w:szCs w:val="28"/>
      <w:u w:val="single"/>
    </w:rPr>
  </w:style>
  <w:style w:type="paragraph" w:styleId="Quote">
    <w:name w:val="Quote"/>
    <w:basedOn w:val="Normal"/>
    <w:link w:val="QuoteChar"/>
    <w:uiPriority w:val="29"/>
    <w:qFormat/>
    <w:rsid w:val="00C412FE"/>
    <w:pPr>
      <w:spacing w:before="180" w:after="360" w:line="240" w:lineRule="auto"/>
      <w:ind w:left="1134" w:right="1134"/>
      <w:contextualSpacing/>
    </w:pPr>
  </w:style>
  <w:style w:type="character" w:customStyle="1" w:styleId="QuoteChar">
    <w:name w:val="Quote Char"/>
    <w:link w:val="Quote"/>
    <w:uiPriority w:val="29"/>
    <w:rsid w:val="00C412FE"/>
    <w:rPr>
      <w:rFonts w:ascii="Times New Roman" w:hAnsi="Times New Roman" w:cs="David"/>
      <w:sz w:val="24"/>
      <w:szCs w:val="28"/>
    </w:rPr>
  </w:style>
  <w:style w:type="paragraph" w:styleId="Revision">
    <w:name w:val="Revision"/>
    <w:hidden/>
    <w:uiPriority w:val="99"/>
    <w:semiHidden/>
    <w:rsid w:val="004D0DA8"/>
    <w:rPr>
      <w:rFonts w:ascii="Times New Roman" w:hAnsi="Times New Roman" w:cs="David"/>
      <w:sz w:val="24"/>
      <w:szCs w:val="28"/>
    </w:rPr>
  </w:style>
  <w:style w:type="character" w:styleId="CommentReference">
    <w:name w:val="annotation reference"/>
    <w:uiPriority w:val="99"/>
    <w:semiHidden/>
    <w:unhideWhenUsed/>
    <w:rsid w:val="00F37E25"/>
    <w:rPr>
      <w:sz w:val="16"/>
      <w:szCs w:val="16"/>
    </w:rPr>
  </w:style>
  <w:style w:type="paragraph" w:styleId="CommentText">
    <w:name w:val="annotation text"/>
    <w:basedOn w:val="Normal"/>
    <w:link w:val="CommentTextChar"/>
    <w:uiPriority w:val="99"/>
    <w:unhideWhenUsed/>
    <w:rsid w:val="00F37E25"/>
    <w:pPr>
      <w:spacing w:line="240" w:lineRule="auto"/>
    </w:pPr>
    <w:rPr>
      <w:sz w:val="20"/>
      <w:szCs w:val="20"/>
    </w:rPr>
  </w:style>
  <w:style w:type="character" w:customStyle="1" w:styleId="CommentTextChar">
    <w:name w:val="Comment Text Char"/>
    <w:link w:val="CommentText"/>
    <w:uiPriority w:val="99"/>
    <w:rsid w:val="00F37E25"/>
    <w:rPr>
      <w:rFonts w:ascii="Times New Roman" w:hAnsi="Times New Roman" w:cs="David"/>
      <w:sz w:val="20"/>
      <w:szCs w:val="20"/>
    </w:rPr>
  </w:style>
  <w:style w:type="paragraph" w:styleId="CommentSubject">
    <w:name w:val="annotation subject"/>
    <w:basedOn w:val="CommentText"/>
    <w:next w:val="CommentText"/>
    <w:link w:val="CommentSubjectChar"/>
    <w:uiPriority w:val="99"/>
    <w:semiHidden/>
    <w:unhideWhenUsed/>
    <w:rsid w:val="00F37E25"/>
    <w:rPr>
      <w:b/>
      <w:bCs/>
    </w:rPr>
  </w:style>
  <w:style w:type="character" w:customStyle="1" w:styleId="CommentSubjectChar">
    <w:name w:val="Comment Subject Char"/>
    <w:link w:val="CommentSubject"/>
    <w:uiPriority w:val="99"/>
    <w:semiHidden/>
    <w:rsid w:val="00F37E25"/>
    <w:rPr>
      <w:rFonts w:ascii="Times New Roman" w:hAnsi="Times New Roman" w:cs="David"/>
      <w:b/>
      <w:bCs/>
      <w:sz w:val="20"/>
      <w:szCs w:val="20"/>
    </w:rPr>
  </w:style>
  <w:style w:type="character" w:styleId="Hyperlink">
    <w:name w:val="Hyperlink"/>
    <w:uiPriority w:val="99"/>
    <w:unhideWhenUsed/>
    <w:rsid w:val="002268BA"/>
    <w:rPr>
      <w:color w:val="0563C1"/>
      <w:u w:val="single"/>
    </w:rPr>
  </w:style>
  <w:style w:type="character" w:styleId="UnresolvedMention">
    <w:name w:val="Unresolved Mention"/>
    <w:uiPriority w:val="99"/>
    <w:semiHidden/>
    <w:unhideWhenUsed/>
    <w:rsid w:val="00226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 TargetMode="Externa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6770</Words>
  <Characters>38591</Characters>
  <Application>Microsoft Office Word</Application>
  <DocSecurity>0</DocSecurity>
  <Lines>321</Lines>
  <Paragraphs>90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MOD</Company>
  <LinksUpToDate>false</LinksUpToDate>
  <CharactersWithSpaces>45271</CharactersWithSpaces>
  <SharedDoc>false</SharedDoc>
  <HLinks>
    <vt:vector size="6" baseType="variant">
      <vt:variant>
        <vt:i4>3145847</vt:i4>
      </vt:variant>
      <vt:variant>
        <vt:i4>0</vt:i4>
      </vt:variant>
      <vt:variant>
        <vt:i4>0</vt:i4>
      </vt:variant>
      <vt:variant>
        <vt:i4>5</vt:i4>
      </vt:variant>
      <vt:variant>
        <vt:lpwstr>http://www.nevo.co.il/case/6151033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מתן אבר גולדבלט - יבד"ץ 205/בית דין לערעורים/עוזר משפטי במילואים</dc:creator>
  <cp:keywords/>
  <dc:description/>
  <cp:lastModifiedBy>נאיה שלום</cp:lastModifiedBy>
  <cp:revision>3</cp:revision>
  <cp:lastPrinted>2026-09-06T13:06:00Z</cp:lastPrinted>
  <dcterms:created xsi:type="dcterms:W3CDTF">2026-09-06T13:54:00Z</dcterms:created>
  <dcterms:modified xsi:type="dcterms:W3CDTF">2026-09-07T09:40:00Z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1b9bfc-c426-492e-a46c-1a922d5fe54b_Enabled">
    <vt:lpwstr>true</vt:lpwstr>
  </property>
  <property fmtid="{D5CDD505-2E9C-101B-9397-08002B2CF9AE}" pid="3" name="MSIP_Label_701b9bfc-c426-492e-a46c-1a922d5fe54b_SetDate">
    <vt:lpwstr>2026-07-28T10:05:12Z</vt:lpwstr>
  </property>
  <property fmtid="{D5CDD505-2E9C-101B-9397-08002B2CF9AE}" pid="4" name="MSIP_Label_701b9bfc-c426-492e-a46c-1a922d5fe54b_Method">
    <vt:lpwstr>Privileged</vt:lpwstr>
  </property>
  <property fmtid="{D5CDD505-2E9C-101B-9397-08002B2CF9AE}" pid="5" name="MSIP_Label_701b9bfc-c426-492e-a46c-1a922d5fe54b_Name">
    <vt:lpwstr>בלמ"ס</vt:lpwstr>
  </property>
  <property fmtid="{D5CDD505-2E9C-101B-9397-08002B2CF9AE}" pid="6" name="MSIP_Label_701b9bfc-c426-492e-a46c-1a922d5fe54b_SiteId">
    <vt:lpwstr>78820852-55fa-450b-908d-45c0d911e76b</vt:lpwstr>
  </property>
  <property fmtid="{D5CDD505-2E9C-101B-9397-08002B2CF9AE}" pid="7" name="MSIP_Label_701b9bfc-c426-492e-a46c-1a922d5fe54b_ActionId">
    <vt:lpwstr>33e9314a-e272-4110-bda1-c844ffe2663d</vt:lpwstr>
  </property>
  <property fmtid="{D5CDD505-2E9C-101B-9397-08002B2CF9AE}" pid="8" name="MSIP_Label_701b9bfc-c426-492e-a46c-1a922d5fe54b_ContentBits">
    <vt:lpwstr>1</vt:lpwstr>
  </property>
  <property fmtid="{D5CDD505-2E9C-101B-9397-08002B2CF9AE}" pid="9" name="MSIP_Label_701b9bfc-c426-492e-a46c-1a922d5fe54b_Tag">
    <vt:lpwstr>10, 0, 1, 1</vt:lpwstr>
  </property>
</Properties>
</file>