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C4C9" w14:textId="77777777" w:rsidR="006502FF" w:rsidRDefault="006502FF" w:rsidP="006502FF">
      <w:pPr>
        <w:tabs>
          <w:tab w:val="right" w:pos="6518"/>
        </w:tabs>
        <w:spacing w:line="480" w:lineRule="auto"/>
        <w:ind w:left="2266" w:right="1985"/>
        <w:rPr>
          <w:rtl/>
        </w:rPr>
      </w:pPr>
      <w:bookmarkStart w:id="0" w:name="_Hlk149821736"/>
      <w:bookmarkStart w:id="1" w:name="_Hlk149824479"/>
      <w:r w:rsidRPr="00164FD0">
        <w:rPr>
          <w:noProof/>
        </w:rPr>
        <w:drawing>
          <wp:inline distT="0" distB="0" distL="0" distR="0" wp14:anchorId="140B4570" wp14:editId="0F739B41">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6117BD9D" wp14:editId="66D2284B">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E8A8F5B" w14:textId="0D3C1F36" w:rsidR="006502FF" w:rsidRPr="00FD2DDA" w:rsidRDefault="00E45CE1" w:rsidP="006502FF">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53918A76" w14:textId="77777777" w:rsidR="00E45CE1" w:rsidRPr="00FD2DDA" w:rsidRDefault="00E45CE1" w:rsidP="00E45CE1">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1179B68C" w14:textId="77777777" w:rsidR="00E45CE1" w:rsidRPr="00BB5867" w:rsidRDefault="00E45CE1" w:rsidP="00E45CE1">
      <w:pPr>
        <w:spacing w:line="240" w:lineRule="auto"/>
        <w:jc w:val="center"/>
        <w:rPr>
          <w:rFonts w:cs="David"/>
          <w:sz w:val="28"/>
          <w:szCs w:val="28"/>
          <w:rtl/>
        </w:rPr>
      </w:pPr>
      <w:r w:rsidRPr="00ED4EF3">
        <w:rPr>
          <w:rFonts w:cs="David" w:hint="cs"/>
          <w:b/>
          <w:bCs/>
          <w:sz w:val="28"/>
          <w:szCs w:val="28"/>
          <w:rtl/>
        </w:rPr>
        <w:t>אל"ם מאיה גולדשמידט</w:t>
      </w:r>
      <w:r>
        <w:rPr>
          <w:rFonts w:cs="David" w:hint="cs"/>
          <w:sz w:val="28"/>
          <w:szCs w:val="28"/>
          <w:rtl/>
        </w:rPr>
        <w:t xml:space="preserve">    -   שופטת</w:t>
      </w:r>
    </w:p>
    <w:p w14:paraId="055CDEFF" w14:textId="77777777" w:rsidR="00E45CE1" w:rsidRPr="00FD2DDA" w:rsidRDefault="00E45CE1" w:rsidP="00E45CE1">
      <w:pPr>
        <w:rPr>
          <w:rFonts w:ascii="David" w:hAnsi="David" w:cs="David"/>
          <w:sz w:val="28"/>
          <w:szCs w:val="28"/>
          <w:rtl/>
        </w:rPr>
      </w:pPr>
      <w:r w:rsidRPr="00FD2DDA">
        <w:rPr>
          <w:rFonts w:ascii="David" w:hAnsi="David" w:cs="David" w:hint="cs"/>
          <w:sz w:val="28"/>
          <w:szCs w:val="28"/>
          <w:rtl/>
        </w:rPr>
        <w:t>בעניין:</w:t>
      </w:r>
    </w:p>
    <w:p w14:paraId="56E390B6" w14:textId="3ABFA05B" w:rsidR="00E45CE1" w:rsidRPr="00FD2DDA" w:rsidRDefault="00E45CE1" w:rsidP="00E45CE1">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המערער (ע"י ב"כ,</w:t>
      </w:r>
      <w:r>
        <w:rPr>
          <w:rFonts w:ascii="David" w:hAnsi="David" w:cs="David" w:hint="cs"/>
          <w:sz w:val="28"/>
          <w:szCs w:val="28"/>
          <w:rtl/>
        </w:rPr>
        <w:t xml:space="preserve"> סרן תכלת מרדכי </w:t>
      </w:r>
      <w:proofErr w:type="spellStart"/>
      <w:r>
        <w:rPr>
          <w:rFonts w:ascii="David" w:hAnsi="David" w:cs="David" w:hint="cs"/>
          <w:sz w:val="28"/>
          <w:szCs w:val="28"/>
          <w:rtl/>
        </w:rPr>
        <w:t>פייגנסון</w:t>
      </w:r>
      <w:proofErr w:type="spellEnd"/>
      <w:r>
        <w:rPr>
          <w:rFonts w:ascii="David" w:hAnsi="David" w:cs="David" w:hint="cs"/>
          <w:sz w:val="28"/>
          <w:szCs w:val="28"/>
          <w:rtl/>
        </w:rPr>
        <w:t>; סרן רואי נחום</w:t>
      </w:r>
      <w:r w:rsidRPr="00FD2DDA">
        <w:rPr>
          <w:rFonts w:ascii="David" w:hAnsi="David" w:cs="David" w:hint="cs"/>
          <w:sz w:val="28"/>
          <w:szCs w:val="28"/>
          <w:rtl/>
        </w:rPr>
        <w:t>)</w:t>
      </w:r>
    </w:p>
    <w:p w14:paraId="7333792B" w14:textId="77777777" w:rsidR="00E45CE1" w:rsidRPr="00FD2DDA" w:rsidRDefault="00E45CE1" w:rsidP="00E45CE1">
      <w:pPr>
        <w:jc w:val="center"/>
        <w:rPr>
          <w:rFonts w:ascii="David" w:hAnsi="David" w:cs="David"/>
          <w:sz w:val="28"/>
          <w:szCs w:val="28"/>
          <w:rtl/>
        </w:rPr>
      </w:pPr>
    </w:p>
    <w:p w14:paraId="18BC6BC5" w14:textId="77777777" w:rsidR="00E45CE1" w:rsidRPr="00FD2DDA" w:rsidRDefault="00E45CE1" w:rsidP="00E45CE1">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0F7F35DE" w14:textId="70CC9507" w:rsidR="00E45CE1" w:rsidRPr="00FD2DDA" w:rsidRDefault="00E45CE1" w:rsidP="00E45CE1">
      <w:pPr>
        <w:spacing w:after="120"/>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C778D5">
        <w:rPr>
          <w:rFonts w:ascii="Times New Roman" w:eastAsia="Times New Roman" w:hAnsi="Times New Roman" w:cs="David" w:hint="cs"/>
          <w:b/>
          <w:bCs/>
          <w:sz w:val="32"/>
          <w:szCs w:val="28"/>
        </w:rPr>
        <w:t>XXXXXXX</w:t>
      </w:r>
      <w:r w:rsidRPr="00251330">
        <w:rPr>
          <w:rFonts w:ascii="Times New Roman" w:eastAsia="Times New Roman" w:hAnsi="Times New Roman" w:cs="David" w:hint="cs"/>
          <w:b/>
          <w:bCs/>
          <w:sz w:val="32"/>
          <w:szCs w:val="28"/>
          <w:rtl/>
        </w:rPr>
        <w:t xml:space="preserve"> </w:t>
      </w:r>
      <w:r>
        <w:rPr>
          <w:rFonts w:ascii="David" w:hAnsi="David" w:cs="David" w:hint="cs"/>
          <w:b/>
          <w:bCs/>
          <w:sz w:val="28"/>
          <w:szCs w:val="28"/>
          <w:rtl/>
        </w:rPr>
        <w:t xml:space="preserve">רב"ט </w:t>
      </w:r>
      <w:r w:rsidR="00C778D5">
        <w:rPr>
          <w:rFonts w:ascii="David" w:hAnsi="David" w:cs="David" w:hint="cs"/>
          <w:b/>
          <w:bCs/>
          <w:sz w:val="28"/>
          <w:szCs w:val="28"/>
          <w:rtl/>
        </w:rPr>
        <w:t>א' ה'</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עו"ד שאדי </w:t>
      </w:r>
      <w:proofErr w:type="spellStart"/>
      <w:r>
        <w:rPr>
          <w:rFonts w:ascii="David" w:hAnsi="David" w:cs="David" w:hint="cs"/>
          <w:sz w:val="28"/>
          <w:szCs w:val="28"/>
          <w:rtl/>
        </w:rPr>
        <w:t>עותמאן</w:t>
      </w:r>
      <w:proofErr w:type="spellEnd"/>
      <w:r w:rsidRPr="00FD2DDA">
        <w:rPr>
          <w:rFonts w:ascii="David" w:hAnsi="David" w:cs="David" w:hint="cs"/>
          <w:sz w:val="28"/>
          <w:szCs w:val="28"/>
          <w:rtl/>
        </w:rPr>
        <w:t>)</w:t>
      </w:r>
    </w:p>
    <w:p w14:paraId="1E423C33" w14:textId="77777777" w:rsidR="00E45CE1" w:rsidRPr="00FD2DDA" w:rsidRDefault="00E45CE1" w:rsidP="00E45CE1">
      <w:pPr>
        <w:spacing w:after="360" w:line="360" w:lineRule="auto"/>
        <w:rPr>
          <w:rFonts w:ascii="David" w:hAnsi="David" w:cs="David"/>
          <w:b/>
          <w:bCs/>
          <w:sz w:val="28"/>
          <w:szCs w:val="28"/>
          <w:u w:val="single"/>
          <w:rtl/>
        </w:rPr>
      </w:pPr>
    </w:p>
    <w:bookmarkEnd w:id="0"/>
    <w:p w14:paraId="6E0C2CFE" w14:textId="1422CEE2" w:rsidR="00E45CE1" w:rsidRDefault="00E45CE1" w:rsidP="00E45CE1">
      <w:pPr>
        <w:spacing w:after="360" w:line="360" w:lineRule="auto"/>
        <w:jc w:val="both"/>
        <w:rPr>
          <w:rFonts w:ascii="David" w:hAnsi="David" w:cs="David"/>
          <w:sz w:val="28"/>
          <w:szCs w:val="28"/>
          <w:rtl/>
        </w:rPr>
      </w:pPr>
      <w:r>
        <w:rPr>
          <w:rFonts w:ascii="David" w:hAnsi="David" w:cs="David" w:hint="cs"/>
          <w:sz w:val="28"/>
          <w:szCs w:val="28"/>
          <w:rtl/>
        </w:rPr>
        <w:t>בקשה להארכת מעצרו של המשיב. הבקשה התקבלה.</w:t>
      </w:r>
    </w:p>
    <w:p w14:paraId="7F8DB81F" w14:textId="77777777" w:rsidR="00E45CE1" w:rsidRDefault="00E45CE1" w:rsidP="00E45CE1">
      <w:pPr>
        <w:spacing w:after="360" w:line="360" w:lineRule="auto"/>
        <w:jc w:val="both"/>
        <w:rPr>
          <w:rFonts w:ascii="David" w:hAnsi="David" w:cs="David"/>
          <w:sz w:val="28"/>
          <w:szCs w:val="28"/>
          <w:rtl/>
        </w:rPr>
      </w:pPr>
    </w:p>
    <w:bookmarkEnd w:id="1"/>
    <w:p w14:paraId="550E1976" w14:textId="77777777" w:rsidR="00E45CE1" w:rsidRDefault="00E45CE1" w:rsidP="009F4151">
      <w:pPr>
        <w:tabs>
          <w:tab w:val="left" w:pos="232"/>
        </w:tabs>
        <w:spacing w:after="0" w:line="312" w:lineRule="auto"/>
        <w:ind w:left="-52"/>
        <w:jc w:val="center"/>
        <w:rPr>
          <w:rFonts w:ascii="David" w:hAnsi="David" w:cs="David"/>
          <w:b/>
          <w:bCs/>
          <w:sz w:val="28"/>
          <w:szCs w:val="28"/>
          <w:u w:val="single"/>
          <w:rtl/>
        </w:rPr>
      </w:pPr>
    </w:p>
    <w:p w14:paraId="421A7441" w14:textId="7F680829" w:rsidR="007B7648" w:rsidRDefault="007B7648" w:rsidP="009F4151">
      <w:pPr>
        <w:tabs>
          <w:tab w:val="left" w:pos="232"/>
        </w:tabs>
        <w:spacing w:after="0" w:line="312" w:lineRule="auto"/>
        <w:ind w:left="-52"/>
        <w:jc w:val="center"/>
        <w:rPr>
          <w:rFonts w:ascii="David" w:hAnsi="David" w:cs="David"/>
          <w:b/>
          <w:bCs/>
          <w:sz w:val="28"/>
          <w:szCs w:val="28"/>
          <w:u w:val="single"/>
          <w:rtl/>
        </w:rPr>
      </w:pPr>
      <w:r w:rsidRPr="00247C7A">
        <w:rPr>
          <w:rFonts w:ascii="David" w:hAnsi="David" w:cs="David" w:hint="cs"/>
          <w:b/>
          <w:bCs/>
          <w:sz w:val="28"/>
          <w:szCs w:val="28"/>
          <w:u w:val="single"/>
          <w:rtl/>
        </w:rPr>
        <w:t>ה ח ל ט ה</w:t>
      </w:r>
    </w:p>
    <w:p w14:paraId="0BEAB084" w14:textId="77777777" w:rsidR="004B6DC8" w:rsidRDefault="004B6DC8" w:rsidP="009F4151">
      <w:pPr>
        <w:tabs>
          <w:tab w:val="left" w:pos="232"/>
        </w:tabs>
        <w:spacing w:after="0" w:line="312" w:lineRule="auto"/>
        <w:ind w:left="-52"/>
        <w:rPr>
          <w:rFonts w:ascii="David" w:hAnsi="David" w:cs="David"/>
          <w:b/>
          <w:bCs/>
          <w:sz w:val="28"/>
          <w:szCs w:val="28"/>
          <w:u w:val="single"/>
          <w:rtl/>
        </w:rPr>
      </w:pPr>
    </w:p>
    <w:p w14:paraId="4A6CD2CE" w14:textId="1D67A686" w:rsidR="009A7CFA" w:rsidRDefault="009A7CFA" w:rsidP="009A7CFA">
      <w:pPr>
        <w:numPr>
          <w:ilvl w:val="0"/>
          <w:numId w:val="1"/>
        </w:numPr>
        <w:tabs>
          <w:tab w:val="left" w:pos="282"/>
        </w:tabs>
        <w:spacing w:after="0" w:line="360" w:lineRule="auto"/>
        <w:ind w:left="-1"/>
        <w:jc w:val="both"/>
        <w:rPr>
          <w:rFonts w:cs="David"/>
          <w:sz w:val="28"/>
          <w:szCs w:val="28"/>
        </w:rPr>
      </w:pPr>
      <w:r>
        <w:rPr>
          <w:rFonts w:ascii="Times New Roman" w:eastAsia="Times New Roman" w:hAnsi="Times New Roman" w:cs="David" w:hint="cs"/>
          <w:sz w:val="20"/>
          <w:szCs w:val="28"/>
          <w:rtl/>
        </w:rPr>
        <w:t xml:space="preserve">מונחת בפניי בקשת התביעה הצבאית להארכת מעצרו של המשיב, רב"ט </w:t>
      </w:r>
      <w:r w:rsidR="00C778D5">
        <w:rPr>
          <w:rFonts w:ascii="Times New Roman" w:eastAsia="Times New Roman" w:hAnsi="Times New Roman" w:cs="David" w:hint="cs"/>
          <w:sz w:val="20"/>
          <w:szCs w:val="28"/>
          <w:rtl/>
        </w:rPr>
        <w:t>א' ה'</w:t>
      </w:r>
      <w:r>
        <w:rPr>
          <w:rFonts w:ascii="Times New Roman" w:eastAsia="Times New Roman" w:hAnsi="Times New Roman" w:cs="David" w:hint="cs"/>
          <w:sz w:val="20"/>
          <w:szCs w:val="28"/>
          <w:rtl/>
        </w:rPr>
        <w:t xml:space="preserve"> ב-14 ימים נוספים החל מיום 15 בדצמבר 2024 או עד למתן </w:t>
      </w:r>
      <w:r>
        <w:rPr>
          <w:rFonts w:cs="David" w:hint="cs"/>
          <w:sz w:val="28"/>
          <w:szCs w:val="28"/>
          <w:rtl/>
        </w:rPr>
        <w:t xml:space="preserve">גזר הדין בעניינו, לפי המוקדם </w:t>
      </w:r>
      <w:proofErr w:type="spellStart"/>
      <w:r>
        <w:rPr>
          <w:rFonts w:cs="David" w:hint="cs"/>
          <w:sz w:val="28"/>
          <w:szCs w:val="28"/>
          <w:rtl/>
        </w:rPr>
        <w:t>מביניהם</w:t>
      </w:r>
      <w:proofErr w:type="spellEnd"/>
      <w:r>
        <w:rPr>
          <w:rFonts w:cs="David" w:hint="cs"/>
          <w:sz w:val="28"/>
          <w:szCs w:val="28"/>
          <w:rtl/>
        </w:rPr>
        <w:t xml:space="preserve">, בקשה שהוגשה בהתאם לסעיף 243ב לחוק השיפוט הצבאי, תשט"ו - 1955 וסעיף 62 לחוק סדר הדין הפלילי (סמכויות אכיפה - מעצרים), תשנ"ו - 1996. </w:t>
      </w:r>
    </w:p>
    <w:p w14:paraId="4BDFFE8E" w14:textId="474A8CE9" w:rsidR="009A7CFA" w:rsidRDefault="009A7CFA" w:rsidP="009A7CFA">
      <w:pPr>
        <w:numPr>
          <w:ilvl w:val="0"/>
          <w:numId w:val="1"/>
        </w:numPr>
        <w:tabs>
          <w:tab w:val="left" w:pos="282"/>
        </w:tabs>
        <w:spacing w:after="0" w:line="360" w:lineRule="auto"/>
        <w:ind w:left="-1"/>
        <w:jc w:val="both"/>
        <w:rPr>
          <w:rFonts w:cs="David"/>
          <w:sz w:val="28"/>
          <w:szCs w:val="28"/>
        </w:rPr>
      </w:pPr>
      <w:r>
        <w:rPr>
          <w:rFonts w:cs="David" w:hint="cs"/>
          <w:sz w:val="28"/>
          <w:szCs w:val="28"/>
          <w:rtl/>
        </w:rPr>
        <w:t>המשיב נעצר ביום 27 בנובמבר  2023. כתב האישום שהוגש ביום 17 בדצמבר 2024 מייחס לו עבירות של הוצאת נשק מרשות הצבא, לפי סעיף 78 לחוק השיפוט הצבאי וניסיון לעבירות בנשק (סחר)</w:t>
      </w:r>
      <w:r>
        <w:rPr>
          <w:rFonts w:cs="David" w:hint="cs"/>
          <w:sz w:val="28"/>
          <w:szCs w:val="28"/>
        </w:rPr>
        <w:t xml:space="preserve"> </w:t>
      </w:r>
      <w:r>
        <w:rPr>
          <w:rFonts w:cs="David" w:hint="cs"/>
          <w:sz w:val="28"/>
          <w:szCs w:val="28"/>
          <w:rtl/>
        </w:rPr>
        <w:t>לפי סעיף 144(ב2)</w:t>
      </w:r>
      <w:r>
        <w:rPr>
          <w:rFonts w:cs="David" w:hint="cs"/>
          <w:sz w:val="28"/>
          <w:szCs w:val="28"/>
        </w:rPr>
        <w:t xml:space="preserve"> </w:t>
      </w:r>
      <w:r>
        <w:rPr>
          <w:rFonts w:cs="David" w:hint="cs"/>
          <w:sz w:val="28"/>
          <w:szCs w:val="28"/>
          <w:rtl/>
        </w:rPr>
        <w:t xml:space="preserve">לחוק העונשין, תשל"ז - 1977, בצירוף סעיף 25 לחוק העונשין. מעצרו של המשיב הוארך בבית הדין המחוזי עד תום ההליכים בעניינו, לאחר שההגנה הותירה את הבקשה לשיקול דעת בית הדין. מעצרו </w:t>
      </w:r>
      <w:r w:rsidR="00343B1B">
        <w:rPr>
          <w:rFonts w:cs="David" w:hint="cs"/>
          <w:sz w:val="28"/>
          <w:szCs w:val="28"/>
          <w:rtl/>
        </w:rPr>
        <w:t>הוארך ב</w:t>
      </w:r>
      <w:r>
        <w:rPr>
          <w:rFonts w:cs="David" w:hint="cs"/>
          <w:sz w:val="28"/>
          <w:szCs w:val="28"/>
          <w:rtl/>
        </w:rPr>
        <w:t xml:space="preserve">בית דין זה למשך 90 ימים נוספים, ביום 16 בספטמבר 2024. </w:t>
      </w:r>
      <w:r w:rsidR="00305194">
        <w:rPr>
          <w:rFonts w:cs="David" w:hint="cs"/>
          <w:sz w:val="28"/>
          <w:szCs w:val="28"/>
          <w:rtl/>
        </w:rPr>
        <w:t>ביום 15 בדצמבר 2024 הוארך מעצרו של המשיב</w:t>
      </w:r>
      <w:r w:rsidR="00343B1B">
        <w:rPr>
          <w:rFonts w:cs="David" w:hint="cs"/>
          <w:sz w:val="28"/>
          <w:szCs w:val="28"/>
          <w:rtl/>
        </w:rPr>
        <w:t xml:space="preserve">, בהסכמת </w:t>
      </w:r>
      <w:r w:rsidR="00343B1B">
        <w:rPr>
          <w:rFonts w:cs="David" w:hint="cs"/>
          <w:sz w:val="28"/>
          <w:szCs w:val="28"/>
          <w:rtl/>
        </w:rPr>
        <w:lastRenderedPageBreak/>
        <w:t xml:space="preserve">ההגנה, לצורך קיום דיון לגופו של עניין בבקשתה של התביעה </w:t>
      </w:r>
      <w:r w:rsidR="00305194">
        <w:rPr>
          <w:rFonts w:cs="David" w:hint="cs"/>
          <w:sz w:val="28"/>
          <w:szCs w:val="28"/>
          <w:rtl/>
        </w:rPr>
        <w:t xml:space="preserve"> </w:t>
      </w:r>
      <w:r w:rsidR="00343B1B">
        <w:rPr>
          <w:rFonts w:cs="David" w:hint="cs"/>
          <w:sz w:val="28"/>
          <w:szCs w:val="28"/>
          <w:rtl/>
        </w:rPr>
        <w:t xml:space="preserve">להאריך את מעצרו של המשיב עד יום </w:t>
      </w:r>
      <w:r w:rsidR="00617157">
        <w:rPr>
          <w:rFonts w:cs="David" w:hint="cs"/>
          <w:sz w:val="28"/>
          <w:szCs w:val="28"/>
          <w:rtl/>
        </w:rPr>
        <w:t>29 בדצמבר 2024</w:t>
      </w:r>
      <w:r w:rsidR="00343B1B">
        <w:rPr>
          <w:rFonts w:cs="David" w:hint="cs"/>
          <w:sz w:val="28"/>
          <w:szCs w:val="28"/>
          <w:rtl/>
        </w:rPr>
        <w:t>.</w:t>
      </w:r>
    </w:p>
    <w:p w14:paraId="6B3576A2" w14:textId="140D28E0" w:rsidR="009A7CFA" w:rsidRDefault="009A7CFA" w:rsidP="009A7CFA">
      <w:pPr>
        <w:numPr>
          <w:ilvl w:val="0"/>
          <w:numId w:val="1"/>
        </w:numPr>
        <w:tabs>
          <w:tab w:val="left" w:pos="282"/>
        </w:tabs>
        <w:spacing w:after="0" w:line="360" w:lineRule="auto"/>
        <w:ind w:left="-1"/>
        <w:jc w:val="both"/>
        <w:rPr>
          <w:rFonts w:cs="David"/>
          <w:sz w:val="28"/>
          <w:szCs w:val="28"/>
        </w:rPr>
      </w:pPr>
      <w:r>
        <w:rPr>
          <w:rFonts w:cs="David" w:hint="cs"/>
          <w:sz w:val="28"/>
          <w:szCs w:val="28"/>
          <w:rtl/>
        </w:rPr>
        <w:t xml:space="preserve">נמסר בבקשת התביעה, כי מאז הדיון הקודם המשיכה שמיעת הראיות בתיק, אולם לאחר סיום פרשת התביעה נקשרו הצדדים בהסדר טיעון, </w:t>
      </w:r>
      <w:r w:rsidR="00343B1B">
        <w:rPr>
          <w:rFonts w:cs="David" w:hint="cs"/>
          <w:sz w:val="28"/>
          <w:szCs w:val="28"/>
          <w:rtl/>
        </w:rPr>
        <w:t>ש</w:t>
      </w:r>
      <w:r>
        <w:rPr>
          <w:rFonts w:cs="David" w:hint="cs"/>
          <w:sz w:val="28"/>
          <w:szCs w:val="28"/>
          <w:rtl/>
        </w:rPr>
        <w:t xml:space="preserve">לפיו יודה המשיב בכתב אישום מתוקן, בעבירה של הוצאת נשק מרשות הצבא, והצדדים יטענו לעונש. הדיון נקבע ליום 22 בדצמבר 2024. בשים לב לאמור, ולאור טיב העבירות המיוחסות למשיב ועילות המעצר של מסוכנות כללית וצבאית ועילת הפגיעה במשמעת הצבאית הנובעות מהן, </w:t>
      </w:r>
      <w:r w:rsidR="00343B1B">
        <w:rPr>
          <w:rFonts w:cs="David" w:hint="cs"/>
          <w:sz w:val="28"/>
          <w:szCs w:val="28"/>
          <w:rtl/>
        </w:rPr>
        <w:t xml:space="preserve">שאינן מאפשרות הסתפקות בחלופה, </w:t>
      </w:r>
      <w:r>
        <w:rPr>
          <w:rFonts w:cs="David" w:hint="cs"/>
          <w:sz w:val="28"/>
          <w:szCs w:val="28"/>
          <w:rtl/>
        </w:rPr>
        <w:t xml:space="preserve">עותרת התביעה להארכת מעצרו של המשיב. </w:t>
      </w:r>
      <w:r w:rsidR="00305194">
        <w:rPr>
          <w:rFonts w:cs="David" w:hint="cs"/>
          <w:sz w:val="28"/>
          <w:szCs w:val="28"/>
          <w:rtl/>
        </w:rPr>
        <w:t>הוטעם, כי לאחר הרשעתו של המערער, נתונה הסמכות להורות על המשך מעצרו להרכב הדן בעניינו (בהתאם לסעיף 61(ג)</w:t>
      </w:r>
      <w:r w:rsidR="00305194">
        <w:rPr>
          <w:rFonts w:cs="David" w:hint="cs"/>
          <w:sz w:val="28"/>
          <w:szCs w:val="28"/>
        </w:rPr>
        <w:t xml:space="preserve"> </w:t>
      </w:r>
      <w:r w:rsidR="00305194">
        <w:rPr>
          <w:rFonts w:cs="David" w:hint="cs"/>
          <w:sz w:val="28"/>
          <w:szCs w:val="28"/>
          <w:rtl/>
        </w:rPr>
        <w:t xml:space="preserve">לחוק </w:t>
      </w:r>
      <w:r w:rsidR="00343B1B">
        <w:rPr>
          <w:rFonts w:cs="David" w:hint="cs"/>
          <w:sz w:val="28"/>
          <w:szCs w:val="28"/>
          <w:rtl/>
        </w:rPr>
        <w:t>המעצרים</w:t>
      </w:r>
      <w:r w:rsidR="00617157">
        <w:rPr>
          <w:rFonts w:cs="David" w:hint="cs"/>
          <w:sz w:val="28"/>
          <w:szCs w:val="28"/>
          <w:rtl/>
        </w:rPr>
        <w:t>)</w:t>
      </w:r>
      <w:r w:rsidR="00305194">
        <w:rPr>
          <w:rFonts w:cs="David" w:hint="cs"/>
          <w:sz w:val="28"/>
          <w:szCs w:val="28"/>
          <w:rtl/>
        </w:rPr>
        <w:t xml:space="preserve">. </w:t>
      </w:r>
    </w:p>
    <w:p w14:paraId="593D5F97" w14:textId="427272FD" w:rsidR="00EC5134" w:rsidRPr="000E51DE" w:rsidRDefault="00EC5134" w:rsidP="00343B1B">
      <w:pPr>
        <w:numPr>
          <w:ilvl w:val="0"/>
          <w:numId w:val="1"/>
        </w:numPr>
        <w:tabs>
          <w:tab w:val="left" w:pos="282"/>
        </w:tabs>
        <w:spacing w:after="0" w:line="360" w:lineRule="auto"/>
        <w:ind w:left="-1"/>
        <w:jc w:val="both"/>
        <w:rPr>
          <w:rFonts w:cs="David"/>
          <w:sz w:val="28"/>
          <w:szCs w:val="28"/>
        </w:rPr>
      </w:pPr>
      <w:r w:rsidRPr="000E51DE">
        <w:rPr>
          <w:rFonts w:cs="David" w:hint="cs"/>
          <w:sz w:val="28"/>
          <w:szCs w:val="28"/>
          <w:rtl/>
        </w:rPr>
        <w:t xml:space="preserve">ההגנה </w:t>
      </w:r>
      <w:r w:rsidR="00343B1B">
        <w:rPr>
          <w:rFonts w:cs="David" w:hint="cs"/>
          <w:sz w:val="28"/>
          <w:szCs w:val="28"/>
          <w:rtl/>
        </w:rPr>
        <w:t>התנגדה לבקשה ו</w:t>
      </w:r>
      <w:r w:rsidR="00305194">
        <w:rPr>
          <w:rFonts w:cs="David" w:hint="cs"/>
          <w:sz w:val="28"/>
          <w:szCs w:val="28"/>
          <w:rtl/>
        </w:rPr>
        <w:t xml:space="preserve">עתרה </w:t>
      </w:r>
      <w:r w:rsidR="00343B1B">
        <w:rPr>
          <w:rFonts w:cs="David" w:hint="cs"/>
          <w:sz w:val="28"/>
          <w:szCs w:val="28"/>
          <w:rtl/>
        </w:rPr>
        <w:t>להורות כי המשיב ישוחרר ל</w:t>
      </w:r>
      <w:r w:rsidR="00305194">
        <w:rPr>
          <w:rFonts w:cs="David" w:hint="cs"/>
          <w:sz w:val="28"/>
          <w:szCs w:val="28"/>
          <w:rtl/>
        </w:rPr>
        <w:t xml:space="preserve">חלופת מעצר </w:t>
      </w:r>
      <w:r w:rsidR="00343B1B">
        <w:rPr>
          <w:rFonts w:cs="David" w:hint="cs"/>
          <w:sz w:val="28"/>
          <w:szCs w:val="28"/>
          <w:rtl/>
        </w:rPr>
        <w:t>פתוח ב</w:t>
      </w:r>
      <w:r w:rsidR="00305194">
        <w:rPr>
          <w:rFonts w:cs="David" w:hint="cs"/>
          <w:sz w:val="28"/>
          <w:szCs w:val="28"/>
          <w:rtl/>
        </w:rPr>
        <w:t xml:space="preserve">יחידתו. נטען, כי המשיב מצוי במעצר תקופה ממושכת, כי נסיבותיו המשפחתיות אינן פשוטות נוכח מחלתו של אביו וכי גם לאחר הרשעתו צפויה התמשכות הליכים, נוכח כוונת ההגנה לבקש </w:t>
      </w:r>
      <w:r w:rsidR="00343B1B">
        <w:rPr>
          <w:rFonts w:cs="David" w:hint="cs"/>
          <w:sz w:val="28"/>
          <w:szCs w:val="28"/>
          <w:rtl/>
        </w:rPr>
        <w:t xml:space="preserve">כי ייערך בעניינו </w:t>
      </w:r>
      <w:r w:rsidR="00305194">
        <w:rPr>
          <w:rFonts w:cs="David" w:hint="cs"/>
          <w:sz w:val="28"/>
          <w:szCs w:val="28"/>
          <w:rtl/>
        </w:rPr>
        <w:t>תסקיר עונש</w:t>
      </w:r>
      <w:r w:rsidR="00343B1B">
        <w:rPr>
          <w:rFonts w:cs="David" w:hint="cs"/>
          <w:sz w:val="28"/>
          <w:szCs w:val="28"/>
          <w:rtl/>
        </w:rPr>
        <w:t xml:space="preserve">. בכוונתה גם לפעול להשגתם של </w:t>
      </w:r>
      <w:r w:rsidR="00305194">
        <w:rPr>
          <w:rFonts w:cs="David" w:hint="cs"/>
          <w:sz w:val="28"/>
          <w:szCs w:val="28"/>
          <w:rtl/>
        </w:rPr>
        <w:t xml:space="preserve">מסמכים </w:t>
      </w:r>
      <w:r w:rsidR="00343B1B">
        <w:rPr>
          <w:rFonts w:cs="David" w:hint="cs"/>
          <w:sz w:val="28"/>
          <w:szCs w:val="28"/>
          <w:rtl/>
        </w:rPr>
        <w:t xml:space="preserve">נוספים </w:t>
      </w:r>
      <w:r w:rsidR="00305194">
        <w:rPr>
          <w:rFonts w:cs="David" w:hint="cs"/>
          <w:sz w:val="28"/>
          <w:szCs w:val="28"/>
          <w:rtl/>
        </w:rPr>
        <w:t>שיסייעו בשלב הטיעון לעונש</w:t>
      </w:r>
      <w:r w:rsidR="009A7CFA">
        <w:rPr>
          <w:rFonts w:cs="David" w:hint="cs"/>
          <w:sz w:val="28"/>
          <w:szCs w:val="28"/>
          <w:rtl/>
        </w:rPr>
        <w:t>.</w:t>
      </w:r>
      <w:r w:rsidRPr="000E51DE">
        <w:rPr>
          <w:rFonts w:cs="David" w:hint="cs"/>
          <w:sz w:val="28"/>
          <w:szCs w:val="28"/>
          <w:rtl/>
        </w:rPr>
        <w:t xml:space="preserve"> </w:t>
      </w:r>
      <w:r w:rsidR="00343B1B">
        <w:rPr>
          <w:rFonts w:cs="David" w:hint="cs"/>
          <w:sz w:val="28"/>
          <w:szCs w:val="28"/>
          <w:rtl/>
        </w:rPr>
        <w:t xml:space="preserve">עוד </w:t>
      </w:r>
      <w:r w:rsidR="00305194">
        <w:rPr>
          <w:rFonts w:cs="David" w:hint="cs"/>
          <w:sz w:val="28"/>
          <w:szCs w:val="28"/>
          <w:rtl/>
        </w:rPr>
        <w:t xml:space="preserve">הביעה ההגנה חשש, כי </w:t>
      </w:r>
      <w:r w:rsidR="00343B1B">
        <w:rPr>
          <w:rFonts w:cs="David" w:hint="cs"/>
          <w:sz w:val="28"/>
          <w:szCs w:val="28"/>
          <w:rtl/>
        </w:rPr>
        <w:t xml:space="preserve">ההליכים יתמשכו </w:t>
      </w:r>
      <w:r w:rsidR="00305194">
        <w:rPr>
          <w:rFonts w:cs="David" w:hint="cs"/>
          <w:sz w:val="28"/>
          <w:szCs w:val="28"/>
          <w:rtl/>
        </w:rPr>
        <w:t xml:space="preserve">נוכח מצב המלחמה, </w:t>
      </w:r>
      <w:r w:rsidR="00343B1B">
        <w:rPr>
          <w:rFonts w:cs="David" w:hint="cs"/>
          <w:sz w:val="28"/>
          <w:szCs w:val="28"/>
          <w:rtl/>
        </w:rPr>
        <w:t>והאפשרות לדחייה ב</w:t>
      </w:r>
      <w:r w:rsidR="00305194">
        <w:rPr>
          <w:rFonts w:cs="David" w:hint="cs"/>
          <w:sz w:val="28"/>
          <w:szCs w:val="28"/>
          <w:rtl/>
        </w:rPr>
        <w:t xml:space="preserve">מועדי הדיונים. </w:t>
      </w:r>
    </w:p>
    <w:p w14:paraId="0E22817A" w14:textId="77777777" w:rsidR="00617157" w:rsidRDefault="00617157" w:rsidP="00D90CE7">
      <w:pPr>
        <w:tabs>
          <w:tab w:val="left" w:pos="-58"/>
          <w:tab w:val="left" w:pos="226"/>
          <w:tab w:val="left" w:pos="368"/>
          <w:tab w:val="left" w:pos="935"/>
        </w:tabs>
        <w:spacing w:after="0" w:line="360" w:lineRule="auto"/>
        <w:jc w:val="both"/>
        <w:rPr>
          <w:rFonts w:cs="David"/>
          <w:b/>
          <w:bCs/>
          <w:sz w:val="28"/>
          <w:szCs w:val="28"/>
          <w:u w:val="single"/>
          <w:rtl/>
        </w:rPr>
      </w:pPr>
    </w:p>
    <w:p w14:paraId="6E8B3813" w14:textId="65F731EF" w:rsidR="00D90CE7" w:rsidRPr="00E45CE1" w:rsidRDefault="00D90CE7" w:rsidP="00E45CE1">
      <w:pPr>
        <w:tabs>
          <w:tab w:val="left" w:pos="-58"/>
          <w:tab w:val="left" w:pos="226"/>
          <w:tab w:val="left" w:pos="368"/>
          <w:tab w:val="left" w:pos="935"/>
        </w:tabs>
        <w:spacing w:after="0" w:line="360" w:lineRule="auto"/>
        <w:jc w:val="both"/>
        <w:rPr>
          <w:rFonts w:cs="David"/>
          <w:b/>
          <w:bCs/>
          <w:sz w:val="28"/>
          <w:szCs w:val="28"/>
          <w:u w:val="single"/>
        </w:rPr>
      </w:pPr>
      <w:r>
        <w:rPr>
          <w:rFonts w:cs="David" w:hint="cs"/>
          <w:b/>
          <w:bCs/>
          <w:sz w:val="28"/>
          <w:szCs w:val="28"/>
          <w:u w:val="single"/>
          <w:rtl/>
        </w:rPr>
        <w:t>דיון והכרעה</w:t>
      </w:r>
    </w:p>
    <w:p w14:paraId="71795A81" w14:textId="3BB2219D" w:rsidR="00BD7841" w:rsidRDefault="00305194" w:rsidP="00BD7841">
      <w:pPr>
        <w:numPr>
          <w:ilvl w:val="0"/>
          <w:numId w:val="1"/>
        </w:numPr>
        <w:tabs>
          <w:tab w:val="left" w:pos="-58"/>
          <w:tab w:val="left" w:pos="226"/>
          <w:tab w:val="left" w:pos="368"/>
          <w:tab w:val="left" w:pos="935"/>
        </w:tabs>
        <w:spacing w:after="0" w:line="360" w:lineRule="auto"/>
        <w:ind w:left="-58"/>
        <w:jc w:val="both"/>
        <w:rPr>
          <w:rFonts w:cs="David"/>
          <w:sz w:val="28"/>
          <w:szCs w:val="28"/>
        </w:rPr>
      </w:pPr>
      <w:r>
        <w:rPr>
          <w:rFonts w:cs="David" w:hint="cs"/>
          <w:sz w:val="28"/>
          <w:szCs w:val="28"/>
          <w:rtl/>
        </w:rPr>
        <w:t xml:space="preserve">דין הבקשה להתקבל. </w:t>
      </w:r>
      <w:r w:rsidR="00BD7841">
        <w:rPr>
          <w:rFonts w:cs="David" w:hint="cs"/>
          <w:sz w:val="28"/>
          <w:szCs w:val="28"/>
          <w:rtl/>
        </w:rPr>
        <w:t xml:space="preserve">כידוע, </w:t>
      </w:r>
      <w:r>
        <w:rPr>
          <w:rFonts w:cs="David" w:hint="cs"/>
          <w:sz w:val="28"/>
          <w:szCs w:val="28"/>
          <w:rtl/>
        </w:rPr>
        <w:t xml:space="preserve">וכפי שנקבע גם בב"ש 50/24 הנ"ל בעניינו של המשיב, </w:t>
      </w:r>
      <w:r w:rsidR="00D90CE7" w:rsidRPr="00FF75B7">
        <w:rPr>
          <w:rFonts w:cs="David" w:hint="cs"/>
          <w:sz w:val="28"/>
          <w:szCs w:val="28"/>
          <w:rtl/>
        </w:rPr>
        <w:t xml:space="preserve">בעת דיון לפי  סעיף 62 </w:t>
      </w:r>
      <w:r w:rsidR="00D90CE7" w:rsidRPr="00FF75B7">
        <w:rPr>
          <w:rFonts w:ascii="David" w:hAnsi="David" w:cs="David" w:hint="cs"/>
          <w:sz w:val="28"/>
          <w:szCs w:val="28"/>
          <w:rtl/>
        </w:rPr>
        <w:t xml:space="preserve">לחוק סדר הדין הפלילי (סמכויות אכיפה </w:t>
      </w:r>
      <w:r>
        <w:rPr>
          <w:rFonts w:ascii="David" w:hAnsi="David" w:cs="David" w:hint="cs"/>
          <w:sz w:val="28"/>
          <w:szCs w:val="28"/>
          <w:rtl/>
        </w:rPr>
        <w:t>-</w:t>
      </w:r>
      <w:r w:rsidR="00D90CE7" w:rsidRPr="00FF75B7">
        <w:rPr>
          <w:rFonts w:ascii="David" w:hAnsi="David" w:cs="David" w:hint="cs"/>
          <w:sz w:val="28"/>
          <w:szCs w:val="28"/>
          <w:rtl/>
        </w:rPr>
        <w:t xml:space="preserve"> מעצרים)</w:t>
      </w:r>
      <w:r w:rsidR="00D90CE7" w:rsidRPr="00FF75B7">
        <w:rPr>
          <w:rFonts w:cs="David" w:hint="cs"/>
          <w:sz w:val="28"/>
          <w:szCs w:val="28"/>
          <w:rtl/>
        </w:rPr>
        <w:t xml:space="preserve"> </w:t>
      </w:r>
      <w:r w:rsidR="00D90CE7">
        <w:rPr>
          <w:rFonts w:cs="David" w:hint="cs"/>
          <w:sz w:val="28"/>
          <w:szCs w:val="28"/>
          <w:rtl/>
        </w:rPr>
        <w:t xml:space="preserve"> </w:t>
      </w:r>
      <w:r>
        <w:rPr>
          <w:rFonts w:cs="David" w:hint="cs"/>
          <w:sz w:val="28"/>
          <w:szCs w:val="28"/>
          <w:rtl/>
        </w:rPr>
        <w:t>(</w:t>
      </w:r>
      <w:r w:rsidR="00D90CE7">
        <w:rPr>
          <w:rFonts w:cs="David" w:hint="cs"/>
          <w:sz w:val="28"/>
          <w:szCs w:val="28"/>
          <w:rtl/>
        </w:rPr>
        <w:t xml:space="preserve">שהוחל, </w:t>
      </w:r>
      <w:r w:rsidR="00BD7841">
        <w:rPr>
          <w:rFonts w:cs="David" w:hint="cs"/>
          <w:sz w:val="28"/>
          <w:szCs w:val="28"/>
          <w:rtl/>
        </w:rPr>
        <w:t xml:space="preserve">כאמור, </w:t>
      </w:r>
      <w:r w:rsidR="00D90CE7">
        <w:rPr>
          <w:rFonts w:cs="David" w:hint="cs"/>
          <w:sz w:val="28"/>
          <w:szCs w:val="28"/>
          <w:rtl/>
        </w:rPr>
        <w:t xml:space="preserve">בשינויים המחויבים, בסעיף 243ב לחוק השיפוט הצבאי, </w:t>
      </w:r>
      <w:proofErr w:type="spellStart"/>
      <w:r w:rsidR="00D90CE7">
        <w:rPr>
          <w:rFonts w:cs="David" w:hint="cs"/>
          <w:sz w:val="28"/>
          <w:szCs w:val="28"/>
          <w:rtl/>
        </w:rPr>
        <w:t>התשט"ו</w:t>
      </w:r>
      <w:proofErr w:type="spellEnd"/>
      <w:r w:rsidR="00D90CE7">
        <w:rPr>
          <w:rFonts w:cs="David" w:hint="cs"/>
          <w:sz w:val="28"/>
          <w:szCs w:val="28"/>
          <w:rtl/>
        </w:rPr>
        <w:t xml:space="preserve"> - 1955) יש לאזן בין הפגיעה המתמשכת בחירותו של הנאשם לבין הצורך בהגנה על שלום הציבור ובטחונו והצורך להגן על תקינות ההליך הפלילי, וזאת בדרך של התחשבות בחלוף הזמן מאז הושם הנאשם במעצר; חומרת העבירות המיוחס</w:t>
      </w:r>
      <w:r w:rsidR="00C62FAA">
        <w:rPr>
          <w:rFonts w:cs="David" w:hint="cs"/>
          <w:sz w:val="28"/>
          <w:szCs w:val="28"/>
          <w:rtl/>
        </w:rPr>
        <w:t>ו</w:t>
      </w:r>
      <w:r w:rsidR="00D90CE7">
        <w:rPr>
          <w:rFonts w:cs="David" w:hint="cs"/>
          <w:sz w:val="28"/>
          <w:szCs w:val="28"/>
          <w:rtl/>
        </w:rPr>
        <w:t>ת לנאשם ונסיבותיהן; מידת המסוכנות הנשקפת ממנו; וכן החשש מפני שיבוש הליכי משפט (</w:t>
      </w:r>
      <w:proofErr w:type="spellStart"/>
      <w:r w:rsidR="00D90CE7">
        <w:rPr>
          <w:rFonts w:cs="David" w:hint="cs"/>
          <w:sz w:val="28"/>
          <w:szCs w:val="28"/>
          <w:rtl/>
        </w:rPr>
        <w:t>בש"פ</w:t>
      </w:r>
      <w:proofErr w:type="spellEnd"/>
      <w:r w:rsidR="00D90CE7">
        <w:rPr>
          <w:rFonts w:cs="David" w:hint="cs"/>
          <w:sz w:val="28"/>
          <w:szCs w:val="28"/>
          <w:rtl/>
        </w:rPr>
        <w:t xml:space="preserve"> 7430/21 </w:t>
      </w:r>
      <w:r w:rsidR="00D90CE7">
        <w:rPr>
          <w:rFonts w:cs="David" w:hint="cs"/>
          <w:b/>
          <w:bCs/>
          <w:sz w:val="28"/>
          <w:szCs w:val="28"/>
          <w:rtl/>
        </w:rPr>
        <w:t>מדינת ישראל נ' פלוני</w:t>
      </w:r>
      <w:r w:rsidR="00D90CE7" w:rsidRPr="00A978A3">
        <w:rPr>
          <w:rFonts w:cs="David"/>
          <w:sz w:val="28"/>
          <w:szCs w:val="28"/>
          <w:rtl/>
        </w:rPr>
        <w:t>,</w:t>
      </w:r>
      <w:r w:rsidR="00D90CE7">
        <w:rPr>
          <w:rFonts w:cs="David" w:hint="cs"/>
          <w:b/>
          <w:bCs/>
          <w:sz w:val="28"/>
          <w:szCs w:val="28"/>
          <w:rtl/>
        </w:rPr>
        <w:t xml:space="preserve"> </w:t>
      </w:r>
      <w:r w:rsidR="00D90CE7">
        <w:rPr>
          <w:rFonts w:cs="David" w:hint="cs"/>
          <w:sz w:val="28"/>
          <w:szCs w:val="28"/>
          <w:rtl/>
        </w:rPr>
        <w:t xml:space="preserve">פסקה 12 </w:t>
      </w:r>
      <w:r w:rsidR="00D90CE7">
        <w:rPr>
          <w:rFonts w:cs="David" w:hint="cs"/>
          <w:b/>
          <w:bCs/>
          <w:sz w:val="28"/>
          <w:szCs w:val="28"/>
          <w:rtl/>
        </w:rPr>
        <w:t xml:space="preserve"> </w:t>
      </w:r>
      <w:r w:rsidR="00D90CE7">
        <w:rPr>
          <w:rFonts w:cs="David" w:hint="cs"/>
          <w:sz w:val="28"/>
          <w:szCs w:val="28"/>
          <w:rtl/>
        </w:rPr>
        <w:t xml:space="preserve">(2021); </w:t>
      </w:r>
      <w:proofErr w:type="spellStart"/>
      <w:r w:rsidR="00D90CE7">
        <w:rPr>
          <w:rFonts w:cs="David" w:hint="cs"/>
          <w:sz w:val="28"/>
          <w:szCs w:val="28"/>
          <w:rtl/>
        </w:rPr>
        <w:t>בש"פ</w:t>
      </w:r>
      <w:proofErr w:type="spellEnd"/>
      <w:r w:rsidR="00D90CE7">
        <w:rPr>
          <w:rFonts w:cs="David" w:hint="cs"/>
          <w:sz w:val="28"/>
          <w:szCs w:val="28"/>
          <w:rtl/>
        </w:rPr>
        <w:t xml:space="preserve"> 85/21 </w:t>
      </w:r>
      <w:r w:rsidR="00D90CE7">
        <w:rPr>
          <w:rFonts w:cs="David" w:hint="cs"/>
          <w:b/>
          <w:bCs/>
          <w:sz w:val="28"/>
          <w:szCs w:val="28"/>
          <w:rtl/>
        </w:rPr>
        <w:t xml:space="preserve">מדינת ישראל נ' </w:t>
      </w:r>
      <w:proofErr w:type="spellStart"/>
      <w:r w:rsidR="00D90CE7">
        <w:rPr>
          <w:rFonts w:cs="David" w:hint="cs"/>
          <w:b/>
          <w:bCs/>
          <w:sz w:val="28"/>
          <w:szCs w:val="28"/>
          <w:rtl/>
        </w:rPr>
        <w:t>מחאג'נה</w:t>
      </w:r>
      <w:proofErr w:type="spellEnd"/>
      <w:r w:rsidR="00D90CE7">
        <w:rPr>
          <w:rFonts w:cs="David" w:hint="cs"/>
          <w:sz w:val="28"/>
          <w:szCs w:val="28"/>
          <w:rtl/>
        </w:rPr>
        <w:t xml:space="preserve">, פסקה 10 (2021); ב"ש 15/21 </w:t>
      </w:r>
      <w:r w:rsidR="00D90CE7" w:rsidRPr="00FF75B7">
        <w:rPr>
          <w:rFonts w:cs="David" w:hint="cs"/>
          <w:b/>
          <w:bCs/>
          <w:sz w:val="28"/>
          <w:szCs w:val="28"/>
          <w:rtl/>
        </w:rPr>
        <w:t xml:space="preserve">התובע הצבאי הראשי נ' רס"ר </w:t>
      </w:r>
      <w:proofErr w:type="spellStart"/>
      <w:r w:rsidR="00D90CE7" w:rsidRPr="00FF75B7">
        <w:rPr>
          <w:rFonts w:cs="David" w:hint="cs"/>
          <w:b/>
          <w:bCs/>
          <w:sz w:val="28"/>
          <w:szCs w:val="28"/>
          <w:rtl/>
        </w:rPr>
        <w:t>שיליאן</w:t>
      </w:r>
      <w:proofErr w:type="spellEnd"/>
      <w:r w:rsidR="00D90CE7" w:rsidRPr="00FF75B7">
        <w:rPr>
          <w:rFonts w:cs="David" w:hint="cs"/>
          <w:sz w:val="28"/>
          <w:szCs w:val="28"/>
          <w:rtl/>
        </w:rPr>
        <w:t xml:space="preserve"> (2021)</w:t>
      </w:r>
      <w:r w:rsidR="00D90CE7">
        <w:rPr>
          <w:rFonts w:cs="David" w:hint="cs"/>
          <w:sz w:val="28"/>
          <w:szCs w:val="28"/>
          <w:rtl/>
        </w:rPr>
        <w:t xml:space="preserve">; ב"ש 7/22 </w:t>
      </w:r>
      <w:r w:rsidR="00D90CE7">
        <w:rPr>
          <w:rFonts w:cs="David" w:hint="cs"/>
          <w:b/>
          <w:bCs/>
          <w:sz w:val="28"/>
          <w:szCs w:val="28"/>
          <w:rtl/>
        </w:rPr>
        <w:t>התובע הצבאי הראשי נ' סמל יגר</w:t>
      </w:r>
      <w:r w:rsidR="00D90CE7">
        <w:rPr>
          <w:rFonts w:cs="David" w:hint="cs"/>
          <w:sz w:val="28"/>
          <w:szCs w:val="28"/>
          <w:rtl/>
        </w:rPr>
        <w:t>, פסקה 9</w:t>
      </w:r>
      <w:r w:rsidR="00D90CE7">
        <w:rPr>
          <w:rFonts w:cs="David" w:hint="cs"/>
          <w:b/>
          <w:bCs/>
          <w:sz w:val="28"/>
          <w:szCs w:val="28"/>
          <w:rtl/>
        </w:rPr>
        <w:t xml:space="preserve"> </w:t>
      </w:r>
      <w:r w:rsidR="00D90CE7">
        <w:rPr>
          <w:rFonts w:cs="David" w:hint="cs"/>
          <w:sz w:val="28"/>
          <w:szCs w:val="28"/>
          <w:rtl/>
        </w:rPr>
        <w:t>(2022)).</w:t>
      </w:r>
      <w:r w:rsidR="00BD7841">
        <w:rPr>
          <w:rFonts w:cs="David" w:hint="cs"/>
          <w:sz w:val="28"/>
          <w:szCs w:val="28"/>
          <w:rtl/>
        </w:rPr>
        <w:t xml:space="preserve"> משכך נועד הדיון כדי לקיים מנגנון של ביקורת שיפוטית על הליכי מעצר ממושכים, תוך בחינה בין השאר של קצב התקדמות ההליך המשפטי בעניינו וצפי התמשכותו בעתיד (</w:t>
      </w:r>
      <w:proofErr w:type="spellStart"/>
      <w:r w:rsidR="00BD7841">
        <w:rPr>
          <w:rFonts w:cs="David" w:hint="cs"/>
          <w:sz w:val="28"/>
          <w:szCs w:val="28"/>
          <w:rtl/>
        </w:rPr>
        <w:t>בש"פ</w:t>
      </w:r>
      <w:proofErr w:type="spellEnd"/>
      <w:r w:rsidR="00BD7841">
        <w:rPr>
          <w:rFonts w:cs="David" w:hint="cs"/>
          <w:sz w:val="28"/>
          <w:szCs w:val="28"/>
          <w:rtl/>
        </w:rPr>
        <w:t xml:space="preserve"> 4661/21 </w:t>
      </w:r>
      <w:r w:rsidR="00BD7841">
        <w:rPr>
          <w:rFonts w:cs="David" w:hint="cs"/>
          <w:b/>
          <w:bCs/>
          <w:sz w:val="28"/>
          <w:szCs w:val="28"/>
          <w:rtl/>
        </w:rPr>
        <w:t>ראובן נ' מדינת ישראל</w:t>
      </w:r>
      <w:r w:rsidR="00BD7841">
        <w:rPr>
          <w:rFonts w:cs="David" w:hint="cs"/>
          <w:sz w:val="28"/>
          <w:szCs w:val="28"/>
          <w:rtl/>
        </w:rPr>
        <w:t>, פסקה 7 (25.7.2021)</w:t>
      </w:r>
      <w:r w:rsidR="00C62FAA">
        <w:rPr>
          <w:rFonts w:cs="David" w:hint="cs"/>
          <w:sz w:val="28"/>
          <w:szCs w:val="28"/>
          <w:rtl/>
        </w:rPr>
        <w:t xml:space="preserve">; ב"ש 107/22  </w:t>
      </w:r>
      <w:r w:rsidR="00C62FAA">
        <w:rPr>
          <w:rFonts w:cs="David" w:hint="cs"/>
          <w:b/>
          <w:bCs/>
          <w:sz w:val="28"/>
          <w:szCs w:val="28"/>
          <w:rtl/>
        </w:rPr>
        <w:t>סא"ל דן שרוני נ' התובע הצבאי הראשי</w:t>
      </w:r>
      <w:r w:rsidR="00C62FAA">
        <w:rPr>
          <w:rFonts w:cs="David" w:hint="cs"/>
          <w:sz w:val="28"/>
          <w:szCs w:val="28"/>
          <w:rtl/>
        </w:rPr>
        <w:t>, פסקאות 18-20 (2023)</w:t>
      </w:r>
      <w:r w:rsidR="00BD7841">
        <w:rPr>
          <w:rFonts w:cs="David" w:hint="cs"/>
          <w:sz w:val="28"/>
          <w:szCs w:val="28"/>
          <w:rtl/>
        </w:rPr>
        <w:t xml:space="preserve">). </w:t>
      </w:r>
    </w:p>
    <w:p w14:paraId="0D7CD198" w14:textId="72660142" w:rsidR="004A3FB5" w:rsidRDefault="00305194" w:rsidP="0086308C">
      <w:pPr>
        <w:numPr>
          <w:ilvl w:val="0"/>
          <w:numId w:val="1"/>
        </w:numPr>
        <w:tabs>
          <w:tab w:val="left" w:pos="-58"/>
          <w:tab w:val="left" w:pos="226"/>
          <w:tab w:val="left" w:pos="368"/>
          <w:tab w:val="left" w:pos="935"/>
        </w:tabs>
        <w:spacing w:after="0" w:line="360" w:lineRule="auto"/>
        <w:ind w:left="-58"/>
        <w:jc w:val="both"/>
        <w:rPr>
          <w:rFonts w:cs="David"/>
          <w:sz w:val="28"/>
          <w:szCs w:val="28"/>
        </w:rPr>
      </w:pPr>
      <w:r>
        <w:rPr>
          <w:rFonts w:cs="David" w:hint="cs"/>
          <w:sz w:val="28"/>
          <w:szCs w:val="28"/>
          <w:rtl/>
        </w:rPr>
        <w:t xml:space="preserve">בעניינו של המשיב נמסר כאמור כי הצדדים הגיעו להסדר טיעון, שעתיד להיות מוצג בפני בית הדין המחוזי בעוד ימים ספורים. </w:t>
      </w:r>
      <w:r w:rsidR="0086308C">
        <w:rPr>
          <w:rFonts w:cs="David" w:hint="cs"/>
          <w:sz w:val="28"/>
          <w:szCs w:val="28"/>
          <w:rtl/>
        </w:rPr>
        <w:t xml:space="preserve">מכאן שלא צפויה התמשכות הליכים נוספת בטרם </w:t>
      </w:r>
      <w:r w:rsidR="0086308C">
        <w:rPr>
          <w:rFonts w:cs="David" w:hint="cs"/>
          <w:sz w:val="28"/>
          <w:szCs w:val="28"/>
          <w:rtl/>
        </w:rPr>
        <w:lastRenderedPageBreak/>
        <w:t>יורשע ה</w:t>
      </w:r>
      <w:r w:rsidR="00617157">
        <w:rPr>
          <w:rFonts w:cs="David" w:hint="cs"/>
          <w:sz w:val="28"/>
          <w:szCs w:val="28"/>
          <w:rtl/>
        </w:rPr>
        <w:t>משיב</w:t>
      </w:r>
      <w:r w:rsidR="0086308C">
        <w:rPr>
          <w:rFonts w:cs="David" w:hint="cs"/>
          <w:sz w:val="28"/>
          <w:szCs w:val="28"/>
          <w:rtl/>
        </w:rPr>
        <w:t xml:space="preserve"> במיוחס לו</w:t>
      </w:r>
      <w:r w:rsidR="00343B1B">
        <w:rPr>
          <w:rFonts w:cs="David" w:hint="cs"/>
          <w:sz w:val="28"/>
          <w:szCs w:val="28"/>
          <w:rtl/>
        </w:rPr>
        <w:t xml:space="preserve">, ולא תעמוד לו עוד חזקת החפות. יוזכר, כי עניינן של העבירות המיוחסות למשיב </w:t>
      </w:r>
      <w:r w:rsidR="0086308C">
        <w:rPr>
          <w:rFonts w:cs="David" w:hint="cs"/>
          <w:sz w:val="28"/>
          <w:szCs w:val="28"/>
          <w:rtl/>
        </w:rPr>
        <w:t>בכתב האישום</w:t>
      </w:r>
      <w:r w:rsidR="00343B1B">
        <w:rPr>
          <w:rFonts w:cs="David" w:hint="cs"/>
          <w:sz w:val="28"/>
          <w:szCs w:val="28"/>
          <w:rtl/>
        </w:rPr>
        <w:t xml:space="preserve"> הוא בהצעתו, </w:t>
      </w:r>
      <w:r w:rsidR="004A3FB5" w:rsidRPr="004A3FB5">
        <w:rPr>
          <w:rFonts w:cs="David" w:hint="cs"/>
          <w:sz w:val="28"/>
          <w:szCs w:val="28"/>
          <w:rtl/>
        </w:rPr>
        <w:t>לשני חיילים המשרתים עמו</w:t>
      </w:r>
      <w:r w:rsidR="00343B1B">
        <w:rPr>
          <w:rFonts w:cs="David" w:hint="cs"/>
          <w:sz w:val="28"/>
          <w:szCs w:val="28"/>
          <w:rtl/>
        </w:rPr>
        <w:t>,</w:t>
      </w:r>
      <w:r w:rsidR="004A3FB5" w:rsidRPr="004A3FB5">
        <w:rPr>
          <w:rFonts w:cs="David" w:hint="cs"/>
          <w:sz w:val="28"/>
          <w:szCs w:val="28"/>
          <w:rtl/>
        </w:rPr>
        <w:t xml:space="preserve"> לגנוב נשק מחייל המתגורר בבית החייל וכי לבסוף עשה כן בעצמו, ואף ניסה למכור את הנשק לקרוב משפחה שלו, ניסיון שסוכל </w:t>
      </w:r>
      <w:r w:rsidR="00575B76">
        <w:rPr>
          <w:rFonts w:cs="David" w:hint="cs"/>
          <w:sz w:val="28"/>
          <w:szCs w:val="28"/>
          <w:rtl/>
        </w:rPr>
        <w:t xml:space="preserve">בתפיסת </w:t>
      </w:r>
      <w:r w:rsidR="004A3FB5" w:rsidRPr="004A3FB5">
        <w:rPr>
          <w:rFonts w:cs="David" w:hint="cs"/>
          <w:sz w:val="28"/>
          <w:szCs w:val="28"/>
          <w:rtl/>
        </w:rPr>
        <w:t>הנשק על ידי מ</w:t>
      </w:r>
      <w:r w:rsidR="000E51DE">
        <w:rPr>
          <w:rFonts w:cs="David" w:hint="cs"/>
          <w:sz w:val="28"/>
          <w:szCs w:val="28"/>
          <w:rtl/>
        </w:rPr>
        <w:t xml:space="preserve">שטרת </w:t>
      </w:r>
      <w:r w:rsidR="004A3FB5" w:rsidRPr="004A3FB5">
        <w:rPr>
          <w:rFonts w:cs="David" w:hint="cs"/>
          <w:sz w:val="28"/>
          <w:szCs w:val="28"/>
          <w:rtl/>
        </w:rPr>
        <w:t xml:space="preserve">ישראל. </w:t>
      </w:r>
      <w:r w:rsidR="00E406C7" w:rsidRPr="004A3FB5">
        <w:rPr>
          <w:rFonts w:cs="David" w:hint="cs"/>
          <w:sz w:val="28"/>
          <w:szCs w:val="28"/>
          <w:rtl/>
        </w:rPr>
        <w:t xml:space="preserve">כידוע, </w:t>
      </w:r>
      <w:r w:rsidR="004A3FB5" w:rsidRPr="004A3FB5">
        <w:rPr>
          <w:rFonts w:cs="David" w:hint="cs"/>
          <w:sz w:val="28"/>
          <w:szCs w:val="28"/>
          <w:rtl/>
        </w:rPr>
        <w:t xml:space="preserve">מקימות </w:t>
      </w:r>
      <w:r w:rsidR="00E406C7" w:rsidRPr="004A3FB5">
        <w:rPr>
          <w:rFonts w:cs="David" w:hint="cs"/>
          <w:sz w:val="28"/>
          <w:szCs w:val="28"/>
          <w:rtl/>
        </w:rPr>
        <w:t xml:space="preserve">עבירות בנשק חזקת מסוכנות סטטוטורית לפי סעיף 21(א)(1)(ג)(2) לחוק </w:t>
      </w:r>
      <w:r w:rsidR="00617157">
        <w:rPr>
          <w:rFonts w:cs="David" w:hint="cs"/>
          <w:sz w:val="28"/>
          <w:szCs w:val="28"/>
          <w:rtl/>
        </w:rPr>
        <w:t>המעצרים</w:t>
      </w:r>
      <w:r w:rsidR="004A3FB5" w:rsidRPr="004A3FB5">
        <w:rPr>
          <w:rFonts w:cs="David" w:hint="cs"/>
          <w:sz w:val="28"/>
          <w:szCs w:val="28"/>
          <w:rtl/>
        </w:rPr>
        <w:t>, ו</w:t>
      </w:r>
      <w:r w:rsidR="00E406C7" w:rsidRPr="004A3FB5">
        <w:rPr>
          <w:rFonts w:cs="David" w:hint="cs"/>
          <w:sz w:val="28"/>
          <w:szCs w:val="28"/>
          <w:rtl/>
        </w:rPr>
        <w:t>הכלל ביחס לעבירות אלה</w:t>
      </w:r>
      <w:r w:rsidR="00343B1B">
        <w:rPr>
          <w:rFonts w:cs="David" w:hint="cs"/>
          <w:sz w:val="28"/>
          <w:szCs w:val="28"/>
          <w:rtl/>
        </w:rPr>
        <w:t xml:space="preserve"> </w:t>
      </w:r>
      <w:r w:rsidR="00E406C7" w:rsidRPr="004A3FB5">
        <w:rPr>
          <w:rFonts w:cs="David" w:hint="cs"/>
          <w:sz w:val="28"/>
          <w:szCs w:val="28"/>
          <w:rtl/>
        </w:rPr>
        <w:t>הוא כי יש לעצור את הנאשם מאחורי סורג ובריח (</w:t>
      </w:r>
      <w:proofErr w:type="spellStart"/>
      <w:r w:rsidR="00E406C7" w:rsidRPr="004A3FB5">
        <w:rPr>
          <w:rFonts w:cs="David" w:hint="cs"/>
          <w:sz w:val="28"/>
          <w:szCs w:val="28"/>
          <w:rtl/>
        </w:rPr>
        <w:t>בש"פ</w:t>
      </w:r>
      <w:proofErr w:type="spellEnd"/>
      <w:r w:rsidR="00E406C7" w:rsidRPr="004A3FB5">
        <w:rPr>
          <w:rFonts w:cs="David" w:hint="cs"/>
          <w:sz w:val="28"/>
          <w:szCs w:val="28"/>
          <w:rtl/>
        </w:rPr>
        <w:t xml:space="preserve"> 1128/24 </w:t>
      </w:r>
      <w:proofErr w:type="spellStart"/>
      <w:r w:rsidR="00E406C7" w:rsidRPr="004A3FB5">
        <w:rPr>
          <w:rFonts w:cs="David" w:hint="cs"/>
          <w:b/>
          <w:bCs/>
          <w:sz w:val="28"/>
          <w:szCs w:val="28"/>
          <w:rtl/>
        </w:rPr>
        <w:t>מנאסרה</w:t>
      </w:r>
      <w:proofErr w:type="spellEnd"/>
      <w:r w:rsidR="00E406C7" w:rsidRPr="004A3FB5">
        <w:rPr>
          <w:rFonts w:cs="David" w:hint="cs"/>
          <w:b/>
          <w:bCs/>
          <w:sz w:val="28"/>
          <w:szCs w:val="28"/>
          <w:rtl/>
        </w:rPr>
        <w:t xml:space="preserve"> נ' מדינת ישראל</w:t>
      </w:r>
      <w:r w:rsidR="00E406C7" w:rsidRPr="004A3FB5">
        <w:rPr>
          <w:rFonts w:cs="David" w:hint="cs"/>
          <w:sz w:val="28"/>
          <w:szCs w:val="28"/>
          <w:rtl/>
        </w:rPr>
        <w:t>, פסקה 18 (22.2.2024)</w:t>
      </w:r>
      <w:r w:rsidR="00343B1B">
        <w:rPr>
          <w:rFonts w:cs="David" w:hint="cs"/>
          <w:sz w:val="28"/>
          <w:szCs w:val="28"/>
          <w:rtl/>
        </w:rPr>
        <w:t>)</w:t>
      </w:r>
      <w:r w:rsidR="00575B76">
        <w:rPr>
          <w:rFonts w:cs="David" w:hint="cs"/>
          <w:sz w:val="28"/>
          <w:szCs w:val="28"/>
          <w:rtl/>
        </w:rPr>
        <w:t xml:space="preserve">. </w:t>
      </w:r>
      <w:r w:rsidR="004A3FB5" w:rsidRPr="004A3FB5">
        <w:rPr>
          <w:rFonts w:cs="David" w:hint="cs"/>
          <w:sz w:val="28"/>
          <w:szCs w:val="28"/>
          <w:rtl/>
        </w:rPr>
        <w:t>לצד עילת המעצר הסטטוטורית מתקיימ</w:t>
      </w:r>
      <w:r w:rsidR="00575B76">
        <w:rPr>
          <w:rFonts w:cs="David" w:hint="cs"/>
          <w:sz w:val="28"/>
          <w:szCs w:val="28"/>
          <w:rtl/>
        </w:rPr>
        <w:t>ו</w:t>
      </w:r>
      <w:r w:rsidR="004A3FB5" w:rsidRPr="004A3FB5">
        <w:rPr>
          <w:rFonts w:cs="David" w:hint="cs"/>
          <w:sz w:val="28"/>
          <w:szCs w:val="28"/>
          <w:rtl/>
        </w:rPr>
        <w:t xml:space="preserve">ת </w:t>
      </w:r>
      <w:r w:rsidR="00575B76">
        <w:rPr>
          <w:rFonts w:cs="David" w:hint="cs"/>
          <w:sz w:val="28"/>
          <w:szCs w:val="28"/>
          <w:rtl/>
        </w:rPr>
        <w:t xml:space="preserve">בעניינו של המשיב, חייל בשירות סדיר, </w:t>
      </w:r>
      <w:r w:rsidR="004A3FB5" w:rsidRPr="004A3FB5">
        <w:rPr>
          <w:rFonts w:cs="David" w:hint="cs"/>
          <w:sz w:val="28"/>
          <w:szCs w:val="28"/>
          <w:rtl/>
        </w:rPr>
        <w:t xml:space="preserve">גם </w:t>
      </w:r>
      <w:r w:rsidR="00575B76">
        <w:rPr>
          <w:rFonts w:cs="David" w:hint="cs"/>
          <w:sz w:val="28"/>
          <w:szCs w:val="28"/>
          <w:rtl/>
        </w:rPr>
        <w:t>עילת המסוכנות הצבאית ו</w:t>
      </w:r>
      <w:r w:rsidR="004A3FB5" w:rsidRPr="004A3FB5">
        <w:rPr>
          <w:rFonts w:cs="David" w:hint="cs"/>
          <w:sz w:val="28"/>
          <w:szCs w:val="28"/>
          <w:rtl/>
        </w:rPr>
        <w:t>עילת המעצר הצבאית הייחודית</w:t>
      </w:r>
      <w:r w:rsidR="00575B76">
        <w:rPr>
          <w:rFonts w:cs="David" w:hint="cs"/>
          <w:sz w:val="28"/>
          <w:szCs w:val="28"/>
          <w:rtl/>
        </w:rPr>
        <w:t>,</w:t>
      </w:r>
      <w:r w:rsidR="004A3FB5" w:rsidRPr="004A3FB5">
        <w:rPr>
          <w:rFonts w:cs="David" w:hint="cs"/>
          <w:sz w:val="28"/>
          <w:szCs w:val="28"/>
          <w:rtl/>
        </w:rPr>
        <w:t xml:space="preserve"> שעניינה פגיעה חריפה במשמעת הצבא</w:t>
      </w:r>
      <w:r w:rsidR="00575B76">
        <w:rPr>
          <w:rFonts w:cs="David" w:hint="cs"/>
          <w:sz w:val="28"/>
          <w:szCs w:val="28"/>
          <w:rtl/>
        </w:rPr>
        <w:t xml:space="preserve"> (</w:t>
      </w:r>
      <w:r w:rsidR="004A3FB5" w:rsidRPr="004A3FB5">
        <w:rPr>
          <w:rFonts w:cs="David" w:hint="cs"/>
          <w:sz w:val="28"/>
          <w:szCs w:val="28"/>
          <w:rtl/>
        </w:rPr>
        <w:t xml:space="preserve">ע"מ 76/24 </w:t>
      </w:r>
      <w:r w:rsidR="004A3FB5" w:rsidRPr="004A3FB5">
        <w:rPr>
          <w:rFonts w:cs="David" w:hint="cs"/>
          <w:b/>
          <w:bCs/>
          <w:sz w:val="28"/>
          <w:szCs w:val="28"/>
          <w:rtl/>
        </w:rPr>
        <w:t>התובע הצבאי הראשי נ' רס"ם (מיל')</w:t>
      </w:r>
      <w:r w:rsidR="004A3FB5" w:rsidRPr="004A3FB5">
        <w:rPr>
          <w:rFonts w:cs="David" w:hint="cs"/>
          <w:b/>
          <w:bCs/>
          <w:sz w:val="28"/>
          <w:szCs w:val="28"/>
        </w:rPr>
        <w:t xml:space="preserve"> </w:t>
      </w:r>
      <w:r w:rsidR="004A3FB5" w:rsidRPr="004A3FB5">
        <w:rPr>
          <w:rFonts w:cs="David" w:hint="cs"/>
          <w:b/>
          <w:bCs/>
          <w:sz w:val="28"/>
          <w:szCs w:val="28"/>
          <w:rtl/>
        </w:rPr>
        <w:t>יחזקאלי</w:t>
      </w:r>
      <w:r w:rsidR="004A3FB5" w:rsidRPr="00617157">
        <w:rPr>
          <w:rFonts w:cs="David"/>
          <w:sz w:val="28"/>
          <w:szCs w:val="28"/>
          <w:rtl/>
        </w:rPr>
        <w:t>,</w:t>
      </w:r>
      <w:r w:rsidR="004A3FB5" w:rsidRPr="004A3FB5">
        <w:rPr>
          <w:rFonts w:cs="David" w:hint="cs"/>
          <w:b/>
          <w:bCs/>
          <w:sz w:val="28"/>
          <w:szCs w:val="28"/>
          <w:rtl/>
        </w:rPr>
        <w:t xml:space="preserve"> </w:t>
      </w:r>
      <w:r w:rsidR="004A3FB5" w:rsidRPr="004A3FB5">
        <w:rPr>
          <w:rFonts w:cs="David" w:hint="cs"/>
          <w:sz w:val="28"/>
          <w:szCs w:val="28"/>
          <w:rtl/>
        </w:rPr>
        <w:t>פסקה 36</w:t>
      </w:r>
      <w:r w:rsidR="004A3FB5" w:rsidRPr="004A3FB5">
        <w:rPr>
          <w:rFonts w:cs="David" w:hint="cs"/>
          <w:b/>
          <w:bCs/>
          <w:sz w:val="28"/>
          <w:szCs w:val="28"/>
          <w:rtl/>
        </w:rPr>
        <w:t xml:space="preserve"> </w:t>
      </w:r>
      <w:r w:rsidR="004A3FB5" w:rsidRPr="004A3FB5">
        <w:rPr>
          <w:rFonts w:cs="David" w:hint="cs"/>
          <w:sz w:val="28"/>
          <w:szCs w:val="28"/>
          <w:rtl/>
        </w:rPr>
        <w:t>(2024)</w:t>
      </w:r>
      <w:r w:rsidR="004A3FB5">
        <w:rPr>
          <w:rFonts w:cs="David" w:hint="cs"/>
          <w:sz w:val="28"/>
          <w:szCs w:val="28"/>
          <w:rtl/>
        </w:rPr>
        <w:t xml:space="preserve">). </w:t>
      </w:r>
      <w:r w:rsidR="0086308C">
        <w:rPr>
          <w:rFonts w:cs="David" w:hint="cs"/>
          <w:sz w:val="28"/>
          <w:szCs w:val="28"/>
          <w:rtl/>
        </w:rPr>
        <w:t xml:space="preserve">בנסיבות אלה, שחרורו </w:t>
      </w:r>
      <w:r w:rsidR="00343B1B">
        <w:rPr>
          <w:rFonts w:cs="David" w:hint="cs"/>
          <w:sz w:val="28"/>
          <w:szCs w:val="28"/>
          <w:rtl/>
        </w:rPr>
        <w:t xml:space="preserve">של המשיב </w:t>
      </w:r>
      <w:r w:rsidR="0086308C">
        <w:rPr>
          <w:rFonts w:cs="David" w:hint="cs"/>
          <w:sz w:val="28"/>
          <w:szCs w:val="28"/>
          <w:rtl/>
        </w:rPr>
        <w:t xml:space="preserve">למעצר פתוח ביחידה צבאית, </w:t>
      </w:r>
      <w:r w:rsidR="00343B1B">
        <w:rPr>
          <w:rFonts w:cs="David" w:hint="cs"/>
          <w:b/>
          <w:bCs/>
          <w:sz w:val="28"/>
          <w:szCs w:val="28"/>
          <w:rtl/>
        </w:rPr>
        <w:t>ודאי בראי הרשעתו הצפויה</w:t>
      </w:r>
      <w:r w:rsidR="00343B1B" w:rsidRPr="00617157">
        <w:rPr>
          <w:rFonts w:cs="David"/>
          <w:sz w:val="28"/>
          <w:szCs w:val="28"/>
          <w:rtl/>
        </w:rPr>
        <w:t xml:space="preserve">, </w:t>
      </w:r>
      <w:r w:rsidR="0086308C" w:rsidRPr="00617157">
        <w:rPr>
          <w:rFonts w:cs="David" w:hint="eastAsia"/>
          <w:b/>
          <w:bCs/>
          <w:sz w:val="28"/>
          <w:szCs w:val="28"/>
          <w:rtl/>
        </w:rPr>
        <w:t>יחטא</w:t>
      </w:r>
      <w:r w:rsidR="0086308C" w:rsidRPr="00617157">
        <w:rPr>
          <w:rFonts w:cs="David"/>
          <w:b/>
          <w:bCs/>
          <w:sz w:val="28"/>
          <w:szCs w:val="28"/>
          <w:rtl/>
        </w:rPr>
        <w:t xml:space="preserve"> </w:t>
      </w:r>
      <w:r w:rsidR="0086308C" w:rsidRPr="00617157">
        <w:rPr>
          <w:rFonts w:cs="David" w:hint="eastAsia"/>
          <w:b/>
          <w:bCs/>
          <w:sz w:val="28"/>
          <w:szCs w:val="28"/>
          <w:rtl/>
        </w:rPr>
        <w:t>לחלוטין</w:t>
      </w:r>
      <w:r w:rsidR="0086308C">
        <w:rPr>
          <w:rFonts w:cs="David" w:hint="cs"/>
          <w:sz w:val="28"/>
          <w:szCs w:val="28"/>
          <w:rtl/>
        </w:rPr>
        <w:t xml:space="preserve"> לעילות המעצר המובהקות המתקיימות בנסיבות העניין. </w:t>
      </w:r>
    </w:p>
    <w:p w14:paraId="18DF2107" w14:textId="266E3F22" w:rsidR="0086308C" w:rsidRDefault="004A3FB5" w:rsidP="00F44BB8">
      <w:pPr>
        <w:numPr>
          <w:ilvl w:val="0"/>
          <w:numId w:val="1"/>
        </w:numPr>
        <w:tabs>
          <w:tab w:val="left" w:pos="282"/>
        </w:tabs>
        <w:spacing w:after="0" w:line="360" w:lineRule="auto"/>
        <w:jc w:val="both"/>
        <w:outlineLvl w:val="0"/>
        <w:rPr>
          <w:rFonts w:cs="David"/>
          <w:sz w:val="28"/>
          <w:szCs w:val="28"/>
        </w:rPr>
      </w:pPr>
      <w:r>
        <w:rPr>
          <w:rFonts w:cs="David" w:hint="cs"/>
          <w:sz w:val="28"/>
          <w:szCs w:val="28"/>
          <w:rtl/>
        </w:rPr>
        <w:t xml:space="preserve">לאור </w:t>
      </w:r>
      <w:r w:rsidR="000E51DE">
        <w:rPr>
          <w:rFonts w:cs="David" w:hint="cs"/>
          <w:sz w:val="28"/>
          <w:szCs w:val="28"/>
          <w:rtl/>
        </w:rPr>
        <w:t>קיומן של עילות מעצר מובהקות</w:t>
      </w:r>
      <w:r w:rsidR="00617157">
        <w:rPr>
          <w:rFonts w:cs="David" w:hint="cs"/>
          <w:sz w:val="28"/>
          <w:szCs w:val="28"/>
          <w:rtl/>
        </w:rPr>
        <w:t>,</w:t>
      </w:r>
      <w:r w:rsidR="000E51DE">
        <w:rPr>
          <w:rFonts w:cs="David" w:hint="cs"/>
          <w:sz w:val="28"/>
          <w:szCs w:val="28"/>
          <w:rtl/>
        </w:rPr>
        <w:t xml:space="preserve"> בשים לב למסוכנות הרבה הנשקפת מהמשיב ובר</w:t>
      </w:r>
      <w:r w:rsidR="0086308C">
        <w:rPr>
          <w:rFonts w:cs="David" w:hint="cs"/>
          <w:sz w:val="28"/>
          <w:szCs w:val="28"/>
          <w:rtl/>
        </w:rPr>
        <w:t xml:space="preserve">אי הכוונה לסיים את התיק בהכרעת דין בעוד ימים ספורים, </w:t>
      </w:r>
      <w:r w:rsidR="0080368F">
        <w:rPr>
          <w:rFonts w:cs="David" w:hint="cs"/>
          <w:sz w:val="28"/>
          <w:szCs w:val="28"/>
          <w:rtl/>
        </w:rPr>
        <w:t xml:space="preserve">שממנה נגזרה בקשתה המידתית של התביעה להארכת המעצר בבית דין זה - </w:t>
      </w:r>
      <w:r w:rsidR="0086308C">
        <w:rPr>
          <w:rFonts w:cs="David" w:hint="cs"/>
          <w:sz w:val="28"/>
          <w:szCs w:val="28"/>
          <w:rtl/>
        </w:rPr>
        <w:t xml:space="preserve">לא ניתן לקבוע כי מעצרו של המשיב מתמשך מעבר לנדרש. כאמור, לאחר הרשעתו של המשיב, נתונה הסמכות להורות על הארכת מעצרו (עד ל-90 ימים) למותב בית הדין שהרשיעו; וככל שיתעורר החשש מפני התמשכות הליכים צפויה </w:t>
      </w:r>
      <w:r w:rsidR="0080368F">
        <w:rPr>
          <w:rFonts w:cs="David" w:hint="cs"/>
          <w:sz w:val="28"/>
          <w:szCs w:val="28"/>
          <w:rtl/>
        </w:rPr>
        <w:t xml:space="preserve">בשלב הטיעונים לעונש, </w:t>
      </w:r>
      <w:r w:rsidR="0086308C">
        <w:rPr>
          <w:rFonts w:cs="David" w:hint="cs"/>
          <w:sz w:val="28"/>
          <w:szCs w:val="28"/>
          <w:rtl/>
        </w:rPr>
        <w:t xml:space="preserve">חזקה על </w:t>
      </w:r>
      <w:r w:rsidR="0080368F">
        <w:rPr>
          <w:rFonts w:cs="David" w:hint="cs"/>
          <w:sz w:val="28"/>
          <w:szCs w:val="28"/>
          <w:rtl/>
        </w:rPr>
        <w:t xml:space="preserve">הסניגור כי יוכל לפנות אל </w:t>
      </w:r>
      <w:r w:rsidR="0086308C">
        <w:rPr>
          <w:rFonts w:cs="David" w:hint="cs"/>
          <w:sz w:val="28"/>
          <w:szCs w:val="28"/>
          <w:rtl/>
        </w:rPr>
        <w:t xml:space="preserve">המותב הנכבד </w:t>
      </w:r>
      <w:r w:rsidR="0080368F">
        <w:rPr>
          <w:rFonts w:cs="David" w:hint="cs"/>
          <w:sz w:val="28"/>
          <w:szCs w:val="28"/>
          <w:rtl/>
        </w:rPr>
        <w:t>בבקשות מתאימות</w:t>
      </w:r>
      <w:r w:rsidR="0086308C">
        <w:rPr>
          <w:rFonts w:cs="David" w:hint="cs"/>
          <w:sz w:val="28"/>
          <w:szCs w:val="28"/>
          <w:rtl/>
        </w:rPr>
        <w:t xml:space="preserve">. </w:t>
      </w:r>
    </w:p>
    <w:p w14:paraId="1E1FE5AE" w14:textId="39ED1580" w:rsidR="00A563B2" w:rsidRDefault="009F4151" w:rsidP="009A7CFA">
      <w:pPr>
        <w:numPr>
          <w:ilvl w:val="0"/>
          <w:numId w:val="1"/>
        </w:numPr>
        <w:tabs>
          <w:tab w:val="left" w:pos="282"/>
        </w:tabs>
        <w:spacing w:after="0" w:line="360" w:lineRule="auto"/>
        <w:ind w:left="-58"/>
        <w:jc w:val="both"/>
        <w:rPr>
          <w:rFonts w:cs="David"/>
          <w:sz w:val="28"/>
          <w:szCs w:val="28"/>
        </w:rPr>
      </w:pPr>
      <w:r w:rsidRPr="0021357B">
        <w:rPr>
          <w:rFonts w:cs="David" w:hint="cs"/>
          <w:sz w:val="28"/>
          <w:szCs w:val="28"/>
          <w:rtl/>
        </w:rPr>
        <w:t xml:space="preserve">בנסיבות אלה, אני נעתרת לבקשת התביעה. מעצרו של המשיב יוארך </w:t>
      </w:r>
      <w:r w:rsidR="009A7CFA">
        <w:rPr>
          <w:rFonts w:cs="David" w:hint="cs"/>
          <w:sz w:val="28"/>
          <w:szCs w:val="28"/>
          <w:rtl/>
        </w:rPr>
        <w:t xml:space="preserve">עד ליום </w:t>
      </w:r>
      <w:r w:rsidR="0086308C">
        <w:rPr>
          <w:rFonts w:cs="David" w:hint="cs"/>
          <w:sz w:val="28"/>
          <w:szCs w:val="28"/>
          <w:rtl/>
        </w:rPr>
        <w:t>29</w:t>
      </w:r>
      <w:r w:rsidR="009A7CFA">
        <w:rPr>
          <w:rFonts w:cs="David" w:hint="cs"/>
          <w:sz w:val="28"/>
          <w:szCs w:val="28"/>
          <w:rtl/>
        </w:rPr>
        <w:t xml:space="preserve"> בדצמבר בשעה 14:00 או עד שתינתן הכרעת הדין בעניינו,</w:t>
      </w:r>
      <w:r w:rsidRPr="0021357B">
        <w:rPr>
          <w:rFonts w:cs="David" w:hint="cs"/>
          <w:sz w:val="28"/>
          <w:szCs w:val="28"/>
          <w:rtl/>
        </w:rPr>
        <w:t xml:space="preserve">  לפי המוקדם </w:t>
      </w:r>
      <w:proofErr w:type="spellStart"/>
      <w:r w:rsidRPr="0021357B">
        <w:rPr>
          <w:rFonts w:cs="David" w:hint="cs"/>
          <w:sz w:val="28"/>
          <w:szCs w:val="28"/>
          <w:rtl/>
        </w:rPr>
        <w:t>מביניהם</w:t>
      </w:r>
      <w:proofErr w:type="spellEnd"/>
      <w:r w:rsidRPr="0021357B">
        <w:rPr>
          <w:rFonts w:cs="David" w:hint="cs"/>
          <w:sz w:val="28"/>
          <w:szCs w:val="28"/>
          <w:rtl/>
        </w:rPr>
        <w:t xml:space="preserve">. </w:t>
      </w:r>
    </w:p>
    <w:p w14:paraId="299F0EB3" w14:textId="77777777" w:rsidR="009A7CFA" w:rsidRPr="00A563B2" w:rsidRDefault="009A7CFA" w:rsidP="009A7CFA">
      <w:pPr>
        <w:tabs>
          <w:tab w:val="left" w:pos="282"/>
        </w:tabs>
        <w:spacing w:after="0" w:line="360" w:lineRule="auto"/>
        <w:ind w:left="-58"/>
        <w:jc w:val="both"/>
        <w:rPr>
          <w:rFonts w:cs="David"/>
          <w:sz w:val="28"/>
          <w:szCs w:val="28"/>
        </w:rPr>
      </w:pPr>
    </w:p>
    <w:p w14:paraId="25410FBB" w14:textId="08682F5A" w:rsidR="00FF5A2F" w:rsidRDefault="007B7648" w:rsidP="009F4151">
      <w:pPr>
        <w:tabs>
          <w:tab w:val="left" w:pos="282"/>
        </w:tabs>
        <w:spacing w:after="0" w:line="312" w:lineRule="auto"/>
        <w:ind w:left="-1"/>
        <w:jc w:val="both"/>
        <w:rPr>
          <w:rFonts w:ascii="David" w:hAnsi="David" w:cs="David"/>
          <w:sz w:val="28"/>
          <w:szCs w:val="28"/>
          <w:rtl/>
        </w:rPr>
      </w:pPr>
      <w:r w:rsidRPr="00247C7A">
        <w:rPr>
          <w:rFonts w:ascii="David" w:hAnsi="David" w:cs="David" w:hint="cs"/>
          <w:sz w:val="28"/>
          <w:szCs w:val="28"/>
          <w:rtl/>
        </w:rPr>
        <w:t>ניתנה היום</w:t>
      </w:r>
      <w:r w:rsidR="00A563B2">
        <w:rPr>
          <w:rFonts w:ascii="David" w:hAnsi="David" w:cs="David" w:hint="cs"/>
          <w:sz w:val="28"/>
          <w:szCs w:val="28"/>
          <w:rtl/>
        </w:rPr>
        <w:t xml:space="preserve"> </w:t>
      </w:r>
      <w:r w:rsidR="00D90CE7">
        <w:rPr>
          <w:rFonts w:ascii="David" w:hAnsi="David" w:cs="David" w:hint="cs"/>
          <w:sz w:val="28"/>
          <w:szCs w:val="28"/>
          <w:rtl/>
        </w:rPr>
        <w:t>י"</w:t>
      </w:r>
      <w:r w:rsidR="009A7CFA">
        <w:rPr>
          <w:rFonts w:ascii="David" w:hAnsi="David" w:cs="David" w:hint="cs"/>
          <w:sz w:val="28"/>
          <w:szCs w:val="28"/>
          <w:rtl/>
        </w:rPr>
        <w:t>ז</w:t>
      </w:r>
      <w:r w:rsidR="00E4283D">
        <w:rPr>
          <w:rFonts w:ascii="David" w:hAnsi="David" w:cs="David" w:hint="cs"/>
          <w:sz w:val="28"/>
          <w:szCs w:val="28"/>
          <w:rtl/>
        </w:rPr>
        <w:t xml:space="preserve"> ב</w:t>
      </w:r>
      <w:r w:rsidR="009A7CFA">
        <w:rPr>
          <w:rFonts w:ascii="David" w:hAnsi="David" w:cs="David" w:hint="cs"/>
          <w:sz w:val="28"/>
          <w:szCs w:val="28"/>
          <w:rtl/>
        </w:rPr>
        <w:t>כסלו</w:t>
      </w:r>
      <w:r w:rsidR="00A563B2">
        <w:rPr>
          <w:rFonts w:ascii="David" w:hAnsi="David" w:cs="David" w:hint="cs"/>
          <w:sz w:val="28"/>
          <w:szCs w:val="28"/>
          <w:rtl/>
        </w:rPr>
        <w:t xml:space="preserve"> תשפ"</w:t>
      </w:r>
      <w:r w:rsidR="009A7CFA">
        <w:rPr>
          <w:rFonts w:ascii="David" w:hAnsi="David" w:cs="David" w:hint="cs"/>
          <w:sz w:val="28"/>
          <w:szCs w:val="28"/>
          <w:rtl/>
        </w:rPr>
        <w:t>ה</w:t>
      </w:r>
      <w:r w:rsidR="00A563B2">
        <w:rPr>
          <w:rFonts w:ascii="David" w:hAnsi="David" w:cs="David" w:hint="cs"/>
          <w:sz w:val="28"/>
          <w:szCs w:val="28"/>
          <w:rtl/>
        </w:rPr>
        <w:t>,</w:t>
      </w:r>
      <w:r w:rsidR="009A7CFA">
        <w:rPr>
          <w:rFonts w:ascii="David" w:hAnsi="David" w:cs="David" w:hint="cs"/>
          <w:sz w:val="28"/>
          <w:szCs w:val="28"/>
          <w:rtl/>
        </w:rPr>
        <w:t xml:space="preserve"> 18 </w:t>
      </w:r>
      <w:r w:rsidR="00A563B2">
        <w:rPr>
          <w:rFonts w:ascii="David" w:hAnsi="David" w:cs="David" w:hint="cs"/>
          <w:sz w:val="28"/>
          <w:szCs w:val="28"/>
          <w:rtl/>
        </w:rPr>
        <w:t xml:space="preserve"> </w:t>
      </w:r>
      <w:r w:rsidR="00E4283D">
        <w:rPr>
          <w:rFonts w:ascii="David" w:hAnsi="David" w:cs="David" w:hint="cs"/>
          <w:sz w:val="28"/>
          <w:szCs w:val="28"/>
          <w:rtl/>
        </w:rPr>
        <w:t>ב</w:t>
      </w:r>
      <w:r w:rsidR="009A7CFA">
        <w:rPr>
          <w:rFonts w:ascii="David" w:hAnsi="David" w:cs="David" w:hint="cs"/>
          <w:sz w:val="28"/>
          <w:szCs w:val="28"/>
          <w:rtl/>
        </w:rPr>
        <w:t>דצמ</w:t>
      </w:r>
      <w:r w:rsidR="00AA326F">
        <w:rPr>
          <w:rFonts w:ascii="David" w:hAnsi="David" w:cs="David" w:hint="cs"/>
          <w:sz w:val="28"/>
          <w:szCs w:val="28"/>
          <w:rtl/>
        </w:rPr>
        <w:t>ב</w:t>
      </w:r>
      <w:r w:rsidR="00E4283D">
        <w:rPr>
          <w:rFonts w:ascii="David" w:hAnsi="David" w:cs="David" w:hint="cs"/>
          <w:sz w:val="28"/>
          <w:szCs w:val="28"/>
          <w:rtl/>
        </w:rPr>
        <w:t>ר 202</w:t>
      </w:r>
      <w:r w:rsidR="00AA326F">
        <w:rPr>
          <w:rFonts w:ascii="David" w:hAnsi="David" w:cs="David" w:hint="cs"/>
          <w:sz w:val="28"/>
          <w:szCs w:val="28"/>
          <w:rtl/>
        </w:rPr>
        <w:t>4</w:t>
      </w:r>
      <w:r w:rsidR="00DF3153">
        <w:rPr>
          <w:rFonts w:ascii="David" w:hAnsi="David" w:cs="David" w:hint="cs"/>
          <w:sz w:val="28"/>
          <w:szCs w:val="28"/>
          <w:rtl/>
        </w:rPr>
        <w:t xml:space="preserve">, </w:t>
      </w:r>
      <w:r w:rsidR="00EB1F23">
        <w:rPr>
          <w:rFonts w:ascii="David" w:hAnsi="David" w:cs="David" w:hint="cs"/>
          <w:sz w:val="28"/>
          <w:szCs w:val="28"/>
          <w:rtl/>
        </w:rPr>
        <w:t xml:space="preserve">בפומבי ובנוכחות </w:t>
      </w:r>
      <w:r w:rsidR="001F2FB8">
        <w:rPr>
          <w:rFonts w:ascii="David" w:hAnsi="David" w:cs="David" w:hint="cs"/>
          <w:sz w:val="28"/>
          <w:szCs w:val="28"/>
          <w:rtl/>
        </w:rPr>
        <w:t>ה</w:t>
      </w:r>
      <w:r w:rsidR="00D90CE7">
        <w:rPr>
          <w:rFonts w:ascii="David" w:hAnsi="David" w:cs="David" w:hint="cs"/>
          <w:sz w:val="28"/>
          <w:szCs w:val="28"/>
          <w:rtl/>
        </w:rPr>
        <w:t>צדדים</w:t>
      </w:r>
    </w:p>
    <w:p w14:paraId="1366F7CB" w14:textId="1FED4DD0" w:rsidR="00A978A3" w:rsidRDefault="00A978A3" w:rsidP="009F4151">
      <w:pPr>
        <w:tabs>
          <w:tab w:val="left" w:pos="282"/>
        </w:tabs>
        <w:spacing w:after="0" w:line="312" w:lineRule="auto"/>
        <w:ind w:left="-1"/>
        <w:jc w:val="both"/>
        <w:rPr>
          <w:rFonts w:ascii="David" w:hAnsi="David" w:cs="David"/>
          <w:sz w:val="28"/>
          <w:szCs w:val="28"/>
          <w:rtl/>
        </w:rPr>
      </w:pPr>
    </w:p>
    <w:p w14:paraId="6DCEEE4A" w14:textId="77777777" w:rsidR="009A7CFA" w:rsidRDefault="009A7CFA" w:rsidP="009F4151">
      <w:pPr>
        <w:tabs>
          <w:tab w:val="left" w:pos="282"/>
        </w:tabs>
        <w:spacing w:after="0" w:line="312" w:lineRule="auto"/>
        <w:ind w:left="-1"/>
        <w:jc w:val="both"/>
        <w:rPr>
          <w:rFonts w:ascii="David" w:hAnsi="David" w:cs="David"/>
          <w:sz w:val="28"/>
          <w:szCs w:val="28"/>
          <w:rtl/>
        </w:rPr>
      </w:pPr>
    </w:p>
    <w:p w14:paraId="34F19057" w14:textId="77777777" w:rsidR="00AA326F" w:rsidRPr="00247C7A" w:rsidRDefault="00AA326F" w:rsidP="009F4151">
      <w:pPr>
        <w:tabs>
          <w:tab w:val="left" w:pos="282"/>
        </w:tabs>
        <w:spacing w:after="0" w:line="312" w:lineRule="auto"/>
        <w:ind w:left="-1"/>
        <w:jc w:val="both"/>
        <w:rPr>
          <w:rFonts w:ascii="David" w:hAnsi="David" w:cs="David"/>
          <w:sz w:val="28"/>
          <w:szCs w:val="28"/>
          <w:rtl/>
        </w:rPr>
      </w:pPr>
    </w:p>
    <w:p w14:paraId="703CD559" w14:textId="57B669A6" w:rsidR="00A978A3" w:rsidRPr="00B54F91" w:rsidRDefault="00A978A3" w:rsidP="009F4151">
      <w:pPr>
        <w:spacing w:after="0" w:line="312"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804F42">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________________________</w:t>
      </w:r>
    </w:p>
    <w:p w14:paraId="68D1B6C8" w14:textId="4F8139A5" w:rsidR="00A978A3" w:rsidRPr="00247C7A" w:rsidRDefault="00A978A3" w:rsidP="009F4151">
      <w:pPr>
        <w:keepNext/>
        <w:spacing w:after="0" w:line="312"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804F42">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אל"ם          מאיה </w:t>
      </w:r>
      <w:r w:rsidR="00804F42">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גולדשמידט </w:t>
      </w:r>
      <w:r w:rsidRPr="00247C7A">
        <w:rPr>
          <w:rFonts w:ascii="David" w:eastAsia="Times New Roman" w:hAnsi="David" w:cs="David" w:hint="cs"/>
          <w:b/>
          <w:bCs/>
          <w:sz w:val="28"/>
          <w:szCs w:val="28"/>
          <w:rtl/>
        </w:rPr>
        <w:t xml:space="preserve"> </w:t>
      </w:r>
    </w:p>
    <w:p w14:paraId="505E15CF" w14:textId="1F34A73A" w:rsidR="00A978A3" w:rsidRPr="00247C7A" w:rsidRDefault="00A978A3" w:rsidP="009F4151">
      <w:pPr>
        <w:keepNext/>
        <w:spacing w:after="0" w:line="312"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804F42">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שופטת </w:t>
      </w:r>
      <w:r w:rsidRPr="00247C7A">
        <w:rPr>
          <w:rFonts w:ascii="David" w:eastAsia="Times New Roman" w:hAnsi="David" w:cs="David" w:hint="cs"/>
          <w:b/>
          <w:bCs/>
          <w:sz w:val="28"/>
          <w:szCs w:val="28"/>
          <w:rtl/>
        </w:rPr>
        <w:tab/>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בית     הדין      הצבאי </w:t>
      </w:r>
    </w:p>
    <w:p w14:paraId="38DF2124" w14:textId="1B180069" w:rsidR="00A978A3" w:rsidRDefault="00A978A3" w:rsidP="009053D5">
      <w:pPr>
        <w:spacing w:after="0" w:line="312" w:lineRule="auto"/>
        <w:jc w:val="both"/>
        <w:rPr>
          <w:rFonts w:ascii="Times New Roman" w:eastAsia="Times New Roman" w:hAnsi="Times New Roman" w:cs="David"/>
          <w:sz w:val="20"/>
          <w:szCs w:val="28"/>
          <w:rtl/>
        </w:rPr>
      </w:pPr>
      <w:r w:rsidRPr="00247C7A">
        <w:rPr>
          <w:rFonts w:ascii="David" w:eastAsia="Times New Roman" w:hAnsi="David" w:cs="David" w:hint="cs"/>
          <w:b/>
          <w:bCs/>
          <w:sz w:val="28"/>
          <w:szCs w:val="28"/>
          <w:rtl/>
        </w:rPr>
        <w:t xml:space="preserve">                                                                              </w:t>
      </w:r>
      <w:r w:rsidR="00804F42">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ל     ע     ר     ע      ו      ר      י     ם</w:t>
      </w:r>
    </w:p>
    <w:p w14:paraId="02D4873A" w14:textId="2E546FB3" w:rsidR="00804F42" w:rsidRDefault="00804F42" w:rsidP="009053D5">
      <w:pPr>
        <w:spacing w:after="0" w:line="312" w:lineRule="auto"/>
        <w:jc w:val="both"/>
        <w:rPr>
          <w:rFonts w:ascii="Times New Roman" w:eastAsia="Times New Roman" w:hAnsi="Times New Roman" w:cs="David"/>
          <w:sz w:val="20"/>
          <w:szCs w:val="28"/>
          <w:rtl/>
        </w:rPr>
      </w:pPr>
    </w:p>
    <w:p w14:paraId="5E7B6894" w14:textId="318DE923" w:rsidR="00804F42" w:rsidRPr="00405BC8" w:rsidRDefault="00804F42" w:rsidP="00804F42">
      <w:pPr>
        <w:ind w:left="-58" w:right="-567"/>
        <w:rPr>
          <w:rFonts w:ascii="David" w:hAnsi="David" w:cs="David"/>
          <w:b/>
          <w:bCs/>
          <w:sz w:val="28"/>
          <w:szCs w:val="28"/>
          <w:rtl/>
        </w:rPr>
      </w:pPr>
      <w:bookmarkStart w:id="2" w:name="_Hlk122599666"/>
      <w:bookmarkStart w:id="3" w:name="_Hlk141797760"/>
      <w:r w:rsidRPr="00405BC8">
        <w:rPr>
          <w:rFonts w:ascii="David" w:hAnsi="David" w:cs="David"/>
          <w:b/>
          <w:bCs/>
          <w:sz w:val="28"/>
          <w:szCs w:val="28"/>
          <w:rtl/>
        </w:rPr>
        <w:t xml:space="preserve">חתימת המגיה: _______________________________      העתק       נאמן    </w:t>
      </w:r>
      <w:r>
        <w:rPr>
          <w:rFonts w:ascii="David" w:hAnsi="David" w:cs="David" w:hint="cs"/>
          <w:b/>
          <w:bCs/>
          <w:sz w:val="28"/>
          <w:szCs w:val="28"/>
          <w:rtl/>
        </w:rPr>
        <w:t xml:space="preserve"> </w:t>
      </w:r>
      <w:r w:rsidRPr="00405BC8">
        <w:rPr>
          <w:rFonts w:ascii="David" w:hAnsi="David" w:cs="David"/>
          <w:b/>
          <w:bCs/>
          <w:sz w:val="28"/>
          <w:szCs w:val="28"/>
          <w:rtl/>
        </w:rPr>
        <w:t xml:space="preserve">  למקור             </w:t>
      </w:r>
    </w:p>
    <w:p w14:paraId="3F67E230" w14:textId="22D3C734" w:rsidR="00804F42" w:rsidRPr="00405BC8" w:rsidRDefault="00804F42" w:rsidP="00804F42">
      <w:pPr>
        <w:ind w:left="-58" w:right="-567"/>
        <w:rPr>
          <w:rFonts w:ascii="David" w:hAnsi="David" w:cs="David"/>
          <w:b/>
          <w:bCs/>
          <w:sz w:val="28"/>
          <w:szCs w:val="28"/>
          <w:rtl/>
        </w:rPr>
      </w:pPr>
      <w:r w:rsidRPr="00405BC8">
        <w:rPr>
          <w:rFonts w:ascii="David" w:hAnsi="David" w:cs="David"/>
          <w:b/>
          <w:bCs/>
          <w:sz w:val="28"/>
          <w:szCs w:val="28"/>
          <w:rtl/>
        </w:rPr>
        <w:t xml:space="preserve">                                                                                                       סרן (מיל') </w:t>
      </w:r>
      <w:r>
        <w:rPr>
          <w:rFonts w:ascii="David" w:hAnsi="David" w:cs="David" w:hint="cs"/>
          <w:b/>
          <w:bCs/>
          <w:sz w:val="28"/>
          <w:szCs w:val="28"/>
          <w:rtl/>
        </w:rPr>
        <w:t xml:space="preserve"> </w:t>
      </w:r>
      <w:r w:rsidRPr="00405BC8">
        <w:rPr>
          <w:rFonts w:ascii="David" w:hAnsi="David" w:cs="David"/>
          <w:b/>
          <w:bCs/>
          <w:sz w:val="28"/>
          <w:szCs w:val="28"/>
          <w:rtl/>
        </w:rPr>
        <w:t xml:space="preserve">קורל       מכני  </w:t>
      </w:r>
    </w:p>
    <w:p w14:paraId="784DDF46" w14:textId="2BC07025" w:rsidR="00804F42" w:rsidRPr="006502FF" w:rsidRDefault="00804F42" w:rsidP="006502FF">
      <w:pPr>
        <w:ind w:left="-58" w:right="-567"/>
        <w:rPr>
          <w:rFonts w:ascii="David" w:hAnsi="David" w:cs="David"/>
          <w:b/>
          <w:bCs/>
          <w:sz w:val="28"/>
          <w:szCs w:val="28"/>
          <w:rtl/>
        </w:rPr>
      </w:pPr>
      <w:r w:rsidRPr="00405BC8">
        <w:rPr>
          <w:rFonts w:ascii="David" w:hAnsi="David" w:cs="David"/>
          <w:b/>
          <w:bCs/>
          <w:sz w:val="28"/>
          <w:szCs w:val="28"/>
          <w:rtl/>
        </w:rPr>
        <w:t>תאריך: ____________________________________        קצי</w:t>
      </w:r>
      <w:r>
        <w:rPr>
          <w:rFonts w:ascii="David" w:hAnsi="David" w:cs="David" w:hint="cs"/>
          <w:b/>
          <w:bCs/>
          <w:sz w:val="28"/>
          <w:szCs w:val="28"/>
          <w:rtl/>
        </w:rPr>
        <w:t>נת</w:t>
      </w:r>
      <w:r w:rsidRPr="00405BC8">
        <w:rPr>
          <w:rFonts w:ascii="David" w:hAnsi="David" w:cs="David"/>
          <w:b/>
          <w:bCs/>
          <w:sz w:val="28"/>
          <w:szCs w:val="28"/>
          <w:rtl/>
        </w:rPr>
        <w:t xml:space="preserve">         בית   </w:t>
      </w:r>
      <w:r>
        <w:rPr>
          <w:rFonts w:ascii="David" w:hAnsi="David" w:cs="David" w:hint="cs"/>
          <w:b/>
          <w:bCs/>
          <w:sz w:val="28"/>
          <w:szCs w:val="28"/>
          <w:rtl/>
        </w:rPr>
        <w:t xml:space="preserve"> </w:t>
      </w:r>
      <w:r w:rsidRPr="00405BC8">
        <w:rPr>
          <w:rFonts w:ascii="David" w:hAnsi="David" w:cs="David"/>
          <w:b/>
          <w:bCs/>
          <w:sz w:val="28"/>
          <w:szCs w:val="28"/>
          <w:rtl/>
        </w:rPr>
        <w:t xml:space="preserve">    הדין</w:t>
      </w:r>
      <w:bookmarkEnd w:id="2"/>
      <w:bookmarkEnd w:id="3"/>
    </w:p>
    <w:sectPr w:rsidR="00804F42" w:rsidRPr="006502FF" w:rsidSect="00E45CE1">
      <w:headerReference w:type="default" r:id="rId10"/>
      <w:footerReference w:type="default" r:id="rId11"/>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D171" w14:textId="77777777" w:rsidR="006953E2" w:rsidRDefault="006953E2">
      <w:pPr>
        <w:spacing w:after="0" w:line="240" w:lineRule="auto"/>
      </w:pPr>
      <w:r>
        <w:separator/>
      </w:r>
    </w:p>
  </w:endnote>
  <w:endnote w:type="continuationSeparator" w:id="0">
    <w:p w14:paraId="273F5C14" w14:textId="77777777" w:rsidR="006953E2" w:rsidRDefault="0069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72490376"/>
      <w:docPartObj>
        <w:docPartGallery w:val="Page Numbers (Bottom of Page)"/>
        <w:docPartUnique/>
      </w:docPartObj>
    </w:sdtPr>
    <w:sdtEndPr>
      <w:rPr>
        <w:cs/>
      </w:rPr>
    </w:sdtEndPr>
    <w:sdtContent>
      <w:p w14:paraId="53B75E96" w14:textId="77777777" w:rsidR="00D61D0E" w:rsidRDefault="001C64D6">
        <w:pPr>
          <w:pStyle w:val="Footer"/>
          <w:jc w:val="center"/>
          <w:rPr>
            <w:rtl/>
            <w:cs/>
          </w:rPr>
        </w:pPr>
        <w:r w:rsidRPr="00D61D0E">
          <w:rPr>
            <w:rFonts w:cs="David"/>
            <w:sz w:val="28"/>
            <w:szCs w:val="28"/>
          </w:rPr>
          <w:fldChar w:fldCharType="begin"/>
        </w:r>
        <w:r w:rsidRPr="00D61D0E">
          <w:rPr>
            <w:rFonts w:cs="David"/>
            <w:sz w:val="28"/>
            <w:szCs w:val="28"/>
            <w:rtl/>
            <w:cs/>
          </w:rPr>
          <w:instrText xml:space="preserve">PAGE   </w:instrText>
        </w:r>
        <w:r w:rsidRPr="00D61D0E">
          <w:rPr>
            <w:rFonts w:cs="David"/>
            <w:sz w:val="28"/>
            <w:szCs w:val="28"/>
            <w:cs/>
          </w:rPr>
          <w:instrText>\</w:instrText>
        </w:r>
        <w:r w:rsidRPr="00D61D0E">
          <w:rPr>
            <w:rFonts w:cs="David"/>
            <w:sz w:val="28"/>
            <w:szCs w:val="28"/>
            <w:rtl/>
            <w:cs/>
          </w:rPr>
          <w:instrText xml:space="preserve">* </w:instrText>
        </w:r>
        <w:r w:rsidRPr="00D61D0E">
          <w:rPr>
            <w:rFonts w:cs="David"/>
            <w:sz w:val="28"/>
            <w:szCs w:val="28"/>
            <w:cs/>
          </w:rPr>
          <w:instrText>MERGEFORMAT</w:instrText>
        </w:r>
        <w:r w:rsidRPr="00D61D0E">
          <w:rPr>
            <w:rFonts w:cs="David"/>
            <w:sz w:val="28"/>
            <w:szCs w:val="28"/>
          </w:rPr>
          <w:fldChar w:fldCharType="separate"/>
        </w:r>
        <w:r w:rsidRPr="00CF70DE">
          <w:rPr>
            <w:rFonts w:cs="David"/>
            <w:noProof/>
            <w:sz w:val="28"/>
            <w:szCs w:val="28"/>
            <w:rtl/>
            <w:lang w:val="he-IL"/>
          </w:rPr>
          <w:t>3</w:t>
        </w:r>
        <w:r w:rsidRPr="00D61D0E">
          <w:rPr>
            <w:rFonts w:cs="David"/>
            <w:sz w:val="28"/>
            <w:szCs w:val="28"/>
          </w:rPr>
          <w:fldChar w:fldCharType="end"/>
        </w:r>
      </w:p>
    </w:sdtContent>
  </w:sdt>
  <w:p w14:paraId="3CB47AC8" w14:textId="77777777" w:rsidR="00D61D0E" w:rsidRDefault="00695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6972" w14:textId="77777777" w:rsidR="006953E2" w:rsidRDefault="006953E2">
      <w:pPr>
        <w:spacing w:after="0" w:line="240" w:lineRule="auto"/>
      </w:pPr>
      <w:r>
        <w:separator/>
      </w:r>
    </w:p>
  </w:footnote>
  <w:footnote w:type="continuationSeparator" w:id="0">
    <w:p w14:paraId="2E87CF34" w14:textId="77777777" w:rsidR="006953E2" w:rsidRDefault="00695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9A3D" w14:textId="7CD4ACA1" w:rsidR="00DB2A80" w:rsidRPr="00C778D5" w:rsidRDefault="001C64D6" w:rsidP="00C778D5">
    <w:pPr>
      <w:pStyle w:val="Header"/>
      <w:rPr>
        <w:rFonts w:cs="David"/>
        <w:sz w:val="28"/>
        <w:szCs w:val="28"/>
        <w:rtl/>
      </w:rPr>
    </w:pPr>
    <w:r>
      <w:rPr>
        <w:rFonts w:cs="David" w:hint="cs"/>
        <w:sz w:val="28"/>
        <w:szCs w:val="28"/>
        <w:rtl/>
      </w:rPr>
      <w:t xml:space="preserve">                                                          </w:t>
    </w:r>
    <w:r w:rsidR="00E45CE1">
      <w:rPr>
        <w:rFonts w:cs="David" w:hint="cs"/>
        <w:sz w:val="28"/>
        <w:szCs w:val="28"/>
        <w:rtl/>
      </w:rPr>
      <w:t xml:space="preserve">        </w:t>
    </w:r>
    <w:r>
      <w:rPr>
        <w:rFonts w:cs="David" w:hint="cs"/>
        <w:sz w:val="28"/>
        <w:szCs w:val="28"/>
        <w:rtl/>
      </w:rPr>
      <w:t xml:space="preserve"> </w:t>
    </w:r>
    <w:r w:rsidR="00C778D5">
      <w:rPr>
        <w:rFonts w:cs="David" w:hint="cs"/>
        <w:sz w:val="28"/>
        <w:szCs w:val="28"/>
        <w:rtl/>
      </w:rPr>
      <w:t>ב ל מ " ס</w:t>
    </w:r>
    <w:r>
      <w:rPr>
        <w:rtl/>
      </w:rPr>
      <w:tab/>
    </w:r>
    <w:r>
      <w:rPr>
        <w:rFonts w:hint="cs"/>
        <w:rtl/>
      </w:rPr>
      <w:t xml:space="preserve">                                        </w:t>
    </w:r>
    <w:r w:rsidR="00E45CE1">
      <w:rPr>
        <w:rFonts w:hint="cs"/>
        <w:rtl/>
      </w:rPr>
      <w:t xml:space="preserve">      </w:t>
    </w:r>
    <w:r w:rsidRPr="00452031">
      <w:rPr>
        <w:rFonts w:cs="David" w:hint="cs"/>
        <w:sz w:val="28"/>
        <w:szCs w:val="28"/>
        <w:rtl/>
      </w:rPr>
      <w:t>ב"ש</w:t>
    </w:r>
    <w:r w:rsidR="00B8747B">
      <w:rPr>
        <w:rFonts w:cs="David" w:hint="cs"/>
        <w:sz w:val="28"/>
        <w:szCs w:val="28"/>
        <w:rtl/>
      </w:rPr>
      <w:t>/</w:t>
    </w:r>
    <w:r w:rsidR="009A7CFA">
      <w:rPr>
        <w:rFonts w:cs="David" w:hint="cs"/>
        <w:sz w:val="28"/>
        <w:szCs w:val="28"/>
        <w:rtl/>
      </w:rPr>
      <w:t>75</w:t>
    </w:r>
    <w:r w:rsidR="00C5354D">
      <w:rPr>
        <w:rFonts w:cs="David" w:hint="cs"/>
        <w:sz w:val="28"/>
        <w:szCs w:val="28"/>
        <w:rtl/>
      </w:rPr>
      <w:t>/24</w:t>
    </w:r>
  </w:p>
  <w:p w14:paraId="36A0DE62" w14:textId="65B5C5EA" w:rsidR="000D2B68" w:rsidRPr="00B8747B" w:rsidRDefault="000D2B68" w:rsidP="00B8747B">
    <w:pPr>
      <w:pStyle w:val="Header"/>
      <w:rPr>
        <w:rFonts w:cs="Davi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786"/>
    <w:multiLevelType w:val="hybridMultilevel"/>
    <w:tmpl w:val="804C8B32"/>
    <w:lvl w:ilvl="0" w:tplc="6632E1A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65B30"/>
    <w:multiLevelType w:val="hybridMultilevel"/>
    <w:tmpl w:val="CC4859D0"/>
    <w:lvl w:ilvl="0" w:tplc="82407556">
      <w:start w:val="1"/>
      <w:numFmt w:val="decimal"/>
      <w:suff w:val="space"/>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 w15:restartNumberingAfterBreak="0">
    <w:nsid w:val="17AA0F26"/>
    <w:multiLevelType w:val="hybridMultilevel"/>
    <w:tmpl w:val="804C8B32"/>
    <w:lvl w:ilvl="0" w:tplc="6632E1A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DB393A"/>
    <w:multiLevelType w:val="hybridMultilevel"/>
    <w:tmpl w:val="71D6C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E8453C"/>
    <w:multiLevelType w:val="hybridMultilevel"/>
    <w:tmpl w:val="71D6C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191469"/>
    <w:multiLevelType w:val="hybridMultilevel"/>
    <w:tmpl w:val="82B0F836"/>
    <w:lvl w:ilvl="0" w:tplc="8BCA355C">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75B99"/>
    <w:multiLevelType w:val="hybridMultilevel"/>
    <w:tmpl w:val="207CAF18"/>
    <w:lvl w:ilvl="0" w:tplc="D8109832">
      <w:start w:val="1"/>
      <w:numFmt w:val="decimal"/>
      <w:lvlText w:val="%1."/>
      <w:lvlJc w:val="left"/>
      <w:pPr>
        <w:ind w:left="360"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7" w15:restartNumberingAfterBreak="0">
    <w:nsid w:val="43861D7D"/>
    <w:multiLevelType w:val="hybridMultilevel"/>
    <w:tmpl w:val="6A444366"/>
    <w:lvl w:ilvl="0" w:tplc="EAFC788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D08C0"/>
    <w:multiLevelType w:val="hybridMultilevel"/>
    <w:tmpl w:val="1960F6C8"/>
    <w:lvl w:ilvl="0" w:tplc="075CBCD8">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4"/>
  </w:num>
  <w:num w:numId="4">
    <w:abstractNumId w:val="2"/>
  </w:num>
  <w:num w:numId="5">
    <w:abstractNumId w:val="0"/>
  </w:num>
  <w:num w:numId="6">
    <w:abstractNumId w:val="3"/>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48"/>
    <w:rsid w:val="000057D7"/>
    <w:rsid w:val="00012C8B"/>
    <w:rsid w:val="00041325"/>
    <w:rsid w:val="00054601"/>
    <w:rsid w:val="00067D06"/>
    <w:rsid w:val="00086CB4"/>
    <w:rsid w:val="000952A8"/>
    <w:rsid w:val="000A1220"/>
    <w:rsid w:val="000B0017"/>
    <w:rsid w:val="000B0EBB"/>
    <w:rsid w:val="000B0FBE"/>
    <w:rsid w:val="000C09BD"/>
    <w:rsid w:val="000C2E39"/>
    <w:rsid w:val="000D2B68"/>
    <w:rsid w:val="000D4F6A"/>
    <w:rsid w:val="000E2952"/>
    <w:rsid w:val="000E43EE"/>
    <w:rsid w:val="000E51DE"/>
    <w:rsid w:val="000F239B"/>
    <w:rsid w:val="00103A61"/>
    <w:rsid w:val="001144BE"/>
    <w:rsid w:val="001300B0"/>
    <w:rsid w:val="00160B79"/>
    <w:rsid w:val="00191E90"/>
    <w:rsid w:val="001B799F"/>
    <w:rsid w:val="001C64D6"/>
    <w:rsid w:val="001E306F"/>
    <w:rsid w:val="001E50E5"/>
    <w:rsid w:val="001E5370"/>
    <w:rsid w:val="001E73D6"/>
    <w:rsid w:val="001F1F24"/>
    <w:rsid w:val="001F2FB8"/>
    <w:rsid w:val="00207DDA"/>
    <w:rsid w:val="0021357B"/>
    <w:rsid w:val="00222EC1"/>
    <w:rsid w:val="00225151"/>
    <w:rsid w:val="002333F6"/>
    <w:rsid w:val="00246547"/>
    <w:rsid w:val="00260914"/>
    <w:rsid w:val="00262DA7"/>
    <w:rsid w:val="00281478"/>
    <w:rsid w:val="0028747A"/>
    <w:rsid w:val="002B4867"/>
    <w:rsid w:val="002D1E26"/>
    <w:rsid w:val="002E7B5A"/>
    <w:rsid w:val="002F0155"/>
    <w:rsid w:val="00305194"/>
    <w:rsid w:val="003067EA"/>
    <w:rsid w:val="00334064"/>
    <w:rsid w:val="003432F6"/>
    <w:rsid w:val="00343B1B"/>
    <w:rsid w:val="0034455F"/>
    <w:rsid w:val="00352D14"/>
    <w:rsid w:val="003647A8"/>
    <w:rsid w:val="00365B5A"/>
    <w:rsid w:val="0037420B"/>
    <w:rsid w:val="0038341F"/>
    <w:rsid w:val="00385466"/>
    <w:rsid w:val="003A362A"/>
    <w:rsid w:val="003C30AE"/>
    <w:rsid w:val="00403B80"/>
    <w:rsid w:val="004071C9"/>
    <w:rsid w:val="00407E4A"/>
    <w:rsid w:val="0041564E"/>
    <w:rsid w:val="00415F2D"/>
    <w:rsid w:val="0044749D"/>
    <w:rsid w:val="0045557A"/>
    <w:rsid w:val="004634AC"/>
    <w:rsid w:val="00466742"/>
    <w:rsid w:val="0047518E"/>
    <w:rsid w:val="004A3FB5"/>
    <w:rsid w:val="004B6DC8"/>
    <w:rsid w:val="004B75F3"/>
    <w:rsid w:val="004C380E"/>
    <w:rsid w:val="004C79FE"/>
    <w:rsid w:val="004F2B8D"/>
    <w:rsid w:val="0050270F"/>
    <w:rsid w:val="0051281D"/>
    <w:rsid w:val="005156B7"/>
    <w:rsid w:val="005258C9"/>
    <w:rsid w:val="005314CF"/>
    <w:rsid w:val="00537AB6"/>
    <w:rsid w:val="00556DF5"/>
    <w:rsid w:val="00562861"/>
    <w:rsid w:val="00567E22"/>
    <w:rsid w:val="00575B76"/>
    <w:rsid w:val="00591BCF"/>
    <w:rsid w:val="00596AEC"/>
    <w:rsid w:val="005A6D5C"/>
    <w:rsid w:val="005B2227"/>
    <w:rsid w:val="005B3F68"/>
    <w:rsid w:val="005E3D57"/>
    <w:rsid w:val="00617157"/>
    <w:rsid w:val="00624941"/>
    <w:rsid w:val="00624EFF"/>
    <w:rsid w:val="00627321"/>
    <w:rsid w:val="00631610"/>
    <w:rsid w:val="00636B00"/>
    <w:rsid w:val="0064021D"/>
    <w:rsid w:val="006502FF"/>
    <w:rsid w:val="00656086"/>
    <w:rsid w:val="00675545"/>
    <w:rsid w:val="0068302E"/>
    <w:rsid w:val="006953E2"/>
    <w:rsid w:val="006B147D"/>
    <w:rsid w:val="006D699A"/>
    <w:rsid w:val="006F7855"/>
    <w:rsid w:val="00703053"/>
    <w:rsid w:val="007120FD"/>
    <w:rsid w:val="00731316"/>
    <w:rsid w:val="00744161"/>
    <w:rsid w:val="00747834"/>
    <w:rsid w:val="007530F1"/>
    <w:rsid w:val="00762E89"/>
    <w:rsid w:val="007B7648"/>
    <w:rsid w:val="007C5F3F"/>
    <w:rsid w:val="007D2910"/>
    <w:rsid w:val="007D7B29"/>
    <w:rsid w:val="007F3297"/>
    <w:rsid w:val="00800486"/>
    <w:rsid w:val="0080368F"/>
    <w:rsid w:val="00804F42"/>
    <w:rsid w:val="00807833"/>
    <w:rsid w:val="00812A78"/>
    <w:rsid w:val="00831484"/>
    <w:rsid w:val="00836238"/>
    <w:rsid w:val="00837B9B"/>
    <w:rsid w:val="00860DB2"/>
    <w:rsid w:val="0086308C"/>
    <w:rsid w:val="00865507"/>
    <w:rsid w:val="00867B08"/>
    <w:rsid w:val="00892747"/>
    <w:rsid w:val="008A00A4"/>
    <w:rsid w:val="008F5DAB"/>
    <w:rsid w:val="00902DBE"/>
    <w:rsid w:val="009053D5"/>
    <w:rsid w:val="00920679"/>
    <w:rsid w:val="00937F42"/>
    <w:rsid w:val="00950481"/>
    <w:rsid w:val="00955692"/>
    <w:rsid w:val="0097376A"/>
    <w:rsid w:val="009761A6"/>
    <w:rsid w:val="00990E4A"/>
    <w:rsid w:val="009A7CFA"/>
    <w:rsid w:val="009C4142"/>
    <w:rsid w:val="009E2B4D"/>
    <w:rsid w:val="009F4151"/>
    <w:rsid w:val="009F66C2"/>
    <w:rsid w:val="00A006AB"/>
    <w:rsid w:val="00A17F79"/>
    <w:rsid w:val="00A211B6"/>
    <w:rsid w:val="00A24F0A"/>
    <w:rsid w:val="00A35DE1"/>
    <w:rsid w:val="00A545BC"/>
    <w:rsid w:val="00A563B2"/>
    <w:rsid w:val="00A60433"/>
    <w:rsid w:val="00A6543F"/>
    <w:rsid w:val="00A8116D"/>
    <w:rsid w:val="00A928D2"/>
    <w:rsid w:val="00A978A3"/>
    <w:rsid w:val="00AA0133"/>
    <w:rsid w:val="00AA326F"/>
    <w:rsid w:val="00AB039A"/>
    <w:rsid w:val="00AC7C74"/>
    <w:rsid w:val="00AF0471"/>
    <w:rsid w:val="00AF0C78"/>
    <w:rsid w:val="00B25C73"/>
    <w:rsid w:val="00B31D35"/>
    <w:rsid w:val="00B34098"/>
    <w:rsid w:val="00B36BAC"/>
    <w:rsid w:val="00B37925"/>
    <w:rsid w:val="00B4569B"/>
    <w:rsid w:val="00B54F91"/>
    <w:rsid w:val="00B56CBB"/>
    <w:rsid w:val="00B83DF0"/>
    <w:rsid w:val="00B8747B"/>
    <w:rsid w:val="00BA16E8"/>
    <w:rsid w:val="00BC3C05"/>
    <w:rsid w:val="00BC5B8A"/>
    <w:rsid w:val="00BD3148"/>
    <w:rsid w:val="00BD7841"/>
    <w:rsid w:val="00C31546"/>
    <w:rsid w:val="00C3381A"/>
    <w:rsid w:val="00C373B9"/>
    <w:rsid w:val="00C46F79"/>
    <w:rsid w:val="00C53103"/>
    <w:rsid w:val="00C5354D"/>
    <w:rsid w:val="00C55797"/>
    <w:rsid w:val="00C62FAA"/>
    <w:rsid w:val="00C64ABB"/>
    <w:rsid w:val="00C701A3"/>
    <w:rsid w:val="00C778D5"/>
    <w:rsid w:val="00C92B53"/>
    <w:rsid w:val="00CB0DCD"/>
    <w:rsid w:val="00CB4718"/>
    <w:rsid w:val="00CB7953"/>
    <w:rsid w:val="00CD4B1E"/>
    <w:rsid w:val="00CE6F7C"/>
    <w:rsid w:val="00CF4831"/>
    <w:rsid w:val="00D14732"/>
    <w:rsid w:val="00D2377D"/>
    <w:rsid w:val="00D3628F"/>
    <w:rsid w:val="00D429B9"/>
    <w:rsid w:val="00D44485"/>
    <w:rsid w:val="00D47BE4"/>
    <w:rsid w:val="00D646F9"/>
    <w:rsid w:val="00D66ACE"/>
    <w:rsid w:val="00D7525D"/>
    <w:rsid w:val="00D85BF2"/>
    <w:rsid w:val="00D90CE7"/>
    <w:rsid w:val="00D97AE8"/>
    <w:rsid w:val="00DA018C"/>
    <w:rsid w:val="00DA110D"/>
    <w:rsid w:val="00DB6B25"/>
    <w:rsid w:val="00DE18F5"/>
    <w:rsid w:val="00DF3153"/>
    <w:rsid w:val="00DF59E1"/>
    <w:rsid w:val="00E02708"/>
    <w:rsid w:val="00E03B2B"/>
    <w:rsid w:val="00E069C0"/>
    <w:rsid w:val="00E248F2"/>
    <w:rsid w:val="00E406C7"/>
    <w:rsid w:val="00E4283D"/>
    <w:rsid w:val="00E45CE1"/>
    <w:rsid w:val="00E5169F"/>
    <w:rsid w:val="00E63952"/>
    <w:rsid w:val="00E72F56"/>
    <w:rsid w:val="00E9495E"/>
    <w:rsid w:val="00EA1895"/>
    <w:rsid w:val="00EA5595"/>
    <w:rsid w:val="00EA5766"/>
    <w:rsid w:val="00EB1F23"/>
    <w:rsid w:val="00EC5134"/>
    <w:rsid w:val="00ED0E85"/>
    <w:rsid w:val="00EE5EE8"/>
    <w:rsid w:val="00EE6204"/>
    <w:rsid w:val="00F00A2F"/>
    <w:rsid w:val="00F21186"/>
    <w:rsid w:val="00F33AC7"/>
    <w:rsid w:val="00F36194"/>
    <w:rsid w:val="00F4796D"/>
    <w:rsid w:val="00F54D87"/>
    <w:rsid w:val="00F67A31"/>
    <w:rsid w:val="00F92C19"/>
    <w:rsid w:val="00F95AB4"/>
    <w:rsid w:val="00F96D22"/>
    <w:rsid w:val="00FB7525"/>
    <w:rsid w:val="00FC1184"/>
    <w:rsid w:val="00FC792E"/>
    <w:rsid w:val="00FE23DC"/>
    <w:rsid w:val="00FE5C24"/>
    <w:rsid w:val="00FF5A2F"/>
    <w:rsid w:val="00FF7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4D2D"/>
  <w15:chartTrackingRefBased/>
  <w15:docId w15:val="{180A1AA6-6474-4709-8044-189A6E8C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w:qFormat/>
    <w:rsid w:val="007B764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7648"/>
    <w:pPr>
      <w:ind w:left="720"/>
      <w:contextualSpacing/>
    </w:pPr>
  </w:style>
  <w:style w:type="character" w:customStyle="1" w:styleId="ListParagraphChar">
    <w:name w:val="List Paragraph Char"/>
    <w:basedOn w:val="DefaultParagraphFont"/>
    <w:link w:val="ListParagraph"/>
    <w:uiPriority w:val="34"/>
    <w:rsid w:val="007B7648"/>
  </w:style>
  <w:style w:type="paragraph" w:styleId="Header">
    <w:name w:val="header"/>
    <w:basedOn w:val="Normal"/>
    <w:link w:val="HeaderChar"/>
    <w:uiPriority w:val="99"/>
    <w:unhideWhenUsed/>
    <w:rsid w:val="007B7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648"/>
  </w:style>
  <w:style w:type="paragraph" w:styleId="Footer">
    <w:name w:val="footer"/>
    <w:basedOn w:val="Normal"/>
    <w:link w:val="FooterChar"/>
    <w:uiPriority w:val="99"/>
    <w:unhideWhenUsed/>
    <w:rsid w:val="007B7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648"/>
  </w:style>
  <w:style w:type="paragraph" w:styleId="BalloonText">
    <w:name w:val="Balloon Text"/>
    <w:basedOn w:val="Normal"/>
    <w:link w:val="BalloonTextChar"/>
    <w:uiPriority w:val="99"/>
    <w:semiHidden/>
    <w:unhideWhenUsed/>
    <w:rsid w:val="00812A7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12A78"/>
    <w:rPr>
      <w:rFonts w:ascii="Tahoma" w:hAnsi="Tahoma" w:cs="Tahoma"/>
      <w:sz w:val="18"/>
      <w:szCs w:val="18"/>
    </w:rPr>
  </w:style>
  <w:style w:type="paragraph" w:customStyle="1" w:styleId="1">
    <w:name w:val="סגנון1"/>
    <w:basedOn w:val="BlockText"/>
    <w:link w:val="10"/>
    <w:qFormat/>
    <w:rsid w:val="00385466"/>
    <w:pPr>
      <w:pBdr>
        <w:top w:val="none" w:sz="0" w:space="0" w:color="auto"/>
        <w:left w:val="none" w:sz="0" w:space="0" w:color="auto"/>
        <w:bottom w:val="none" w:sz="0" w:space="0" w:color="auto"/>
        <w:right w:val="none" w:sz="0" w:space="0" w:color="auto"/>
      </w:pBdr>
      <w:spacing w:before="240" w:after="360" w:line="240" w:lineRule="auto"/>
      <w:ind w:left="1360" w:right="1276"/>
      <w:contextualSpacing/>
      <w:jc w:val="both"/>
    </w:pPr>
    <w:rPr>
      <w:rFonts w:ascii="Arial Black" w:eastAsia="Times New Roman" w:hAnsi="Arial Black" w:cs="David"/>
      <w:i w:val="0"/>
      <w:iCs w:val="0"/>
      <w:color w:val="auto"/>
      <w:sz w:val="28"/>
      <w:szCs w:val="28"/>
    </w:rPr>
  </w:style>
  <w:style w:type="character" w:customStyle="1" w:styleId="10">
    <w:name w:val="סגנון1 תו"/>
    <w:link w:val="1"/>
    <w:rsid w:val="00385466"/>
    <w:rPr>
      <w:rFonts w:ascii="Arial Black" w:eastAsia="Times New Roman" w:hAnsi="Arial Black" w:cs="David"/>
      <w:sz w:val="28"/>
      <w:szCs w:val="28"/>
    </w:rPr>
  </w:style>
  <w:style w:type="paragraph" w:styleId="BlockText">
    <w:name w:val="Block Text"/>
    <w:basedOn w:val="Normal"/>
    <w:uiPriority w:val="99"/>
    <w:semiHidden/>
    <w:unhideWhenUsed/>
    <w:rsid w:val="003854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CommentReference">
    <w:name w:val="annotation reference"/>
    <w:basedOn w:val="DefaultParagraphFont"/>
    <w:uiPriority w:val="99"/>
    <w:semiHidden/>
    <w:unhideWhenUsed/>
    <w:rsid w:val="00EA5766"/>
    <w:rPr>
      <w:sz w:val="16"/>
      <w:szCs w:val="16"/>
    </w:rPr>
  </w:style>
  <w:style w:type="paragraph" w:styleId="CommentText">
    <w:name w:val="annotation text"/>
    <w:basedOn w:val="Normal"/>
    <w:link w:val="CommentTextChar"/>
    <w:uiPriority w:val="99"/>
    <w:semiHidden/>
    <w:unhideWhenUsed/>
    <w:rsid w:val="00EA5766"/>
    <w:pPr>
      <w:spacing w:line="240" w:lineRule="auto"/>
    </w:pPr>
    <w:rPr>
      <w:sz w:val="20"/>
      <w:szCs w:val="20"/>
    </w:rPr>
  </w:style>
  <w:style w:type="character" w:customStyle="1" w:styleId="CommentTextChar">
    <w:name w:val="Comment Text Char"/>
    <w:basedOn w:val="DefaultParagraphFont"/>
    <w:link w:val="CommentText"/>
    <w:uiPriority w:val="99"/>
    <w:semiHidden/>
    <w:rsid w:val="00EA5766"/>
    <w:rPr>
      <w:sz w:val="20"/>
      <w:szCs w:val="20"/>
    </w:rPr>
  </w:style>
  <w:style w:type="paragraph" w:styleId="CommentSubject">
    <w:name w:val="annotation subject"/>
    <w:basedOn w:val="CommentText"/>
    <w:next w:val="CommentText"/>
    <w:link w:val="CommentSubjectChar"/>
    <w:uiPriority w:val="99"/>
    <w:semiHidden/>
    <w:unhideWhenUsed/>
    <w:rsid w:val="00EA5766"/>
    <w:rPr>
      <w:b/>
      <w:bCs/>
    </w:rPr>
  </w:style>
  <w:style w:type="character" w:customStyle="1" w:styleId="CommentSubjectChar">
    <w:name w:val="Comment Subject Char"/>
    <w:basedOn w:val="CommentTextChar"/>
    <w:link w:val="CommentSubject"/>
    <w:uiPriority w:val="99"/>
    <w:semiHidden/>
    <w:rsid w:val="00EA5766"/>
    <w:rPr>
      <w:b/>
      <w:bCs/>
      <w:sz w:val="20"/>
      <w:szCs w:val="20"/>
    </w:rPr>
  </w:style>
  <w:style w:type="character" w:styleId="Hyperlink">
    <w:name w:val="Hyperlink"/>
    <w:uiPriority w:val="99"/>
    <w:unhideWhenUsed/>
    <w:rsid w:val="00BD7841"/>
    <w:rPr>
      <w:color w:val="0563C1"/>
      <w:u w:val="single"/>
    </w:rPr>
  </w:style>
  <w:style w:type="paragraph" w:customStyle="1" w:styleId="11">
    <w:name w:val="פיסקת רשימה1"/>
    <w:basedOn w:val="Normal"/>
    <w:uiPriority w:val="34"/>
    <w:qFormat/>
    <w:rsid w:val="00E406C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7222">
      <w:bodyDiv w:val="1"/>
      <w:marLeft w:val="0"/>
      <w:marRight w:val="0"/>
      <w:marTop w:val="0"/>
      <w:marBottom w:val="0"/>
      <w:divBdr>
        <w:top w:val="none" w:sz="0" w:space="0" w:color="auto"/>
        <w:left w:val="none" w:sz="0" w:space="0" w:color="auto"/>
        <w:bottom w:val="none" w:sz="0" w:space="0" w:color="auto"/>
        <w:right w:val="none" w:sz="0" w:space="0" w:color="auto"/>
      </w:divBdr>
    </w:div>
    <w:div w:id="1147625370">
      <w:bodyDiv w:val="1"/>
      <w:marLeft w:val="0"/>
      <w:marRight w:val="0"/>
      <w:marTop w:val="0"/>
      <w:marBottom w:val="0"/>
      <w:divBdr>
        <w:top w:val="none" w:sz="0" w:space="0" w:color="auto"/>
        <w:left w:val="none" w:sz="0" w:space="0" w:color="auto"/>
        <w:bottom w:val="none" w:sz="0" w:space="0" w:color="auto"/>
        <w:right w:val="none" w:sz="0" w:space="0" w:color="auto"/>
      </w:divBdr>
    </w:div>
    <w:div w:id="1378773200">
      <w:bodyDiv w:val="1"/>
      <w:marLeft w:val="0"/>
      <w:marRight w:val="0"/>
      <w:marTop w:val="0"/>
      <w:marBottom w:val="0"/>
      <w:divBdr>
        <w:top w:val="none" w:sz="0" w:space="0" w:color="auto"/>
        <w:left w:val="none" w:sz="0" w:space="0" w:color="auto"/>
        <w:bottom w:val="none" w:sz="0" w:space="0" w:color="auto"/>
        <w:right w:val="none" w:sz="0" w:space="0" w:color="auto"/>
      </w:divBdr>
    </w:div>
    <w:div w:id="1849253814">
      <w:bodyDiv w:val="1"/>
      <w:marLeft w:val="0"/>
      <w:marRight w:val="0"/>
      <w:marTop w:val="0"/>
      <w:marBottom w:val="0"/>
      <w:divBdr>
        <w:top w:val="none" w:sz="0" w:space="0" w:color="auto"/>
        <w:left w:val="none" w:sz="0" w:space="0" w:color="auto"/>
        <w:bottom w:val="none" w:sz="0" w:space="0" w:color="auto"/>
        <w:right w:val="none" w:sz="0" w:space="0" w:color="auto"/>
      </w:divBdr>
    </w:div>
    <w:div w:id="2011834347">
      <w:bodyDiv w:val="1"/>
      <w:marLeft w:val="0"/>
      <w:marRight w:val="0"/>
      <w:marTop w:val="0"/>
      <w:marBottom w:val="0"/>
      <w:divBdr>
        <w:top w:val="none" w:sz="0" w:space="0" w:color="auto"/>
        <w:left w:val="none" w:sz="0" w:space="0" w:color="auto"/>
        <w:bottom w:val="none" w:sz="0" w:space="0" w:color="auto"/>
        <w:right w:val="none" w:sz="0" w:space="0" w:color="auto"/>
      </w:divBdr>
    </w:div>
    <w:div w:id="20547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8A95-2CB4-482F-9CC1-26C811EB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4673</Characters>
  <Application>Microsoft Office Word</Application>
  <DocSecurity>0</DocSecurity>
  <Lines>38</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 משפטי/רון שטאובר</dc:creator>
  <cp:keywords/>
  <dc:description/>
  <cp:lastModifiedBy>ארבל דו גלאון - בית הדין לערעורים/מש"ק משפט</cp:lastModifiedBy>
  <cp:revision>3</cp:revision>
  <cp:lastPrinted>2024-12-18T14:05:00Z</cp:lastPrinted>
  <dcterms:created xsi:type="dcterms:W3CDTF">2024-12-22T06:55:00Z</dcterms:created>
  <dcterms:modified xsi:type="dcterms:W3CDTF">2024-12-24T08:46:00Z</dcterms:modified>
</cp:coreProperties>
</file>