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8824F" w14:textId="3DA9BCEB" w:rsidR="00D4777D" w:rsidRPr="00126E94" w:rsidRDefault="003A05E9" w:rsidP="005D181E">
      <w:pPr>
        <w:tabs>
          <w:tab w:val="right" w:pos="6328"/>
        </w:tabs>
        <w:spacing w:line="480" w:lineRule="auto"/>
        <w:ind w:left="2266" w:right="1985" w:firstLine="425"/>
        <w:rPr>
          <w:rtl/>
        </w:rPr>
      </w:pPr>
      <w:bookmarkStart w:id="0" w:name="_Hlk149821736"/>
      <w:bookmarkStart w:id="1" w:name="_Hlk149824479"/>
      <w:r w:rsidRPr="005406FE">
        <w:rPr>
          <w:noProof/>
        </w:rPr>
        <w:drawing>
          <wp:inline distT="0" distB="0" distL="0" distR="0" wp14:anchorId="2BB22863" wp14:editId="0BC91EA8">
            <wp:extent cx="866775" cy="787400"/>
            <wp:effectExtent l="0" t="0" r="0" b="0"/>
            <wp:docPr id="6" name="Picture 1" descr="z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87400"/>
                    </a:xfrm>
                    <a:prstGeom prst="rect">
                      <a:avLst/>
                    </a:prstGeom>
                    <a:solidFill>
                      <a:srgbClr val="FFCC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77D">
        <w:tab/>
      </w:r>
      <w:r w:rsidRPr="005406FE">
        <w:rPr>
          <w:noProof/>
        </w:rPr>
        <w:drawing>
          <wp:inline distT="0" distB="0" distL="0" distR="0" wp14:anchorId="1CB406B5" wp14:editId="5ADF1119">
            <wp:extent cx="580390" cy="787400"/>
            <wp:effectExtent l="0" t="0" r="0" b="0"/>
            <wp:docPr id="5" name="Picture 2" descr="סמ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2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C01FD" w14:textId="77777777" w:rsidR="00D4777D" w:rsidRPr="00FD2DDA" w:rsidRDefault="00D4777D" w:rsidP="00D4777D">
      <w:pPr>
        <w:bidi w:val="0"/>
        <w:spacing w:line="480" w:lineRule="auto"/>
        <w:jc w:val="center"/>
        <w:rPr>
          <w:rFonts w:ascii="David" w:hAnsi="David"/>
          <w:b/>
          <w:bCs/>
          <w:sz w:val="28"/>
          <w:u w:val="single"/>
        </w:rPr>
      </w:pPr>
      <w:r w:rsidRPr="00FD2DDA">
        <w:rPr>
          <w:rFonts w:ascii="David" w:hAnsi="David" w:hint="cs"/>
          <w:b/>
          <w:bCs/>
          <w:sz w:val="28"/>
          <w:u w:val="single"/>
          <w:rtl/>
        </w:rPr>
        <w:t>בבית הדין הצבאי לערעורים</w:t>
      </w:r>
    </w:p>
    <w:p w14:paraId="09153954" w14:textId="77777777" w:rsidR="00D4777D" w:rsidRPr="00FD2DDA" w:rsidRDefault="00D4777D" w:rsidP="00D4777D">
      <w:pPr>
        <w:spacing w:before="120" w:line="480" w:lineRule="auto"/>
        <w:rPr>
          <w:rFonts w:ascii="David" w:hAnsi="David"/>
          <w:sz w:val="28"/>
          <w:rtl/>
        </w:rPr>
      </w:pPr>
      <w:r w:rsidRPr="00FD2DDA">
        <w:rPr>
          <w:rFonts w:ascii="David" w:hAnsi="David" w:hint="cs"/>
          <w:sz w:val="28"/>
          <w:rtl/>
        </w:rPr>
        <w:t>בפני:</w:t>
      </w:r>
    </w:p>
    <w:p w14:paraId="107900B3" w14:textId="424069B8" w:rsidR="00D4777D" w:rsidRPr="005E2B5F" w:rsidRDefault="00D602EB" w:rsidP="00D4777D">
      <w:pPr>
        <w:spacing w:before="120" w:line="480" w:lineRule="auto"/>
        <w:ind w:left="2174" w:right="2268"/>
        <w:rPr>
          <w:sz w:val="28"/>
          <w:rtl/>
        </w:rPr>
      </w:pPr>
      <w:r>
        <w:rPr>
          <w:rFonts w:hint="cs"/>
          <w:b/>
          <w:bCs/>
          <w:sz w:val="28"/>
          <w:rtl/>
        </w:rPr>
        <w:t>תא"ל  (מיל') אבי  לוי</w:t>
      </w:r>
      <w:r w:rsidR="00D4777D" w:rsidRPr="005E2B5F">
        <w:rPr>
          <w:rFonts w:hint="cs"/>
          <w:b/>
          <w:bCs/>
          <w:sz w:val="28"/>
          <w:rtl/>
        </w:rPr>
        <w:t xml:space="preserve"> </w:t>
      </w:r>
      <w:r w:rsidR="00D4777D">
        <w:rPr>
          <w:rFonts w:hint="cs"/>
          <w:b/>
          <w:bCs/>
          <w:sz w:val="28"/>
          <w:rtl/>
        </w:rPr>
        <w:t xml:space="preserve"> </w:t>
      </w:r>
      <w:r w:rsidR="00D4777D" w:rsidRPr="00FD2DDA">
        <w:rPr>
          <w:rFonts w:ascii="David" w:hAnsi="David" w:hint="cs"/>
          <w:b/>
          <w:bCs/>
          <w:sz w:val="28"/>
          <w:rtl/>
        </w:rPr>
        <w:t>–</w:t>
      </w:r>
      <w:r w:rsidR="00D4777D" w:rsidRPr="005E2B5F">
        <w:rPr>
          <w:rFonts w:hint="cs"/>
          <w:b/>
          <w:bCs/>
          <w:sz w:val="28"/>
          <w:rtl/>
        </w:rPr>
        <w:t xml:space="preserve">     </w:t>
      </w:r>
      <w:r>
        <w:rPr>
          <w:rFonts w:hint="cs"/>
          <w:sz w:val="28"/>
          <w:rtl/>
        </w:rPr>
        <w:t>אב"ד</w:t>
      </w:r>
      <w:r w:rsidR="00D4777D" w:rsidRPr="005E2B5F">
        <w:rPr>
          <w:sz w:val="28"/>
          <w:rtl/>
        </w:rPr>
        <w:br/>
      </w:r>
      <w:r w:rsidR="00D4777D">
        <w:rPr>
          <w:rFonts w:hint="cs"/>
          <w:b/>
          <w:bCs/>
          <w:sz w:val="28"/>
          <w:rtl/>
        </w:rPr>
        <w:t>אל"ם</w:t>
      </w:r>
      <w:r>
        <w:rPr>
          <w:rFonts w:hint="cs"/>
          <w:b/>
          <w:bCs/>
          <w:sz w:val="28"/>
          <w:rtl/>
        </w:rPr>
        <w:t xml:space="preserve"> מאיה גולדשמידט </w:t>
      </w:r>
      <w:r w:rsidR="00D4777D" w:rsidRPr="00FD2DDA">
        <w:rPr>
          <w:rFonts w:ascii="David" w:hAnsi="David" w:hint="cs"/>
          <w:b/>
          <w:bCs/>
          <w:sz w:val="28"/>
          <w:rtl/>
        </w:rPr>
        <w:t>–</w:t>
      </w:r>
      <w:r w:rsidR="00D4777D" w:rsidRPr="005E2B5F">
        <w:rPr>
          <w:rFonts w:hint="cs"/>
          <w:b/>
          <w:bCs/>
          <w:sz w:val="28"/>
          <w:rtl/>
        </w:rPr>
        <w:t xml:space="preserve"> </w:t>
      </w:r>
      <w:r>
        <w:rPr>
          <w:rFonts w:hint="cs"/>
          <w:b/>
          <w:bCs/>
          <w:sz w:val="28"/>
          <w:rtl/>
        </w:rPr>
        <w:t xml:space="preserve">   </w:t>
      </w:r>
      <w:r w:rsidR="00D4777D">
        <w:rPr>
          <w:rFonts w:hint="cs"/>
          <w:sz w:val="28"/>
          <w:rtl/>
        </w:rPr>
        <w:t>שופט</w:t>
      </w:r>
      <w:r>
        <w:rPr>
          <w:rFonts w:hint="cs"/>
          <w:sz w:val="28"/>
          <w:rtl/>
        </w:rPr>
        <w:t>ת</w:t>
      </w:r>
      <w:r w:rsidR="00D4777D" w:rsidRPr="005E2B5F">
        <w:rPr>
          <w:sz w:val="28"/>
          <w:rtl/>
        </w:rPr>
        <w:br/>
      </w:r>
      <w:r w:rsidR="00D4777D" w:rsidRPr="005E2B5F">
        <w:rPr>
          <w:rFonts w:hint="cs"/>
          <w:b/>
          <w:bCs/>
          <w:sz w:val="28"/>
          <w:rtl/>
        </w:rPr>
        <w:t xml:space="preserve">אל"ם </w:t>
      </w:r>
      <w:r w:rsidR="00D4777D">
        <w:rPr>
          <w:rFonts w:hint="cs"/>
          <w:b/>
          <w:bCs/>
          <w:sz w:val="28"/>
          <w:rtl/>
        </w:rPr>
        <w:t xml:space="preserve">    ענבר       </w:t>
      </w:r>
      <w:r>
        <w:rPr>
          <w:rFonts w:hint="cs"/>
          <w:b/>
          <w:bCs/>
          <w:sz w:val="28"/>
          <w:rtl/>
        </w:rPr>
        <w:t xml:space="preserve">    </w:t>
      </w:r>
      <w:r w:rsidR="00D4777D">
        <w:rPr>
          <w:rFonts w:hint="cs"/>
          <w:b/>
          <w:bCs/>
          <w:sz w:val="28"/>
          <w:rtl/>
        </w:rPr>
        <w:t xml:space="preserve">סיטבון    </w:t>
      </w:r>
      <w:r w:rsidR="00D4777D">
        <w:rPr>
          <w:rFonts w:ascii="David" w:hAnsi="David" w:hint="cs"/>
          <w:rtl/>
        </w:rPr>
        <w:t xml:space="preserve">   </w:t>
      </w:r>
      <w:r w:rsidR="00D4777D" w:rsidRPr="00FD2DDA">
        <w:rPr>
          <w:rFonts w:ascii="David" w:hAnsi="David" w:hint="cs"/>
          <w:b/>
          <w:bCs/>
          <w:sz w:val="28"/>
          <w:rtl/>
        </w:rPr>
        <w:t>–</w:t>
      </w:r>
      <w:r w:rsidR="00D4777D">
        <w:rPr>
          <w:rFonts w:ascii="David" w:hAnsi="David" w:hint="cs"/>
          <w:rtl/>
        </w:rPr>
        <w:t xml:space="preserve">             </w:t>
      </w:r>
      <w:r w:rsidR="00D4777D" w:rsidRPr="005E2B5F">
        <w:rPr>
          <w:rFonts w:hint="cs"/>
          <w:sz w:val="28"/>
          <w:rtl/>
        </w:rPr>
        <w:t>שופטת</w:t>
      </w:r>
    </w:p>
    <w:p w14:paraId="0A10AFC4" w14:textId="77777777" w:rsidR="00D4777D" w:rsidRPr="00FD2DDA" w:rsidRDefault="00D4777D" w:rsidP="00D4777D">
      <w:pPr>
        <w:rPr>
          <w:rFonts w:ascii="David" w:hAnsi="David"/>
          <w:sz w:val="28"/>
          <w:rtl/>
        </w:rPr>
      </w:pPr>
      <w:r w:rsidRPr="00FD2DDA">
        <w:rPr>
          <w:rFonts w:ascii="David" w:hAnsi="David" w:hint="cs"/>
          <w:sz w:val="28"/>
          <w:rtl/>
        </w:rPr>
        <w:t>בעניין:</w:t>
      </w:r>
    </w:p>
    <w:p w14:paraId="3D33A1DC" w14:textId="64A71182" w:rsidR="00D4777D" w:rsidRPr="00FD2DDA" w:rsidRDefault="00D4777D" w:rsidP="00D4777D">
      <w:pPr>
        <w:bidi w:val="0"/>
        <w:jc w:val="center"/>
        <w:rPr>
          <w:rFonts w:ascii="David" w:hAnsi="David"/>
          <w:sz w:val="28"/>
          <w:rtl/>
        </w:rPr>
      </w:pPr>
      <w:r w:rsidRPr="00FD2DDA">
        <w:rPr>
          <w:rFonts w:ascii="David" w:hAnsi="David" w:hint="cs"/>
          <w:b/>
          <w:bCs/>
          <w:sz w:val="28"/>
          <w:rtl/>
        </w:rPr>
        <w:t>התובע הצבאי הראשי –</w:t>
      </w:r>
      <w:r w:rsidRPr="00FD2DDA">
        <w:rPr>
          <w:rFonts w:ascii="David" w:hAnsi="David" w:hint="cs"/>
          <w:sz w:val="28"/>
          <w:rtl/>
        </w:rPr>
        <w:t xml:space="preserve"> המערער (ע"י ב"כ,</w:t>
      </w:r>
      <w:r w:rsidR="002038A0">
        <w:rPr>
          <w:rFonts w:ascii="David" w:hAnsi="David" w:hint="cs"/>
          <w:sz w:val="28"/>
          <w:rtl/>
        </w:rPr>
        <w:t xml:space="preserve"> רס"ן אוהד מנור</w:t>
      </w:r>
      <w:r w:rsidRPr="00FD2DDA">
        <w:rPr>
          <w:rFonts w:ascii="David" w:hAnsi="David" w:hint="cs"/>
          <w:sz w:val="28"/>
          <w:rtl/>
        </w:rPr>
        <w:t>)</w:t>
      </w:r>
    </w:p>
    <w:p w14:paraId="00D53C7C" w14:textId="77777777" w:rsidR="00D4777D" w:rsidRPr="00FD2DDA" w:rsidRDefault="00D4777D" w:rsidP="00D4777D">
      <w:pPr>
        <w:jc w:val="center"/>
        <w:rPr>
          <w:rFonts w:ascii="David" w:hAnsi="David"/>
          <w:sz w:val="28"/>
          <w:rtl/>
        </w:rPr>
      </w:pPr>
    </w:p>
    <w:p w14:paraId="0F7E0012" w14:textId="77777777" w:rsidR="00D4777D" w:rsidRPr="00FD2DDA" w:rsidRDefault="00D4777D" w:rsidP="00D4777D">
      <w:pPr>
        <w:spacing w:after="360"/>
        <w:jc w:val="center"/>
        <w:rPr>
          <w:rFonts w:ascii="David" w:hAnsi="David"/>
          <w:b/>
          <w:bCs/>
          <w:sz w:val="28"/>
          <w:rtl/>
        </w:rPr>
      </w:pPr>
      <w:r w:rsidRPr="00FD2DDA">
        <w:rPr>
          <w:rFonts w:ascii="David" w:hAnsi="David" w:hint="cs"/>
          <w:b/>
          <w:bCs/>
          <w:sz w:val="28"/>
          <w:rtl/>
        </w:rPr>
        <w:t xml:space="preserve">נ ג ד </w:t>
      </w:r>
    </w:p>
    <w:p w14:paraId="6FD56DA8" w14:textId="3B99D8DA" w:rsidR="00D4777D" w:rsidRDefault="002038A0" w:rsidP="00D4777D">
      <w:pPr>
        <w:spacing w:after="120"/>
        <w:jc w:val="center"/>
        <w:rPr>
          <w:rFonts w:ascii="David" w:hAnsi="David"/>
          <w:sz w:val="28"/>
          <w:rtl/>
        </w:rPr>
      </w:pPr>
      <w:r>
        <w:rPr>
          <w:rFonts w:eastAsia="Times New Roman" w:hint="cs"/>
          <w:b/>
          <w:bCs/>
          <w:sz w:val="32"/>
          <w:rtl/>
        </w:rPr>
        <w:t>מ</w:t>
      </w:r>
      <w:r w:rsidR="00D4777D" w:rsidRPr="00251330">
        <w:rPr>
          <w:rFonts w:eastAsia="Times New Roman" w:hint="cs"/>
          <w:b/>
          <w:bCs/>
          <w:sz w:val="32"/>
          <w:rtl/>
        </w:rPr>
        <w:t>/</w:t>
      </w:r>
      <w:r w:rsidR="005D181E" w:rsidRPr="005D181E">
        <w:rPr>
          <w:rFonts w:eastAsia="Times New Roman"/>
          <w:b/>
          <w:bCs/>
          <w:sz w:val="28"/>
          <w:szCs w:val="24"/>
        </w:rPr>
        <w:t>XXXXXXX</w:t>
      </w:r>
      <w:r w:rsidR="00D4777D" w:rsidRPr="00251330">
        <w:rPr>
          <w:rFonts w:eastAsia="Times New Roman" w:hint="cs"/>
          <w:b/>
          <w:bCs/>
          <w:sz w:val="32"/>
          <w:rtl/>
        </w:rPr>
        <w:t xml:space="preserve"> </w:t>
      </w:r>
      <w:r w:rsidR="00D4777D" w:rsidRPr="00251330">
        <w:rPr>
          <w:rFonts w:ascii="David" w:hAnsi="David" w:hint="cs"/>
          <w:b/>
          <w:bCs/>
          <w:sz w:val="28"/>
          <w:rtl/>
        </w:rPr>
        <w:t>ס</w:t>
      </w:r>
      <w:r w:rsidR="00D4777D">
        <w:rPr>
          <w:rFonts w:ascii="David" w:hAnsi="David" w:hint="cs"/>
          <w:b/>
          <w:bCs/>
          <w:sz w:val="28"/>
          <w:rtl/>
        </w:rPr>
        <w:t>מ"ר</w:t>
      </w:r>
      <w:r w:rsidR="00D4777D" w:rsidRPr="00FD2DDA">
        <w:rPr>
          <w:rFonts w:ascii="David" w:hAnsi="David" w:hint="cs"/>
          <w:b/>
          <w:bCs/>
          <w:sz w:val="28"/>
          <w:rtl/>
        </w:rPr>
        <w:t xml:space="preserve"> </w:t>
      </w:r>
      <w:r>
        <w:rPr>
          <w:rFonts w:ascii="David" w:hAnsi="David" w:hint="cs"/>
          <w:b/>
          <w:bCs/>
          <w:sz w:val="28"/>
          <w:rtl/>
        </w:rPr>
        <w:t xml:space="preserve">(מיל') </w:t>
      </w:r>
      <w:proofErr w:type="spellStart"/>
      <w:r>
        <w:rPr>
          <w:rFonts w:ascii="David" w:hAnsi="David" w:hint="cs"/>
          <w:b/>
          <w:bCs/>
          <w:sz w:val="28"/>
          <w:rtl/>
        </w:rPr>
        <w:t>סנד</w:t>
      </w:r>
      <w:proofErr w:type="spellEnd"/>
      <w:r>
        <w:rPr>
          <w:rFonts w:ascii="David" w:hAnsi="David" w:hint="cs"/>
          <w:b/>
          <w:bCs/>
          <w:sz w:val="28"/>
          <w:rtl/>
        </w:rPr>
        <w:t xml:space="preserve"> אבו ריש</w:t>
      </w:r>
      <w:r w:rsidR="00D4777D" w:rsidRPr="00FD2DDA">
        <w:rPr>
          <w:rFonts w:ascii="David" w:hAnsi="David" w:hint="cs"/>
          <w:b/>
          <w:bCs/>
          <w:sz w:val="28"/>
          <w:rtl/>
        </w:rPr>
        <w:t xml:space="preserve"> –</w:t>
      </w:r>
      <w:r w:rsidR="00D4777D" w:rsidRPr="00FD2DDA">
        <w:rPr>
          <w:rFonts w:ascii="David" w:hAnsi="David" w:hint="cs"/>
          <w:sz w:val="28"/>
          <w:rtl/>
        </w:rPr>
        <w:t xml:space="preserve"> המשיב (ע"י ב"כ,</w:t>
      </w:r>
      <w:r w:rsidR="00D4777D">
        <w:rPr>
          <w:rFonts w:ascii="David" w:hAnsi="David" w:hint="cs"/>
          <w:sz w:val="28"/>
          <w:rtl/>
        </w:rPr>
        <w:t xml:space="preserve"> עו"ד</w:t>
      </w:r>
      <w:r>
        <w:rPr>
          <w:rFonts w:ascii="David" w:hAnsi="David" w:hint="cs"/>
          <w:sz w:val="28"/>
          <w:rtl/>
        </w:rPr>
        <w:t xml:space="preserve"> </w:t>
      </w:r>
      <w:proofErr w:type="spellStart"/>
      <w:r>
        <w:rPr>
          <w:rFonts w:ascii="David" w:hAnsi="David" w:hint="cs"/>
          <w:sz w:val="28"/>
          <w:rtl/>
        </w:rPr>
        <w:t>אשרף</w:t>
      </w:r>
      <w:proofErr w:type="spellEnd"/>
      <w:r>
        <w:rPr>
          <w:rFonts w:ascii="David" w:hAnsi="David" w:hint="cs"/>
          <w:sz w:val="28"/>
          <w:rtl/>
        </w:rPr>
        <w:t xml:space="preserve"> ברקת; עו"ד ענאן </w:t>
      </w:r>
      <w:proofErr w:type="spellStart"/>
      <w:r>
        <w:rPr>
          <w:rFonts w:ascii="David" w:hAnsi="David" w:hint="cs"/>
          <w:sz w:val="28"/>
          <w:rtl/>
        </w:rPr>
        <w:t>עליאן</w:t>
      </w:r>
      <w:proofErr w:type="spellEnd"/>
      <w:r w:rsidR="00D4777D" w:rsidRPr="00FD2DDA">
        <w:rPr>
          <w:rFonts w:ascii="David" w:hAnsi="David" w:hint="cs"/>
          <w:sz w:val="28"/>
          <w:rtl/>
        </w:rPr>
        <w:t>)</w:t>
      </w:r>
    </w:p>
    <w:p w14:paraId="7DB9D82B" w14:textId="59541842" w:rsidR="00F20E96" w:rsidRDefault="00F20E96" w:rsidP="00F20E96">
      <w:pPr>
        <w:rPr>
          <w:rFonts w:ascii="David" w:hAnsi="David"/>
          <w:sz w:val="28"/>
          <w:rtl/>
        </w:rPr>
      </w:pPr>
      <w:r>
        <w:rPr>
          <w:rFonts w:ascii="David" w:hAnsi="David" w:hint="cs"/>
          <w:sz w:val="28"/>
          <w:rtl/>
        </w:rPr>
        <w:t>ו</w:t>
      </w:r>
      <w:r w:rsidRPr="00FD2DDA">
        <w:rPr>
          <w:rFonts w:ascii="David" w:hAnsi="David" w:hint="cs"/>
          <w:sz w:val="28"/>
          <w:rtl/>
        </w:rPr>
        <w:t>בעניין:</w:t>
      </w:r>
    </w:p>
    <w:p w14:paraId="0A338046" w14:textId="77777777" w:rsidR="003A05E9" w:rsidRPr="003A05E9" w:rsidRDefault="003A05E9" w:rsidP="00F20E96">
      <w:pPr>
        <w:rPr>
          <w:rFonts w:ascii="David" w:hAnsi="David"/>
          <w:sz w:val="14"/>
          <w:szCs w:val="14"/>
          <w:rtl/>
        </w:rPr>
      </w:pPr>
    </w:p>
    <w:p w14:paraId="5DA6DFDB" w14:textId="7A829F87" w:rsidR="00F20E96" w:rsidRPr="00FD2DDA" w:rsidRDefault="00F20E96" w:rsidP="00F20E96">
      <w:pPr>
        <w:spacing w:after="120"/>
        <w:jc w:val="center"/>
        <w:rPr>
          <w:rFonts w:ascii="David" w:hAnsi="David"/>
          <w:sz w:val="28"/>
          <w:rtl/>
        </w:rPr>
      </w:pPr>
      <w:r>
        <w:rPr>
          <w:rFonts w:eastAsia="Times New Roman" w:hint="cs"/>
          <w:b/>
          <w:bCs/>
          <w:sz w:val="32"/>
          <w:rtl/>
        </w:rPr>
        <w:t>מ</w:t>
      </w:r>
      <w:r w:rsidRPr="00251330">
        <w:rPr>
          <w:rFonts w:eastAsia="Times New Roman" w:hint="cs"/>
          <w:b/>
          <w:bCs/>
          <w:sz w:val="32"/>
          <w:rtl/>
        </w:rPr>
        <w:t>/</w:t>
      </w:r>
      <w:r w:rsidR="005D181E" w:rsidRPr="005D181E">
        <w:rPr>
          <w:rFonts w:eastAsia="Times New Roman"/>
          <w:b/>
          <w:bCs/>
          <w:sz w:val="28"/>
          <w:szCs w:val="24"/>
        </w:rPr>
        <w:t xml:space="preserve"> XXXXXXX</w:t>
      </w:r>
      <w:r w:rsidRPr="00251330">
        <w:rPr>
          <w:rFonts w:ascii="David" w:hAnsi="David" w:hint="cs"/>
          <w:b/>
          <w:bCs/>
          <w:sz w:val="28"/>
          <w:rtl/>
        </w:rPr>
        <w:t>ס</w:t>
      </w:r>
      <w:r>
        <w:rPr>
          <w:rFonts w:ascii="David" w:hAnsi="David" w:hint="cs"/>
          <w:b/>
          <w:bCs/>
          <w:sz w:val="28"/>
          <w:rtl/>
        </w:rPr>
        <w:t>מ"ר</w:t>
      </w:r>
      <w:r w:rsidRPr="00FD2DDA">
        <w:rPr>
          <w:rFonts w:ascii="David" w:hAnsi="David" w:hint="cs"/>
          <w:b/>
          <w:bCs/>
          <w:sz w:val="28"/>
          <w:rtl/>
        </w:rPr>
        <w:t xml:space="preserve"> </w:t>
      </w:r>
      <w:r>
        <w:rPr>
          <w:rFonts w:ascii="David" w:hAnsi="David" w:hint="cs"/>
          <w:b/>
          <w:bCs/>
          <w:sz w:val="28"/>
          <w:rtl/>
        </w:rPr>
        <w:t xml:space="preserve">(מיל') </w:t>
      </w:r>
      <w:proofErr w:type="spellStart"/>
      <w:r>
        <w:rPr>
          <w:rFonts w:ascii="David" w:hAnsi="David" w:hint="cs"/>
          <w:b/>
          <w:bCs/>
          <w:sz w:val="28"/>
          <w:rtl/>
        </w:rPr>
        <w:t>סנד</w:t>
      </w:r>
      <w:proofErr w:type="spellEnd"/>
      <w:r>
        <w:rPr>
          <w:rFonts w:ascii="David" w:hAnsi="David" w:hint="cs"/>
          <w:b/>
          <w:bCs/>
          <w:sz w:val="28"/>
          <w:rtl/>
        </w:rPr>
        <w:t xml:space="preserve"> אבו ריש</w:t>
      </w:r>
      <w:r w:rsidRPr="00FD2DDA">
        <w:rPr>
          <w:rFonts w:ascii="David" w:hAnsi="David" w:hint="cs"/>
          <w:b/>
          <w:bCs/>
          <w:sz w:val="28"/>
          <w:rtl/>
        </w:rPr>
        <w:t xml:space="preserve"> –</w:t>
      </w:r>
      <w:r w:rsidRPr="00FD2DDA">
        <w:rPr>
          <w:rFonts w:ascii="David" w:hAnsi="David" w:hint="cs"/>
          <w:sz w:val="28"/>
          <w:rtl/>
        </w:rPr>
        <w:t xml:space="preserve"> המ</w:t>
      </w:r>
      <w:r>
        <w:rPr>
          <w:rFonts w:ascii="David" w:hAnsi="David" w:hint="cs"/>
          <w:sz w:val="28"/>
          <w:rtl/>
        </w:rPr>
        <w:t>ערער</w:t>
      </w:r>
      <w:r w:rsidRPr="00FD2DDA">
        <w:rPr>
          <w:rFonts w:ascii="David" w:hAnsi="David" w:hint="cs"/>
          <w:sz w:val="28"/>
          <w:rtl/>
        </w:rPr>
        <w:t xml:space="preserve"> (ע"י ב"כ,</w:t>
      </w:r>
      <w:r>
        <w:rPr>
          <w:rFonts w:ascii="David" w:hAnsi="David" w:hint="cs"/>
          <w:sz w:val="28"/>
          <w:rtl/>
        </w:rPr>
        <w:t xml:space="preserve"> עו"ד </w:t>
      </w:r>
      <w:proofErr w:type="spellStart"/>
      <w:r>
        <w:rPr>
          <w:rFonts w:ascii="David" w:hAnsi="David" w:hint="cs"/>
          <w:sz w:val="28"/>
          <w:rtl/>
        </w:rPr>
        <w:t>אשרף</w:t>
      </w:r>
      <w:proofErr w:type="spellEnd"/>
      <w:r>
        <w:rPr>
          <w:rFonts w:ascii="David" w:hAnsi="David" w:hint="cs"/>
          <w:sz w:val="28"/>
          <w:rtl/>
        </w:rPr>
        <w:t xml:space="preserve"> ברקת; עו"ד ענאן </w:t>
      </w:r>
      <w:proofErr w:type="spellStart"/>
      <w:r>
        <w:rPr>
          <w:rFonts w:ascii="David" w:hAnsi="David" w:hint="cs"/>
          <w:sz w:val="28"/>
          <w:rtl/>
        </w:rPr>
        <w:t>עליאן</w:t>
      </w:r>
      <w:proofErr w:type="spellEnd"/>
      <w:r w:rsidRPr="00FD2DDA">
        <w:rPr>
          <w:rFonts w:ascii="David" w:hAnsi="David" w:hint="cs"/>
          <w:sz w:val="28"/>
          <w:rtl/>
        </w:rPr>
        <w:t>)</w:t>
      </w:r>
    </w:p>
    <w:p w14:paraId="65E6C6AC" w14:textId="77777777" w:rsidR="00F20E96" w:rsidRPr="00FD2DDA" w:rsidRDefault="00F20E96" w:rsidP="00F20E96">
      <w:pPr>
        <w:jc w:val="center"/>
        <w:rPr>
          <w:rFonts w:ascii="David" w:hAnsi="David"/>
          <w:sz w:val="28"/>
          <w:rtl/>
        </w:rPr>
      </w:pPr>
    </w:p>
    <w:p w14:paraId="6160A6D3" w14:textId="77777777" w:rsidR="00F20E96" w:rsidRPr="00FD2DDA" w:rsidRDefault="00F20E96" w:rsidP="00F20E96">
      <w:pPr>
        <w:spacing w:after="360"/>
        <w:jc w:val="center"/>
        <w:rPr>
          <w:rFonts w:ascii="David" w:hAnsi="David"/>
          <w:b/>
          <w:bCs/>
          <w:sz w:val="28"/>
          <w:rtl/>
        </w:rPr>
      </w:pPr>
      <w:r w:rsidRPr="00FD2DDA">
        <w:rPr>
          <w:rFonts w:ascii="David" w:hAnsi="David" w:hint="cs"/>
          <w:b/>
          <w:bCs/>
          <w:sz w:val="28"/>
          <w:rtl/>
        </w:rPr>
        <w:t xml:space="preserve">נ ג ד </w:t>
      </w:r>
    </w:p>
    <w:p w14:paraId="76550761" w14:textId="4A3A0870" w:rsidR="00F20E96" w:rsidRPr="00FD2DDA" w:rsidRDefault="00F20E96" w:rsidP="00F20E96">
      <w:pPr>
        <w:bidi w:val="0"/>
        <w:jc w:val="center"/>
        <w:rPr>
          <w:rFonts w:ascii="David" w:hAnsi="David"/>
          <w:sz w:val="28"/>
          <w:rtl/>
        </w:rPr>
      </w:pPr>
      <w:r w:rsidRPr="00FD2DDA">
        <w:rPr>
          <w:rFonts w:ascii="David" w:hAnsi="David" w:hint="cs"/>
          <w:b/>
          <w:bCs/>
          <w:sz w:val="28"/>
          <w:rtl/>
        </w:rPr>
        <w:t>התובע הצבאי הראשי –</w:t>
      </w:r>
      <w:r w:rsidRPr="00FD2DDA">
        <w:rPr>
          <w:rFonts w:ascii="David" w:hAnsi="David" w:hint="cs"/>
          <w:sz w:val="28"/>
          <w:rtl/>
        </w:rPr>
        <w:t xml:space="preserve"> ה</w:t>
      </w:r>
      <w:r>
        <w:rPr>
          <w:rFonts w:ascii="David" w:hAnsi="David" w:hint="cs"/>
          <w:sz w:val="28"/>
          <w:rtl/>
        </w:rPr>
        <w:t>משיב</w:t>
      </w:r>
      <w:r w:rsidRPr="00FD2DDA">
        <w:rPr>
          <w:rFonts w:ascii="David" w:hAnsi="David" w:hint="cs"/>
          <w:sz w:val="28"/>
          <w:rtl/>
        </w:rPr>
        <w:t xml:space="preserve"> (ע"י ב"כ,</w:t>
      </w:r>
      <w:r>
        <w:rPr>
          <w:rFonts w:ascii="David" w:hAnsi="David" w:hint="cs"/>
          <w:sz w:val="28"/>
          <w:rtl/>
        </w:rPr>
        <w:t xml:space="preserve"> רס"ן אוהד מנור</w:t>
      </w:r>
      <w:r w:rsidRPr="00FD2DDA">
        <w:rPr>
          <w:rFonts w:ascii="David" w:hAnsi="David" w:hint="cs"/>
          <w:sz w:val="28"/>
          <w:rtl/>
        </w:rPr>
        <w:t>)</w:t>
      </w:r>
    </w:p>
    <w:p w14:paraId="12E531F2" w14:textId="77777777" w:rsidR="00F20E96" w:rsidRPr="00FD2DDA" w:rsidRDefault="00F20E96" w:rsidP="00D4777D">
      <w:pPr>
        <w:spacing w:after="120"/>
        <w:jc w:val="center"/>
        <w:rPr>
          <w:rFonts w:ascii="David" w:hAnsi="David"/>
          <w:sz w:val="28"/>
          <w:rtl/>
        </w:rPr>
      </w:pPr>
    </w:p>
    <w:p w14:paraId="69DCB76F" w14:textId="77777777" w:rsidR="00D4777D" w:rsidRPr="00FD2DDA" w:rsidRDefault="00D4777D" w:rsidP="00D4777D">
      <w:pPr>
        <w:spacing w:after="360"/>
        <w:rPr>
          <w:rFonts w:ascii="David" w:hAnsi="David"/>
          <w:b/>
          <w:bCs/>
          <w:sz w:val="28"/>
          <w:u w:val="single"/>
          <w:rtl/>
        </w:rPr>
      </w:pPr>
    </w:p>
    <w:bookmarkEnd w:id="0"/>
    <w:bookmarkEnd w:id="1"/>
    <w:p w14:paraId="04CFE503" w14:textId="26B5CDD5" w:rsidR="002C2C76" w:rsidRPr="003A05E9" w:rsidRDefault="00D4777D" w:rsidP="00D31D23">
      <w:pPr>
        <w:pStyle w:val="a3"/>
        <w:widowControl w:val="0"/>
        <w:spacing w:after="240" w:line="353" w:lineRule="auto"/>
        <w:ind w:left="0" w:firstLine="0"/>
        <w:outlineLvl w:val="0"/>
        <w:rPr>
          <w:rtl/>
        </w:rPr>
      </w:pPr>
      <w:r w:rsidRPr="00EE22D0">
        <w:rPr>
          <w:rFonts w:ascii="David" w:hAnsi="David" w:hint="cs"/>
          <w:sz w:val="28"/>
          <w:rtl/>
        </w:rPr>
        <w:t xml:space="preserve">ערעור על </w:t>
      </w:r>
      <w:r w:rsidR="002038A0">
        <w:rPr>
          <w:rFonts w:ascii="David" w:hAnsi="David" w:hint="cs"/>
          <w:sz w:val="28"/>
          <w:rtl/>
        </w:rPr>
        <w:t>פסק דין</w:t>
      </w:r>
      <w:r w:rsidRPr="00EE22D0">
        <w:rPr>
          <w:rFonts w:ascii="David" w:hAnsi="David" w:hint="cs"/>
          <w:sz w:val="28"/>
          <w:rtl/>
        </w:rPr>
        <w:t xml:space="preserve"> של בית הדין הצבאי המחוזי במחוז שיפוטי </w:t>
      </w:r>
      <w:r w:rsidR="002038A0">
        <w:rPr>
          <w:rFonts w:ascii="David" w:hAnsi="David" w:hint="cs"/>
          <w:sz w:val="28"/>
          <w:rtl/>
        </w:rPr>
        <w:t>המרכז</w:t>
      </w:r>
      <w:r w:rsidRPr="00EE22D0">
        <w:rPr>
          <w:rFonts w:ascii="David" w:hAnsi="David" w:hint="cs"/>
          <w:sz w:val="28"/>
          <w:rtl/>
        </w:rPr>
        <w:t xml:space="preserve"> שניתן בתיק </w:t>
      </w:r>
      <w:r w:rsidR="002038A0">
        <w:rPr>
          <w:rFonts w:ascii="David" w:hAnsi="David" w:hint="cs"/>
          <w:sz w:val="28"/>
          <w:rtl/>
        </w:rPr>
        <w:t>מרכז</w:t>
      </w:r>
      <w:r w:rsidRPr="00EE22D0">
        <w:rPr>
          <w:rFonts w:ascii="David" w:hAnsi="David" w:hint="cs"/>
          <w:sz w:val="28"/>
          <w:rtl/>
        </w:rPr>
        <w:t xml:space="preserve"> </w:t>
      </w:r>
      <w:r w:rsidR="002038A0">
        <w:rPr>
          <w:rFonts w:ascii="David" w:hAnsi="David" w:hint="cs"/>
          <w:sz w:val="28"/>
          <w:rtl/>
        </w:rPr>
        <w:t>ת"פ</w:t>
      </w:r>
      <w:r w:rsidRPr="00EE22D0">
        <w:rPr>
          <w:rFonts w:ascii="David" w:hAnsi="David" w:hint="cs"/>
          <w:sz w:val="28"/>
          <w:rtl/>
        </w:rPr>
        <w:t xml:space="preserve"> </w:t>
      </w:r>
      <w:r w:rsidR="002038A0">
        <w:rPr>
          <w:rFonts w:ascii="David" w:hAnsi="David" w:hint="cs"/>
          <w:sz w:val="28"/>
          <w:rtl/>
        </w:rPr>
        <w:t xml:space="preserve">67761-12-24 </w:t>
      </w:r>
      <w:r w:rsidRPr="00EE22D0">
        <w:rPr>
          <w:rFonts w:ascii="David" w:hAnsi="David" w:hint="cs"/>
          <w:sz w:val="28"/>
          <w:rtl/>
        </w:rPr>
        <w:t>(</w:t>
      </w:r>
      <w:r w:rsidR="00F20E96">
        <w:rPr>
          <w:rFonts w:ascii="David" w:hAnsi="David" w:hint="cs"/>
          <w:sz w:val="28"/>
          <w:rtl/>
        </w:rPr>
        <w:t xml:space="preserve">סא"ל שאול ארבל </w:t>
      </w:r>
      <w:r w:rsidR="00F20E96">
        <w:rPr>
          <w:rFonts w:ascii="David" w:hAnsi="David"/>
          <w:sz w:val="28"/>
          <w:rtl/>
        </w:rPr>
        <w:t>–</w:t>
      </w:r>
      <w:r w:rsidR="00F20E96">
        <w:rPr>
          <w:rFonts w:ascii="David" w:hAnsi="David" w:hint="cs"/>
          <w:sz w:val="28"/>
          <w:rtl/>
        </w:rPr>
        <w:t xml:space="preserve"> אב"ד; סא"ל אנסטסיה סורז'נקו </w:t>
      </w:r>
      <w:r w:rsidR="00F20E96">
        <w:rPr>
          <w:rFonts w:ascii="David" w:hAnsi="David"/>
          <w:sz w:val="28"/>
          <w:rtl/>
        </w:rPr>
        <w:t>–</w:t>
      </w:r>
      <w:r w:rsidR="00F20E96">
        <w:rPr>
          <w:rFonts w:ascii="David" w:hAnsi="David" w:hint="cs"/>
          <w:sz w:val="28"/>
          <w:rtl/>
        </w:rPr>
        <w:t xml:space="preserve"> שופטת; </w:t>
      </w:r>
      <w:r w:rsidR="00D602EB">
        <w:rPr>
          <w:rFonts w:ascii="David" w:hAnsi="David" w:hint="cs"/>
          <w:sz w:val="28"/>
          <w:rtl/>
        </w:rPr>
        <w:t>סא"ל</w:t>
      </w:r>
      <w:r w:rsidR="00F20E96">
        <w:rPr>
          <w:rFonts w:ascii="David" w:hAnsi="David" w:hint="cs"/>
          <w:sz w:val="28"/>
          <w:rtl/>
        </w:rPr>
        <w:t xml:space="preserve"> תבל </w:t>
      </w:r>
      <w:proofErr w:type="spellStart"/>
      <w:r w:rsidR="00F20E96">
        <w:rPr>
          <w:rFonts w:ascii="David" w:hAnsi="David" w:hint="cs"/>
          <w:sz w:val="28"/>
          <w:rtl/>
        </w:rPr>
        <w:t>טורקמן</w:t>
      </w:r>
      <w:proofErr w:type="spellEnd"/>
      <w:r w:rsidR="00F20E96">
        <w:rPr>
          <w:rFonts w:ascii="David" w:hAnsi="David" w:hint="cs"/>
          <w:sz w:val="28"/>
          <w:rtl/>
        </w:rPr>
        <w:t xml:space="preserve"> </w:t>
      </w:r>
      <w:r w:rsidR="00D602EB">
        <w:rPr>
          <w:rFonts w:ascii="David" w:hAnsi="David"/>
          <w:sz w:val="28"/>
          <w:rtl/>
        </w:rPr>
        <w:t>–</w:t>
      </w:r>
      <w:r w:rsidR="00F20E96">
        <w:rPr>
          <w:rFonts w:ascii="David" w:hAnsi="David" w:hint="cs"/>
          <w:sz w:val="28"/>
          <w:rtl/>
        </w:rPr>
        <w:t xml:space="preserve"> שופטת</w:t>
      </w:r>
      <w:r w:rsidRPr="00EE22D0">
        <w:rPr>
          <w:rFonts w:ascii="David" w:hAnsi="David" w:hint="cs"/>
          <w:sz w:val="28"/>
          <w:rtl/>
        </w:rPr>
        <w:t xml:space="preserve">) ביום </w:t>
      </w:r>
      <w:r w:rsidR="00F20E96">
        <w:rPr>
          <w:rFonts w:ascii="David" w:hAnsi="David" w:hint="cs"/>
          <w:sz w:val="28"/>
          <w:rtl/>
        </w:rPr>
        <w:t>12.8</w:t>
      </w:r>
      <w:r w:rsidRPr="00EE22D0">
        <w:rPr>
          <w:rFonts w:ascii="David" w:hAnsi="David" w:hint="cs"/>
          <w:sz w:val="28"/>
          <w:rtl/>
        </w:rPr>
        <w:t xml:space="preserve">.2025. </w:t>
      </w:r>
      <w:r w:rsidR="003A05E9">
        <w:rPr>
          <w:rFonts w:hint="cs"/>
          <w:rtl/>
        </w:rPr>
        <w:t>ערעור התביעה</w:t>
      </w:r>
      <w:r w:rsidR="00D602EB">
        <w:rPr>
          <w:rFonts w:hint="cs"/>
          <w:rtl/>
        </w:rPr>
        <w:t xml:space="preserve"> (גזר הדין)</w:t>
      </w:r>
      <w:r w:rsidR="003A05E9">
        <w:rPr>
          <w:rFonts w:hint="cs"/>
          <w:rtl/>
        </w:rPr>
        <w:t xml:space="preserve"> התקבל באופן חלקי. ערעור ההגנה (הכרעת הדין) נמחק. ערעור ההגנה (גזר הדין) התקבל. </w:t>
      </w:r>
    </w:p>
    <w:p w14:paraId="37CB947F" w14:textId="071D298E" w:rsidR="00D16741" w:rsidRPr="00D16741" w:rsidRDefault="00D16741" w:rsidP="002C2C76">
      <w:pPr>
        <w:bidi w:val="0"/>
        <w:spacing w:after="240"/>
        <w:jc w:val="center"/>
        <w:rPr>
          <w:b/>
          <w:bCs/>
          <w:u w:val="single"/>
        </w:rPr>
      </w:pPr>
      <w:r>
        <w:rPr>
          <w:rFonts w:hint="cs"/>
          <w:b/>
          <w:bCs/>
          <w:u w:val="single"/>
          <w:rtl/>
        </w:rPr>
        <w:lastRenderedPageBreak/>
        <w:t>פ ס ק - ד י ן</w:t>
      </w:r>
    </w:p>
    <w:p w14:paraId="180C8B4E" w14:textId="77777777" w:rsidR="003A3B70" w:rsidRDefault="00373B3E" w:rsidP="003A3B70">
      <w:pPr>
        <w:pStyle w:val="a3"/>
        <w:numPr>
          <w:ilvl w:val="0"/>
          <w:numId w:val="1"/>
        </w:numPr>
        <w:spacing w:after="240"/>
      </w:pPr>
      <w:r>
        <w:rPr>
          <w:rFonts w:hint="cs"/>
          <w:rtl/>
        </w:rPr>
        <w:t>המערער</w:t>
      </w:r>
      <w:r w:rsidR="000F7CAD">
        <w:rPr>
          <w:rFonts w:hint="cs"/>
          <w:rtl/>
        </w:rPr>
        <w:t>, ס</w:t>
      </w:r>
      <w:r>
        <w:rPr>
          <w:rFonts w:hint="cs"/>
          <w:rtl/>
        </w:rPr>
        <w:t xml:space="preserve">מ"ר (מיל') </w:t>
      </w:r>
      <w:proofErr w:type="spellStart"/>
      <w:r>
        <w:rPr>
          <w:rFonts w:hint="cs"/>
          <w:rtl/>
        </w:rPr>
        <w:t>סנד</w:t>
      </w:r>
      <w:proofErr w:type="spellEnd"/>
      <w:r>
        <w:rPr>
          <w:rFonts w:hint="cs"/>
          <w:rtl/>
        </w:rPr>
        <w:t xml:space="preserve"> אבו ריש</w:t>
      </w:r>
      <w:r w:rsidR="000F7CAD">
        <w:rPr>
          <w:rFonts w:hint="cs"/>
          <w:rtl/>
        </w:rPr>
        <w:t xml:space="preserve">, </w:t>
      </w:r>
      <w:r>
        <w:rPr>
          <w:rFonts w:hint="cs"/>
          <w:rtl/>
        </w:rPr>
        <w:t xml:space="preserve">הורשע </w:t>
      </w:r>
      <w:r w:rsidR="000F7CAD">
        <w:rPr>
          <w:rFonts w:hint="cs"/>
          <w:rtl/>
        </w:rPr>
        <w:t>בבית הדין המחוזי</w:t>
      </w:r>
      <w:r w:rsidR="00751BE8">
        <w:rPr>
          <w:rFonts w:hint="cs"/>
          <w:rtl/>
        </w:rPr>
        <w:t>, לאחר שמיעת ראיות,</w:t>
      </w:r>
      <w:r w:rsidR="000F7CAD">
        <w:rPr>
          <w:rFonts w:hint="cs"/>
          <w:rtl/>
        </w:rPr>
        <w:t xml:space="preserve"> </w:t>
      </w:r>
      <w:r>
        <w:rPr>
          <w:rFonts w:hint="cs"/>
          <w:rtl/>
        </w:rPr>
        <w:t xml:space="preserve">בשתי </w:t>
      </w:r>
      <w:r w:rsidR="000F7CAD">
        <w:rPr>
          <w:rFonts w:hint="cs"/>
          <w:rtl/>
        </w:rPr>
        <w:t>עביר</w:t>
      </w:r>
      <w:r>
        <w:rPr>
          <w:rFonts w:hint="cs"/>
          <w:rtl/>
        </w:rPr>
        <w:t>ו</w:t>
      </w:r>
      <w:r w:rsidR="000F7CAD">
        <w:rPr>
          <w:rFonts w:hint="cs"/>
          <w:rtl/>
        </w:rPr>
        <w:t xml:space="preserve">ת </w:t>
      </w:r>
      <w:r>
        <w:rPr>
          <w:rFonts w:hint="cs"/>
          <w:rtl/>
        </w:rPr>
        <w:t xml:space="preserve">של </w:t>
      </w:r>
      <w:r w:rsidR="000F7CAD">
        <w:rPr>
          <w:rFonts w:hint="cs"/>
          <w:rtl/>
        </w:rPr>
        <w:t>מעשה מגונה, לפי סעיף 348(ג) לחוק העונשין, התשל"ז-1977</w:t>
      </w:r>
      <w:r>
        <w:rPr>
          <w:rFonts w:hint="cs"/>
          <w:rtl/>
        </w:rPr>
        <w:t xml:space="preserve">, שתיהן </w:t>
      </w:r>
      <w:r w:rsidR="00636D06">
        <w:rPr>
          <w:rFonts w:hint="cs"/>
          <w:rtl/>
        </w:rPr>
        <w:t xml:space="preserve">כלפי </w:t>
      </w:r>
      <w:r w:rsidR="00751BE8">
        <w:rPr>
          <w:rFonts w:hint="cs"/>
          <w:rtl/>
        </w:rPr>
        <w:t>נפגעת העבירה</w:t>
      </w:r>
      <w:r w:rsidR="009624C4">
        <w:rPr>
          <w:rFonts w:hint="cs"/>
          <w:rtl/>
        </w:rPr>
        <w:t>,</w:t>
      </w:r>
      <w:r w:rsidR="005C40CA">
        <w:rPr>
          <w:rFonts w:hint="cs"/>
          <w:rtl/>
        </w:rPr>
        <w:t xml:space="preserve"> </w:t>
      </w:r>
      <w:r>
        <w:rPr>
          <w:rFonts w:hint="cs"/>
          <w:rtl/>
        </w:rPr>
        <w:t>סמ"ר (מיל') ל' א'</w:t>
      </w:r>
      <w:r w:rsidR="000F7CAD">
        <w:rPr>
          <w:rFonts w:hint="cs"/>
          <w:rtl/>
        </w:rPr>
        <w:t xml:space="preserve">. </w:t>
      </w:r>
      <w:r>
        <w:rPr>
          <w:rFonts w:hint="cs"/>
          <w:rtl/>
        </w:rPr>
        <w:t xml:space="preserve">בית הדין קמא הטיל על המערער </w:t>
      </w:r>
      <w:r w:rsidR="00173FB9">
        <w:rPr>
          <w:rFonts w:hint="cs"/>
          <w:rtl/>
        </w:rPr>
        <w:t xml:space="preserve">עונש של </w:t>
      </w:r>
      <w:r>
        <w:rPr>
          <w:rFonts w:hint="cs"/>
          <w:rtl/>
        </w:rPr>
        <w:t>תשעה חודשי מאסר בפועל, עונשי מאסר מותנה, הורדה לדרגת טוראי ו</w:t>
      </w:r>
      <w:r w:rsidR="009624C4">
        <w:rPr>
          <w:rFonts w:hint="cs"/>
          <w:rtl/>
        </w:rPr>
        <w:t xml:space="preserve">כן הורה כי המערער ישלם פיצוי של </w:t>
      </w:r>
      <w:r>
        <w:rPr>
          <w:rFonts w:hint="cs"/>
          <w:rtl/>
        </w:rPr>
        <w:t>5,000 ש"ח ל</w:t>
      </w:r>
      <w:r w:rsidR="00173FB9">
        <w:rPr>
          <w:rFonts w:hint="cs"/>
          <w:rtl/>
        </w:rPr>
        <w:t>נפגעת העבירה.</w:t>
      </w:r>
      <w:r>
        <w:rPr>
          <w:rFonts w:hint="cs"/>
          <w:rtl/>
        </w:rPr>
        <w:t xml:space="preserve"> </w:t>
      </w:r>
    </w:p>
    <w:p w14:paraId="3448E788" w14:textId="002F048B" w:rsidR="006165DA" w:rsidRDefault="00F62BDA" w:rsidP="003A3B70">
      <w:pPr>
        <w:pStyle w:val="a3"/>
        <w:numPr>
          <w:ilvl w:val="0"/>
          <w:numId w:val="1"/>
        </w:numPr>
        <w:spacing w:after="240"/>
      </w:pPr>
      <w:r>
        <w:rPr>
          <w:rFonts w:hint="cs"/>
          <w:rtl/>
        </w:rPr>
        <w:t xml:space="preserve">שני הצדדים לא השלימו עם פסק הדין. התביעה הצבאית מערערת על קולת עונש המאסר </w:t>
      </w:r>
      <w:r w:rsidR="007F666A">
        <w:rPr>
          <w:rFonts w:hint="cs"/>
          <w:rtl/>
        </w:rPr>
        <w:t xml:space="preserve">בפועל, </w:t>
      </w:r>
      <w:r>
        <w:rPr>
          <w:rFonts w:hint="cs"/>
          <w:rtl/>
        </w:rPr>
        <w:t>ומבקשת ל</w:t>
      </w:r>
      <w:r w:rsidR="00D51F5A">
        <w:rPr>
          <w:rFonts w:hint="cs"/>
          <w:rtl/>
        </w:rPr>
        <w:t>החמיר גם ברכיב תשלום הפיצויים. המערער השיג בתחילה על הרשעתו ו</w:t>
      </w:r>
      <w:r w:rsidR="00F5741E">
        <w:rPr>
          <w:rFonts w:hint="cs"/>
          <w:rtl/>
        </w:rPr>
        <w:t xml:space="preserve">לחלופין </w:t>
      </w:r>
      <w:r w:rsidR="00D51F5A">
        <w:rPr>
          <w:rFonts w:hint="cs"/>
          <w:rtl/>
        </w:rPr>
        <w:t>על חומרת עונש</w:t>
      </w:r>
      <w:r w:rsidR="00E1678D">
        <w:rPr>
          <w:rFonts w:hint="cs"/>
          <w:rtl/>
        </w:rPr>
        <w:t xml:space="preserve"> המאסר</w:t>
      </w:r>
      <w:r w:rsidR="00F5741E">
        <w:rPr>
          <w:rFonts w:hint="cs"/>
          <w:rtl/>
        </w:rPr>
        <w:t>.</w:t>
      </w:r>
      <w:r w:rsidR="00E1678D">
        <w:rPr>
          <w:rFonts w:hint="cs"/>
          <w:rtl/>
        </w:rPr>
        <w:t xml:space="preserve"> ב</w:t>
      </w:r>
      <w:r w:rsidR="00F5741E">
        <w:rPr>
          <w:rFonts w:hint="cs"/>
          <w:rtl/>
        </w:rPr>
        <w:t>מהלך הדיון בערעור, כפי שיתוא</w:t>
      </w:r>
      <w:r w:rsidR="00E1678D">
        <w:rPr>
          <w:rFonts w:hint="cs"/>
          <w:rtl/>
        </w:rPr>
        <w:t xml:space="preserve">ר להלן, חזר בו </w:t>
      </w:r>
      <w:r w:rsidR="00990B05">
        <w:rPr>
          <w:rFonts w:hint="cs"/>
          <w:rtl/>
        </w:rPr>
        <w:t xml:space="preserve">המערער </w:t>
      </w:r>
      <w:r w:rsidR="00E1678D">
        <w:rPr>
          <w:rFonts w:hint="cs"/>
          <w:rtl/>
        </w:rPr>
        <w:t xml:space="preserve">מערעורו על הכרעת הדין וביקש להקל בעונשו. </w:t>
      </w:r>
      <w:r w:rsidR="006165DA">
        <w:rPr>
          <w:rFonts w:hint="cs"/>
          <w:rtl/>
        </w:rPr>
        <w:t xml:space="preserve">מכאן הערעור שבפנינו. </w:t>
      </w:r>
    </w:p>
    <w:p w14:paraId="6BE72F16" w14:textId="77777777" w:rsidR="00055CB3" w:rsidRPr="00055CB3" w:rsidRDefault="00055CB3" w:rsidP="00055CB3">
      <w:pPr>
        <w:spacing w:after="240"/>
        <w:rPr>
          <w:b/>
          <w:bCs/>
          <w:u w:val="single"/>
        </w:rPr>
      </w:pPr>
      <w:r>
        <w:rPr>
          <w:rFonts w:hint="cs"/>
          <w:b/>
          <w:bCs/>
          <w:u w:val="single"/>
          <w:rtl/>
        </w:rPr>
        <w:t>פסק דינו של בית הדין קמא</w:t>
      </w:r>
    </w:p>
    <w:p w14:paraId="1F06414D" w14:textId="77777777" w:rsidR="00631647" w:rsidRDefault="00BC048F" w:rsidP="003A4900">
      <w:pPr>
        <w:pStyle w:val="a3"/>
        <w:numPr>
          <w:ilvl w:val="0"/>
          <w:numId w:val="1"/>
        </w:numPr>
        <w:spacing w:after="240"/>
      </w:pPr>
      <w:r>
        <w:rPr>
          <w:rFonts w:hint="cs"/>
          <w:rtl/>
        </w:rPr>
        <w:t xml:space="preserve">המערער </w:t>
      </w:r>
      <w:r w:rsidR="007508E0">
        <w:rPr>
          <w:rFonts w:hint="cs"/>
          <w:rtl/>
        </w:rPr>
        <w:t xml:space="preserve">הכיר את </w:t>
      </w:r>
      <w:r w:rsidR="000501A6">
        <w:rPr>
          <w:rFonts w:hint="cs"/>
          <w:rtl/>
        </w:rPr>
        <w:t>נפגעת העבירה</w:t>
      </w:r>
      <w:r w:rsidR="00636D06">
        <w:rPr>
          <w:rFonts w:hint="cs"/>
          <w:rtl/>
        </w:rPr>
        <w:t xml:space="preserve"> </w:t>
      </w:r>
      <w:r w:rsidR="00990B05">
        <w:rPr>
          <w:rFonts w:hint="cs"/>
          <w:rtl/>
        </w:rPr>
        <w:t xml:space="preserve">בשנת 2021, </w:t>
      </w:r>
      <w:r w:rsidR="00A83AF4">
        <w:rPr>
          <w:rFonts w:hint="cs"/>
          <w:rtl/>
        </w:rPr>
        <w:t>על רקע שירותם ה</w:t>
      </w:r>
      <w:r w:rsidR="00EF02D6">
        <w:rPr>
          <w:rFonts w:hint="cs"/>
          <w:rtl/>
        </w:rPr>
        <w:t>סדיר המשותף בבסיס</w:t>
      </w:r>
      <w:r w:rsidR="00790213">
        <w:rPr>
          <w:rFonts w:hint="cs"/>
          <w:rtl/>
        </w:rPr>
        <w:t xml:space="preserve"> בבקעת הירדן</w:t>
      </w:r>
      <w:r w:rsidR="00EF02D6">
        <w:rPr>
          <w:rFonts w:hint="cs"/>
          <w:rtl/>
        </w:rPr>
        <w:t xml:space="preserve">. </w:t>
      </w:r>
      <w:r w:rsidR="00636D06">
        <w:rPr>
          <w:rFonts w:hint="cs"/>
          <w:rtl/>
        </w:rPr>
        <w:t xml:space="preserve">המערער שימש </w:t>
      </w:r>
      <w:r w:rsidR="00790213">
        <w:rPr>
          <w:rFonts w:hint="cs"/>
          <w:rtl/>
        </w:rPr>
        <w:t>כ</w:t>
      </w:r>
      <w:r w:rsidR="00636D06">
        <w:rPr>
          <w:rFonts w:hint="cs"/>
          <w:rtl/>
        </w:rPr>
        <w:t>מ</w:t>
      </w:r>
      <w:r w:rsidR="00331FC9">
        <w:rPr>
          <w:rFonts w:hint="cs"/>
          <w:rtl/>
        </w:rPr>
        <w:t>פקד כיתה</w:t>
      </w:r>
      <w:r w:rsidR="00BE7D30">
        <w:rPr>
          <w:rFonts w:hint="cs"/>
          <w:rtl/>
        </w:rPr>
        <w:t xml:space="preserve"> (מ"כ)</w:t>
      </w:r>
      <w:r w:rsidR="00636D06">
        <w:rPr>
          <w:rFonts w:hint="cs"/>
          <w:rtl/>
        </w:rPr>
        <w:t>, ו</w:t>
      </w:r>
      <w:r w:rsidR="000501A6">
        <w:rPr>
          <w:rFonts w:hint="cs"/>
          <w:rtl/>
        </w:rPr>
        <w:t>נפגעת העבירה</w:t>
      </w:r>
      <w:r w:rsidR="00636D06">
        <w:rPr>
          <w:rFonts w:hint="cs"/>
          <w:rtl/>
        </w:rPr>
        <w:t xml:space="preserve"> </w:t>
      </w:r>
      <w:r w:rsidR="00790213">
        <w:rPr>
          <w:rFonts w:hint="cs"/>
          <w:rtl/>
        </w:rPr>
        <w:t>שירתה</w:t>
      </w:r>
      <w:r w:rsidR="00636D06">
        <w:rPr>
          <w:rFonts w:hint="cs"/>
          <w:rtl/>
        </w:rPr>
        <w:t xml:space="preserve"> </w:t>
      </w:r>
      <w:r w:rsidR="00790213">
        <w:rPr>
          <w:rFonts w:hint="cs"/>
          <w:rtl/>
        </w:rPr>
        <w:t>כ</w:t>
      </w:r>
      <w:r w:rsidR="00636D06">
        <w:rPr>
          <w:rFonts w:hint="cs"/>
          <w:rtl/>
        </w:rPr>
        <w:t xml:space="preserve">נהגת. </w:t>
      </w:r>
    </w:p>
    <w:p w14:paraId="4E03E670" w14:textId="77777777" w:rsidR="003A4900" w:rsidRDefault="00990B05" w:rsidP="001E6248">
      <w:pPr>
        <w:pStyle w:val="a3"/>
        <w:spacing w:after="240"/>
        <w:ind w:left="0" w:firstLine="0"/>
        <w:rPr>
          <w:rtl/>
        </w:rPr>
      </w:pPr>
      <w:r>
        <w:rPr>
          <w:rFonts w:hint="cs"/>
          <w:rtl/>
        </w:rPr>
        <w:t>העבירה הראשונה</w:t>
      </w:r>
      <w:r w:rsidR="001E6248">
        <w:rPr>
          <w:rFonts w:hint="cs"/>
          <w:rtl/>
        </w:rPr>
        <w:t xml:space="preserve"> </w:t>
      </w:r>
      <w:r>
        <w:rPr>
          <w:rFonts w:hint="cs"/>
          <w:rtl/>
        </w:rPr>
        <w:t xml:space="preserve">שבה הורשע המערער </w:t>
      </w:r>
      <w:r w:rsidR="001E6248">
        <w:rPr>
          <w:rFonts w:hint="cs"/>
          <w:rtl/>
        </w:rPr>
        <w:t>עניינ</w:t>
      </w:r>
      <w:r w:rsidR="00331FC9">
        <w:rPr>
          <w:rFonts w:hint="cs"/>
          <w:rtl/>
        </w:rPr>
        <w:t>ה</w:t>
      </w:r>
      <w:r w:rsidR="001E6248">
        <w:rPr>
          <w:rFonts w:hint="cs"/>
          <w:rtl/>
        </w:rPr>
        <w:t xml:space="preserve"> בכך ש</w:t>
      </w:r>
      <w:r w:rsidR="003A4900">
        <w:rPr>
          <w:rFonts w:hint="cs"/>
          <w:rtl/>
        </w:rPr>
        <w:t xml:space="preserve">במועד לא ידוע בין 1 באוגוסט ל-31 באוקטובר 2021 </w:t>
      </w:r>
      <w:r w:rsidR="009C4A16">
        <w:rPr>
          <w:rFonts w:hint="cs"/>
          <w:rtl/>
        </w:rPr>
        <w:t>ישבה</w:t>
      </w:r>
      <w:r w:rsidR="003A4900">
        <w:rPr>
          <w:rFonts w:hint="cs"/>
          <w:rtl/>
        </w:rPr>
        <w:t xml:space="preserve"> </w:t>
      </w:r>
      <w:r w:rsidR="000501A6">
        <w:rPr>
          <w:rFonts w:hint="cs"/>
          <w:rtl/>
        </w:rPr>
        <w:t>נפגעת העבירה</w:t>
      </w:r>
      <w:r w:rsidR="003A4900">
        <w:rPr>
          <w:rFonts w:hint="cs"/>
          <w:rtl/>
        </w:rPr>
        <w:t xml:space="preserve"> </w:t>
      </w:r>
      <w:r w:rsidR="009C4A16">
        <w:rPr>
          <w:rFonts w:hint="cs"/>
          <w:rtl/>
        </w:rPr>
        <w:t xml:space="preserve">במושב הנהג </w:t>
      </w:r>
      <w:r w:rsidR="003A4900">
        <w:rPr>
          <w:rFonts w:hint="cs"/>
          <w:rtl/>
        </w:rPr>
        <w:t>ברכב "</w:t>
      </w:r>
      <w:proofErr w:type="spellStart"/>
      <w:r w:rsidR="003A4900">
        <w:rPr>
          <w:rFonts w:hint="cs"/>
          <w:rtl/>
        </w:rPr>
        <w:t>קירורית</w:t>
      </w:r>
      <w:proofErr w:type="spellEnd"/>
      <w:r w:rsidR="003A4900">
        <w:rPr>
          <w:rFonts w:hint="cs"/>
          <w:rtl/>
        </w:rPr>
        <w:t>"</w:t>
      </w:r>
      <w:r>
        <w:rPr>
          <w:rFonts w:hint="cs"/>
          <w:rtl/>
        </w:rPr>
        <w:t>,</w:t>
      </w:r>
      <w:r w:rsidR="003A4900">
        <w:rPr>
          <w:rFonts w:hint="cs"/>
          <w:rtl/>
        </w:rPr>
        <w:t xml:space="preserve"> </w:t>
      </w:r>
      <w:r w:rsidR="009C4A16">
        <w:rPr>
          <w:rFonts w:hint="cs"/>
          <w:rtl/>
        </w:rPr>
        <w:t>ש</w:t>
      </w:r>
      <w:r w:rsidR="003A4900">
        <w:rPr>
          <w:rFonts w:hint="cs"/>
          <w:rtl/>
        </w:rPr>
        <w:t>בו שלושה מושבים קדמיים. המערער, שנשא נשק, התיישב לידה במושב הקדמי האמצעי</w:t>
      </w:r>
      <w:r w:rsidR="00331FC9">
        <w:rPr>
          <w:rFonts w:hint="cs"/>
          <w:rtl/>
        </w:rPr>
        <w:t xml:space="preserve">, </w:t>
      </w:r>
      <w:r w:rsidR="003A4900">
        <w:rPr>
          <w:rFonts w:hint="cs"/>
          <w:rtl/>
        </w:rPr>
        <w:t xml:space="preserve">ליטף בידו השמאלית את אזור ירך ימין של </w:t>
      </w:r>
      <w:r w:rsidR="000501A6">
        <w:rPr>
          <w:rFonts w:hint="cs"/>
          <w:rtl/>
        </w:rPr>
        <w:t>נפגעת העבירה</w:t>
      </w:r>
      <w:r w:rsidR="000D703E">
        <w:rPr>
          <w:rFonts w:hint="cs"/>
          <w:rtl/>
        </w:rPr>
        <w:t>,</w:t>
      </w:r>
      <w:r w:rsidR="003A4900">
        <w:rPr>
          <w:rFonts w:hint="cs"/>
          <w:rtl/>
        </w:rPr>
        <w:t xml:space="preserve"> העביר את ידו לאזור איבר המין של</w:t>
      </w:r>
      <w:r w:rsidR="000501A6">
        <w:rPr>
          <w:rFonts w:hint="cs"/>
          <w:rtl/>
        </w:rPr>
        <w:t>ה</w:t>
      </w:r>
      <w:r w:rsidR="003A4900">
        <w:rPr>
          <w:rFonts w:hint="cs"/>
          <w:rtl/>
        </w:rPr>
        <w:t xml:space="preserve"> והניע </w:t>
      </w:r>
      <w:r w:rsidR="00331FC9">
        <w:rPr>
          <w:rFonts w:hint="cs"/>
          <w:rtl/>
        </w:rPr>
        <w:t xml:space="preserve">אותה </w:t>
      </w:r>
      <w:r w:rsidR="003A4900">
        <w:rPr>
          <w:rFonts w:hint="cs"/>
          <w:rtl/>
        </w:rPr>
        <w:t xml:space="preserve">עליו (מעל הבגדים) בתנועות עולות ויורדות. כל זאת עשה ללא הסכמתה. </w:t>
      </w:r>
      <w:r w:rsidR="000D703E">
        <w:rPr>
          <w:rFonts w:hint="cs"/>
          <w:rtl/>
        </w:rPr>
        <w:t xml:space="preserve">בהמשך לקח </w:t>
      </w:r>
      <w:r w:rsidR="003A4900">
        <w:rPr>
          <w:rFonts w:hint="cs"/>
          <w:rtl/>
        </w:rPr>
        <w:t>את ידה הימנית והניח</w:t>
      </w:r>
      <w:r w:rsidR="00331FC9">
        <w:rPr>
          <w:rFonts w:hint="cs"/>
          <w:rtl/>
        </w:rPr>
        <w:t>ה</w:t>
      </w:r>
      <w:r w:rsidR="003A4900">
        <w:rPr>
          <w:rFonts w:hint="cs"/>
          <w:rtl/>
        </w:rPr>
        <w:t xml:space="preserve"> על איבר מינו. </w:t>
      </w:r>
      <w:r w:rsidR="000501A6">
        <w:rPr>
          <w:rFonts w:hint="cs"/>
          <w:rtl/>
        </w:rPr>
        <w:t>נפגעת העבירה</w:t>
      </w:r>
      <w:r w:rsidR="003A4900">
        <w:rPr>
          <w:rFonts w:hint="cs"/>
          <w:rtl/>
        </w:rPr>
        <w:t xml:space="preserve"> קפאה ולא הגיבה לנגיעות, עד שבשלב מסוים אמרה: "יש פה אנשים" (אף שלא היו אנשים באזור), פתחה את דלת </w:t>
      </w:r>
      <w:proofErr w:type="spellStart"/>
      <w:r w:rsidR="003A4900">
        <w:rPr>
          <w:rFonts w:hint="cs"/>
          <w:rtl/>
        </w:rPr>
        <w:t>ה</w:t>
      </w:r>
      <w:r w:rsidR="000D703E">
        <w:rPr>
          <w:rFonts w:hint="cs"/>
          <w:rtl/>
        </w:rPr>
        <w:t>"</w:t>
      </w:r>
      <w:r w:rsidR="003A4900">
        <w:rPr>
          <w:rFonts w:hint="cs"/>
          <w:rtl/>
        </w:rPr>
        <w:t>קירורית</w:t>
      </w:r>
      <w:proofErr w:type="spellEnd"/>
      <w:r w:rsidR="000D703E">
        <w:rPr>
          <w:rFonts w:hint="cs"/>
          <w:rtl/>
        </w:rPr>
        <w:t>"</w:t>
      </w:r>
      <w:r w:rsidR="003A4900">
        <w:rPr>
          <w:rFonts w:hint="cs"/>
          <w:rtl/>
        </w:rPr>
        <w:t xml:space="preserve"> ויצאה ממנה. </w:t>
      </w:r>
    </w:p>
    <w:p w14:paraId="06AC2AC3" w14:textId="77777777" w:rsidR="003A4900" w:rsidRDefault="00990B05" w:rsidP="001E6248">
      <w:pPr>
        <w:pStyle w:val="a3"/>
        <w:spacing w:after="240"/>
        <w:ind w:left="0" w:firstLine="0"/>
      </w:pPr>
      <w:r>
        <w:rPr>
          <w:rFonts w:hint="cs"/>
          <w:rtl/>
        </w:rPr>
        <w:t xml:space="preserve">העבירה השנייה בוצעה </w:t>
      </w:r>
      <w:r w:rsidR="001E6248">
        <w:rPr>
          <w:rFonts w:hint="cs"/>
          <w:rtl/>
        </w:rPr>
        <w:t xml:space="preserve">קרוב לשנה לאחר מכן, </w:t>
      </w:r>
      <w:r w:rsidR="000501A6">
        <w:rPr>
          <w:rFonts w:hint="cs"/>
          <w:rtl/>
        </w:rPr>
        <w:t>ל</w:t>
      </w:r>
      <w:r w:rsidR="003A4900">
        <w:rPr>
          <w:rFonts w:hint="cs"/>
          <w:rtl/>
        </w:rPr>
        <w:t>אחר ש</w:t>
      </w:r>
      <w:r w:rsidR="000501A6">
        <w:rPr>
          <w:rFonts w:hint="cs"/>
          <w:rtl/>
        </w:rPr>
        <w:t>נפגעת העבירה</w:t>
      </w:r>
      <w:r w:rsidR="003A4900">
        <w:rPr>
          <w:rFonts w:hint="cs"/>
          <w:rtl/>
        </w:rPr>
        <w:t xml:space="preserve"> עברה לשרת בבסיס "סיירים". ב-7 בספטמבר 2022</w:t>
      </w:r>
      <w:r w:rsidR="000501A6">
        <w:rPr>
          <w:rFonts w:hint="cs"/>
          <w:rtl/>
        </w:rPr>
        <w:t>, בעת ש</w:t>
      </w:r>
      <w:r w:rsidR="003A4900">
        <w:rPr>
          <w:rFonts w:hint="cs"/>
          <w:rtl/>
        </w:rPr>
        <w:t>הלכה בבסיס עם מפקדתה, סמל נועה</w:t>
      </w:r>
      <w:r w:rsidR="000501A6">
        <w:rPr>
          <w:rFonts w:hint="cs"/>
          <w:rtl/>
        </w:rPr>
        <w:t>,</w:t>
      </w:r>
      <w:r w:rsidR="003A4900">
        <w:rPr>
          <w:rFonts w:hint="cs"/>
          <w:rtl/>
        </w:rPr>
        <w:t xml:space="preserve"> פגשו </w:t>
      </w:r>
      <w:r w:rsidR="00331FC9">
        <w:rPr>
          <w:rFonts w:hint="cs"/>
          <w:rtl/>
        </w:rPr>
        <w:t xml:space="preserve">השתיים </w:t>
      </w:r>
      <w:r w:rsidR="003A4900">
        <w:rPr>
          <w:rFonts w:hint="cs"/>
          <w:rtl/>
        </w:rPr>
        <w:t xml:space="preserve">במערער. </w:t>
      </w:r>
      <w:r w:rsidR="00E04DE0">
        <w:rPr>
          <w:rFonts w:hint="cs"/>
          <w:rtl/>
        </w:rPr>
        <w:t xml:space="preserve">מפקדתה של </w:t>
      </w:r>
      <w:r>
        <w:rPr>
          <w:rFonts w:hint="cs"/>
          <w:rtl/>
        </w:rPr>
        <w:t>ה</w:t>
      </w:r>
      <w:r w:rsidR="00E04DE0">
        <w:rPr>
          <w:rFonts w:hint="cs"/>
          <w:rtl/>
        </w:rPr>
        <w:t xml:space="preserve">נפגעת </w:t>
      </w:r>
      <w:r w:rsidR="003A4900">
        <w:rPr>
          <w:rFonts w:hint="cs"/>
          <w:rtl/>
        </w:rPr>
        <w:t xml:space="preserve">התקדמה בשביל, ואילו </w:t>
      </w:r>
      <w:r>
        <w:rPr>
          <w:rFonts w:hint="cs"/>
          <w:rtl/>
        </w:rPr>
        <w:t>ה</w:t>
      </w:r>
      <w:r w:rsidR="00E04DE0">
        <w:rPr>
          <w:rFonts w:hint="cs"/>
          <w:rtl/>
        </w:rPr>
        <w:t xml:space="preserve">נפגעת </w:t>
      </w:r>
      <w:r w:rsidR="003A4900">
        <w:rPr>
          <w:rFonts w:hint="cs"/>
          <w:rtl/>
        </w:rPr>
        <w:t>נשארה לשוחח עם המערער. במהלך שיחתם</w:t>
      </w:r>
      <w:r>
        <w:rPr>
          <w:rFonts w:hint="cs"/>
          <w:rtl/>
        </w:rPr>
        <w:t>,</w:t>
      </w:r>
      <w:r w:rsidR="003A4900">
        <w:rPr>
          <w:rFonts w:hint="cs"/>
          <w:rtl/>
        </w:rPr>
        <w:t xml:space="preserve"> הכניס המערער את אצבעות ידו בין כפתורי חולצת המדים של </w:t>
      </w:r>
      <w:r w:rsidR="003369EF">
        <w:rPr>
          <w:rFonts w:hint="cs"/>
          <w:rtl/>
        </w:rPr>
        <w:t>נפגעת העבירה</w:t>
      </w:r>
      <w:r w:rsidR="003A4900">
        <w:rPr>
          <w:rFonts w:hint="cs"/>
          <w:rtl/>
        </w:rPr>
        <w:t xml:space="preserve"> ונגע בחזייתה ללא הסכמתה. </w:t>
      </w:r>
      <w:r w:rsidR="003369EF">
        <w:rPr>
          <w:rFonts w:hint="cs"/>
          <w:rtl/>
        </w:rPr>
        <w:t>נפגעת העבירה</w:t>
      </w:r>
      <w:r w:rsidR="003A4900">
        <w:rPr>
          <w:rFonts w:hint="cs"/>
          <w:rtl/>
        </w:rPr>
        <w:t xml:space="preserve"> קפאה ובמשך כמה שניות לא הגיבה. </w:t>
      </w:r>
      <w:r w:rsidR="007B743C">
        <w:rPr>
          <w:rFonts w:hint="cs"/>
          <w:rtl/>
        </w:rPr>
        <w:t xml:space="preserve">לאחר מכן עזבה את המקום בטענה שיש לה נסיעה. </w:t>
      </w:r>
    </w:p>
    <w:p w14:paraId="15F126AD" w14:textId="77777777" w:rsidR="000F6D1A" w:rsidRDefault="005C40CA" w:rsidP="005378FB">
      <w:pPr>
        <w:pStyle w:val="a3"/>
        <w:numPr>
          <w:ilvl w:val="0"/>
          <w:numId w:val="1"/>
        </w:numPr>
        <w:spacing w:after="240"/>
      </w:pPr>
      <w:r>
        <w:rPr>
          <w:rFonts w:hint="cs"/>
          <w:rtl/>
        </w:rPr>
        <w:t xml:space="preserve">בבואו לגזור את דינו של המערער מצא בית הדין המחוזי שבין שתי העבירות </w:t>
      </w:r>
      <w:r w:rsidR="00990B05">
        <w:rPr>
          <w:rFonts w:hint="cs"/>
          <w:rtl/>
        </w:rPr>
        <w:t>ש</w:t>
      </w:r>
      <w:r w:rsidR="005605EB">
        <w:rPr>
          <w:rFonts w:hint="cs"/>
          <w:rtl/>
        </w:rPr>
        <w:t>בהן הורשע המערער</w:t>
      </w:r>
      <w:r>
        <w:rPr>
          <w:rFonts w:hint="cs"/>
          <w:rtl/>
        </w:rPr>
        <w:t xml:space="preserve"> אין "קשר הדוק", ו</w:t>
      </w:r>
      <w:r w:rsidR="005605EB">
        <w:rPr>
          <w:rFonts w:hint="cs"/>
          <w:rtl/>
        </w:rPr>
        <w:t>יש לראות</w:t>
      </w:r>
      <w:r w:rsidR="00554C91">
        <w:rPr>
          <w:rFonts w:hint="cs"/>
          <w:rtl/>
        </w:rPr>
        <w:t>ן</w:t>
      </w:r>
      <w:r>
        <w:rPr>
          <w:rFonts w:hint="cs"/>
          <w:rtl/>
        </w:rPr>
        <w:t xml:space="preserve"> </w:t>
      </w:r>
      <w:r w:rsidR="00554C91">
        <w:rPr>
          <w:rFonts w:hint="cs"/>
          <w:rtl/>
        </w:rPr>
        <w:t>כ</w:t>
      </w:r>
      <w:r>
        <w:rPr>
          <w:rFonts w:hint="cs"/>
          <w:rtl/>
        </w:rPr>
        <w:t>שני אירועים שונים לעניין קביעת מתח</w:t>
      </w:r>
      <w:r w:rsidR="00280FBA">
        <w:rPr>
          <w:rFonts w:hint="cs"/>
          <w:rtl/>
        </w:rPr>
        <w:t>מי</w:t>
      </w:r>
      <w:r>
        <w:rPr>
          <w:rFonts w:hint="cs"/>
          <w:rtl/>
        </w:rPr>
        <w:t xml:space="preserve"> העונש </w:t>
      </w:r>
      <w:r>
        <w:rPr>
          <w:rFonts w:hint="cs"/>
          <w:rtl/>
        </w:rPr>
        <w:lastRenderedPageBreak/>
        <w:t>ההולם. בית הדין עמד על הערכים החברתיים המוגנים</w:t>
      </w:r>
      <w:r w:rsidR="005605EB">
        <w:rPr>
          <w:rFonts w:hint="cs"/>
          <w:rtl/>
        </w:rPr>
        <w:t xml:space="preserve"> שנפגעו </w:t>
      </w:r>
      <w:r w:rsidR="0045016B">
        <w:rPr>
          <w:rFonts w:hint="cs"/>
          <w:rtl/>
        </w:rPr>
        <w:t xml:space="preserve">באופן קשה </w:t>
      </w:r>
      <w:r w:rsidR="005605EB">
        <w:rPr>
          <w:rFonts w:hint="cs"/>
          <w:rtl/>
        </w:rPr>
        <w:t>ממעשי המערער</w:t>
      </w:r>
      <w:r>
        <w:rPr>
          <w:rFonts w:hint="cs"/>
          <w:rtl/>
        </w:rPr>
        <w:t xml:space="preserve">: כבוד האדם, שלמות הגוף, </w:t>
      </w:r>
      <w:r w:rsidR="00C54A25">
        <w:rPr>
          <w:rFonts w:hint="cs"/>
          <w:rtl/>
        </w:rPr>
        <w:t>הזכות ל</w:t>
      </w:r>
      <w:r>
        <w:rPr>
          <w:rFonts w:hint="cs"/>
          <w:rtl/>
        </w:rPr>
        <w:t>פרטיות, אוטונומיה</w:t>
      </w:r>
      <w:r w:rsidR="001C76DF">
        <w:rPr>
          <w:rFonts w:hint="cs"/>
          <w:rtl/>
        </w:rPr>
        <w:t xml:space="preserve"> של האדם על גופו ו</w:t>
      </w:r>
      <w:r w:rsidR="0045016B">
        <w:rPr>
          <w:rFonts w:hint="cs"/>
          <w:rtl/>
        </w:rPr>
        <w:t xml:space="preserve">כן ערכים צבאיים </w:t>
      </w:r>
      <w:r>
        <w:rPr>
          <w:rFonts w:hint="cs"/>
          <w:rtl/>
        </w:rPr>
        <w:t>ייחודיים</w:t>
      </w:r>
      <w:r w:rsidR="00C54A25">
        <w:rPr>
          <w:rFonts w:hint="cs"/>
          <w:rtl/>
        </w:rPr>
        <w:t xml:space="preserve">, נוכח שירותם המשותף של </w:t>
      </w:r>
      <w:r w:rsidR="005D2FE5">
        <w:rPr>
          <w:rFonts w:hint="cs"/>
          <w:rtl/>
        </w:rPr>
        <w:t xml:space="preserve">המערער ונפגעת העבירה. </w:t>
      </w:r>
      <w:r w:rsidR="00C5021E">
        <w:rPr>
          <w:rFonts w:hint="cs"/>
          <w:rtl/>
        </w:rPr>
        <w:t>בעת בחינת נסיבות העבירה עמד בית הדין על כך ש</w:t>
      </w:r>
      <w:r w:rsidR="005D2FE5">
        <w:rPr>
          <w:rFonts w:hint="cs"/>
          <w:rtl/>
        </w:rPr>
        <w:t>המערער נ</w:t>
      </w:r>
      <w:r w:rsidR="007800C9">
        <w:rPr>
          <w:rFonts w:hint="cs"/>
          <w:rtl/>
        </w:rPr>
        <w:t xml:space="preserve">שא </w:t>
      </w:r>
      <w:r w:rsidR="005D2FE5">
        <w:rPr>
          <w:rFonts w:hint="cs"/>
          <w:rtl/>
        </w:rPr>
        <w:t xml:space="preserve">נשק באירוע הראשון, ונפגעת העבירה שהתה במקום במשימה צבאית. </w:t>
      </w:r>
      <w:r w:rsidR="006C07D4">
        <w:rPr>
          <w:rFonts w:hint="cs"/>
          <w:rtl/>
        </w:rPr>
        <w:t>כן בואר, כי באירוע הראשון הלכו מעשיו של המערער והסלימו</w:t>
      </w:r>
      <w:r w:rsidR="008A34F7">
        <w:rPr>
          <w:rFonts w:hint="cs"/>
          <w:rtl/>
        </w:rPr>
        <w:t xml:space="preserve">, תוך התעלמות מכך שנפגעת העבירה קפאה </w:t>
      </w:r>
      <w:r w:rsidR="00280FBA">
        <w:rPr>
          <w:rFonts w:hint="cs"/>
          <w:rtl/>
        </w:rPr>
        <w:t>כאשר נגע בה</w:t>
      </w:r>
      <w:r w:rsidR="008A34F7">
        <w:rPr>
          <w:rFonts w:hint="cs"/>
          <w:rtl/>
        </w:rPr>
        <w:t xml:space="preserve">; וכי המעשה לא </w:t>
      </w:r>
      <w:r w:rsidR="009B0298">
        <w:rPr>
          <w:rFonts w:hint="cs"/>
          <w:rtl/>
        </w:rPr>
        <w:t xml:space="preserve">הסתיים ביוזמתו של המערער, אלא רק לאחר שנפגעת העבירה עזבה את המקום. </w:t>
      </w:r>
      <w:r w:rsidR="006D155A">
        <w:rPr>
          <w:rFonts w:hint="cs"/>
          <w:rtl/>
        </w:rPr>
        <w:t xml:space="preserve">האירוע השני </w:t>
      </w:r>
      <w:r w:rsidR="00A129EA">
        <w:rPr>
          <w:rFonts w:hint="cs"/>
          <w:rtl/>
        </w:rPr>
        <w:t xml:space="preserve">התרחש בשטח ציבורי, לא </w:t>
      </w:r>
      <w:r w:rsidR="00280FBA">
        <w:rPr>
          <w:rFonts w:hint="cs"/>
          <w:rtl/>
        </w:rPr>
        <w:t xml:space="preserve">הרחק </w:t>
      </w:r>
      <w:r w:rsidR="00A129EA">
        <w:rPr>
          <w:rFonts w:hint="cs"/>
          <w:rtl/>
        </w:rPr>
        <w:t>ממפקדתה של נפגעת העבירה, ו</w:t>
      </w:r>
      <w:r w:rsidR="004F2589">
        <w:rPr>
          <w:rFonts w:hint="cs"/>
          <w:rtl/>
        </w:rPr>
        <w:t xml:space="preserve">אף הוא לא הסתיים </w:t>
      </w:r>
      <w:r w:rsidR="006D155A">
        <w:rPr>
          <w:rFonts w:hint="cs"/>
          <w:rtl/>
        </w:rPr>
        <w:t>ביוזמת המערער</w:t>
      </w:r>
      <w:r w:rsidR="00A129EA">
        <w:rPr>
          <w:rFonts w:hint="cs"/>
          <w:rtl/>
        </w:rPr>
        <w:t xml:space="preserve">. כן </w:t>
      </w:r>
      <w:r w:rsidR="00E87851">
        <w:rPr>
          <w:rFonts w:hint="cs"/>
          <w:rtl/>
        </w:rPr>
        <w:t xml:space="preserve">התחשב בית הדין בעדותה של נפגעת העבירה בדבר הנזק </w:t>
      </w:r>
      <w:r w:rsidR="000F6D1A">
        <w:rPr>
          <w:rFonts w:hint="cs"/>
          <w:rtl/>
        </w:rPr>
        <w:t>הנפשי שנגרם לה כתוצאה מ</w:t>
      </w:r>
      <w:r w:rsidR="00280FBA">
        <w:rPr>
          <w:rFonts w:hint="cs"/>
          <w:rtl/>
        </w:rPr>
        <w:t xml:space="preserve">ן </w:t>
      </w:r>
      <w:r w:rsidR="000F6D1A">
        <w:rPr>
          <w:rFonts w:hint="cs"/>
          <w:rtl/>
        </w:rPr>
        <w:t xml:space="preserve">האירועים. </w:t>
      </w:r>
      <w:r w:rsidR="006D155A">
        <w:rPr>
          <w:rFonts w:hint="cs"/>
          <w:rtl/>
        </w:rPr>
        <w:t xml:space="preserve">מנגד, </w:t>
      </w:r>
      <w:r w:rsidR="00A129EA">
        <w:rPr>
          <w:rFonts w:hint="cs"/>
          <w:rtl/>
        </w:rPr>
        <w:t xml:space="preserve">שקל בית הדין כי </w:t>
      </w:r>
      <w:r w:rsidR="006D155A">
        <w:rPr>
          <w:rFonts w:hint="cs"/>
          <w:rtl/>
        </w:rPr>
        <w:t xml:space="preserve">בשני המקרים </w:t>
      </w:r>
      <w:r w:rsidR="004E49C4">
        <w:rPr>
          <w:rFonts w:hint="cs"/>
          <w:rtl/>
        </w:rPr>
        <w:t>בוצע המגע מעל הבגדים (והחזיה)</w:t>
      </w:r>
      <w:r w:rsidR="006D155A">
        <w:rPr>
          <w:rFonts w:hint="cs"/>
          <w:rtl/>
        </w:rPr>
        <w:t xml:space="preserve">, ולא נלוו למעשים תכנון, הפעלת כוח ופערי דרגה. </w:t>
      </w:r>
    </w:p>
    <w:p w14:paraId="5F65784A" w14:textId="77777777" w:rsidR="005C40CA" w:rsidRDefault="00A23B5D" w:rsidP="005378FB">
      <w:pPr>
        <w:pStyle w:val="a3"/>
        <w:numPr>
          <w:ilvl w:val="0"/>
          <w:numId w:val="1"/>
        </w:numPr>
        <w:spacing w:after="240"/>
      </w:pPr>
      <w:r>
        <w:rPr>
          <w:rFonts w:hint="cs"/>
          <w:rtl/>
        </w:rPr>
        <w:t xml:space="preserve">בית הדין </w:t>
      </w:r>
      <w:r w:rsidR="004E49C4">
        <w:rPr>
          <w:rFonts w:hint="cs"/>
          <w:rtl/>
        </w:rPr>
        <w:t xml:space="preserve">עמד </w:t>
      </w:r>
      <w:r>
        <w:rPr>
          <w:rFonts w:hint="cs"/>
          <w:rtl/>
        </w:rPr>
        <w:t xml:space="preserve">על </w:t>
      </w:r>
      <w:r w:rsidR="00BD5857">
        <w:rPr>
          <w:rFonts w:hint="cs"/>
          <w:rtl/>
        </w:rPr>
        <w:t xml:space="preserve">מגמת </w:t>
      </w:r>
      <w:r w:rsidR="004F2589">
        <w:rPr>
          <w:rFonts w:hint="cs"/>
          <w:rtl/>
        </w:rPr>
        <w:t>ה</w:t>
      </w:r>
      <w:r w:rsidR="00BD5857">
        <w:rPr>
          <w:rFonts w:hint="cs"/>
          <w:rtl/>
        </w:rPr>
        <w:t xml:space="preserve">החמרה בענישה בגין עבירות מין, והפנה למדיניות הענישה כפי שנקבעה בפסיקת בית דין זה בשנים האחרונות: ע/15/23 </w:t>
      </w:r>
      <w:r w:rsidR="00BD5857" w:rsidRPr="002E73C6">
        <w:rPr>
          <w:rFonts w:hint="cs"/>
          <w:b/>
          <w:bCs/>
          <w:rtl/>
        </w:rPr>
        <w:t xml:space="preserve">סמל </w:t>
      </w:r>
      <w:proofErr w:type="spellStart"/>
      <w:r w:rsidR="00BD5857" w:rsidRPr="002E73C6">
        <w:rPr>
          <w:rFonts w:hint="cs"/>
          <w:b/>
          <w:bCs/>
          <w:rtl/>
        </w:rPr>
        <w:t>קבסה</w:t>
      </w:r>
      <w:proofErr w:type="spellEnd"/>
      <w:r w:rsidR="00BD5857" w:rsidRPr="002E73C6">
        <w:rPr>
          <w:rFonts w:hint="cs"/>
          <w:b/>
          <w:bCs/>
          <w:rtl/>
        </w:rPr>
        <w:t xml:space="preserve"> נ' התובע הצבאי הראשי </w:t>
      </w:r>
      <w:r w:rsidR="00BD5857">
        <w:rPr>
          <w:rFonts w:hint="cs"/>
          <w:rtl/>
        </w:rPr>
        <w:t>(2023); ע/</w:t>
      </w:r>
      <w:r w:rsidR="00BA7CF4">
        <w:rPr>
          <w:rFonts w:hint="cs"/>
          <w:rtl/>
        </w:rPr>
        <w:t xml:space="preserve">32/23 </w:t>
      </w:r>
      <w:r w:rsidR="00BA7CF4" w:rsidRPr="002E73C6">
        <w:rPr>
          <w:rFonts w:hint="cs"/>
          <w:b/>
          <w:bCs/>
          <w:rtl/>
        </w:rPr>
        <w:t xml:space="preserve">רב"ט כהן נ' התובע הצבאי הראשי </w:t>
      </w:r>
      <w:r w:rsidR="00BA7CF4">
        <w:rPr>
          <w:rFonts w:hint="cs"/>
          <w:rtl/>
        </w:rPr>
        <w:t xml:space="preserve">(2023); ע/25/24 </w:t>
      </w:r>
      <w:r w:rsidR="00BA7CF4" w:rsidRPr="002E73C6">
        <w:rPr>
          <w:rFonts w:hint="cs"/>
          <w:b/>
          <w:bCs/>
          <w:rtl/>
        </w:rPr>
        <w:t xml:space="preserve">התובע הצבאי הראשי נ' טור' ש' </w:t>
      </w:r>
      <w:r w:rsidR="00BA7CF4">
        <w:rPr>
          <w:rFonts w:hint="cs"/>
          <w:rtl/>
        </w:rPr>
        <w:t xml:space="preserve">(2024); </w:t>
      </w:r>
      <w:r w:rsidR="00F36D6D">
        <w:rPr>
          <w:rFonts w:hint="cs"/>
          <w:rtl/>
        </w:rPr>
        <w:t>ע/</w:t>
      </w:r>
      <w:r w:rsidR="002A4C46">
        <w:rPr>
          <w:rFonts w:hint="cs"/>
          <w:rtl/>
        </w:rPr>
        <w:t xml:space="preserve">58/24 </w:t>
      </w:r>
      <w:r w:rsidR="002A4C46" w:rsidRPr="002E73C6">
        <w:rPr>
          <w:rFonts w:hint="cs"/>
          <w:b/>
          <w:bCs/>
          <w:rtl/>
        </w:rPr>
        <w:t xml:space="preserve">טור' תורג'מן נ' התובע הצבאי הראשי </w:t>
      </w:r>
      <w:r w:rsidR="002A4C46">
        <w:rPr>
          <w:rFonts w:hint="cs"/>
          <w:rtl/>
        </w:rPr>
        <w:t xml:space="preserve">(2024); ע/66/24 </w:t>
      </w:r>
      <w:r w:rsidR="002A4C46" w:rsidRPr="002E73C6">
        <w:rPr>
          <w:rFonts w:hint="cs"/>
          <w:b/>
          <w:bCs/>
          <w:rtl/>
        </w:rPr>
        <w:t xml:space="preserve">טור' בן </w:t>
      </w:r>
      <w:proofErr w:type="spellStart"/>
      <w:r w:rsidR="002A4C46" w:rsidRPr="002E73C6">
        <w:rPr>
          <w:rFonts w:hint="cs"/>
          <w:b/>
          <w:bCs/>
          <w:rtl/>
        </w:rPr>
        <w:t>סדון</w:t>
      </w:r>
      <w:proofErr w:type="spellEnd"/>
      <w:r w:rsidR="002A4C46" w:rsidRPr="002E73C6">
        <w:rPr>
          <w:rFonts w:hint="cs"/>
          <w:b/>
          <w:bCs/>
          <w:rtl/>
        </w:rPr>
        <w:t xml:space="preserve"> נ' התובע הצבאי הראשי</w:t>
      </w:r>
      <w:r w:rsidR="002A4C46">
        <w:rPr>
          <w:rFonts w:hint="cs"/>
          <w:rtl/>
        </w:rPr>
        <w:t xml:space="preserve"> (2024); </w:t>
      </w:r>
      <w:r w:rsidR="002E73C6">
        <w:rPr>
          <w:rFonts w:hint="cs"/>
          <w:rtl/>
        </w:rPr>
        <w:t xml:space="preserve">ע"פ 57885-03-25 </w:t>
      </w:r>
      <w:r w:rsidR="002E73C6" w:rsidRPr="002E73C6">
        <w:rPr>
          <w:rFonts w:hint="cs"/>
          <w:b/>
          <w:bCs/>
          <w:rtl/>
        </w:rPr>
        <w:t xml:space="preserve">סג"ם </w:t>
      </w:r>
      <w:proofErr w:type="spellStart"/>
      <w:r w:rsidR="002E73C6" w:rsidRPr="002E73C6">
        <w:rPr>
          <w:rFonts w:hint="cs"/>
          <w:b/>
          <w:bCs/>
          <w:rtl/>
        </w:rPr>
        <w:t>מגנאג'י</w:t>
      </w:r>
      <w:proofErr w:type="spellEnd"/>
      <w:r w:rsidR="002E73C6" w:rsidRPr="002E73C6">
        <w:rPr>
          <w:rFonts w:hint="cs"/>
          <w:b/>
          <w:bCs/>
          <w:rtl/>
        </w:rPr>
        <w:t xml:space="preserve"> נ' התובע הצבאי הראשי </w:t>
      </w:r>
      <w:r w:rsidR="002E73C6">
        <w:rPr>
          <w:rFonts w:hint="cs"/>
          <w:rtl/>
        </w:rPr>
        <w:t xml:space="preserve">(2025)). </w:t>
      </w:r>
      <w:r w:rsidR="00105DDC">
        <w:rPr>
          <w:rFonts w:hint="cs"/>
          <w:rtl/>
        </w:rPr>
        <w:t xml:space="preserve">לאור </w:t>
      </w:r>
      <w:r w:rsidR="002E73C6">
        <w:rPr>
          <w:rFonts w:hint="cs"/>
          <w:rtl/>
        </w:rPr>
        <w:t xml:space="preserve">כלל </w:t>
      </w:r>
      <w:r w:rsidR="00EA474F">
        <w:rPr>
          <w:rFonts w:hint="cs"/>
          <w:rtl/>
        </w:rPr>
        <w:t xml:space="preserve">האמור נקבע כי </w:t>
      </w:r>
      <w:r w:rsidR="006D155A">
        <w:rPr>
          <w:rFonts w:hint="cs"/>
          <w:rtl/>
        </w:rPr>
        <w:t>מתחם העונש ההולם ל</w:t>
      </w:r>
      <w:r w:rsidR="00EA474F">
        <w:rPr>
          <w:rFonts w:hint="cs"/>
          <w:rtl/>
        </w:rPr>
        <w:t xml:space="preserve">אירוע </w:t>
      </w:r>
      <w:r w:rsidR="006D155A">
        <w:rPr>
          <w:rFonts w:hint="cs"/>
          <w:rtl/>
        </w:rPr>
        <w:t xml:space="preserve">הראשון </w:t>
      </w:r>
      <w:r w:rsidR="00EA474F">
        <w:rPr>
          <w:rFonts w:hint="cs"/>
          <w:rtl/>
        </w:rPr>
        <w:t xml:space="preserve">נע בין ארבעה לתשעה </w:t>
      </w:r>
      <w:r w:rsidR="006D155A">
        <w:rPr>
          <w:rFonts w:hint="cs"/>
          <w:rtl/>
        </w:rPr>
        <w:t xml:space="preserve">חודשי מאסר בפועל, והשני </w:t>
      </w:r>
      <w:r w:rsidR="0017219A">
        <w:rPr>
          <w:rFonts w:hint="cs"/>
          <w:rtl/>
        </w:rPr>
        <w:t>בין שלושה לשבעה</w:t>
      </w:r>
      <w:r w:rsidR="006D155A">
        <w:rPr>
          <w:rFonts w:hint="cs"/>
          <w:rtl/>
        </w:rPr>
        <w:t xml:space="preserve"> חודשי מאסר בפועל, שניהם לצד עונשי מאסר מותנים, הורדה בדרגה</w:t>
      </w:r>
      <w:r w:rsidR="004F2589">
        <w:rPr>
          <w:rFonts w:hint="cs"/>
          <w:rtl/>
        </w:rPr>
        <w:t xml:space="preserve"> ותשלום פיצויים של אלפי ש</w:t>
      </w:r>
      <w:r w:rsidR="00640750">
        <w:rPr>
          <w:rFonts w:hint="cs"/>
          <w:rtl/>
        </w:rPr>
        <w:t>קלים</w:t>
      </w:r>
      <w:r w:rsidR="006D155A">
        <w:rPr>
          <w:rFonts w:hint="cs"/>
          <w:rtl/>
        </w:rPr>
        <w:t>.</w:t>
      </w:r>
    </w:p>
    <w:p w14:paraId="52C4869F" w14:textId="77777777" w:rsidR="00213A24" w:rsidRDefault="00316303" w:rsidP="005378FB">
      <w:pPr>
        <w:pStyle w:val="a3"/>
        <w:numPr>
          <w:ilvl w:val="0"/>
          <w:numId w:val="1"/>
        </w:numPr>
        <w:spacing w:after="240"/>
      </w:pPr>
      <w:r>
        <w:rPr>
          <w:rFonts w:hint="cs"/>
          <w:rtl/>
        </w:rPr>
        <w:t>ב</w:t>
      </w:r>
      <w:r w:rsidR="00BD420C">
        <w:rPr>
          <w:rFonts w:hint="cs"/>
          <w:rtl/>
        </w:rPr>
        <w:t xml:space="preserve">עת </w:t>
      </w:r>
      <w:r>
        <w:rPr>
          <w:rFonts w:hint="cs"/>
          <w:rtl/>
        </w:rPr>
        <w:t xml:space="preserve">קביעת </w:t>
      </w:r>
      <w:r w:rsidR="00640750">
        <w:rPr>
          <w:rFonts w:hint="cs"/>
          <w:rtl/>
        </w:rPr>
        <w:t xml:space="preserve">מידתו של </w:t>
      </w:r>
      <w:r>
        <w:rPr>
          <w:rFonts w:hint="cs"/>
          <w:rtl/>
        </w:rPr>
        <w:t>העונש התחשב בית הדין המחוזי בתרומ</w:t>
      </w:r>
      <w:r w:rsidR="00BD420C">
        <w:rPr>
          <w:rFonts w:hint="cs"/>
          <w:rtl/>
        </w:rPr>
        <w:t>תו</w:t>
      </w:r>
      <w:r>
        <w:rPr>
          <w:rFonts w:hint="cs"/>
          <w:rtl/>
        </w:rPr>
        <w:t xml:space="preserve"> של המערער בשירותו הצבאי הסדיר ובהתנדבותו</w:t>
      </w:r>
      <w:r w:rsidR="00D85739">
        <w:rPr>
          <w:rFonts w:hint="cs"/>
          <w:rtl/>
        </w:rPr>
        <w:t xml:space="preserve"> לשירות</w:t>
      </w:r>
      <w:r>
        <w:rPr>
          <w:rFonts w:hint="cs"/>
          <w:rtl/>
        </w:rPr>
        <w:t xml:space="preserve"> </w:t>
      </w:r>
      <w:r w:rsidR="00D85739">
        <w:rPr>
          <w:rFonts w:hint="cs"/>
          <w:rtl/>
        </w:rPr>
        <w:t xml:space="preserve">מילואים </w:t>
      </w:r>
      <w:r w:rsidR="006E0A40">
        <w:rPr>
          <w:rFonts w:hint="cs"/>
          <w:rtl/>
        </w:rPr>
        <w:t xml:space="preserve">ביום </w:t>
      </w:r>
      <w:r w:rsidR="004E49C4">
        <w:rPr>
          <w:rFonts w:hint="cs"/>
          <w:rtl/>
        </w:rPr>
        <w:t xml:space="preserve">7 </w:t>
      </w:r>
      <w:r>
        <w:rPr>
          <w:rFonts w:hint="cs"/>
          <w:rtl/>
        </w:rPr>
        <w:t>באוקטובר 2023 (אף ששוחרר כעבור ארבעה ימים</w:t>
      </w:r>
      <w:r w:rsidR="004E49C4">
        <w:rPr>
          <w:rFonts w:hint="cs"/>
          <w:rtl/>
        </w:rPr>
        <w:t>,</w:t>
      </w:r>
      <w:r>
        <w:rPr>
          <w:rFonts w:hint="cs"/>
          <w:rtl/>
        </w:rPr>
        <w:t xml:space="preserve"> בשל הח</w:t>
      </w:r>
      <w:r w:rsidR="006E0A40">
        <w:rPr>
          <w:rFonts w:hint="cs"/>
          <w:rtl/>
        </w:rPr>
        <w:t>ק</w:t>
      </w:r>
      <w:r>
        <w:rPr>
          <w:rFonts w:hint="cs"/>
          <w:rtl/>
        </w:rPr>
        <w:t>ירה נגדו), בגילו הצעיר</w:t>
      </w:r>
      <w:r w:rsidR="00375C17">
        <w:rPr>
          <w:rFonts w:hint="cs"/>
          <w:rtl/>
        </w:rPr>
        <w:t xml:space="preserve"> </w:t>
      </w:r>
      <w:r>
        <w:rPr>
          <w:rFonts w:hint="cs"/>
          <w:rtl/>
        </w:rPr>
        <w:t xml:space="preserve">ובהעדר הרשעות קודמות. </w:t>
      </w:r>
      <w:r w:rsidR="00375C17">
        <w:rPr>
          <w:rFonts w:hint="cs"/>
          <w:rtl/>
        </w:rPr>
        <w:t xml:space="preserve">כן עמד </w:t>
      </w:r>
      <w:r>
        <w:rPr>
          <w:rFonts w:hint="cs"/>
          <w:rtl/>
        </w:rPr>
        <w:t xml:space="preserve">בית הדין </w:t>
      </w:r>
      <w:r w:rsidR="00D85739">
        <w:rPr>
          <w:rFonts w:hint="cs"/>
          <w:rtl/>
        </w:rPr>
        <w:t>על חלוף הזמן מאז האירועים, אשר נבע מסיבות שאינן תלויות במערער</w:t>
      </w:r>
      <w:r w:rsidR="002B0741">
        <w:rPr>
          <w:rFonts w:hint="cs"/>
          <w:rtl/>
        </w:rPr>
        <w:t xml:space="preserve">, ועל כך שבתקופה שחלפה השתחרר </w:t>
      </w:r>
      <w:r>
        <w:rPr>
          <w:rFonts w:hint="cs"/>
          <w:rtl/>
        </w:rPr>
        <w:t xml:space="preserve">משירות בצה"ל, השתלב בשירות </w:t>
      </w:r>
      <w:r w:rsidR="00AE44AA">
        <w:rPr>
          <w:rFonts w:hint="cs"/>
          <w:rtl/>
        </w:rPr>
        <w:t xml:space="preserve">בתי </w:t>
      </w:r>
      <w:r>
        <w:rPr>
          <w:rFonts w:hint="cs"/>
          <w:rtl/>
        </w:rPr>
        <w:t xml:space="preserve">הסוהר והיה אמור לצאת לקורס קצינים שם. </w:t>
      </w:r>
      <w:r w:rsidR="002B0741">
        <w:rPr>
          <w:rFonts w:hint="cs"/>
          <w:rtl/>
        </w:rPr>
        <w:t xml:space="preserve">עוד </w:t>
      </w:r>
      <w:r w:rsidR="00213A24">
        <w:rPr>
          <w:rFonts w:hint="cs"/>
          <w:rtl/>
        </w:rPr>
        <w:t xml:space="preserve">התחשב בית הדין בכך שמסוכנותו המינית של המערער </w:t>
      </w:r>
      <w:r w:rsidR="004E49C4">
        <w:rPr>
          <w:rFonts w:hint="cs"/>
          <w:rtl/>
        </w:rPr>
        <w:t>הוערכה כ</w:t>
      </w:r>
      <w:r w:rsidR="00213A24">
        <w:rPr>
          <w:rFonts w:hint="cs"/>
          <w:rtl/>
        </w:rPr>
        <w:t xml:space="preserve">נמוכה, על אף שבפני </w:t>
      </w:r>
      <w:r>
        <w:rPr>
          <w:rFonts w:hint="cs"/>
          <w:rtl/>
        </w:rPr>
        <w:t xml:space="preserve">מעריכת המסוכנות המשיך </w:t>
      </w:r>
      <w:r w:rsidR="00213A24">
        <w:rPr>
          <w:rFonts w:hint="cs"/>
          <w:rtl/>
        </w:rPr>
        <w:t xml:space="preserve">המערער </w:t>
      </w:r>
      <w:r>
        <w:rPr>
          <w:rFonts w:hint="cs"/>
          <w:rtl/>
        </w:rPr>
        <w:t>לדבוק בחפותו ולא הבי</w:t>
      </w:r>
      <w:r w:rsidR="00AE44AA">
        <w:rPr>
          <w:rFonts w:hint="cs"/>
          <w:rtl/>
        </w:rPr>
        <w:t>ע</w:t>
      </w:r>
      <w:r>
        <w:rPr>
          <w:rFonts w:hint="cs"/>
          <w:rtl/>
        </w:rPr>
        <w:t xml:space="preserve"> אמפתיה </w:t>
      </w:r>
      <w:r w:rsidR="0047108E">
        <w:rPr>
          <w:rFonts w:hint="cs"/>
          <w:rtl/>
        </w:rPr>
        <w:t>לנפגעת העבירה.</w:t>
      </w:r>
      <w:r>
        <w:rPr>
          <w:rFonts w:hint="cs"/>
          <w:rtl/>
        </w:rPr>
        <w:t xml:space="preserve"> </w:t>
      </w:r>
      <w:r w:rsidR="003D4B7A">
        <w:rPr>
          <w:rFonts w:hint="cs"/>
          <w:rtl/>
        </w:rPr>
        <w:t>אמנם</w:t>
      </w:r>
      <w:r>
        <w:rPr>
          <w:rFonts w:hint="cs"/>
          <w:rtl/>
        </w:rPr>
        <w:t xml:space="preserve">, בדברו האחרון </w:t>
      </w:r>
      <w:r w:rsidR="00213A24">
        <w:rPr>
          <w:rFonts w:hint="cs"/>
          <w:rtl/>
        </w:rPr>
        <w:t xml:space="preserve">טרם גזירת דינו </w:t>
      </w:r>
      <w:r w:rsidR="00101682">
        <w:rPr>
          <w:rFonts w:hint="cs"/>
          <w:rtl/>
        </w:rPr>
        <w:t xml:space="preserve">מסר </w:t>
      </w:r>
      <w:r w:rsidR="00213A24">
        <w:rPr>
          <w:rFonts w:hint="cs"/>
          <w:rtl/>
        </w:rPr>
        <w:t xml:space="preserve">המערער </w:t>
      </w:r>
      <w:r w:rsidR="00101682">
        <w:rPr>
          <w:rFonts w:hint="cs"/>
          <w:rtl/>
        </w:rPr>
        <w:t>כי הוא מ</w:t>
      </w:r>
      <w:r>
        <w:rPr>
          <w:rFonts w:hint="cs"/>
          <w:rtl/>
        </w:rPr>
        <w:t>צטער</w:t>
      </w:r>
      <w:r w:rsidR="004E49C4">
        <w:rPr>
          <w:rFonts w:hint="cs"/>
          <w:rtl/>
        </w:rPr>
        <w:t>,</w:t>
      </w:r>
      <w:r>
        <w:rPr>
          <w:rFonts w:hint="cs"/>
          <w:rtl/>
        </w:rPr>
        <w:t xml:space="preserve"> והכיר בפגיעה ש</w:t>
      </w:r>
      <w:r w:rsidR="004E49C4">
        <w:rPr>
          <w:rFonts w:hint="cs"/>
          <w:rtl/>
        </w:rPr>
        <w:t>בה</w:t>
      </w:r>
      <w:r w:rsidR="00331FC9">
        <w:rPr>
          <w:rFonts w:hint="cs"/>
          <w:rtl/>
        </w:rPr>
        <w:t xml:space="preserve"> </w:t>
      </w:r>
      <w:r>
        <w:rPr>
          <w:rFonts w:hint="cs"/>
          <w:rtl/>
        </w:rPr>
        <w:t>חשה</w:t>
      </w:r>
      <w:r w:rsidR="004E49C4">
        <w:rPr>
          <w:rFonts w:hint="cs"/>
          <w:rtl/>
        </w:rPr>
        <w:t xml:space="preserve"> הנפגעת</w:t>
      </w:r>
      <w:r w:rsidR="003D4B7A">
        <w:rPr>
          <w:rFonts w:hint="cs"/>
          <w:rtl/>
        </w:rPr>
        <w:t>, אך בפועל לא נטל אחריות</w:t>
      </w:r>
      <w:r>
        <w:rPr>
          <w:rFonts w:hint="cs"/>
          <w:rtl/>
        </w:rPr>
        <w:t xml:space="preserve"> ולא חסך בזמן שיפוטי</w:t>
      </w:r>
      <w:r w:rsidR="008D7C39">
        <w:rPr>
          <w:rFonts w:hint="cs"/>
          <w:rtl/>
        </w:rPr>
        <w:t>, ו</w:t>
      </w:r>
      <w:r w:rsidR="00213A24">
        <w:rPr>
          <w:rFonts w:hint="cs"/>
          <w:rtl/>
        </w:rPr>
        <w:t xml:space="preserve">משכפר באשמה, נאלצה </w:t>
      </w:r>
      <w:r w:rsidR="008D7C39">
        <w:rPr>
          <w:rFonts w:hint="cs"/>
          <w:rtl/>
        </w:rPr>
        <w:t xml:space="preserve">נפגעת העבירה </w:t>
      </w:r>
      <w:r>
        <w:rPr>
          <w:rFonts w:hint="cs"/>
          <w:rtl/>
        </w:rPr>
        <w:t xml:space="preserve">להיחקר בחקירה נגדית. </w:t>
      </w:r>
    </w:p>
    <w:p w14:paraId="586D7680" w14:textId="77777777" w:rsidR="00316303" w:rsidRDefault="00213A24" w:rsidP="005378FB">
      <w:pPr>
        <w:pStyle w:val="a3"/>
        <w:numPr>
          <w:ilvl w:val="0"/>
          <w:numId w:val="1"/>
        </w:numPr>
        <w:spacing w:after="240"/>
      </w:pPr>
      <w:r>
        <w:rPr>
          <w:rFonts w:hint="cs"/>
          <w:rtl/>
        </w:rPr>
        <w:t xml:space="preserve">בשים לב לשיקולים האמורים, ומתוך התחשבות בשיקולי הרתעה כללית ואישית, </w:t>
      </w:r>
      <w:r w:rsidR="005E5444">
        <w:rPr>
          <w:rFonts w:hint="cs"/>
          <w:rtl/>
        </w:rPr>
        <w:t>ה</w:t>
      </w:r>
      <w:r w:rsidR="00316303">
        <w:rPr>
          <w:rFonts w:hint="cs"/>
          <w:rtl/>
        </w:rPr>
        <w:t>חליט בית הדין המחוזי לקבוע את עונש</w:t>
      </w:r>
      <w:r w:rsidR="005E5444">
        <w:rPr>
          <w:rFonts w:hint="cs"/>
          <w:rtl/>
        </w:rPr>
        <w:t>ו של המערער</w:t>
      </w:r>
      <w:r w:rsidR="00316303">
        <w:rPr>
          <w:rFonts w:hint="cs"/>
          <w:rtl/>
        </w:rPr>
        <w:t xml:space="preserve"> באמצע</w:t>
      </w:r>
      <w:r w:rsidR="004E49C4">
        <w:rPr>
          <w:rFonts w:hint="cs"/>
          <w:rtl/>
        </w:rPr>
        <w:t>ם של</w:t>
      </w:r>
      <w:r w:rsidR="00316303">
        <w:rPr>
          <w:rFonts w:hint="cs"/>
          <w:rtl/>
        </w:rPr>
        <w:t xml:space="preserve"> מתח</w:t>
      </w:r>
      <w:r w:rsidR="004E49C4">
        <w:rPr>
          <w:rFonts w:hint="cs"/>
          <w:rtl/>
        </w:rPr>
        <w:t>מי</w:t>
      </w:r>
      <w:r w:rsidR="00316303">
        <w:rPr>
          <w:rFonts w:hint="cs"/>
          <w:rtl/>
        </w:rPr>
        <w:t xml:space="preserve"> הענישה</w:t>
      </w:r>
      <w:r w:rsidR="00223201">
        <w:rPr>
          <w:rFonts w:hint="cs"/>
          <w:rtl/>
        </w:rPr>
        <w:t>,</w:t>
      </w:r>
      <w:r w:rsidR="00316303">
        <w:rPr>
          <w:rFonts w:hint="cs"/>
          <w:rtl/>
        </w:rPr>
        <w:t xml:space="preserve"> ולהטיל </w:t>
      </w:r>
      <w:r w:rsidR="007A47E4">
        <w:rPr>
          <w:rFonts w:hint="cs"/>
          <w:rtl/>
        </w:rPr>
        <w:t xml:space="preserve">על </w:t>
      </w:r>
      <w:r w:rsidR="007A47E4">
        <w:rPr>
          <w:rFonts w:hint="cs"/>
          <w:rtl/>
        </w:rPr>
        <w:lastRenderedPageBreak/>
        <w:t xml:space="preserve">המערער </w:t>
      </w:r>
      <w:r w:rsidR="00316303">
        <w:rPr>
          <w:rFonts w:hint="cs"/>
          <w:rtl/>
        </w:rPr>
        <w:t xml:space="preserve">עונש </w:t>
      </w:r>
      <w:r w:rsidR="00AB6165">
        <w:rPr>
          <w:rFonts w:hint="cs"/>
          <w:rtl/>
        </w:rPr>
        <w:t xml:space="preserve">מאסר </w:t>
      </w:r>
      <w:r w:rsidR="004E49C4">
        <w:rPr>
          <w:rFonts w:hint="cs"/>
          <w:rtl/>
        </w:rPr>
        <w:t xml:space="preserve">בפועל </w:t>
      </w:r>
      <w:r w:rsidR="00316303">
        <w:rPr>
          <w:rFonts w:hint="cs"/>
          <w:rtl/>
        </w:rPr>
        <w:t>כולל</w:t>
      </w:r>
      <w:r w:rsidR="004E49C4">
        <w:rPr>
          <w:rFonts w:hint="cs"/>
          <w:rtl/>
        </w:rPr>
        <w:t>,</w:t>
      </w:r>
      <w:r w:rsidR="00316303">
        <w:rPr>
          <w:rFonts w:hint="cs"/>
          <w:rtl/>
        </w:rPr>
        <w:t xml:space="preserve"> </w:t>
      </w:r>
      <w:r w:rsidR="00AB6165">
        <w:rPr>
          <w:rFonts w:hint="cs"/>
          <w:rtl/>
        </w:rPr>
        <w:t>בן תשעה חודשי</w:t>
      </w:r>
      <w:r w:rsidR="004E49C4">
        <w:rPr>
          <w:rFonts w:hint="cs"/>
          <w:rtl/>
        </w:rPr>
        <w:t xml:space="preserve">ם, </w:t>
      </w:r>
      <w:r w:rsidR="00101682">
        <w:rPr>
          <w:rFonts w:hint="cs"/>
          <w:rtl/>
        </w:rPr>
        <w:t>בכליאה</w:t>
      </w:r>
      <w:r w:rsidR="00223201">
        <w:rPr>
          <w:rFonts w:hint="cs"/>
          <w:rtl/>
        </w:rPr>
        <w:t xml:space="preserve">. </w:t>
      </w:r>
      <w:r w:rsidR="00D3754A">
        <w:rPr>
          <w:rFonts w:hint="cs"/>
          <w:rtl/>
        </w:rPr>
        <w:t xml:space="preserve">לכך צירף עונשי מאסר מותנים משמעותיים לשם </w:t>
      </w:r>
      <w:r w:rsidR="0044575E">
        <w:rPr>
          <w:rFonts w:hint="cs"/>
          <w:rtl/>
        </w:rPr>
        <w:t>הרתעתו של המערער בעתיד</w:t>
      </w:r>
      <w:r w:rsidR="00CF00A6">
        <w:rPr>
          <w:rFonts w:hint="cs"/>
          <w:rtl/>
        </w:rPr>
        <w:t xml:space="preserve"> והורדה מכל דרגה</w:t>
      </w:r>
      <w:r w:rsidR="007A47E4">
        <w:rPr>
          <w:rFonts w:hint="cs"/>
          <w:rtl/>
        </w:rPr>
        <w:t>.</w:t>
      </w:r>
      <w:r w:rsidR="00527231">
        <w:rPr>
          <w:rFonts w:hint="cs"/>
          <w:rtl/>
        </w:rPr>
        <w:t xml:space="preserve"> </w:t>
      </w:r>
      <w:r w:rsidR="007A47E4">
        <w:rPr>
          <w:rFonts w:hint="cs"/>
          <w:rtl/>
        </w:rPr>
        <w:t xml:space="preserve">כן סבר בית הדין כי ראוי שהמערער ישלם לנפגעת העבירה </w:t>
      </w:r>
      <w:r w:rsidR="00527231">
        <w:rPr>
          <w:rFonts w:hint="cs"/>
          <w:rtl/>
        </w:rPr>
        <w:t>פיצוי משמעותי נוכח הפגיעה בה</w:t>
      </w:r>
      <w:r w:rsidR="00ED6970">
        <w:rPr>
          <w:rFonts w:hint="cs"/>
          <w:rtl/>
        </w:rPr>
        <w:t>, וקבע את סכום הפיצוי על 5,000 ש"ח.</w:t>
      </w:r>
    </w:p>
    <w:p w14:paraId="7A67E630" w14:textId="77777777" w:rsidR="0004496B" w:rsidRDefault="0004496B" w:rsidP="0060359E">
      <w:pPr>
        <w:pStyle w:val="2"/>
        <w:rPr>
          <w:rtl/>
        </w:rPr>
      </w:pPr>
      <w:r>
        <w:rPr>
          <w:rFonts w:hint="cs"/>
          <w:rtl/>
        </w:rPr>
        <w:t>טענ</w:t>
      </w:r>
      <w:r w:rsidR="0060359E">
        <w:rPr>
          <w:rFonts w:hint="cs"/>
          <w:rtl/>
        </w:rPr>
        <w:t>ות</w:t>
      </w:r>
      <w:r>
        <w:rPr>
          <w:rFonts w:hint="cs"/>
          <w:rtl/>
        </w:rPr>
        <w:t xml:space="preserve"> הצדדים</w:t>
      </w:r>
      <w:r w:rsidR="00EC5C55">
        <w:rPr>
          <w:rFonts w:hint="cs"/>
          <w:rtl/>
        </w:rPr>
        <w:t xml:space="preserve"> ומהלך הדיון בערעור</w:t>
      </w:r>
    </w:p>
    <w:p w14:paraId="7EF6A988" w14:textId="77777777" w:rsidR="00BE4063" w:rsidRPr="003A05E9" w:rsidRDefault="00BE4063" w:rsidP="00BE4063">
      <w:pPr>
        <w:rPr>
          <w:sz w:val="2"/>
          <w:szCs w:val="4"/>
        </w:rPr>
      </w:pPr>
    </w:p>
    <w:p w14:paraId="57D2CE66" w14:textId="77777777" w:rsidR="00816C9D" w:rsidRDefault="00BE4063" w:rsidP="00307AC4">
      <w:pPr>
        <w:pStyle w:val="a3"/>
        <w:numPr>
          <w:ilvl w:val="0"/>
          <w:numId w:val="1"/>
        </w:numPr>
        <w:spacing w:after="240"/>
      </w:pPr>
      <w:r>
        <w:rPr>
          <w:rFonts w:hint="cs"/>
          <w:rtl/>
        </w:rPr>
        <w:t>ההגנה</w:t>
      </w:r>
      <w:r w:rsidR="00E64B20">
        <w:rPr>
          <w:rFonts w:hint="cs"/>
          <w:rtl/>
        </w:rPr>
        <w:t xml:space="preserve">, אשר עתרה כאמור בתחילה להתערב בהכרעת הדין המרשיעה, חזרה בה מערעורה </w:t>
      </w:r>
      <w:r w:rsidR="00CB4F01">
        <w:rPr>
          <w:rFonts w:hint="cs"/>
          <w:rtl/>
        </w:rPr>
        <w:t xml:space="preserve">לאחר שמיעת הערות בית הדין, </w:t>
      </w:r>
      <w:r w:rsidR="00E64B20">
        <w:rPr>
          <w:rFonts w:hint="cs"/>
          <w:rtl/>
        </w:rPr>
        <w:t xml:space="preserve">והמערער הודה </w:t>
      </w:r>
      <w:r w:rsidR="00875E0A">
        <w:rPr>
          <w:rFonts w:hint="cs"/>
          <w:rtl/>
        </w:rPr>
        <w:t>באשמה ונטל אחריות</w:t>
      </w:r>
      <w:r w:rsidR="00CB4F01">
        <w:rPr>
          <w:rFonts w:hint="cs"/>
          <w:rtl/>
        </w:rPr>
        <w:t xml:space="preserve"> על מעשיו</w:t>
      </w:r>
      <w:r w:rsidR="00875E0A">
        <w:rPr>
          <w:rFonts w:hint="cs"/>
          <w:rtl/>
        </w:rPr>
        <w:t xml:space="preserve">. </w:t>
      </w:r>
      <w:r w:rsidR="004339DB">
        <w:rPr>
          <w:rFonts w:hint="cs"/>
          <w:rtl/>
        </w:rPr>
        <w:t xml:space="preserve">ערעורה </w:t>
      </w:r>
      <w:r w:rsidR="004E49C4">
        <w:rPr>
          <w:rFonts w:hint="cs"/>
          <w:rtl/>
        </w:rPr>
        <w:t xml:space="preserve">של ההגנה </w:t>
      </w:r>
      <w:r w:rsidR="004339DB">
        <w:rPr>
          <w:rFonts w:hint="cs"/>
          <w:rtl/>
        </w:rPr>
        <w:t xml:space="preserve">נגד גזר הדין </w:t>
      </w:r>
      <w:r w:rsidR="004E49C4">
        <w:rPr>
          <w:rFonts w:hint="cs"/>
          <w:rtl/>
        </w:rPr>
        <w:t>מוקד ב</w:t>
      </w:r>
      <w:r w:rsidR="003F3CA5">
        <w:rPr>
          <w:rFonts w:hint="cs"/>
          <w:rtl/>
        </w:rPr>
        <w:t xml:space="preserve">אופן </w:t>
      </w:r>
      <w:r w:rsidR="004339DB">
        <w:rPr>
          <w:rFonts w:hint="cs"/>
          <w:rtl/>
        </w:rPr>
        <w:t>קביעת עונשו של המערער ב</w:t>
      </w:r>
      <w:r w:rsidR="003F3CA5">
        <w:rPr>
          <w:rFonts w:hint="cs"/>
          <w:rtl/>
        </w:rPr>
        <w:t xml:space="preserve">תוך </w:t>
      </w:r>
      <w:r w:rsidR="004339DB">
        <w:rPr>
          <w:rFonts w:hint="cs"/>
          <w:rtl/>
        </w:rPr>
        <w:t>מתח</w:t>
      </w:r>
      <w:r w:rsidR="004E49C4">
        <w:rPr>
          <w:rFonts w:hint="cs"/>
          <w:rtl/>
        </w:rPr>
        <w:t>מי</w:t>
      </w:r>
      <w:r w:rsidR="004339DB">
        <w:rPr>
          <w:rFonts w:hint="cs"/>
          <w:rtl/>
        </w:rPr>
        <w:t xml:space="preserve"> העונש ההולם</w:t>
      </w:r>
      <w:r w:rsidR="00A35280">
        <w:rPr>
          <w:rFonts w:hint="cs"/>
          <w:rtl/>
        </w:rPr>
        <w:t>.</w:t>
      </w:r>
      <w:r w:rsidR="004339DB">
        <w:rPr>
          <w:rFonts w:hint="cs"/>
          <w:rtl/>
        </w:rPr>
        <w:t xml:space="preserve"> </w:t>
      </w:r>
      <w:r w:rsidR="00A35280">
        <w:rPr>
          <w:rFonts w:hint="cs"/>
          <w:rtl/>
        </w:rPr>
        <w:t xml:space="preserve">נטען כי בנסיבות העניין </w:t>
      </w:r>
      <w:r w:rsidR="003F3CA5">
        <w:rPr>
          <w:rFonts w:hint="cs"/>
          <w:rtl/>
        </w:rPr>
        <w:t>-</w:t>
      </w:r>
      <w:r w:rsidR="00A35280">
        <w:rPr>
          <w:rFonts w:hint="cs"/>
          <w:rtl/>
        </w:rPr>
        <w:t xml:space="preserve"> </w:t>
      </w:r>
      <w:r w:rsidR="00156306">
        <w:rPr>
          <w:rFonts w:hint="cs"/>
          <w:rtl/>
        </w:rPr>
        <w:t xml:space="preserve">נוכח הערכת המסוכנות </w:t>
      </w:r>
      <w:r w:rsidR="00E54F53">
        <w:rPr>
          <w:rFonts w:hint="cs"/>
          <w:rtl/>
        </w:rPr>
        <w:t>הנמוכה</w:t>
      </w:r>
      <w:r w:rsidR="00156306">
        <w:rPr>
          <w:rFonts w:hint="cs"/>
          <w:rtl/>
        </w:rPr>
        <w:t xml:space="preserve"> והבעת האמפתיה כלפי נ</w:t>
      </w:r>
      <w:r w:rsidR="002E00FB">
        <w:rPr>
          <w:rFonts w:hint="cs"/>
          <w:rtl/>
        </w:rPr>
        <w:t>פגעת העבירה</w:t>
      </w:r>
      <w:r w:rsidR="00407508">
        <w:rPr>
          <w:rFonts w:hint="cs"/>
          <w:rtl/>
        </w:rPr>
        <w:t>, אורח חייו הנורמטיבי</w:t>
      </w:r>
      <w:r w:rsidR="00156306">
        <w:rPr>
          <w:rFonts w:hint="cs"/>
          <w:rtl/>
        </w:rPr>
        <w:t xml:space="preserve"> של המערער</w:t>
      </w:r>
      <w:r w:rsidR="00407508">
        <w:rPr>
          <w:rFonts w:hint="cs"/>
          <w:rtl/>
        </w:rPr>
        <w:t xml:space="preserve">, </w:t>
      </w:r>
      <w:r w:rsidR="00156306">
        <w:rPr>
          <w:rFonts w:hint="cs"/>
          <w:rtl/>
        </w:rPr>
        <w:t>ה</w:t>
      </w:r>
      <w:r w:rsidR="00407508">
        <w:rPr>
          <w:rFonts w:hint="cs"/>
          <w:rtl/>
        </w:rPr>
        <w:t xml:space="preserve">הערכה הרבה שזכה לה </w:t>
      </w:r>
      <w:r w:rsidR="003F2CB4">
        <w:rPr>
          <w:rFonts w:hint="cs"/>
          <w:rtl/>
        </w:rPr>
        <w:t>בשירותו בצה"ל ובשב"ס</w:t>
      </w:r>
      <w:r w:rsidR="00EC640D">
        <w:rPr>
          <w:rFonts w:hint="cs"/>
          <w:rtl/>
        </w:rPr>
        <w:t>,</w:t>
      </w:r>
      <w:r w:rsidR="00156306">
        <w:rPr>
          <w:rFonts w:hint="cs"/>
          <w:rtl/>
        </w:rPr>
        <w:t xml:space="preserve"> </w:t>
      </w:r>
      <w:r w:rsidR="00307AC4">
        <w:rPr>
          <w:rFonts w:hint="cs"/>
          <w:rtl/>
        </w:rPr>
        <w:t xml:space="preserve">וקטיעת מהלך חייו עקב השיהוי הרב בהגשת כתב האישום </w:t>
      </w:r>
      <w:r w:rsidR="003F3CA5">
        <w:rPr>
          <w:rFonts w:hint="cs"/>
          <w:rtl/>
        </w:rPr>
        <w:t>-</w:t>
      </w:r>
      <w:r w:rsidR="00307AC4">
        <w:rPr>
          <w:rFonts w:hint="cs"/>
          <w:rtl/>
        </w:rPr>
        <w:t xml:space="preserve"> ראוי היה לקבוע את העונש בחלק</w:t>
      </w:r>
      <w:r w:rsidR="004E49C4">
        <w:rPr>
          <w:rFonts w:hint="cs"/>
          <w:rtl/>
        </w:rPr>
        <w:t>ם</w:t>
      </w:r>
      <w:r w:rsidR="00307AC4">
        <w:rPr>
          <w:rFonts w:hint="cs"/>
          <w:rtl/>
        </w:rPr>
        <w:t xml:space="preserve"> התחתון של </w:t>
      </w:r>
      <w:r w:rsidR="004E49C4">
        <w:rPr>
          <w:rFonts w:hint="cs"/>
          <w:rtl/>
        </w:rPr>
        <w:t>ה</w:t>
      </w:r>
      <w:r w:rsidR="00307AC4">
        <w:rPr>
          <w:rFonts w:hint="cs"/>
          <w:rtl/>
        </w:rPr>
        <w:t>מתח</w:t>
      </w:r>
      <w:r w:rsidR="004E49C4">
        <w:rPr>
          <w:rFonts w:hint="cs"/>
          <w:rtl/>
        </w:rPr>
        <w:t>מי</w:t>
      </w:r>
      <w:r w:rsidR="00307AC4">
        <w:rPr>
          <w:rFonts w:hint="cs"/>
          <w:rtl/>
        </w:rPr>
        <w:t xml:space="preserve">ם. </w:t>
      </w:r>
    </w:p>
    <w:p w14:paraId="4D4512F8" w14:textId="77777777" w:rsidR="00673148" w:rsidRDefault="005B2BAC" w:rsidP="005378FB">
      <w:pPr>
        <w:pStyle w:val="a3"/>
        <w:numPr>
          <w:ilvl w:val="0"/>
          <w:numId w:val="1"/>
        </w:numPr>
        <w:spacing w:after="240"/>
      </w:pPr>
      <w:r>
        <w:rPr>
          <w:rFonts w:hint="cs"/>
          <w:rtl/>
        </w:rPr>
        <w:t>התביעה</w:t>
      </w:r>
      <w:r w:rsidR="004E49C4">
        <w:rPr>
          <w:rFonts w:hint="cs"/>
          <w:rtl/>
        </w:rPr>
        <w:t>,</w:t>
      </w:r>
      <w:r>
        <w:rPr>
          <w:rFonts w:hint="cs"/>
          <w:rtl/>
        </w:rPr>
        <w:t xml:space="preserve"> בערעור</w:t>
      </w:r>
      <w:r w:rsidR="004E49C4">
        <w:rPr>
          <w:rFonts w:hint="cs"/>
          <w:rtl/>
        </w:rPr>
        <w:t>ה,</w:t>
      </w:r>
      <w:r>
        <w:rPr>
          <w:rFonts w:hint="cs"/>
          <w:rtl/>
        </w:rPr>
        <w:t xml:space="preserve"> שבה על עתירתה בפני בית הדין קמא, </w:t>
      </w:r>
      <w:r w:rsidR="005356E9">
        <w:rPr>
          <w:rFonts w:hint="cs"/>
          <w:rtl/>
        </w:rPr>
        <w:t xml:space="preserve">לקבוע מתחם עונש הולם הנע בין חמישה לעשרה חודשי מאסר בפועל בגין האירוע הראשון ובין ארבעה </w:t>
      </w:r>
      <w:r w:rsidR="0088031D">
        <w:rPr>
          <w:rFonts w:hint="cs"/>
          <w:rtl/>
        </w:rPr>
        <w:t>ל</w:t>
      </w:r>
      <w:r w:rsidR="005356E9">
        <w:rPr>
          <w:rFonts w:hint="cs"/>
          <w:rtl/>
        </w:rPr>
        <w:t>שמונה חודשי מאסר בפועל בגין האירוע השני</w:t>
      </w:r>
      <w:r w:rsidR="00D57370">
        <w:rPr>
          <w:rFonts w:hint="cs"/>
          <w:rtl/>
        </w:rPr>
        <w:t xml:space="preserve">, תוך שהדגישה </w:t>
      </w:r>
      <w:r w:rsidR="00806715">
        <w:rPr>
          <w:rFonts w:hint="cs"/>
          <w:rtl/>
        </w:rPr>
        <w:t xml:space="preserve">את </w:t>
      </w:r>
      <w:r w:rsidR="004E49C4">
        <w:rPr>
          <w:rFonts w:hint="cs"/>
          <w:rtl/>
        </w:rPr>
        <w:t xml:space="preserve">הפגיעה הקשה והממשית בערכים המוגנים ואת </w:t>
      </w:r>
      <w:r w:rsidR="00CF6794">
        <w:rPr>
          <w:rFonts w:hint="cs"/>
          <w:rtl/>
        </w:rPr>
        <w:t>ההיבטים המחמירים הגלומים בעבירות שביצע המערער, בשעה ש</w:t>
      </w:r>
      <w:r w:rsidR="00026A79">
        <w:rPr>
          <w:rFonts w:hint="cs"/>
          <w:rtl/>
        </w:rPr>
        <w:t>שירת כ</w:t>
      </w:r>
      <w:r w:rsidR="00BE7D30">
        <w:rPr>
          <w:rFonts w:hint="cs"/>
          <w:rtl/>
        </w:rPr>
        <w:t xml:space="preserve">מ"כ </w:t>
      </w:r>
      <w:r w:rsidR="00C923A9">
        <w:rPr>
          <w:rFonts w:hint="cs"/>
          <w:rtl/>
        </w:rPr>
        <w:t xml:space="preserve">לוחמים, </w:t>
      </w:r>
      <w:r w:rsidR="006073FF">
        <w:rPr>
          <w:rFonts w:hint="cs"/>
          <w:rtl/>
        </w:rPr>
        <w:t xml:space="preserve">ובכללם </w:t>
      </w:r>
      <w:r w:rsidR="00CF6794">
        <w:rPr>
          <w:rFonts w:hint="cs"/>
          <w:rtl/>
        </w:rPr>
        <w:t xml:space="preserve">הנזק שנגרם לנפגעת העבירה. </w:t>
      </w:r>
      <w:r w:rsidR="00A76CFA">
        <w:rPr>
          <w:rFonts w:hint="cs"/>
          <w:rtl/>
        </w:rPr>
        <w:t>כן ביקשה להפנות ל</w:t>
      </w:r>
      <w:r w:rsidR="00ED6BF0">
        <w:rPr>
          <w:rFonts w:hint="cs"/>
          <w:rtl/>
        </w:rPr>
        <w:t xml:space="preserve">מדיניות הענישה כפי שנקבעה </w:t>
      </w:r>
      <w:proofErr w:type="spellStart"/>
      <w:r w:rsidR="00ED6BF0">
        <w:rPr>
          <w:rFonts w:hint="cs"/>
          <w:rtl/>
        </w:rPr>
        <w:t>ב</w:t>
      </w:r>
      <w:r w:rsidR="00A76CFA">
        <w:rPr>
          <w:rFonts w:hint="cs"/>
          <w:rtl/>
        </w:rPr>
        <w:t>רע"פ</w:t>
      </w:r>
      <w:proofErr w:type="spellEnd"/>
      <w:r w:rsidR="00A76CFA">
        <w:rPr>
          <w:rFonts w:hint="cs"/>
          <w:rtl/>
        </w:rPr>
        <w:t xml:space="preserve"> </w:t>
      </w:r>
      <w:r w:rsidR="00221D50">
        <w:rPr>
          <w:rFonts w:hint="cs"/>
          <w:rtl/>
        </w:rPr>
        <w:t xml:space="preserve">624/22 </w:t>
      </w:r>
      <w:r w:rsidR="00221D50" w:rsidRPr="00F17CB0">
        <w:rPr>
          <w:rFonts w:hint="cs"/>
          <w:b/>
          <w:bCs/>
          <w:rtl/>
        </w:rPr>
        <w:t>פלוני נ' מדינת ישראל</w:t>
      </w:r>
      <w:r w:rsidR="00221D50">
        <w:rPr>
          <w:rFonts w:hint="cs"/>
          <w:rtl/>
        </w:rPr>
        <w:t xml:space="preserve"> (26.1.2022) </w:t>
      </w:r>
      <w:r w:rsidR="00EC640D">
        <w:rPr>
          <w:rFonts w:hint="cs"/>
          <w:rtl/>
        </w:rPr>
        <w:t>ו</w:t>
      </w:r>
      <w:r w:rsidR="00991CA2">
        <w:rPr>
          <w:rFonts w:hint="cs"/>
          <w:rtl/>
        </w:rPr>
        <w:t xml:space="preserve">ע"פ 6683/13 </w:t>
      </w:r>
      <w:proofErr w:type="spellStart"/>
      <w:r w:rsidR="00991CA2" w:rsidRPr="00F17CB0">
        <w:rPr>
          <w:rFonts w:hint="cs"/>
          <w:b/>
          <w:bCs/>
          <w:rtl/>
        </w:rPr>
        <w:t>ניסנוב</w:t>
      </w:r>
      <w:proofErr w:type="spellEnd"/>
      <w:r w:rsidR="00991CA2" w:rsidRPr="00F17CB0">
        <w:rPr>
          <w:rFonts w:hint="cs"/>
          <w:b/>
          <w:bCs/>
          <w:rtl/>
        </w:rPr>
        <w:t xml:space="preserve"> נ' מדינת ישראל </w:t>
      </w:r>
      <w:r w:rsidR="00991CA2">
        <w:rPr>
          <w:rFonts w:hint="cs"/>
          <w:rtl/>
        </w:rPr>
        <w:t>(5.1.2014)</w:t>
      </w:r>
      <w:r w:rsidR="00ED6BF0">
        <w:rPr>
          <w:rFonts w:hint="cs"/>
          <w:rtl/>
        </w:rPr>
        <w:t xml:space="preserve">. </w:t>
      </w:r>
      <w:r w:rsidR="00A3168C">
        <w:rPr>
          <w:rFonts w:hint="cs"/>
          <w:rtl/>
        </w:rPr>
        <w:t xml:space="preserve">בתוך מתחמי הענישה, סברה התביעה כי ראוי היה </w:t>
      </w:r>
      <w:r w:rsidR="001A1F40">
        <w:rPr>
          <w:rFonts w:hint="cs"/>
          <w:rtl/>
        </w:rPr>
        <w:t>לתת</w:t>
      </w:r>
      <w:r w:rsidR="00E67B07">
        <w:rPr>
          <w:rFonts w:hint="cs"/>
          <w:rtl/>
        </w:rPr>
        <w:t xml:space="preserve"> </w:t>
      </w:r>
      <w:r w:rsidR="00560AF9">
        <w:rPr>
          <w:rFonts w:hint="cs"/>
          <w:rtl/>
        </w:rPr>
        <w:t>משקל רב יותר לקושי שנגרם לנפגעת עקב החלטת המערער לנהל את ההליך במלואו</w:t>
      </w:r>
      <w:r w:rsidR="006073FF">
        <w:rPr>
          <w:rFonts w:hint="cs"/>
          <w:rtl/>
        </w:rPr>
        <w:t>, ול</w:t>
      </w:r>
      <w:r w:rsidR="00EC640D">
        <w:rPr>
          <w:rFonts w:hint="cs"/>
          <w:rtl/>
        </w:rPr>
        <w:t>השית על ה</w:t>
      </w:r>
      <w:r w:rsidR="006073FF">
        <w:rPr>
          <w:rFonts w:hint="cs"/>
          <w:rtl/>
        </w:rPr>
        <w:t>מערער עונש</w:t>
      </w:r>
      <w:r w:rsidR="007E786F">
        <w:rPr>
          <w:rFonts w:hint="cs"/>
          <w:rtl/>
        </w:rPr>
        <w:t>ים נפרדים,</w:t>
      </w:r>
      <w:r w:rsidR="006073FF">
        <w:rPr>
          <w:rFonts w:hint="cs"/>
          <w:rtl/>
        </w:rPr>
        <w:t xml:space="preserve"> מצטבר</w:t>
      </w:r>
      <w:r w:rsidR="007E786F">
        <w:rPr>
          <w:rFonts w:hint="cs"/>
          <w:rtl/>
        </w:rPr>
        <w:t>ים</w:t>
      </w:r>
      <w:r w:rsidR="006073FF">
        <w:rPr>
          <w:rFonts w:hint="cs"/>
          <w:rtl/>
        </w:rPr>
        <w:t xml:space="preserve"> ומחמיר</w:t>
      </w:r>
      <w:r w:rsidR="007E786F">
        <w:rPr>
          <w:rFonts w:hint="cs"/>
          <w:rtl/>
        </w:rPr>
        <w:t>ים</w:t>
      </w:r>
      <w:r w:rsidR="006073FF">
        <w:rPr>
          <w:rFonts w:hint="cs"/>
          <w:rtl/>
        </w:rPr>
        <w:t>, המבטא</w:t>
      </w:r>
      <w:r w:rsidR="007E786F">
        <w:rPr>
          <w:rFonts w:hint="cs"/>
          <w:rtl/>
        </w:rPr>
        <w:t>ים</w:t>
      </w:r>
      <w:r w:rsidR="006073FF">
        <w:rPr>
          <w:rFonts w:hint="cs"/>
          <w:rtl/>
        </w:rPr>
        <w:t xml:space="preserve"> את שיקולי הרתעת היחיד והרבים</w:t>
      </w:r>
      <w:r w:rsidR="00B9606B">
        <w:rPr>
          <w:rFonts w:hint="cs"/>
          <w:rtl/>
        </w:rPr>
        <w:t>. עוד סבורה התביעה כי אין מקום לתת משקל לזמן שחלף מאז האירוע,</w:t>
      </w:r>
      <w:r w:rsidR="00EA4442">
        <w:rPr>
          <w:rFonts w:hint="cs"/>
          <w:rtl/>
        </w:rPr>
        <w:t xml:space="preserve"> משחלק מ</w:t>
      </w:r>
      <w:r w:rsidR="001A1F40">
        <w:rPr>
          <w:rFonts w:hint="cs"/>
          <w:rtl/>
        </w:rPr>
        <w:t xml:space="preserve">התקופה </w:t>
      </w:r>
      <w:r w:rsidR="00EA4442">
        <w:rPr>
          <w:rFonts w:hint="cs"/>
          <w:rtl/>
        </w:rPr>
        <w:t>מקור</w:t>
      </w:r>
      <w:r w:rsidR="001A1F40">
        <w:rPr>
          <w:rFonts w:hint="cs"/>
          <w:rtl/>
        </w:rPr>
        <w:t>ה</w:t>
      </w:r>
      <w:r w:rsidR="00EA4442">
        <w:rPr>
          <w:rFonts w:hint="cs"/>
          <w:rtl/>
        </w:rPr>
        <w:t xml:space="preserve"> בניהול ההליך עד תומו, </w:t>
      </w:r>
      <w:proofErr w:type="spellStart"/>
      <w:r w:rsidR="00EA4442">
        <w:rPr>
          <w:rFonts w:hint="cs"/>
          <w:rtl/>
        </w:rPr>
        <w:t>ו</w:t>
      </w:r>
      <w:r w:rsidR="00B9606B">
        <w:rPr>
          <w:rFonts w:hint="cs"/>
          <w:rtl/>
        </w:rPr>
        <w:t>משלא</w:t>
      </w:r>
      <w:proofErr w:type="spellEnd"/>
      <w:r w:rsidR="00B9606B">
        <w:rPr>
          <w:rFonts w:hint="cs"/>
          <w:rtl/>
        </w:rPr>
        <w:t xml:space="preserve"> היה ב</w:t>
      </w:r>
      <w:r w:rsidR="00EA4442">
        <w:rPr>
          <w:rFonts w:hint="cs"/>
          <w:rtl/>
        </w:rPr>
        <w:t>חלוף הזמן</w:t>
      </w:r>
      <w:r w:rsidR="00B9606B">
        <w:rPr>
          <w:rFonts w:hint="cs"/>
          <w:rtl/>
        </w:rPr>
        <w:t xml:space="preserve"> כדי לשנות את תפיסתו של המערער </w:t>
      </w:r>
      <w:r w:rsidR="00EA4442">
        <w:rPr>
          <w:rFonts w:hint="cs"/>
          <w:rtl/>
        </w:rPr>
        <w:t xml:space="preserve">בנוגע למעשים. </w:t>
      </w:r>
      <w:r w:rsidR="001A1F40">
        <w:rPr>
          <w:rFonts w:hint="cs"/>
          <w:rtl/>
        </w:rPr>
        <w:t xml:space="preserve">לבסוף נטען, כי </w:t>
      </w:r>
      <w:r w:rsidR="00E0547F">
        <w:rPr>
          <w:rFonts w:hint="cs"/>
          <w:rtl/>
        </w:rPr>
        <w:t xml:space="preserve">שיעור הפיצוי שנפסק אינו </w:t>
      </w:r>
      <w:r w:rsidR="00F17CB0">
        <w:rPr>
          <w:rFonts w:hint="cs"/>
          <w:rtl/>
        </w:rPr>
        <w:t xml:space="preserve">מבטא באופן הולם </w:t>
      </w:r>
      <w:r w:rsidR="00E0547F">
        <w:rPr>
          <w:rFonts w:hint="cs"/>
          <w:rtl/>
        </w:rPr>
        <w:t xml:space="preserve">את </w:t>
      </w:r>
      <w:r w:rsidR="002836F5">
        <w:rPr>
          <w:rFonts w:hint="cs"/>
          <w:rtl/>
        </w:rPr>
        <w:t>מידת הנזק שנגר</w:t>
      </w:r>
      <w:r w:rsidR="00EC640D">
        <w:rPr>
          <w:rFonts w:hint="cs"/>
          <w:rtl/>
        </w:rPr>
        <w:t>ם</w:t>
      </w:r>
      <w:r w:rsidR="002836F5">
        <w:rPr>
          <w:rFonts w:hint="cs"/>
          <w:rtl/>
        </w:rPr>
        <w:t xml:space="preserve"> לנפגעת העבירה, ו</w:t>
      </w:r>
      <w:r w:rsidR="00F17CB0">
        <w:rPr>
          <w:rFonts w:hint="cs"/>
          <w:rtl/>
        </w:rPr>
        <w:t xml:space="preserve">אינו עולה </w:t>
      </w:r>
      <w:r w:rsidR="002836F5">
        <w:rPr>
          <w:rFonts w:hint="cs"/>
          <w:rtl/>
        </w:rPr>
        <w:t xml:space="preserve"> בקנה אחד עם המקובל במדיניות הענישה שאליה הפנה בית הדין קמא (עניין </w:t>
      </w:r>
      <w:proofErr w:type="spellStart"/>
      <w:r w:rsidR="002836F5" w:rsidRPr="00F17CB0">
        <w:rPr>
          <w:rFonts w:hint="cs"/>
          <w:b/>
          <w:bCs/>
          <w:rtl/>
        </w:rPr>
        <w:t>מגנאג'י</w:t>
      </w:r>
      <w:proofErr w:type="spellEnd"/>
      <w:r w:rsidR="002836F5" w:rsidRPr="00F17CB0">
        <w:rPr>
          <w:rFonts w:hint="cs"/>
          <w:b/>
          <w:bCs/>
          <w:rtl/>
        </w:rPr>
        <w:t xml:space="preserve">, בן </w:t>
      </w:r>
      <w:proofErr w:type="spellStart"/>
      <w:r w:rsidR="002836F5" w:rsidRPr="00F17CB0">
        <w:rPr>
          <w:rFonts w:hint="cs"/>
          <w:b/>
          <w:bCs/>
          <w:rtl/>
        </w:rPr>
        <w:t>סדון</w:t>
      </w:r>
      <w:proofErr w:type="spellEnd"/>
      <w:r w:rsidR="002836F5" w:rsidRPr="00F17CB0">
        <w:rPr>
          <w:rFonts w:hint="cs"/>
          <w:b/>
          <w:bCs/>
          <w:rtl/>
        </w:rPr>
        <w:t xml:space="preserve"> </w:t>
      </w:r>
      <w:r w:rsidR="002836F5">
        <w:rPr>
          <w:rFonts w:hint="cs"/>
          <w:rtl/>
        </w:rPr>
        <w:t>ו</w:t>
      </w:r>
      <w:r w:rsidR="002836F5" w:rsidRPr="00F17CB0">
        <w:rPr>
          <w:rFonts w:hint="cs"/>
          <w:b/>
          <w:bCs/>
          <w:rtl/>
        </w:rPr>
        <w:t xml:space="preserve">תורג'מן </w:t>
      </w:r>
      <w:r w:rsidR="002836F5">
        <w:rPr>
          <w:rFonts w:hint="cs"/>
          <w:rtl/>
        </w:rPr>
        <w:t xml:space="preserve">לעיל). </w:t>
      </w:r>
      <w:r w:rsidR="00B9606B">
        <w:rPr>
          <w:rFonts w:hint="cs"/>
          <w:rtl/>
        </w:rPr>
        <w:t xml:space="preserve"> </w:t>
      </w:r>
    </w:p>
    <w:p w14:paraId="6DF58DDB" w14:textId="77777777" w:rsidR="003C08BC" w:rsidRDefault="009713E0" w:rsidP="005F4C67">
      <w:pPr>
        <w:pStyle w:val="a3"/>
        <w:numPr>
          <w:ilvl w:val="0"/>
          <w:numId w:val="1"/>
        </w:numPr>
        <w:spacing w:after="240"/>
      </w:pPr>
      <w:r>
        <w:rPr>
          <w:rFonts w:hint="cs"/>
          <w:rtl/>
        </w:rPr>
        <w:t xml:space="preserve"> </w:t>
      </w:r>
      <w:r w:rsidR="00EC5C55">
        <w:rPr>
          <w:rFonts w:hint="cs"/>
          <w:rtl/>
        </w:rPr>
        <w:t xml:space="preserve">במהלך הדיון </w:t>
      </w:r>
      <w:r w:rsidR="003229CB">
        <w:rPr>
          <w:rFonts w:hint="cs"/>
          <w:rtl/>
        </w:rPr>
        <w:t>בבית הדין</w:t>
      </w:r>
      <w:r w:rsidR="00B45444">
        <w:rPr>
          <w:rFonts w:hint="cs"/>
          <w:rtl/>
        </w:rPr>
        <w:t>, לאחר שמיעת טיעוני הצדדים, ה</w:t>
      </w:r>
      <w:r w:rsidR="00DF03A0">
        <w:rPr>
          <w:rFonts w:hint="cs"/>
          <w:rtl/>
        </w:rPr>
        <w:t>צענו להם מ</w:t>
      </w:r>
      <w:r w:rsidR="00B45444">
        <w:rPr>
          <w:rFonts w:hint="cs"/>
          <w:rtl/>
        </w:rPr>
        <w:t xml:space="preserve">תווה לסיום הדיון בערעור בהסכמה, </w:t>
      </w:r>
      <w:r w:rsidR="006073FF">
        <w:rPr>
          <w:rFonts w:hint="cs"/>
          <w:rtl/>
        </w:rPr>
        <w:t xml:space="preserve">תוך הגדלה משמעותית של סכום הפיצויים, </w:t>
      </w:r>
      <w:r w:rsidR="00B45444">
        <w:rPr>
          <w:rFonts w:hint="cs"/>
          <w:rtl/>
        </w:rPr>
        <w:t>באופן ש</w:t>
      </w:r>
      <w:r w:rsidR="00DF03A0">
        <w:rPr>
          <w:rFonts w:hint="cs"/>
          <w:rtl/>
        </w:rPr>
        <w:t xml:space="preserve">יבטא </w:t>
      </w:r>
      <w:r w:rsidR="001A06DF">
        <w:rPr>
          <w:rFonts w:hint="cs"/>
          <w:rtl/>
        </w:rPr>
        <w:t>את הנזק שנגרם לנפגעת העבירה ו</w:t>
      </w:r>
      <w:r w:rsidR="00EC640D">
        <w:rPr>
          <w:rFonts w:hint="cs"/>
          <w:rtl/>
        </w:rPr>
        <w:t xml:space="preserve">את </w:t>
      </w:r>
      <w:r w:rsidR="001A06DF">
        <w:rPr>
          <w:rFonts w:hint="cs"/>
          <w:rtl/>
        </w:rPr>
        <w:t xml:space="preserve">נטילת </w:t>
      </w:r>
      <w:r w:rsidR="00EC640D">
        <w:rPr>
          <w:rFonts w:hint="cs"/>
          <w:rtl/>
        </w:rPr>
        <w:t>ה</w:t>
      </w:r>
      <w:r w:rsidR="001A06DF">
        <w:rPr>
          <w:rFonts w:hint="cs"/>
          <w:rtl/>
        </w:rPr>
        <w:t xml:space="preserve">אחריות </w:t>
      </w:r>
      <w:r w:rsidR="00EC640D">
        <w:rPr>
          <w:rFonts w:hint="cs"/>
          <w:rtl/>
        </w:rPr>
        <w:t>ה</w:t>
      </w:r>
      <w:r w:rsidR="001A06DF">
        <w:rPr>
          <w:rFonts w:hint="cs"/>
          <w:rtl/>
        </w:rPr>
        <w:t>מלאה מצד המערער</w:t>
      </w:r>
      <w:r w:rsidR="006073FF">
        <w:rPr>
          <w:rFonts w:hint="cs"/>
          <w:rtl/>
        </w:rPr>
        <w:t xml:space="preserve"> ו</w:t>
      </w:r>
      <w:r w:rsidR="00EC640D">
        <w:rPr>
          <w:rFonts w:hint="cs"/>
          <w:rtl/>
        </w:rPr>
        <w:t xml:space="preserve">יוביל </w:t>
      </w:r>
      <w:r w:rsidR="006073FF">
        <w:rPr>
          <w:rFonts w:hint="cs"/>
          <w:rtl/>
        </w:rPr>
        <w:t>להקלת מה בעונשו</w:t>
      </w:r>
      <w:r w:rsidR="001A06DF">
        <w:rPr>
          <w:rFonts w:hint="cs"/>
          <w:rtl/>
        </w:rPr>
        <w:t>.</w:t>
      </w:r>
      <w:r w:rsidR="007A4374">
        <w:rPr>
          <w:rFonts w:hint="cs"/>
          <w:rtl/>
        </w:rPr>
        <w:t xml:space="preserve"> </w:t>
      </w:r>
      <w:r w:rsidR="00ED51EB">
        <w:rPr>
          <w:rFonts w:hint="cs"/>
          <w:rtl/>
        </w:rPr>
        <w:t xml:space="preserve">ההגנה הסכימה למתווה </w:t>
      </w:r>
      <w:r w:rsidR="0079505F">
        <w:rPr>
          <w:rFonts w:hint="cs"/>
          <w:rtl/>
        </w:rPr>
        <w:t>המוצע,</w:t>
      </w:r>
      <w:r w:rsidR="00A45499">
        <w:rPr>
          <w:rFonts w:hint="cs"/>
          <w:rtl/>
        </w:rPr>
        <w:t xml:space="preserve"> והמערער הודה ב</w:t>
      </w:r>
      <w:r w:rsidR="00EC640D">
        <w:rPr>
          <w:rFonts w:hint="cs"/>
          <w:rtl/>
        </w:rPr>
        <w:t>ביצוע ה</w:t>
      </w:r>
      <w:r w:rsidR="00A45499">
        <w:rPr>
          <w:rFonts w:hint="cs"/>
          <w:rtl/>
        </w:rPr>
        <w:t xml:space="preserve">עבירות </w:t>
      </w:r>
      <w:r w:rsidR="006073FF">
        <w:rPr>
          <w:rFonts w:hint="cs"/>
          <w:rtl/>
        </w:rPr>
        <w:t xml:space="preserve">לפנינו </w:t>
      </w:r>
      <w:r w:rsidR="003C08BC">
        <w:rPr>
          <w:rFonts w:hint="cs"/>
          <w:rtl/>
        </w:rPr>
        <w:t>והתנצל בפני נפגעת העבירה</w:t>
      </w:r>
      <w:r w:rsidR="00EC640D">
        <w:rPr>
          <w:rFonts w:hint="cs"/>
          <w:rtl/>
        </w:rPr>
        <w:t xml:space="preserve"> </w:t>
      </w:r>
      <w:r w:rsidR="00FA7DB9">
        <w:rPr>
          <w:rFonts w:hint="cs"/>
          <w:rtl/>
        </w:rPr>
        <w:t xml:space="preserve">(האחרונה לא </w:t>
      </w:r>
      <w:r w:rsidR="006073FF">
        <w:rPr>
          <w:rFonts w:hint="cs"/>
          <w:rtl/>
        </w:rPr>
        <w:t>נכחה בדיון</w:t>
      </w:r>
      <w:r w:rsidR="00FA7DB9">
        <w:rPr>
          <w:rFonts w:hint="cs"/>
          <w:rtl/>
        </w:rPr>
        <w:t xml:space="preserve">, אולם יוצגה בו על ידי באת כוחה שהודיעה, על דעתה, כי </w:t>
      </w:r>
      <w:r w:rsidR="00FA7DB9">
        <w:rPr>
          <w:rFonts w:hint="cs"/>
          <w:rtl/>
        </w:rPr>
        <w:lastRenderedPageBreak/>
        <w:t>הדברים מקובלים גם עליה</w:t>
      </w:r>
      <w:r w:rsidR="00354693">
        <w:rPr>
          <w:rFonts w:hint="cs"/>
          <w:rtl/>
        </w:rPr>
        <w:t xml:space="preserve">, </w:t>
      </w:r>
      <w:r w:rsidR="006073FF">
        <w:rPr>
          <w:rFonts w:hint="cs"/>
          <w:rtl/>
        </w:rPr>
        <w:t>מ</w:t>
      </w:r>
      <w:r w:rsidR="00EC5C55">
        <w:rPr>
          <w:rFonts w:hint="cs"/>
          <w:rtl/>
        </w:rPr>
        <w:t xml:space="preserve">בלי </w:t>
      </w:r>
      <w:r w:rsidR="006073FF">
        <w:rPr>
          <w:rFonts w:hint="cs"/>
          <w:rtl/>
        </w:rPr>
        <w:t>לגרוע מ</w:t>
      </w:r>
      <w:r w:rsidR="00EC5C55">
        <w:rPr>
          <w:rFonts w:hint="cs"/>
          <w:rtl/>
        </w:rPr>
        <w:t xml:space="preserve">זכותה להגיש תביעת פיצויים אזרחית). </w:t>
      </w:r>
      <w:r w:rsidR="005323AC">
        <w:rPr>
          <w:rFonts w:hint="cs"/>
          <w:rtl/>
        </w:rPr>
        <w:t>התביעה</w:t>
      </w:r>
      <w:r w:rsidR="006073FF">
        <w:rPr>
          <w:rFonts w:hint="cs"/>
          <w:rtl/>
        </w:rPr>
        <w:t xml:space="preserve">, לעומת זאת, </w:t>
      </w:r>
      <w:r w:rsidR="005323AC">
        <w:rPr>
          <w:rFonts w:hint="cs"/>
          <w:rtl/>
        </w:rPr>
        <w:t>הודיעה כי תעמוד על ערעורה</w:t>
      </w:r>
      <w:r w:rsidR="004B333C">
        <w:rPr>
          <w:rFonts w:hint="cs"/>
          <w:rtl/>
        </w:rPr>
        <w:t xml:space="preserve"> בשל שיקולי החומרה הגלומים במעשיו של המערער</w:t>
      </w:r>
      <w:r w:rsidR="005323AC">
        <w:rPr>
          <w:rFonts w:hint="cs"/>
          <w:rtl/>
        </w:rPr>
        <w:t xml:space="preserve">. ימים ספורים </w:t>
      </w:r>
      <w:r w:rsidR="008C6978">
        <w:rPr>
          <w:rFonts w:hint="cs"/>
          <w:rtl/>
        </w:rPr>
        <w:t xml:space="preserve">לאחר הדיון הועבר למזכירות בית הדין </w:t>
      </w:r>
      <w:r w:rsidR="001A5D66">
        <w:rPr>
          <w:rFonts w:hint="cs"/>
          <w:rtl/>
        </w:rPr>
        <w:t xml:space="preserve">הצבאי לערעורים </w:t>
      </w:r>
      <w:r w:rsidR="008C6978">
        <w:rPr>
          <w:rFonts w:hint="cs"/>
          <w:rtl/>
        </w:rPr>
        <w:t>אישור על כך ש</w:t>
      </w:r>
      <w:r w:rsidR="001A5D66">
        <w:rPr>
          <w:rFonts w:hint="cs"/>
          <w:rtl/>
        </w:rPr>
        <w:t>המערער שילם</w:t>
      </w:r>
      <w:r w:rsidR="006073FF">
        <w:rPr>
          <w:rFonts w:hint="cs"/>
          <w:rtl/>
        </w:rPr>
        <w:t xml:space="preserve"> לנפגעת העבירה </w:t>
      </w:r>
      <w:r w:rsidR="001A5D66">
        <w:rPr>
          <w:rFonts w:hint="cs"/>
          <w:rtl/>
        </w:rPr>
        <w:t xml:space="preserve">את סכום הפיצויים </w:t>
      </w:r>
      <w:r w:rsidR="006073FF">
        <w:rPr>
          <w:rFonts w:hint="cs"/>
          <w:rtl/>
        </w:rPr>
        <w:t xml:space="preserve">המדובר, </w:t>
      </w:r>
      <w:r w:rsidR="004B333C">
        <w:rPr>
          <w:rFonts w:hint="cs"/>
          <w:rtl/>
        </w:rPr>
        <w:t>בסך 30,000 ש"ח</w:t>
      </w:r>
      <w:r w:rsidR="005F4C67">
        <w:rPr>
          <w:rFonts w:hint="cs"/>
          <w:rtl/>
        </w:rPr>
        <w:t>.</w:t>
      </w:r>
      <w:r w:rsidR="001A5D66">
        <w:rPr>
          <w:rFonts w:hint="cs"/>
          <w:rtl/>
        </w:rPr>
        <w:t xml:space="preserve"> </w:t>
      </w:r>
    </w:p>
    <w:p w14:paraId="004FFBA1" w14:textId="77777777" w:rsidR="00EC5C55" w:rsidRDefault="001A5D66" w:rsidP="005F4C67">
      <w:pPr>
        <w:pStyle w:val="a3"/>
        <w:numPr>
          <w:ilvl w:val="0"/>
          <w:numId w:val="1"/>
        </w:numPr>
        <w:spacing w:after="240"/>
      </w:pPr>
      <w:r>
        <w:rPr>
          <w:rFonts w:hint="cs"/>
          <w:rtl/>
        </w:rPr>
        <w:t>נותר אפוא להכריע ב</w:t>
      </w:r>
      <w:r w:rsidR="00A45499">
        <w:rPr>
          <w:rFonts w:hint="cs"/>
          <w:rtl/>
        </w:rPr>
        <w:t xml:space="preserve">ערעוריהם של הצדדים בנוגע למידתו </w:t>
      </w:r>
      <w:r w:rsidR="00364772">
        <w:rPr>
          <w:rFonts w:hint="cs"/>
          <w:rtl/>
        </w:rPr>
        <w:t xml:space="preserve">של </w:t>
      </w:r>
      <w:r w:rsidR="00BE7D30">
        <w:rPr>
          <w:rFonts w:hint="cs"/>
          <w:rtl/>
        </w:rPr>
        <w:t xml:space="preserve">רכיב </w:t>
      </w:r>
      <w:r w:rsidR="00A45499">
        <w:rPr>
          <w:rFonts w:hint="cs"/>
          <w:rtl/>
        </w:rPr>
        <w:t>המאסר בפועל ש</w:t>
      </w:r>
      <w:r w:rsidR="00BE7D30">
        <w:rPr>
          <w:rFonts w:hint="cs"/>
          <w:rtl/>
        </w:rPr>
        <w:t xml:space="preserve">הושת </w:t>
      </w:r>
      <w:r w:rsidR="00A45499">
        <w:rPr>
          <w:rFonts w:hint="cs"/>
          <w:rtl/>
        </w:rPr>
        <w:t xml:space="preserve">על המערער. </w:t>
      </w:r>
      <w:r w:rsidR="003C08BC">
        <w:rPr>
          <w:rFonts w:hint="cs"/>
          <w:rtl/>
        </w:rPr>
        <w:t>לעניין זה נ</w:t>
      </w:r>
      <w:r w:rsidR="00BE7D30">
        <w:rPr>
          <w:rFonts w:hint="cs"/>
          <w:rtl/>
        </w:rPr>
        <w:t>ציין</w:t>
      </w:r>
      <w:r w:rsidR="003C08BC">
        <w:rPr>
          <w:rFonts w:hint="cs"/>
          <w:rtl/>
        </w:rPr>
        <w:t xml:space="preserve">, כי על פי החלטת בית הדין קמא נדרש המערער להתייצב לריצוי עונשו </w:t>
      </w:r>
      <w:r w:rsidR="00BE7D30">
        <w:rPr>
          <w:rFonts w:hint="cs"/>
          <w:rtl/>
        </w:rPr>
        <w:t xml:space="preserve">עוד </w:t>
      </w:r>
      <w:r w:rsidR="003C08BC">
        <w:rPr>
          <w:rFonts w:hint="cs"/>
          <w:rtl/>
        </w:rPr>
        <w:t xml:space="preserve">ביום </w:t>
      </w:r>
      <w:r w:rsidR="000E7B39">
        <w:rPr>
          <w:rFonts w:hint="cs"/>
          <w:rtl/>
        </w:rPr>
        <w:t>28 ב</w:t>
      </w:r>
      <w:r w:rsidR="004C0025">
        <w:rPr>
          <w:rFonts w:hint="cs"/>
          <w:rtl/>
        </w:rPr>
        <w:t>אוגוסט</w:t>
      </w:r>
      <w:r w:rsidR="000E7B39">
        <w:rPr>
          <w:rFonts w:hint="cs"/>
          <w:rtl/>
        </w:rPr>
        <w:t xml:space="preserve"> 2025, אולם במהלך הדיון בערעור התברר כי לא עשה כן</w:t>
      </w:r>
      <w:r w:rsidR="004C0025">
        <w:rPr>
          <w:rFonts w:hint="cs"/>
          <w:rtl/>
        </w:rPr>
        <w:t xml:space="preserve">, </w:t>
      </w:r>
      <w:r w:rsidR="00364772">
        <w:rPr>
          <w:rFonts w:hint="cs"/>
          <w:rtl/>
        </w:rPr>
        <w:t xml:space="preserve">אף שלא הוגשה </w:t>
      </w:r>
      <w:r w:rsidR="004C0025">
        <w:rPr>
          <w:rFonts w:hint="cs"/>
          <w:rtl/>
        </w:rPr>
        <w:t xml:space="preserve">בקשה </w:t>
      </w:r>
      <w:r w:rsidR="00364772">
        <w:rPr>
          <w:rFonts w:hint="cs"/>
          <w:rtl/>
        </w:rPr>
        <w:t xml:space="preserve">כלשהי </w:t>
      </w:r>
      <w:r w:rsidR="004C0025">
        <w:rPr>
          <w:rFonts w:hint="cs"/>
          <w:rtl/>
        </w:rPr>
        <w:t>לעיכוב ביצוע</w:t>
      </w:r>
      <w:r w:rsidR="00364772">
        <w:rPr>
          <w:rFonts w:hint="cs"/>
          <w:rtl/>
        </w:rPr>
        <w:t>ו של</w:t>
      </w:r>
      <w:r w:rsidR="004C0025">
        <w:rPr>
          <w:rFonts w:hint="cs"/>
          <w:rtl/>
        </w:rPr>
        <w:t xml:space="preserve"> העונש</w:t>
      </w:r>
      <w:r w:rsidR="000E7B39">
        <w:rPr>
          <w:rFonts w:hint="cs"/>
          <w:rtl/>
        </w:rPr>
        <w:t xml:space="preserve">. בא כוחו של המערער טען בפנינו, כי האחריות לכך מוטלת עליו, </w:t>
      </w:r>
      <w:proofErr w:type="spellStart"/>
      <w:r w:rsidR="000E7B39">
        <w:rPr>
          <w:rFonts w:hint="cs"/>
          <w:rtl/>
        </w:rPr>
        <w:t>משלא</w:t>
      </w:r>
      <w:proofErr w:type="spellEnd"/>
      <w:r w:rsidR="001C34AC">
        <w:rPr>
          <w:rFonts w:hint="cs"/>
          <w:rtl/>
        </w:rPr>
        <w:t xml:space="preserve"> </w:t>
      </w:r>
      <w:r w:rsidR="000E7B39">
        <w:rPr>
          <w:rFonts w:hint="cs"/>
          <w:rtl/>
        </w:rPr>
        <w:t>הבהיר למערער כי אין בהגשת הערעור כדי לעכב את ביצוע העונש, ללא הגשת בקשה מתאימה</w:t>
      </w:r>
      <w:r w:rsidR="00E74421">
        <w:rPr>
          <w:rFonts w:hint="cs"/>
          <w:rtl/>
        </w:rPr>
        <w:t xml:space="preserve">, </w:t>
      </w:r>
      <w:proofErr w:type="spellStart"/>
      <w:r w:rsidR="00364772">
        <w:rPr>
          <w:rFonts w:hint="cs"/>
          <w:rtl/>
        </w:rPr>
        <w:t>ומ</w:t>
      </w:r>
      <w:r w:rsidR="00E74421">
        <w:rPr>
          <w:rFonts w:hint="cs"/>
          <w:rtl/>
        </w:rPr>
        <w:t>שלא</w:t>
      </w:r>
      <w:proofErr w:type="spellEnd"/>
      <w:r w:rsidR="00E74421">
        <w:rPr>
          <w:rFonts w:hint="cs"/>
          <w:rtl/>
        </w:rPr>
        <w:t xml:space="preserve"> הגיש בקשה </w:t>
      </w:r>
      <w:r w:rsidR="00364772">
        <w:rPr>
          <w:rFonts w:hint="cs"/>
          <w:rtl/>
        </w:rPr>
        <w:t>כאמור</w:t>
      </w:r>
      <w:r w:rsidR="001C34AC">
        <w:rPr>
          <w:rFonts w:hint="cs"/>
          <w:rtl/>
        </w:rPr>
        <w:t>. בנסיבות אלה</w:t>
      </w:r>
      <w:r w:rsidR="00D039DD">
        <w:rPr>
          <w:rFonts w:hint="cs"/>
          <w:rtl/>
        </w:rPr>
        <w:t>, ולפנים משורת הדין,</w:t>
      </w:r>
      <w:r w:rsidR="001C34AC">
        <w:rPr>
          <w:rFonts w:hint="cs"/>
          <w:rtl/>
        </w:rPr>
        <w:t xml:space="preserve"> מצאנו שלא לנקוט צעדים כנגד המערער בשל אי </w:t>
      </w:r>
      <w:r w:rsidR="00883F62">
        <w:rPr>
          <w:rFonts w:hint="cs"/>
          <w:rtl/>
        </w:rPr>
        <w:t xml:space="preserve">ההתייצבות לריצוי עונשו במועד, וקבענו כי </w:t>
      </w:r>
      <w:r w:rsidR="007C15EF">
        <w:rPr>
          <w:rFonts w:hint="cs"/>
          <w:rtl/>
        </w:rPr>
        <w:t xml:space="preserve">המערער יתייצב לריצוי עונשו ביום 14 בדצמבר 2025. </w:t>
      </w:r>
      <w:r w:rsidR="000E7B39">
        <w:rPr>
          <w:rFonts w:hint="cs"/>
          <w:rtl/>
        </w:rPr>
        <w:t xml:space="preserve"> </w:t>
      </w:r>
    </w:p>
    <w:p w14:paraId="177506B7" w14:textId="77777777" w:rsidR="0060359E" w:rsidRDefault="0060359E" w:rsidP="0060359E">
      <w:pPr>
        <w:pStyle w:val="2"/>
        <w:rPr>
          <w:rtl/>
        </w:rPr>
      </w:pPr>
      <w:r>
        <w:rPr>
          <w:rFonts w:hint="cs"/>
          <w:rtl/>
        </w:rPr>
        <w:t>דיון והכרעה</w:t>
      </w:r>
    </w:p>
    <w:p w14:paraId="7F8F48EF" w14:textId="77777777" w:rsidR="001A5D66" w:rsidRPr="003A05E9" w:rsidRDefault="001A5D66" w:rsidP="001A5D66">
      <w:pPr>
        <w:rPr>
          <w:sz w:val="2"/>
          <w:szCs w:val="4"/>
        </w:rPr>
      </w:pPr>
    </w:p>
    <w:p w14:paraId="36EDF8B5" w14:textId="77777777" w:rsidR="00A53AF3" w:rsidRPr="00EC0E88" w:rsidRDefault="00DB39F7" w:rsidP="00EC0E88">
      <w:pPr>
        <w:pStyle w:val="a3"/>
        <w:widowControl w:val="0"/>
        <w:numPr>
          <w:ilvl w:val="0"/>
          <w:numId w:val="1"/>
        </w:numPr>
        <w:spacing w:after="240" w:line="353" w:lineRule="auto"/>
        <w:outlineLvl w:val="0"/>
        <w:rPr>
          <w:rFonts w:ascii="David" w:hAnsi="David"/>
          <w:sz w:val="28"/>
        </w:rPr>
      </w:pPr>
      <w:r w:rsidRPr="00EC0E88">
        <w:rPr>
          <w:rFonts w:ascii="David" w:hAnsi="David" w:hint="cs"/>
          <w:sz w:val="28"/>
          <w:rtl/>
        </w:rPr>
        <w:t>בבואנו להכריע בערעורי הצדדים, נתנו דעתנו לכך שב</w:t>
      </w:r>
      <w:r w:rsidR="00A53AF3" w:rsidRPr="00EC0E88">
        <w:rPr>
          <w:rFonts w:ascii="David" w:hAnsi="David" w:hint="cs"/>
          <w:sz w:val="28"/>
          <w:rtl/>
        </w:rPr>
        <w:t>מעשיו</w:t>
      </w:r>
      <w:r w:rsidR="00364772">
        <w:rPr>
          <w:rFonts w:ascii="David" w:hAnsi="David" w:hint="cs"/>
          <w:sz w:val="28"/>
          <w:rtl/>
        </w:rPr>
        <w:t xml:space="preserve">, פגע </w:t>
      </w:r>
      <w:r w:rsidR="00A53AF3" w:rsidRPr="00EC0E88">
        <w:rPr>
          <w:rFonts w:ascii="David" w:hAnsi="David" w:hint="cs"/>
          <w:sz w:val="28"/>
          <w:rtl/>
        </w:rPr>
        <w:t>המערער פגיעה חמורה בערכים המוגנים</w:t>
      </w:r>
      <w:r w:rsidRPr="00EC0E88">
        <w:rPr>
          <w:rFonts w:ascii="David" w:hAnsi="David" w:hint="cs"/>
          <w:sz w:val="28"/>
          <w:rtl/>
        </w:rPr>
        <w:t xml:space="preserve"> </w:t>
      </w:r>
      <w:r w:rsidR="00A53AF3" w:rsidRPr="00EC0E88">
        <w:rPr>
          <w:rFonts w:ascii="David" w:hAnsi="David" w:hint="cs"/>
          <w:sz w:val="28"/>
          <w:rtl/>
        </w:rPr>
        <w:t>שעניינם שמירה על כבוד</w:t>
      </w:r>
      <w:r w:rsidR="00CD74AB" w:rsidRPr="00EC0E88">
        <w:rPr>
          <w:rFonts w:ascii="David" w:hAnsi="David" w:hint="cs"/>
          <w:sz w:val="28"/>
          <w:rtl/>
        </w:rPr>
        <w:t>ה</w:t>
      </w:r>
      <w:r w:rsidR="00A53AF3" w:rsidRPr="00EC0E88">
        <w:rPr>
          <w:rFonts w:ascii="David" w:hAnsi="David" w:hint="cs"/>
          <w:sz w:val="28"/>
          <w:rtl/>
        </w:rPr>
        <w:t xml:space="preserve"> של נפגעת העבירה, פרטיות</w:t>
      </w:r>
      <w:r w:rsidR="00364772">
        <w:rPr>
          <w:rFonts w:ascii="David" w:hAnsi="David" w:hint="cs"/>
          <w:sz w:val="28"/>
          <w:rtl/>
        </w:rPr>
        <w:t>ה</w:t>
      </w:r>
      <w:r w:rsidR="00A53AF3" w:rsidRPr="00EC0E88">
        <w:rPr>
          <w:rFonts w:ascii="David" w:hAnsi="David" w:hint="cs"/>
          <w:sz w:val="28"/>
          <w:rtl/>
        </w:rPr>
        <w:t xml:space="preserve"> והאוטונומיה </w:t>
      </w:r>
      <w:r w:rsidR="00364772">
        <w:rPr>
          <w:rFonts w:ascii="David" w:hAnsi="David" w:hint="cs"/>
          <w:sz w:val="28"/>
          <w:rtl/>
        </w:rPr>
        <w:t xml:space="preserve">שלה </w:t>
      </w:r>
      <w:r w:rsidR="00A53AF3" w:rsidRPr="00EC0E88">
        <w:rPr>
          <w:rFonts w:ascii="David" w:hAnsi="David" w:hint="cs"/>
          <w:sz w:val="28"/>
          <w:rtl/>
        </w:rPr>
        <w:t>על גופ</w:t>
      </w:r>
      <w:r w:rsidRPr="00EC0E88">
        <w:rPr>
          <w:rFonts w:ascii="David" w:hAnsi="David" w:hint="cs"/>
          <w:sz w:val="28"/>
          <w:rtl/>
        </w:rPr>
        <w:t>ה</w:t>
      </w:r>
      <w:r w:rsidR="00EC0E88" w:rsidRPr="00EC0E88">
        <w:rPr>
          <w:rFonts w:ascii="David" w:hAnsi="David" w:hint="cs"/>
          <w:sz w:val="28"/>
          <w:rtl/>
        </w:rPr>
        <w:t>.</w:t>
      </w:r>
      <w:r w:rsidR="00EC0E88" w:rsidRPr="00EC0E88">
        <w:rPr>
          <w:rFonts w:ascii="David" w:hAnsi="David" w:hint="cs"/>
          <w:color w:val="000000"/>
          <w:sz w:val="28"/>
          <w:rtl/>
        </w:rPr>
        <w:t xml:space="preserve"> </w:t>
      </w:r>
      <w:r w:rsidR="00F04711">
        <w:rPr>
          <w:rFonts w:ascii="David" w:hAnsi="David" w:hint="cs"/>
          <w:color w:val="000000"/>
          <w:sz w:val="28"/>
          <w:rtl/>
        </w:rPr>
        <w:t xml:space="preserve">עוד פגע המערער </w:t>
      </w:r>
      <w:r w:rsidR="00A53AF3" w:rsidRPr="00EC0E88">
        <w:rPr>
          <w:rFonts w:ascii="David" w:hAnsi="David" w:hint="cs"/>
          <w:color w:val="000000"/>
          <w:sz w:val="28"/>
          <w:rtl/>
        </w:rPr>
        <w:t xml:space="preserve">בערכים הצבאיים המוגנים, </w:t>
      </w:r>
      <w:r w:rsidR="00A53AF3" w:rsidRPr="00EC0E88">
        <w:rPr>
          <w:rFonts w:ascii="David" w:hAnsi="David" w:hint="cs"/>
          <w:sz w:val="28"/>
          <w:rtl/>
        </w:rPr>
        <w:t>הייחודיים למסגרת הצבאית - ערך הרעות, האמון בין החיילים ואמון הציבור בצה"ל</w:t>
      </w:r>
      <w:r w:rsidR="00F04711">
        <w:rPr>
          <w:rFonts w:ascii="David" w:hAnsi="David" w:hint="cs"/>
          <w:sz w:val="28"/>
          <w:rtl/>
        </w:rPr>
        <w:t xml:space="preserve">, שכן </w:t>
      </w:r>
      <w:r w:rsidR="00A53AF3" w:rsidRPr="00EC0E88">
        <w:rPr>
          <w:rFonts w:ascii="David" w:hAnsi="David" w:hint="cs"/>
          <w:color w:val="000000"/>
          <w:sz w:val="28"/>
          <w:rtl/>
        </w:rPr>
        <w:t xml:space="preserve">נפסק לא אחת כי </w:t>
      </w:r>
      <w:r w:rsidR="00A53AF3" w:rsidRPr="00EC0E88">
        <w:rPr>
          <w:rFonts w:ascii="David" w:hAnsi="David" w:hint="cs"/>
          <w:sz w:val="28"/>
          <w:rtl/>
        </w:rPr>
        <w:t>בעת קביעת מתחם העונש ההולם, יש לייחס משקל גם למאפייניה הייחודיים של המסגרת הצבאית ולצרכיה (</w:t>
      </w:r>
      <w:proofErr w:type="spellStart"/>
      <w:r w:rsidR="00A53AF3" w:rsidRPr="00EC0E88">
        <w:rPr>
          <w:rFonts w:ascii="David" w:hAnsi="David" w:hint="cs"/>
          <w:sz w:val="28"/>
          <w:rtl/>
        </w:rPr>
        <w:t>רע"פ</w:t>
      </w:r>
      <w:proofErr w:type="spellEnd"/>
      <w:r w:rsidR="00A53AF3" w:rsidRPr="00EC0E88">
        <w:rPr>
          <w:rFonts w:ascii="David" w:hAnsi="David" w:hint="cs"/>
          <w:sz w:val="28"/>
          <w:rtl/>
        </w:rPr>
        <w:t xml:space="preserve"> 391/17 </w:t>
      </w:r>
      <w:r w:rsidR="00A53AF3" w:rsidRPr="00EC0E88">
        <w:rPr>
          <w:rFonts w:ascii="David" w:hAnsi="David" w:hint="cs"/>
          <w:b/>
          <w:bCs/>
          <w:sz w:val="28"/>
          <w:rtl/>
        </w:rPr>
        <w:t>פלוני נ' התובעת הצבאית הראשית</w:t>
      </w:r>
      <w:r w:rsidR="00A53AF3" w:rsidRPr="00EC0E88">
        <w:rPr>
          <w:rFonts w:ascii="David" w:hAnsi="David" w:hint="cs"/>
          <w:sz w:val="28"/>
          <w:rtl/>
        </w:rPr>
        <w:t>, פסקה 12 (15.1.2017)); וכי יש להחמיר בענישה בגין עבירות מין המבוצעות במהלך השירות הצבאי, כחלק מן ההגנה על שלומם ועל כבודם של המשרתים בצה"ל (ע</w:t>
      </w:r>
      <w:r w:rsidR="00182F7C">
        <w:rPr>
          <w:rFonts w:ascii="David" w:hAnsi="David" w:hint="cs"/>
          <w:sz w:val="28"/>
          <w:rtl/>
        </w:rPr>
        <w:t xml:space="preserve">/36/24 </w:t>
      </w:r>
      <w:r w:rsidR="009C03A4">
        <w:rPr>
          <w:rFonts w:ascii="David" w:hAnsi="David" w:hint="cs"/>
          <w:b/>
          <w:bCs/>
          <w:sz w:val="28"/>
          <w:rtl/>
        </w:rPr>
        <w:t>סרן אבו סויד נ' התובע הצבאי הראשי</w:t>
      </w:r>
      <w:r w:rsidR="009C03A4">
        <w:rPr>
          <w:rFonts w:ascii="David" w:hAnsi="David" w:hint="cs"/>
          <w:sz w:val="28"/>
          <w:rtl/>
        </w:rPr>
        <w:t xml:space="preserve">, פסקה </w:t>
      </w:r>
      <w:r w:rsidR="008E0D0C">
        <w:rPr>
          <w:rFonts w:ascii="David" w:hAnsi="David" w:hint="cs"/>
          <w:sz w:val="28"/>
          <w:rtl/>
        </w:rPr>
        <w:t xml:space="preserve">59 </w:t>
      </w:r>
      <w:r w:rsidR="00E77397">
        <w:rPr>
          <w:rFonts w:ascii="David" w:hAnsi="David" w:hint="cs"/>
          <w:sz w:val="28"/>
          <w:rtl/>
        </w:rPr>
        <w:t xml:space="preserve">והאסמכתאות שם </w:t>
      </w:r>
      <w:r w:rsidR="008E0D0C">
        <w:rPr>
          <w:rFonts w:ascii="David" w:hAnsi="David" w:hint="cs"/>
          <w:sz w:val="28"/>
          <w:rtl/>
        </w:rPr>
        <w:t xml:space="preserve">(2024)). </w:t>
      </w:r>
    </w:p>
    <w:p w14:paraId="626B1BC8" w14:textId="77777777" w:rsidR="00A53AF3" w:rsidRPr="00830A87" w:rsidRDefault="00A53AF3" w:rsidP="00154B3A">
      <w:pPr>
        <w:pStyle w:val="a3"/>
        <w:widowControl w:val="0"/>
        <w:numPr>
          <w:ilvl w:val="0"/>
          <w:numId w:val="1"/>
        </w:numPr>
        <w:spacing w:after="240" w:line="353" w:lineRule="auto"/>
        <w:outlineLvl w:val="0"/>
        <w:rPr>
          <w:rFonts w:ascii="David" w:hAnsi="David"/>
          <w:sz w:val="32"/>
          <w:szCs w:val="32"/>
        </w:rPr>
      </w:pPr>
      <w:r w:rsidRPr="00830A87">
        <w:rPr>
          <w:rFonts w:ascii="David" w:hAnsi="David" w:hint="cs"/>
          <w:sz w:val="28"/>
          <w:rtl/>
        </w:rPr>
        <w:t>כידוע, לנוכח ההכרה בחומרתן של עבירות המין ובמידת פגיעתן בערכים המוגנים, ניכרת בפסיק</w:t>
      </w:r>
      <w:r w:rsidR="004779FB">
        <w:rPr>
          <w:rFonts w:ascii="David" w:hAnsi="David" w:hint="cs"/>
          <w:sz w:val="28"/>
          <w:rtl/>
        </w:rPr>
        <w:t xml:space="preserve">ה </w:t>
      </w:r>
      <w:r w:rsidRPr="00830A87">
        <w:rPr>
          <w:rFonts w:ascii="David" w:hAnsi="David" w:hint="cs"/>
          <w:sz w:val="28"/>
          <w:rtl/>
        </w:rPr>
        <w:t xml:space="preserve">מגמת החמרה בענישה בעבירות אלה </w:t>
      </w:r>
      <w:r w:rsidR="004779FB">
        <w:rPr>
          <w:rFonts w:ascii="David" w:hAnsi="David" w:hint="cs"/>
          <w:sz w:val="28"/>
          <w:rtl/>
        </w:rPr>
        <w:t>(</w:t>
      </w:r>
      <w:r w:rsidRPr="00830A87">
        <w:rPr>
          <w:rFonts w:ascii="David" w:hAnsi="David" w:hint="cs"/>
          <w:sz w:val="28"/>
          <w:rtl/>
        </w:rPr>
        <w:t xml:space="preserve">ראו למשל: </w:t>
      </w:r>
      <w:r w:rsidR="00931DA2" w:rsidRPr="00830A87">
        <w:rPr>
          <w:rFonts w:ascii="David" w:hAnsi="David" w:hint="cs"/>
          <w:sz w:val="28"/>
          <w:rtl/>
        </w:rPr>
        <w:t>ע</w:t>
      </w:r>
      <w:r w:rsidR="00830A87" w:rsidRPr="00830A87">
        <w:rPr>
          <w:rFonts w:ascii="David" w:hAnsi="David" w:hint="cs"/>
          <w:sz w:val="28"/>
          <w:rtl/>
        </w:rPr>
        <w:t>"פ</w:t>
      </w:r>
      <w:r w:rsidR="00931DA2" w:rsidRPr="00830A87">
        <w:rPr>
          <w:rFonts w:ascii="David" w:hAnsi="David" w:hint="cs"/>
          <w:sz w:val="28"/>
          <w:rtl/>
        </w:rPr>
        <w:t xml:space="preserve"> </w:t>
      </w:r>
      <w:r w:rsidR="00830A87">
        <w:rPr>
          <w:rFonts w:ascii="David" w:hAnsi="David" w:hint="cs"/>
          <w:sz w:val="28"/>
          <w:rtl/>
        </w:rPr>
        <w:t xml:space="preserve">2965/24 </w:t>
      </w:r>
      <w:r w:rsidR="008D6EFB">
        <w:rPr>
          <w:rFonts w:ascii="David" w:hAnsi="David" w:hint="cs"/>
          <w:b/>
          <w:bCs/>
          <w:sz w:val="28"/>
          <w:rtl/>
        </w:rPr>
        <w:t>פלוני נ' מדינת ישראל</w:t>
      </w:r>
      <w:r w:rsidR="008D6EFB">
        <w:rPr>
          <w:rFonts w:ascii="David" w:hAnsi="David" w:hint="cs"/>
          <w:sz w:val="28"/>
          <w:rtl/>
        </w:rPr>
        <w:t xml:space="preserve">, פסקה </w:t>
      </w:r>
      <w:r w:rsidR="00534182">
        <w:rPr>
          <w:rFonts w:ascii="David" w:hAnsi="David" w:hint="cs"/>
          <w:sz w:val="28"/>
          <w:rtl/>
        </w:rPr>
        <w:t>12 (19.2.2025)</w:t>
      </w:r>
      <w:r w:rsidR="004779FB">
        <w:rPr>
          <w:rFonts w:ascii="David" w:hAnsi="David" w:hint="cs"/>
          <w:sz w:val="28"/>
          <w:rtl/>
        </w:rPr>
        <w:t>, וכן</w:t>
      </w:r>
      <w:r w:rsidR="00534182">
        <w:rPr>
          <w:rFonts w:ascii="David" w:hAnsi="David" w:hint="cs"/>
          <w:sz w:val="28"/>
          <w:rtl/>
        </w:rPr>
        <w:t xml:space="preserve"> </w:t>
      </w:r>
      <w:r w:rsidR="00904EBA">
        <w:rPr>
          <w:rFonts w:ascii="David" w:hAnsi="David" w:hint="cs"/>
          <w:sz w:val="28"/>
          <w:rtl/>
        </w:rPr>
        <w:t>ע</w:t>
      </w:r>
      <w:r w:rsidR="00005906">
        <w:rPr>
          <w:rFonts w:ascii="David" w:hAnsi="David" w:hint="cs"/>
          <w:sz w:val="28"/>
          <w:rtl/>
        </w:rPr>
        <w:t xml:space="preserve">"פ 6443/23 </w:t>
      </w:r>
      <w:r w:rsidR="00B77882">
        <w:rPr>
          <w:rFonts w:ascii="David" w:hAnsi="David" w:hint="cs"/>
          <w:b/>
          <w:bCs/>
          <w:sz w:val="28"/>
          <w:rtl/>
        </w:rPr>
        <w:t>פלוני נ' מדינת ישראל</w:t>
      </w:r>
      <w:r w:rsidR="00B77882">
        <w:rPr>
          <w:rFonts w:ascii="David" w:hAnsi="David" w:hint="cs"/>
          <w:sz w:val="28"/>
          <w:rtl/>
        </w:rPr>
        <w:t>, פסקה 26 והאסמכתאות שם (</w:t>
      </w:r>
      <w:r w:rsidR="00154B3A">
        <w:rPr>
          <w:rFonts w:ascii="David" w:hAnsi="David" w:hint="cs"/>
          <w:sz w:val="28"/>
          <w:rtl/>
        </w:rPr>
        <w:t>9.12.2025)</w:t>
      </w:r>
      <w:r w:rsidR="004779FB">
        <w:rPr>
          <w:rFonts w:ascii="David" w:hAnsi="David" w:hint="cs"/>
          <w:sz w:val="28"/>
          <w:rtl/>
        </w:rPr>
        <w:t xml:space="preserve">; </w:t>
      </w:r>
      <w:r w:rsidR="00154B3A">
        <w:rPr>
          <w:rFonts w:ascii="David" w:hAnsi="David" w:hint="cs"/>
          <w:sz w:val="28"/>
          <w:rtl/>
        </w:rPr>
        <w:t xml:space="preserve"> </w:t>
      </w:r>
      <w:r w:rsidRPr="00830A87">
        <w:rPr>
          <w:rFonts w:ascii="David" w:hAnsi="David" w:hint="cs"/>
          <w:sz w:val="28"/>
          <w:rtl/>
        </w:rPr>
        <w:t xml:space="preserve">וראו גם פסיקת בית דין זה מן השנים האחרונות: ע/53/24 </w:t>
      </w:r>
      <w:r w:rsidRPr="00830A87">
        <w:rPr>
          <w:rFonts w:ascii="David" w:hAnsi="David" w:hint="cs"/>
          <w:b/>
          <w:bCs/>
          <w:sz w:val="28"/>
          <w:rtl/>
        </w:rPr>
        <w:t xml:space="preserve">רס"ל (מיל') פרץ נ' התובע הצבאי הראשי, </w:t>
      </w:r>
      <w:r w:rsidRPr="00830A87">
        <w:rPr>
          <w:rFonts w:ascii="David" w:hAnsi="David" w:hint="cs"/>
          <w:sz w:val="28"/>
          <w:rtl/>
        </w:rPr>
        <w:t>פסקה 31</w:t>
      </w:r>
      <w:r w:rsidRPr="00830A87">
        <w:rPr>
          <w:rFonts w:ascii="David" w:hAnsi="David" w:hint="cs"/>
          <w:b/>
          <w:bCs/>
          <w:sz w:val="28"/>
          <w:rtl/>
        </w:rPr>
        <w:t xml:space="preserve"> </w:t>
      </w:r>
      <w:r w:rsidRPr="00830A87">
        <w:rPr>
          <w:rFonts w:ascii="David" w:hAnsi="David" w:hint="cs"/>
          <w:sz w:val="28"/>
          <w:rtl/>
        </w:rPr>
        <w:t xml:space="preserve">(2024); </w:t>
      </w:r>
      <w:r w:rsidR="00F82520">
        <w:rPr>
          <w:rFonts w:ascii="David" w:hAnsi="David" w:hint="cs"/>
          <w:sz w:val="28"/>
          <w:rtl/>
        </w:rPr>
        <w:t xml:space="preserve">עניין </w:t>
      </w:r>
      <w:r w:rsidRPr="00830A87">
        <w:rPr>
          <w:rFonts w:ascii="David" w:hAnsi="David" w:hint="cs"/>
          <w:b/>
          <w:bCs/>
          <w:sz w:val="28"/>
          <w:rtl/>
        </w:rPr>
        <w:t xml:space="preserve">כהן </w:t>
      </w:r>
      <w:r w:rsidR="00F82520">
        <w:rPr>
          <w:rFonts w:ascii="David" w:hAnsi="David" w:hint="cs"/>
          <w:sz w:val="28"/>
          <w:rtl/>
        </w:rPr>
        <w:t xml:space="preserve">לעיל, </w:t>
      </w:r>
      <w:r w:rsidRPr="00830A87">
        <w:rPr>
          <w:rFonts w:ascii="David" w:hAnsi="David" w:hint="cs"/>
          <w:sz w:val="28"/>
          <w:rtl/>
        </w:rPr>
        <w:t xml:space="preserve">פסקה 28 (2023); עניין </w:t>
      </w:r>
      <w:r w:rsidRPr="00830A87">
        <w:rPr>
          <w:rFonts w:ascii="David" w:hAnsi="David" w:hint="cs"/>
          <w:b/>
          <w:bCs/>
          <w:sz w:val="28"/>
          <w:rtl/>
        </w:rPr>
        <w:t xml:space="preserve">בן </w:t>
      </w:r>
      <w:proofErr w:type="spellStart"/>
      <w:r w:rsidRPr="00830A87">
        <w:rPr>
          <w:rFonts w:ascii="David" w:hAnsi="David" w:hint="cs"/>
          <w:b/>
          <w:bCs/>
          <w:sz w:val="28"/>
          <w:rtl/>
        </w:rPr>
        <w:t>סדון</w:t>
      </w:r>
      <w:proofErr w:type="spellEnd"/>
      <w:r w:rsidR="007938BB">
        <w:rPr>
          <w:rFonts w:ascii="David" w:hAnsi="David" w:hint="cs"/>
          <w:b/>
          <w:bCs/>
          <w:sz w:val="28"/>
          <w:rtl/>
        </w:rPr>
        <w:t xml:space="preserve"> </w:t>
      </w:r>
      <w:r w:rsidRPr="00830A87">
        <w:rPr>
          <w:rFonts w:ascii="David" w:hAnsi="David" w:hint="cs"/>
          <w:sz w:val="28"/>
          <w:rtl/>
        </w:rPr>
        <w:t>לעיל, פסקה 24). לצד זאת, ראוי לציין כי  עבירות המין נפרשות על פני מנעד רחב, והעונש המוטל בכל מקרה הוא תוצר של מכלול השיקולים והנסיבות (</w:t>
      </w:r>
      <w:r w:rsidR="002E33FA">
        <w:rPr>
          <w:rFonts w:ascii="David" w:hAnsi="David" w:hint="cs"/>
          <w:sz w:val="28"/>
          <w:rtl/>
        </w:rPr>
        <w:t xml:space="preserve">ע"פ 1355/23 </w:t>
      </w:r>
      <w:r w:rsidR="0061758F">
        <w:rPr>
          <w:rFonts w:ascii="David" w:hAnsi="David" w:hint="cs"/>
          <w:b/>
          <w:bCs/>
          <w:sz w:val="28"/>
          <w:rtl/>
        </w:rPr>
        <w:t>פלוני נ' מדינת ישראל</w:t>
      </w:r>
      <w:r w:rsidR="0038267C">
        <w:rPr>
          <w:rFonts w:ascii="David" w:hAnsi="David" w:hint="cs"/>
          <w:sz w:val="28"/>
          <w:rtl/>
        </w:rPr>
        <w:t xml:space="preserve"> (25.6.2023); </w:t>
      </w:r>
      <w:r w:rsidRPr="0061758F">
        <w:rPr>
          <w:rFonts w:ascii="David" w:hAnsi="David" w:hint="cs"/>
          <w:sz w:val="28"/>
          <w:rtl/>
        </w:rPr>
        <w:t>ע</w:t>
      </w:r>
      <w:r w:rsidRPr="00830A87">
        <w:rPr>
          <w:rFonts w:ascii="David" w:hAnsi="David" w:hint="cs"/>
          <w:sz w:val="28"/>
          <w:rtl/>
        </w:rPr>
        <w:t xml:space="preserve">"פ 4099/22 </w:t>
      </w:r>
      <w:r w:rsidRPr="00830A87">
        <w:rPr>
          <w:rFonts w:ascii="David" w:hAnsi="David" w:hint="cs"/>
          <w:b/>
          <w:bCs/>
          <w:sz w:val="28"/>
          <w:rtl/>
        </w:rPr>
        <w:t>פלוני נ' מדינת ישראל</w:t>
      </w:r>
      <w:r w:rsidRPr="00830A87">
        <w:rPr>
          <w:rFonts w:ascii="David" w:hAnsi="David" w:hint="cs"/>
          <w:sz w:val="28"/>
          <w:rtl/>
        </w:rPr>
        <w:t xml:space="preserve">, פסקה 7 (6.12.2022); ע"פ 6160/21 </w:t>
      </w:r>
      <w:r w:rsidRPr="00830A87">
        <w:rPr>
          <w:rFonts w:ascii="David" w:hAnsi="David" w:hint="cs"/>
          <w:b/>
          <w:bCs/>
          <w:sz w:val="28"/>
          <w:rtl/>
        </w:rPr>
        <w:t>פלוני נ' מדינת ישראל</w:t>
      </w:r>
      <w:r w:rsidRPr="00830A87">
        <w:rPr>
          <w:rFonts w:ascii="David" w:hAnsi="David" w:hint="cs"/>
          <w:sz w:val="28"/>
          <w:rtl/>
        </w:rPr>
        <w:t xml:space="preserve">, פסקה 15 (18.7.2022)). </w:t>
      </w:r>
    </w:p>
    <w:p w14:paraId="4215B44D" w14:textId="2BA2EA93" w:rsidR="00773C0C" w:rsidRPr="00773C0C" w:rsidRDefault="000D6810" w:rsidP="001072CB">
      <w:pPr>
        <w:pStyle w:val="a3"/>
        <w:widowControl w:val="0"/>
        <w:numPr>
          <w:ilvl w:val="0"/>
          <w:numId w:val="1"/>
        </w:numPr>
        <w:spacing w:after="240" w:line="353" w:lineRule="auto"/>
        <w:outlineLvl w:val="0"/>
      </w:pPr>
      <w:r>
        <w:rPr>
          <w:rFonts w:ascii="David" w:hAnsi="David" w:hint="cs"/>
          <w:sz w:val="28"/>
          <w:rtl/>
        </w:rPr>
        <w:lastRenderedPageBreak/>
        <w:t xml:space="preserve">בעת בחינת נסיבות ביצוע העבירות, שקלנו את היבטי החומרה הגלומים בהן, כפי שנמנו גם על ידי בית הדין קמא: </w:t>
      </w:r>
      <w:r w:rsidR="00607A30">
        <w:rPr>
          <w:rFonts w:ascii="David" w:hAnsi="David" w:hint="cs"/>
          <w:sz w:val="28"/>
          <w:rtl/>
        </w:rPr>
        <w:t>המערער, בעת שירותו כמ"כ טירונים ביצע שתי</w:t>
      </w:r>
      <w:r w:rsidR="00B756D0">
        <w:rPr>
          <w:rFonts w:ascii="David" w:hAnsi="David" w:hint="cs"/>
          <w:sz w:val="28"/>
          <w:rtl/>
        </w:rPr>
        <w:t xml:space="preserve"> עבירות שונות כלפי נפגעת העביר</w:t>
      </w:r>
      <w:r w:rsidR="00DF6215">
        <w:rPr>
          <w:rFonts w:ascii="David" w:hAnsi="David" w:hint="cs"/>
          <w:sz w:val="28"/>
          <w:rtl/>
        </w:rPr>
        <w:t xml:space="preserve">ה, </w:t>
      </w:r>
      <w:r w:rsidR="00D84F1F">
        <w:rPr>
          <w:rFonts w:ascii="David" w:hAnsi="David" w:hint="cs"/>
          <w:sz w:val="28"/>
          <w:rtl/>
        </w:rPr>
        <w:t xml:space="preserve">במועדים שונים, שתיהן בוצעו </w:t>
      </w:r>
      <w:r w:rsidR="00A60C64">
        <w:rPr>
          <w:rFonts w:ascii="David" w:hAnsi="David" w:hint="cs"/>
          <w:sz w:val="28"/>
          <w:rtl/>
        </w:rPr>
        <w:t>בתוך בסיס צבאי ותוך ניצול השירות המשותף</w:t>
      </w:r>
      <w:r w:rsidR="00DF6215">
        <w:rPr>
          <w:rFonts w:ascii="David" w:hAnsi="David" w:hint="cs"/>
          <w:sz w:val="28"/>
          <w:rtl/>
        </w:rPr>
        <w:t>;</w:t>
      </w:r>
      <w:r w:rsidR="007F4C45">
        <w:rPr>
          <w:rFonts w:ascii="David" w:hAnsi="David" w:hint="cs"/>
          <w:sz w:val="28"/>
          <w:rtl/>
        </w:rPr>
        <w:t xml:space="preserve"> </w:t>
      </w:r>
      <w:r w:rsidR="00DF6215">
        <w:rPr>
          <w:rFonts w:ascii="David" w:hAnsi="David" w:hint="cs"/>
          <w:sz w:val="28"/>
          <w:rtl/>
        </w:rPr>
        <w:t>ההסלמה שחלה במעשיו של המערער באירוע הראשון, שכלל גם מגע ב</w:t>
      </w:r>
      <w:r w:rsidR="00AF48F7">
        <w:rPr>
          <w:rFonts w:ascii="David" w:hAnsi="David" w:hint="cs"/>
          <w:sz w:val="28"/>
          <w:rtl/>
        </w:rPr>
        <w:t xml:space="preserve">איבר מינה </w:t>
      </w:r>
      <w:r w:rsidR="004779FB">
        <w:rPr>
          <w:rFonts w:ascii="David" w:hAnsi="David" w:hint="cs"/>
          <w:sz w:val="28"/>
          <w:rtl/>
        </w:rPr>
        <w:t xml:space="preserve">של הנפגעת </w:t>
      </w:r>
      <w:r w:rsidR="00AF48F7">
        <w:rPr>
          <w:rFonts w:ascii="David" w:hAnsi="David" w:hint="cs"/>
          <w:sz w:val="28"/>
          <w:rtl/>
        </w:rPr>
        <w:t xml:space="preserve">מעל בגדיה וגם </w:t>
      </w:r>
      <w:r w:rsidR="004779FB">
        <w:rPr>
          <w:rFonts w:ascii="David" w:hAnsi="David" w:hint="cs"/>
          <w:sz w:val="28"/>
          <w:rtl/>
        </w:rPr>
        <w:t>ב</w:t>
      </w:r>
      <w:r w:rsidR="00AF48F7">
        <w:rPr>
          <w:rFonts w:ascii="David" w:hAnsi="David" w:hint="cs"/>
          <w:sz w:val="28"/>
          <w:rtl/>
        </w:rPr>
        <w:t>איבר מינו מעל לבגדיו</w:t>
      </w:r>
      <w:r w:rsidR="00FF0D15">
        <w:rPr>
          <w:rFonts w:ascii="David" w:hAnsi="David" w:hint="cs"/>
          <w:sz w:val="28"/>
          <w:rtl/>
        </w:rPr>
        <w:t xml:space="preserve">, </w:t>
      </w:r>
      <w:r w:rsidR="00A20CDB">
        <w:rPr>
          <w:rFonts w:ascii="David" w:hAnsi="David" w:hint="cs"/>
          <w:sz w:val="28"/>
          <w:rtl/>
        </w:rPr>
        <w:t>בעת שהמערער נשא נשק;</w:t>
      </w:r>
      <w:r w:rsidR="00FF0D15">
        <w:rPr>
          <w:rFonts w:ascii="David" w:hAnsi="David" w:hint="cs"/>
          <w:sz w:val="28"/>
          <w:rtl/>
        </w:rPr>
        <w:t xml:space="preserve"> וכן כי שני האירועים לא הסתיימו ביוזמתו</w:t>
      </w:r>
      <w:r w:rsidR="001072CB">
        <w:rPr>
          <w:rFonts w:ascii="David" w:hAnsi="David" w:hint="cs"/>
          <w:sz w:val="28"/>
          <w:rtl/>
        </w:rPr>
        <w:t xml:space="preserve">. </w:t>
      </w:r>
      <w:r w:rsidR="004779FB">
        <w:rPr>
          <w:rFonts w:ascii="David" w:hAnsi="David" w:hint="cs"/>
          <w:sz w:val="28"/>
          <w:rtl/>
        </w:rPr>
        <w:t xml:space="preserve">לכך יש להוסיף את המגע בחזייתה של הנפגעת, מתחת לחולצתה, באירוע השני, תוך שמפקדתה נמצאת בקרבת מקום. </w:t>
      </w:r>
      <w:r w:rsidR="001072CB">
        <w:rPr>
          <w:rFonts w:ascii="David" w:hAnsi="David" w:hint="cs"/>
          <w:sz w:val="28"/>
          <w:rtl/>
        </w:rPr>
        <w:t>בעת קביעת מתחמי העונש ההולם יש לשקול אף את הנזק שנגרם לנפגעת העבירה (סעיף 40ט(א)(4) לחוק העונשין</w:t>
      </w:r>
      <w:r w:rsidR="00887F94">
        <w:rPr>
          <w:rFonts w:ascii="David" w:hAnsi="David" w:hint="cs"/>
          <w:sz w:val="28"/>
          <w:rtl/>
        </w:rPr>
        <w:t>).</w:t>
      </w:r>
      <w:r w:rsidR="001072CB">
        <w:rPr>
          <w:rFonts w:ascii="David" w:hAnsi="David" w:hint="cs"/>
          <w:sz w:val="28"/>
          <w:rtl/>
        </w:rPr>
        <w:t xml:space="preserve"> </w:t>
      </w:r>
      <w:r w:rsidR="00536A4F">
        <w:rPr>
          <w:rFonts w:ascii="David" w:hAnsi="David" w:hint="cs"/>
          <w:sz w:val="28"/>
          <w:rtl/>
        </w:rPr>
        <w:t xml:space="preserve">לאור כל אלה סברנו כי אין חומרה יתרה במתחמי הענישה שקבע בית הדין קמא, וכאמור אף </w:t>
      </w:r>
      <w:r w:rsidR="00F26923">
        <w:rPr>
          <w:rFonts w:ascii="David" w:hAnsi="David" w:hint="cs"/>
          <w:sz w:val="28"/>
          <w:rtl/>
        </w:rPr>
        <w:t xml:space="preserve">ההגנה לא חלקה על אופן קביעת מתחם העונש ההולם. </w:t>
      </w:r>
    </w:p>
    <w:p w14:paraId="55B2D659" w14:textId="449D6870" w:rsidR="00536A4F" w:rsidRPr="00536A4F" w:rsidRDefault="00F26923" w:rsidP="001072CB">
      <w:pPr>
        <w:pStyle w:val="a3"/>
        <w:widowControl w:val="0"/>
        <w:numPr>
          <w:ilvl w:val="0"/>
          <w:numId w:val="1"/>
        </w:numPr>
        <w:spacing w:after="240" w:line="353" w:lineRule="auto"/>
        <w:outlineLvl w:val="0"/>
      </w:pPr>
      <w:r>
        <w:rPr>
          <w:rFonts w:ascii="David" w:hAnsi="David" w:hint="cs"/>
          <w:sz w:val="28"/>
          <w:rtl/>
        </w:rPr>
        <w:t xml:space="preserve">לצד זאת לא סברנו כי </w:t>
      </w:r>
      <w:r w:rsidR="00880CDA">
        <w:rPr>
          <w:rFonts w:ascii="David" w:hAnsi="David" w:hint="cs"/>
          <w:sz w:val="28"/>
          <w:rtl/>
        </w:rPr>
        <w:t xml:space="preserve">יש במתחמי הענישה שנקבעו משום הקלה יתרה המצדיקה את התערבותה של ערכאת הערעור, כעתירת התביעה. </w:t>
      </w:r>
      <w:r>
        <w:rPr>
          <w:rFonts w:ascii="David" w:hAnsi="David" w:hint="cs"/>
          <w:sz w:val="28"/>
          <w:rtl/>
        </w:rPr>
        <w:t>מתחמי הענישה</w:t>
      </w:r>
      <w:r w:rsidR="00D602EB">
        <w:rPr>
          <w:rFonts w:ascii="David" w:hAnsi="David" w:hint="cs"/>
          <w:sz w:val="28"/>
          <w:rtl/>
        </w:rPr>
        <w:t xml:space="preserve"> </w:t>
      </w:r>
      <w:r>
        <w:rPr>
          <w:rFonts w:ascii="David" w:hAnsi="David" w:hint="cs"/>
          <w:sz w:val="28"/>
          <w:rtl/>
        </w:rPr>
        <w:t xml:space="preserve">הולמים את </w:t>
      </w:r>
      <w:r w:rsidR="000749C3">
        <w:rPr>
          <w:rFonts w:ascii="David" w:hAnsi="David" w:hint="cs"/>
          <w:sz w:val="28"/>
          <w:rtl/>
        </w:rPr>
        <w:t xml:space="preserve">הנסיבות המחמירות שנמנו לעיל, לצד </w:t>
      </w:r>
      <w:r w:rsidR="005D2283">
        <w:rPr>
          <w:rFonts w:ascii="David" w:hAnsi="David" w:hint="cs"/>
          <w:sz w:val="28"/>
          <w:rtl/>
        </w:rPr>
        <w:t xml:space="preserve">התחשבות גם בכך שהעבירות בוצעו </w:t>
      </w:r>
      <w:r w:rsidR="00773C0C">
        <w:rPr>
          <w:rFonts w:ascii="David" w:hAnsi="David" w:hint="cs"/>
          <w:sz w:val="28"/>
          <w:rtl/>
        </w:rPr>
        <w:t xml:space="preserve">ללא תכנון מוקדם, לפרק זמן קצר ומעל לבגדים, </w:t>
      </w:r>
      <w:r w:rsidR="005D2283">
        <w:rPr>
          <w:rFonts w:ascii="David" w:hAnsi="David" w:hint="cs"/>
          <w:sz w:val="28"/>
          <w:rtl/>
        </w:rPr>
        <w:t xml:space="preserve">ומבלי שבין המערער לנפגעת העבירה יש </w:t>
      </w:r>
      <w:r w:rsidR="007D2B21">
        <w:rPr>
          <w:rFonts w:ascii="David" w:hAnsi="David" w:hint="cs"/>
          <w:sz w:val="28"/>
          <w:rtl/>
        </w:rPr>
        <w:t xml:space="preserve">פערי דרגות או </w:t>
      </w:r>
      <w:r w:rsidR="005D2283">
        <w:rPr>
          <w:rFonts w:ascii="David" w:hAnsi="David" w:hint="cs"/>
          <w:sz w:val="28"/>
          <w:rtl/>
        </w:rPr>
        <w:t xml:space="preserve">יחסי </w:t>
      </w:r>
      <w:r w:rsidR="007D2B21">
        <w:rPr>
          <w:rFonts w:ascii="David" w:hAnsi="David" w:hint="cs"/>
          <w:sz w:val="28"/>
          <w:rtl/>
        </w:rPr>
        <w:t>מרות</w:t>
      </w:r>
      <w:r w:rsidR="005D2283">
        <w:rPr>
          <w:rFonts w:ascii="David" w:hAnsi="David" w:hint="cs"/>
          <w:sz w:val="28"/>
          <w:rtl/>
        </w:rPr>
        <w:t>.</w:t>
      </w:r>
      <w:r w:rsidR="007D2B21">
        <w:rPr>
          <w:rFonts w:ascii="David" w:hAnsi="David" w:hint="cs"/>
          <w:sz w:val="28"/>
          <w:rtl/>
        </w:rPr>
        <w:t xml:space="preserve"> </w:t>
      </w:r>
      <w:r w:rsidR="009B6A12">
        <w:rPr>
          <w:rFonts w:ascii="David" w:hAnsi="David" w:hint="cs"/>
          <w:sz w:val="28"/>
          <w:rtl/>
        </w:rPr>
        <w:t>כן סברנו, כי מתחמי העונש שנקבעו</w:t>
      </w:r>
      <w:r w:rsidR="004779FB">
        <w:rPr>
          <w:rFonts w:ascii="David" w:hAnsi="David" w:hint="cs"/>
          <w:sz w:val="28"/>
          <w:rtl/>
        </w:rPr>
        <w:t xml:space="preserve"> - ואינם רחוקים מאלה שלהם עתרה התביעה, כך שאף מטעם זה הם אינם מצדיקים התערבות </w:t>
      </w:r>
      <w:r w:rsidR="00D84F1F">
        <w:rPr>
          <w:rFonts w:ascii="David" w:hAnsi="David" w:hint="cs"/>
          <w:sz w:val="28"/>
          <w:rtl/>
        </w:rPr>
        <w:t xml:space="preserve">של ערכאת הערעור </w:t>
      </w:r>
      <w:r w:rsidR="004779FB">
        <w:rPr>
          <w:rFonts w:ascii="David" w:hAnsi="David" w:hint="cs"/>
          <w:sz w:val="28"/>
          <w:rtl/>
        </w:rPr>
        <w:t>-</w:t>
      </w:r>
      <w:r w:rsidR="009B6A12">
        <w:rPr>
          <w:rFonts w:ascii="David" w:hAnsi="David" w:hint="cs"/>
          <w:sz w:val="28"/>
          <w:rtl/>
        </w:rPr>
        <w:t xml:space="preserve"> עולים בקנה אחד גם עם </w:t>
      </w:r>
      <w:r w:rsidR="003325CD">
        <w:rPr>
          <w:rFonts w:ascii="David" w:hAnsi="David" w:hint="cs"/>
          <w:sz w:val="28"/>
          <w:rtl/>
        </w:rPr>
        <w:t xml:space="preserve">פסיקת </w:t>
      </w:r>
      <w:r w:rsidR="00546FD2">
        <w:rPr>
          <w:rFonts w:ascii="David" w:hAnsi="David" w:hint="cs"/>
          <w:sz w:val="28"/>
          <w:rtl/>
        </w:rPr>
        <w:t xml:space="preserve">בית דין זה </w:t>
      </w:r>
      <w:r w:rsidR="003325CD">
        <w:rPr>
          <w:rFonts w:ascii="David" w:hAnsi="David" w:hint="cs"/>
          <w:sz w:val="28"/>
          <w:rtl/>
        </w:rPr>
        <w:t xml:space="preserve">באירועים בעלי דמיון לענייננו, כגון </w:t>
      </w:r>
      <w:r w:rsidR="00546FD2">
        <w:rPr>
          <w:rFonts w:ascii="David" w:hAnsi="David" w:hint="cs"/>
          <w:sz w:val="28"/>
          <w:rtl/>
        </w:rPr>
        <w:t xml:space="preserve">עניין </w:t>
      </w:r>
      <w:proofErr w:type="spellStart"/>
      <w:r w:rsidR="00546FD2">
        <w:rPr>
          <w:rFonts w:ascii="David" w:hAnsi="David" w:hint="cs"/>
          <w:b/>
          <w:bCs/>
          <w:sz w:val="28"/>
          <w:rtl/>
        </w:rPr>
        <w:t>מגנאג'י</w:t>
      </w:r>
      <w:proofErr w:type="spellEnd"/>
      <w:r w:rsidR="00AD3659">
        <w:rPr>
          <w:rFonts w:ascii="David" w:hAnsi="David" w:hint="cs"/>
          <w:b/>
          <w:bCs/>
          <w:sz w:val="28"/>
          <w:rtl/>
        </w:rPr>
        <w:t xml:space="preserve">, בן </w:t>
      </w:r>
      <w:proofErr w:type="spellStart"/>
      <w:r w:rsidR="00AD3659">
        <w:rPr>
          <w:rFonts w:ascii="David" w:hAnsi="David" w:hint="cs"/>
          <w:b/>
          <w:bCs/>
          <w:sz w:val="28"/>
          <w:rtl/>
        </w:rPr>
        <w:t>סדון</w:t>
      </w:r>
      <w:proofErr w:type="spellEnd"/>
      <w:r w:rsidR="00546BE5">
        <w:rPr>
          <w:rFonts w:ascii="David" w:hAnsi="David" w:hint="cs"/>
          <w:b/>
          <w:bCs/>
          <w:sz w:val="28"/>
          <w:rtl/>
        </w:rPr>
        <w:t xml:space="preserve"> </w:t>
      </w:r>
      <w:r w:rsidR="00A146FC">
        <w:rPr>
          <w:rFonts w:ascii="David" w:hAnsi="David" w:hint="cs"/>
          <w:sz w:val="28"/>
          <w:rtl/>
        </w:rPr>
        <w:t>ו</w:t>
      </w:r>
      <w:r w:rsidR="00A146FC">
        <w:rPr>
          <w:rFonts w:ascii="David" w:hAnsi="David" w:hint="cs"/>
          <w:b/>
          <w:bCs/>
          <w:sz w:val="28"/>
          <w:rtl/>
        </w:rPr>
        <w:t>תורג'מן</w:t>
      </w:r>
      <w:r w:rsidR="00546FD2">
        <w:rPr>
          <w:rFonts w:ascii="David" w:hAnsi="David" w:hint="cs"/>
          <w:b/>
          <w:bCs/>
          <w:sz w:val="28"/>
          <w:rtl/>
        </w:rPr>
        <w:t xml:space="preserve"> </w:t>
      </w:r>
      <w:r w:rsidR="00546FD2">
        <w:rPr>
          <w:rFonts w:ascii="David" w:hAnsi="David" w:hint="cs"/>
          <w:sz w:val="28"/>
          <w:rtl/>
        </w:rPr>
        <w:t>לעיל</w:t>
      </w:r>
      <w:r w:rsidR="00C47E7F">
        <w:rPr>
          <w:rFonts w:ascii="David" w:hAnsi="David" w:hint="cs"/>
          <w:sz w:val="28"/>
          <w:rtl/>
        </w:rPr>
        <w:t xml:space="preserve">. </w:t>
      </w:r>
      <w:r w:rsidR="00546FD2">
        <w:rPr>
          <w:rFonts w:ascii="David" w:hAnsi="David" w:hint="cs"/>
          <w:sz w:val="28"/>
          <w:rtl/>
        </w:rPr>
        <w:t xml:space="preserve"> </w:t>
      </w:r>
      <w:r w:rsidR="00773C0C">
        <w:rPr>
          <w:rFonts w:ascii="David" w:hAnsi="David" w:hint="cs"/>
          <w:sz w:val="28"/>
          <w:rtl/>
        </w:rPr>
        <w:t xml:space="preserve"> </w:t>
      </w:r>
    </w:p>
    <w:p w14:paraId="48D5EF25" w14:textId="26CDFDC6" w:rsidR="00390B71" w:rsidRPr="00390B71" w:rsidRDefault="00C47E7F" w:rsidP="008C768C">
      <w:pPr>
        <w:pStyle w:val="a3"/>
        <w:widowControl w:val="0"/>
        <w:numPr>
          <w:ilvl w:val="0"/>
          <w:numId w:val="1"/>
        </w:numPr>
        <w:spacing w:after="240" w:line="353" w:lineRule="auto"/>
        <w:outlineLvl w:val="0"/>
        <w:rPr>
          <w:rFonts w:ascii="David" w:hAnsi="David"/>
          <w:sz w:val="28"/>
        </w:rPr>
      </w:pPr>
      <w:r>
        <w:rPr>
          <w:rFonts w:hint="cs"/>
          <w:rtl/>
        </w:rPr>
        <w:t>אף בהחלטת בית הדין קמא לקבוע עונש כולל בסופם של דברים לא מצאנו קושי</w:t>
      </w:r>
      <w:r w:rsidR="00AD676F">
        <w:rPr>
          <w:rFonts w:hint="cs"/>
          <w:rtl/>
        </w:rPr>
        <w:t>; שכן נפסק כי לבית המשפט נתון שיקול דעת רחב בעת קביעת עונש כולל בגין מספר אירועים, תוך שעליו להקפיד, בעשותו כן, על קיומה של ה</w:t>
      </w:r>
      <w:r w:rsidR="00795130">
        <w:rPr>
          <w:rFonts w:hint="cs"/>
          <w:rtl/>
        </w:rPr>
        <w:t>וראת סעיף 40יג(ג)</w:t>
      </w:r>
      <w:r w:rsidR="00795130">
        <w:t xml:space="preserve"> </w:t>
      </w:r>
      <w:r w:rsidR="00795130">
        <w:rPr>
          <w:rFonts w:hint="cs"/>
          <w:rtl/>
        </w:rPr>
        <w:t xml:space="preserve">לחוק, </w:t>
      </w:r>
      <w:r w:rsidR="008C768C">
        <w:rPr>
          <w:rFonts w:hint="cs"/>
          <w:rtl/>
        </w:rPr>
        <w:t>ו</w:t>
      </w:r>
      <w:r w:rsidR="00795130">
        <w:rPr>
          <w:rFonts w:hint="cs"/>
          <w:rtl/>
        </w:rPr>
        <w:t xml:space="preserve">להתחשב בין היתר "במספר העבירות, בתדירותן ובזיקה ביניהן" ולשמור על "יחס הולם בין חומרת מכלול המעשים ומידת אשמו של הנאשם לבין סוג העונש, ואם גזר עונש מאסר </w:t>
      </w:r>
      <w:r w:rsidR="00EB2BC7">
        <w:rPr>
          <w:rFonts w:hint="cs"/>
          <w:rtl/>
        </w:rPr>
        <w:t>-</w:t>
      </w:r>
      <w:r w:rsidR="00795130">
        <w:rPr>
          <w:rFonts w:hint="cs"/>
          <w:rtl/>
        </w:rPr>
        <w:t xml:space="preserve"> לבין תקופת המאסר של הנאשם לשאת" (</w:t>
      </w:r>
      <w:r w:rsidR="00EB2197">
        <w:rPr>
          <w:rFonts w:hint="cs"/>
          <w:rtl/>
        </w:rPr>
        <w:t xml:space="preserve">ע"פ 3936/22 </w:t>
      </w:r>
      <w:r w:rsidR="00EB2197">
        <w:rPr>
          <w:rFonts w:hint="cs"/>
          <w:b/>
          <w:bCs/>
          <w:rtl/>
        </w:rPr>
        <w:t xml:space="preserve">מדינת ישראל נ' </w:t>
      </w:r>
      <w:proofErr w:type="spellStart"/>
      <w:r w:rsidR="00EB2197">
        <w:rPr>
          <w:rFonts w:hint="cs"/>
          <w:b/>
          <w:bCs/>
          <w:rtl/>
        </w:rPr>
        <w:t>בושמיץ</w:t>
      </w:r>
      <w:proofErr w:type="spellEnd"/>
      <w:r w:rsidR="00EB2197">
        <w:rPr>
          <w:rFonts w:hint="cs"/>
          <w:rtl/>
        </w:rPr>
        <w:t>, פסקה 17 והאסמכתאות שם (</w:t>
      </w:r>
      <w:r w:rsidR="007869E2">
        <w:rPr>
          <w:rFonts w:hint="cs"/>
          <w:rtl/>
        </w:rPr>
        <w:t>10.11.2022))</w:t>
      </w:r>
      <w:r>
        <w:rPr>
          <w:rFonts w:hint="cs"/>
          <w:rtl/>
        </w:rPr>
        <w:t xml:space="preserve">. </w:t>
      </w:r>
    </w:p>
    <w:p w14:paraId="52443DF9" w14:textId="77777777" w:rsidR="00CD19B5" w:rsidRPr="00CD19B5" w:rsidRDefault="00EB2BC7" w:rsidP="004823F1">
      <w:pPr>
        <w:pStyle w:val="a3"/>
        <w:widowControl w:val="0"/>
        <w:numPr>
          <w:ilvl w:val="0"/>
          <w:numId w:val="1"/>
        </w:numPr>
        <w:spacing w:after="240" w:line="353" w:lineRule="auto"/>
        <w:outlineLvl w:val="0"/>
      </w:pPr>
      <w:r w:rsidRPr="004823F1">
        <w:rPr>
          <w:rFonts w:ascii="David" w:hAnsi="David" w:hint="cs"/>
          <w:sz w:val="28"/>
          <w:rtl/>
        </w:rPr>
        <w:t xml:space="preserve">אף </w:t>
      </w:r>
      <w:r w:rsidR="008C768C" w:rsidRPr="004823F1">
        <w:rPr>
          <w:rFonts w:ascii="David" w:hAnsi="David" w:hint="cs"/>
          <w:sz w:val="28"/>
          <w:rtl/>
        </w:rPr>
        <w:t xml:space="preserve">בקביעה כי </w:t>
      </w:r>
      <w:r w:rsidR="00642640" w:rsidRPr="004823F1">
        <w:rPr>
          <w:rFonts w:ascii="David" w:hAnsi="David" w:hint="cs"/>
          <w:sz w:val="28"/>
          <w:rtl/>
        </w:rPr>
        <w:t xml:space="preserve">העונש </w:t>
      </w:r>
      <w:r w:rsidR="008C768C" w:rsidRPr="004823F1">
        <w:rPr>
          <w:rFonts w:ascii="David" w:hAnsi="David" w:hint="cs"/>
          <w:sz w:val="28"/>
          <w:rtl/>
        </w:rPr>
        <w:t xml:space="preserve">הראוי למערער מצוי במחציתו של כל אחד ממתחמי </w:t>
      </w:r>
      <w:r w:rsidR="00642640" w:rsidRPr="004823F1">
        <w:rPr>
          <w:rFonts w:ascii="David" w:hAnsi="David" w:hint="cs"/>
          <w:sz w:val="28"/>
          <w:rtl/>
        </w:rPr>
        <w:t>העונש ההולם</w:t>
      </w:r>
      <w:r w:rsidR="008C768C" w:rsidRPr="004823F1">
        <w:rPr>
          <w:rFonts w:ascii="David" w:hAnsi="David" w:hint="cs"/>
          <w:sz w:val="28"/>
          <w:rtl/>
        </w:rPr>
        <w:t xml:space="preserve"> לא ראינו להתערב, </w:t>
      </w:r>
      <w:r w:rsidR="008547D0" w:rsidRPr="004823F1">
        <w:rPr>
          <w:rFonts w:ascii="David" w:hAnsi="David" w:hint="cs"/>
          <w:sz w:val="28"/>
          <w:rtl/>
        </w:rPr>
        <w:t xml:space="preserve">וזאת לאור </w:t>
      </w:r>
      <w:r w:rsidR="00642640" w:rsidRPr="004823F1">
        <w:rPr>
          <w:rFonts w:ascii="David" w:hAnsi="David" w:hint="cs"/>
          <w:sz w:val="28"/>
          <w:rtl/>
        </w:rPr>
        <w:t xml:space="preserve">שיקולי </w:t>
      </w:r>
      <w:r w:rsidR="0023702B" w:rsidRPr="004823F1">
        <w:rPr>
          <w:rFonts w:ascii="David" w:hAnsi="David" w:hint="cs"/>
          <w:sz w:val="28"/>
          <w:rtl/>
        </w:rPr>
        <w:t xml:space="preserve">ההרתעה הכללית והאישית, המתחייבים נוכח </w:t>
      </w:r>
      <w:r w:rsidR="00E3451C" w:rsidRPr="004823F1">
        <w:rPr>
          <w:rFonts w:ascii="David" w:hAnsi="David" w:hint="cs"/>
          <w:sz w:val="28"/>
          <w:rtl/>
        </w:rPr>
        <w:t xml:space="preserve">עמדתו העקבית כלפי ביצוע העבירות, אף לאחר הרשעתו. </w:t>
      </w:r>
      <w:r w:rsidR="006564DA" w:rsidRPr="004823F1">
        <w:rPr>
          <w:rFonts w:ascii="David" w:hAnsi="David" w:hint="cs"/>
          <w:sz w:val="28"/>
          <w:rtl/>
        </w:rPr>
        <w:t xml:space="preserve">עם זאת, כפי שבואר לעיל, </w:t>
      </w:r>
      <w:r w:rsidR="004830C5" w:rsidRPr="004823F1">
        <w:rPr>
          <w:rFonts w:ascii="David" w:hAnsi="David" w:hint="cs"/>
          <w:sz w:val="28"/>
          <w:rtl/>
        </w:rPr>
        <w:t>במהלך הדיון בערעור הודה המערער בביצוע העבירות</w:t>
      </w:r>
      <w:r w:rsidR="001A3501" w:rsidRPr="004823F1">
        <w:rPr>
          <w:rFonts w:ascii="David" w:hAnsi="David" w:hint="cs"/>
          <w:sz w:val="28"/>
          <w:rtl/>
        </w:rPr>
        <w:t xml:space="preserve">, נטל אחריות מלאה והתנצל בפני נפגעת העבירה. </w:t>
      </w:r>
      <w:r w:rsidR="004823F1" w:rsidRPr="004823F1">
        <w:rPr>
          <w:rFonts w:ascii="David" w:hAnsi="David" w:hint="cs"/>
          <w:sz w:val="28"/>
          <w:rtl/>
        </w:rPr>
        <w:t xml:space="preserve">כפי </w:t>
      </w:r>
      <w:r w:rsidR="004823F1">
        <w:rPr>
          <w:rFonts w:hint="cs"/>
          <w:rtl/>
        </w:rPr>
        <w:t xml:space="preserve">שנקבע, יש לתת משקל להודאה </w:t>
      </w:r>
      <w:r w:rsidR="00D84F1F">
        <w:rPr>
          <w:rFonts w:hint="cs"/>
          <w:rtl/>
        </w:rPr>
        <w:t xml:space="preserve">גם </w:t>
      </w:r>
      <w:r w:rsidR="004823F1">
        <w:rPr>
          <w:rFonts w:hint="cs"/>
          <w:rtl/>
        </w:rPr>
        <w:t xml:space="preserve">בשלב הערעור, אף אם </w:t>
      </w:r>
      <w:r w:rsidR="004823F1" w:rsidRPr="004823F1">
        <w:rPr>
          <w:sz w:val="28"/>
          <w:rtl/>
        </w:rPr>
        <w:t>אין ה</w:t>
      </w:r>
      <w:r w:rsidR="004823F1" w:rsidRPr="004823F1">
        <w:rPr>
          <w:rFonts w:hint="cs"/>
          <w:sz w:val="28"/>
          <w:rtl/>
        </w:rPr>
        <w:t>י</w:t>
      </w:r>
      <w:r w:rsidR="004823F1" w:rsidRPr="004823F1">
        <w:rPr>
          <w:sz w:val="28"/>
          <w:rtl/>
        </w:rPr>
        <w:t>א שקול</w:t>
      </w:r>
      <w:r w:rsidR="004823F1" w:rsidRPr="004823F1">
        <w:rPr>
          <w:rFonts w:hint="cs"/>
          <w:sz w:val="28"/>
          <w:rtl/>
        </w:rPr>
        <w:t>ה</w:t>
      </w:r>
      <w:r w:rsidR="004823F1" w:rsidRPr="004823F1">
        <w:rPr>
          <w:sz w:val="28"/>
          <w:rtl/>
        </w:rPr>
        <w:t xml:space="preserve"> לנאשם המודה כבר בתחילת הדרך (ע"פ 5927/15 </w:t>
      </w:r>
      <w:r w:rsidR="004823F1" w:rsidRPr="004823F1">
        <w:rPr>
          <w:rFonts w:hint="eastAsia"/>
          <w:b/>
          <w:bCs/>
          <w:sz w:val="28"/>
          <w:rtl/>
        </w:rPr>
        <w:t>פלוני</w:t>
      </w:r>
      <w:r w:rsidR="004823F1" w:rsidRPr="004823F1">
        <w:rPr>
          <w:rFonts w:hint="cs"/>
          <w:sz w:val="28"/>
          <w:rtl/>
        </w:rPr>
        <w:t xml:space="preserve"> </w:t>
      </w:r>
      <w:r w:rsidR="004823F1" w:rsidRPr="004823F1">
        <w:rPr>
          <w:rFonts w:hint="cs"/>
          <w:b/>
          <w:bCs/>
          <w:sz w:val="28"/>
          <w:rtl/>
        </w:rPr>
        <w:t>נ' מדינת ישראל</w:t>
      </w:r>
      <w:r w:rsidR="004823F1" w:rsidRPr="004823F1">
        <w:rPr>
          <w:rFonts w:hint="cs"/>
          <w:sz w:val="28"/>
          <w:rtl/>
        </w:rPr>
        <w:t xml:space="preserve">, </w:t>
      </w:r>
      <w:r w:rsidR="004823F1" w:rsidRPr="004823F1">
        <w:rPr>
          <w:sz w:val="28"/>
          <w:rtl/>
        </w:rPr>
        <w:t>פסקה 11</w:t>
      </w:r>
      <w:r w:rsidR="004823F1" w:rsidRPr="004823F1">
        <w:rPr>
          <w:rFonts w:hint="cs"/>
          <w:sz w:val="28"/>
          <w:rtl/>
        </w:rPr>
        <w:t xml:space="preserve"> (11.7.2016</w:t>
      </w:r>
      <w:r w:rsidR="004823F1" w:rsidRPr="004823F1">
        <w:rPr>
          <w:sz w:val="28"/>
          <w:rtl/>
        </w:rPr>
        <w:t>)</w:t>
      </w:r>
      <w:r w:rsidR="004823F1" w:rsidRPr="004823F1">
        <w:rPr>
          <w:rFonts w:hint="cs"/>
          <w:sz w:val="28"/>
          <w:rtl/>
        </w:rPr>
        <w:t>).</w:t>
      </w:r>
      <w:r w:rsidR="004823F1" w:rsidRPr="004823F1">
        <w:rPr>
          <w:rFonts w:ascii="David" w:hAnsi="David" w:hint="cs"/>
          <w:sz w:val="28"/>
          <w:rtl/>
        </w:rPr>
        <w:t xml:space="preserve"> בענייננו, </w:t>
      </w:r>
      <w:r w:rsidR="001A3501" w:rsidRPr="004823F1">
        <w:rPr>
          <w:rFonts w:ascii="David" w:hAnsi="David" w:hint="cs"/>
          <w:sz w:val="28"/>
          <w:rtl/>
        </w:rPr>
        <w:t xml:space="preserve">ביטוי לנטילת האחריות ניתן גם בהסכמתו </w:t>
      </w:r>
      <w:r w:rsidR="004823F1">
        <w:rPr>
          <w:rFonts w:ascii="David" w:hAnsi="David" w:hint="cs"/>
          <w:sz w:val="28"/>
          <w:rtl/>
        </w:rPr>
        <w:t xml:space="preserve">של המערער </w:t>
      </w:r>
      <w:r w:rsidR="001A3501" w:rsidRPr="004823F1">
        <w:rPr>
          <w:rFonts w:ascii="David" w:hAnsi="David" w:hint="cs"/>
          <w:sz w:val="28"/>
          <w:rtl/>
        </w:rPr>
        <w:t>לקבלת ערעור התביעה ביחס לרכיב הפיצוי</w:t>
      </w:r>
      <w:r w:rsidR="004823F1" w:rsidRPr="004823F1">
        <w:rPr>
          <w:rFonts w:ascii="David" w:hAnsi="David" w:hint="cs"/>
          <w:sz w:val="28"/>
          <w:rtl/>
        </w:rPr>
        <w:t xml:space="preserve">ים, כך שיעלה פי ששה </w:t>
      </w:r>
      <w:r w:rsidR="00901032" w:rsidRPr="004823F1">
        <w:rPr>
          <w:rFonts w:ascii="David" w:hAnsi="David" w:hint="cs"/>
          <w:sz w:val="28"/>
          <w:rtl/>
        </w:rPr>
        <w:t>על הס</w:t>
      </w:r>
      <w:r w:rsidR="001664D4" w:rsidRPr="004823F1">
        <w:rPr>
          <w:rFonts w:ascii="David" w:hAnsi="David" w:hint="cs"/>
          <w:sz w:val="28"/>
          <w:rtl/>
        </w:rPr>
        <w:t>כום שנפסק על ידי בית הדין קמא</w:t>
      </w:r>
      <w:r w:rsidR="00AA16ED" w:rsidRPr="004823F1">
        <w:rPr>
          <w:rFonts w:ascii="David" w:hAnsi="David" w:hint="cs"/>
          <w:sz w:val="28"/>
          <w:rtl/>
        </w:rPr>
        <w:t xml:space="preserve">; </w:t>
      </w:r>
      <w:r w:rsidR="00F9286A" w:rsidRPr="004823F1">
        <w:rPr>
          <w:rFonts w:ascii="David" w:hAnsi="David" w:hint="cs"/>
          <w:sz w:val="28"/>
          <w:rtl/>
        </w:rPr>
        <w:t xml:space="preserve">וכל זאת על דעתה </w:t>
      </w:r>
      <w:r w:rsidR="00F9286A" w:rsidRPr="004823F1">
        <w:rPr>
          <w:rFonts w:ascii="David" w:hAnsi="David" w:hint="cs"/>
          <w:sz w:val="28"/>
          <w:rtl/>
        </w:rPr>
        <w:lastRenderedPageBreak/>
        <w:t xml:space="preserve">של </w:t>
      </w:r>
      <w:r w:rsidR="00497368" w:rsidRPr="004823F1">
        <w:rPr>
          <w:rFonts w:ascii="David" w:hAnsi="David" w:hint="cs"/>
          <w:sz w:val="28"/>
          <w:rtl/>
        </w:rPr>
        <w:t xml:space="preserve">נפגעת העבירה, </w:t>
      </w:r>
      <w:r w:rsidR="004823F1" w:rsidRPr="004823F1">
        <w:rPr>
          <w:rFonts w:ascii="David" w:hAnsi="David" w:hint="cs"/>
          <w:sz w:val="28"/>
          <w:rtl/>
        </w:rPr>
        <w:t xml:space="preserve">הזכאית לפי הפסיקה </w:t>
      </w:r>
      <w:r w:rsidR="00136D2E" w:rsidRPr="004823F1">
        <w:rPr>
          <w:rFonts w:ascii="David" w:hAnsi="David" w:hint="cs"/>
          <w:sz w:val="28"/>
          <w:rtl/>
        </w:rPr>
        <w:t xml:space="preserve">להביע עמדה </w:t>
      </w:r>
      <w:r w:rsidR="00F11A4D" w:rsidRPr="004823F1">
        <w:rPr>
          <w:rFonts w:ascii="David" w:hAnsi="David" w:hint="cs"/>
          <w:sz w:val="28"/>
          <w:rtl/>
        </w:rPr>
        <w:t xml:space="preserve">בסוגיית הפיצויים, גם כאלה שנפסקו בהליך הפלילי (ראו </w:t>
      </w:r>
      <w:r w:rsidR="00D912CC" w:rsidRPr="004823F1">
        <w:rPr>
          <w:rFonts w:ascii="David" w:hAnsi="David" w:hint="cs"/>
          <w:sz w:val="28"/>
          <w:rtl/>
        </w:rPr>
        <w:t xml:space="preserve">ע"פ 4496/14 </w:t>
      </w:r>
      <w:r w:rsidR="00F51CB2" w:rsidRPr="004823F1">
        <w:rPr>
          <w:rFonts w:ascii="David" w:hAnsi="David" w:hint="cs"/>
          <w:b/>
          <w:bCs/>
          <w:sz w:val="28"/>
          <w:rtl/>
        </w:rPr>
        <w:t>פלוני נ' מדינת ישראל</w:t>
      </w:r>
      <w:r w:rsidR="00F51CB2" w:rsidRPr="004823F1">
        <w:rPr>
          <w:rFonts w:ascii="David" w:hAnsi="David" w:hint="cs"/>
          <w:sz w:val="28"/>
          <w:rtl/>
        </w:rPr>
        <w:t xml:space="preserve">, פסקה </w:t>
      </w:r>
      <w:r w:rsidR="00886023" w:rsidRPr="004823F1">
        <w:rPr>
          <w:rFonts w:ascii="David" w:hAnsi="David" w:hint="cs"/>
          <w:sz w:val="28"/>
          <w:rtl/>
        </w:rPr>
        <w:t>11 (4.5.2015)</w:t>
      </w:r>
      <w:r w:rsidR="00781570" w:rsidRPr="004823F1">
        <w:rPr>
          <w:rFonts w:ascii="David" w:hAnsi="David" w:hint="cs"/>
          <w:sz w:val="28"/>
          <w:rtl/>
        </w:rPr>
        <w:t xml:space="preserve">. על </w:t>
      </w:r>
      <w:r w:rsidR="004823F1" w:rsidRPr="004823F1">
        <w:rPr>
          <w:rFonts w:ascii="David" w:hAnsi="David" w:hint="cs"/>
          <w:sz w:val="28"/>
          <w:rtl/>
        </w:rPr>
        <w:t xml:space="preserve">מעמדם המרכזי </w:t>
      </w:r>
      <w:r w:rsidR="00781570" w:rsidRPr="004823F1">
        <w:rPr>
          <w:rFonts w:ascii="David" w:hAnsi="David" w:hint="cs"/>
          <w:sz w:val="28"/>
          <w:rtl/>
        </w:rPr>
        <w:t>של נפגע</w:t>
      </w:r>
      <w:r w:rsidR="004823F1" w:rsidRPr="004823F1">
        <w:rPr>
          <w:rFonts w:ascii="David" w:hAnsi="David" w:hint="cs"/>
          <w:sz w:val="28"/>
          <w:rtl/>
        </w:rPr>
        <w:t>י</w:t>
      </w:r>
      <w:r w:rsidR="00781570" w:rsidRPr="004823F1">
        <w:rPr>
          <w:rFonts w:ascii="David" w:hAnsi="David" w:hint="cs"/>
          <w:sz w:val="28"/>
          <w:rtl/>
        </w:rPr>
        <w:t xml:space="preserve"> העבירה בהליך הפלילי רא</w:t>
      </w:r>
      <w:r w:rsidR="006605F6" w:rsidRPr="004823F1">
        <w:rPr>
          <w:rFonts w:ascii="David" w:hAnsi="David" w:hint="cs"/>
          <w:sz w:val="28"/>
          <w:rtl/>
        </w:rPr>
        <w:t>ו</w:t>
      </w:r>
      <w:r w:rsidR="00781570" w:rsidRPr="004823F1">
        <w:rPr>
          <w:rFonts w:ascii="David" w:hAnsi="David" w:hint="cs"/>
          <w:sz w:val="28"/>
          <w:rtl/>
        </w:rPr>
        <w:t xml:space="preserve"> גם</w:t>
      </w:r>
      <w:r w:rsidR="006605F6" w:rsidRPr="004823F1">
        <w:rPr>
          <w:rFonts w:ascii="David" w:hAnsi="David" w:hint="cs"/>
          <w:sz w:val="28"/>
          <w:rtl/>
        </w:rPr>
        <w:t xml:space="preserve"> ע</w:t>
      </w:r>
      <w:r w:rsidR="0087668D" w:rsidRPr="004823F1">
        <w:rPr>
          <w:rFonts w:ascii="David" w:hAnsi="David" w:hint="cs"/>
          <w:sz w:val="28"/>
          <w:rtl/>
        </w:rPr>
        <w:t xml:space="preserve">/37,33/23 </w:t>
      </w:r>
      <w:r w:rsidR="009E4136" w:rsidRPr="004823F1">
        <w:rPr>
          <w:rFonts w:ascii="David" w:hAnsi="David" w:hint="cs"/>
          <w:b/>
          <w:bCs/>
          <w:sz w:val="28"/>
          <w:rtl/>
        </w:rPr>
        <w:t>סמ"ר פלג נ' התובע הצבאי הראשי</w:t>
      </w:r>
      <w:r w:rsidR="009E4136" w:rsidRPr="004823F1">
        <w:rPr>
          <w:rFonts w:ascii="David" w:hAnsi="David" w:hint="cs"/>
          <w:sz w:val="28"/>
          <w:rtl/>
        </w:rPr>
        <w:t>, פסקה 31 (2</w:t>
      </w:r>
      <w:r w:rsidR="00CD19B5" w:rsidRPr="004823F1">
        <w:rPr>
          <w:rFonts w:ascii="David" w:hAnsi="David" w:hint="cs"/>
          <w:sz w:val="28"/>
          <w:rtl/>
        </w:rPr>
        <w:t>023)</w:t>
      </w:r>
      <w:r w:rsidR="00D84F1F">
        <w:rPr>
          <w:rFonts w:ascii="David" w:hAnsi="David" w:hint="cs"/>
          <w:sz w:val="28"/>
          <w:rtl/>
        </w:rPr>
        <w:t>)</w:t>
      </w:r>
      <w:r w:rsidR="00CD19B5" w:rsidRPr="004823F1">
        <w:rPr>
          <w:rFonts w:ascii="David" w:hAnsi="David" w:hint="cs"/>
          <w:sz w:val="28"/>
          <w:rtl/>
        </w:rPr>
        <w:t xml:space="preserve">. </w:t>
      </w:r>
    </w:p>
    <w:p w14:paraId="1F0A6A00" w14:textId="77777777" w:rsidR="001201EE" w:rsidRDefault="00FB4A9E" w:rsidP="003A05E9">
      <w:pPr>
        <w:pStyle w:val="a3"/>
        <w:widowControl w:val="0"/>
        <w:numPr>
          <w:ilvl w:val="0"/>
          <w:numId w:val="1"/>
        </w:numPr>
        <w:spacing w:after="240" w:line="336" w:lineRule="auto"/>
        <w:outlineLvl w:val="0"/>
      </w:pPr>
      <w:r>
        <w:rPr>
          <w:rFonts w:hint="cs"/>
          <w:sz w:val="28"/>
          <w:rtl/>
        </w:rPr>
        <w:t>ל</w:t>
      </w:r>
      <w:r w:rsidR="00AA0CC6">
        <w:rPr>
          <w:rFonts w:hint="cs"/>
          <w:sz w:val="28"/>
          <w:rtl/>
        </w:rPr>
        <w:t xml:space="preserve">הודאת </w:t>
      </w:r>
      <w:r>
        <w:rPr>
          <w:rFonts w:hint="cs"/>
          <w:sz w:val="28"/>
          <w:rtl/>
        </w:rPr>
        <w:t>המערער ועמדתה של נפגעת העבירה</w:t>
      </w:r>
      <w:r w:rsidR="00AA0CC6">
        <w:rPr>
          <w:rFonts w:hint="cs"/>
          <w:sz w:val="28"/>
          <w:rtl/>
        </w:rPr>
        <w:t xml:space="preserve">, </w:t>
      </w:r>
      <w:r>
        <w:rPr>
          <w:rFonts w:hint="cs"/>
          <w:sz w:val="28"/>
          <w:rtl/>
        </w:rPr>
        <w:t xml:space="preserve">לצד </w:t>
      </w:r>
      <w:r w:rsidR="00A7638D">
        <w:rPr>
          <w:rFonts w:hint="cs"/>
          <w:sz w:val="28"/>
          <w:rtl/>
        </w:rPr>
        <w:t>הערכת מסוכנות</w:t>
      </w:r>
      <w:r>
        <w:rPr>
          <w:rFonts w:hint="cs"/>
          <w:sz w:val="28"/>
          <w:rtl/>
        </w:rPr>
        <w:t>ו</w:t>
      </w:r>
      <w:r w:rsidR="00A7638D">
        <w:rPr>
          <w:rFonts w:hint="cs"/>
          <w:sz w:val="28"/>
          <w:rtl/>
        </w:rPr>
        <w:t xml:space="preserve"> </w:t>
      </w:r>
      <w:r>
        <w:rPr>
          <w:rFonts w:hint="cs"/>
          <w:sz w:val="28"/>
          <w:rtl/>
        </w:rPr>
        <w:t>המינית כ</w:t>
      </w:r>
      <w:r w:rsidR="00A7638D">
        <w:rPr>
          <w:rFonts w:hint="cs"/>
          <w:sz w:val="28"/>
          <w:rtl/>
        </w:rPr>
        <w:t>נמוכה</w:t>
      </w:r>
      <w:r w:rsidR="00AA0CC6">
        <w:rPr>
          <w:rFonts w:hint="cs"/>
          <w:sz w:val="28"/>
          <w:rtl/>
        </w:rPr>
        <w:t xml:space="preserve">, </w:t>
      </w:r>
      <w:r>
        <w:rPr>
          <w:rFonts w:hint="cs"/>
          <w:sz w:val="28"/>
          <w:rtl/>
        </w:rPr>
        <w:t xml:space="preserve">מצטרפים </w:t>
      </w:r>
      <w:r w:rsidR="00AA0CC6">
        <w:rPr>
          <w:rFonts w:hint="cs"/>
          <w:sz w:val="28"/>
          <w:rtl/>
        </w:rPr>
        <w:t>שיקולים משמעותיים</w:t>
      </w:r>
      <w:r w:rsidR="00EC0FE0">
        <w:rPr>
          <w:rFonts w:hint="cs"/>
          <w:sz w:val="28"/>
          <w:rtl/>
        </w:rPr>
        <w:t xml:space="preserve"> נוספים לקולה. כך יש לציין את </w:t>
      </w:r>
      <w:r w:rsidR="009C1371">
        <w:rPr>
          <w:rFonts w:hint="cs"/>
          <w:sz w:val="28"/>
          <w:rtl/>
        </w:rPr>
        <w:t xml:space="preserve">שירותו המועיל </w:t>
      </w:r>
      <w:r w:rsidR="002F60CA">
        <w:rPr>
          <w:rFonts w:hint="cs"/>
          <w:sz w:val="28"/>
          <w:rtl/>
        </w:rPr>
        <w:t xml:space="preserve">שזכה להערכה, ואת </w:t>
      </w:r>
      <w:r w:rsidR="00BC5C25" w:rsidRPr="00015201">
        <w:rPr>
          <w:rFonts w:hint="cs"/>
          <w:sz w:val="28"/>
          <w:rtl/>
        </w:rPr>
        <w:t xml:space="preserve">פרק הזמן </w:t>
      </w:r>
      <w:r w:rsidR="00015201" w:rsidRPr="00015201">
        <w:rPr>
          <w:rFonts w:hint="cs"/>
          <w:sz w:val="28"/>
          <w:rtl/>
        </w:rPr>
        <w:t xml:space="preserve">הניכר שחלף </w:t>
      </w:r>
      <w:r w:rsidR="00CB3CFB" w:rsidRPr="00015201">
        <w:rPr>
          <w:rFonts w:ascii="David" w:hAnsi="David" w:hint="cs"/>
          <w:sz w:val="28"/>
          <w:rtl/>
        </w:rPr>
        <w:t>מאז מועד ביצוע העבירות</w:t>
      </w:r>
      <w:r w:rsidR="003746EC">
        <w:rPr>
          <w:rFonts w:ascii="David" w:hAnsi="David" w:hint="cs"/>
          <w:sz w:val="28"/>
          <w:rtl/>
        </w:rPr>
        <w:t xml:space="preserve"> </w:t>
      </w:r>
      <w:r w:rsidR="00CB3CFB" w:rsidRPr="00015201">
        <w:rPr>
          <w:rFonts w:ascii="David" w:hAnsi="David" w:hint="cs"/>
          <w:sz w:val="28"/>
          <w:rtl/>
        </w:rPr>
        <w:t xml:space="preserve">(ראו </w:t>
      </w:r>
      <w:r w:rsidR="006F2E67">
        <w:rPr>
          <w:rFonts w:ascii="David" w:hAnsi="David" w:hint="cs"/>
          <w:sz w:val="28"/>
          <w:rtl/>
        </w:rPr>
        <w:t xml:space="preserve">ע/21,22/22 </w:t>
      </w:r>
      <w:r w:rsidR="006F2E67">
        <w:rPr>
          <w:rFonts w:ascii="David" w:hAnsi="David" w:hint="cs"/>
          <w:b/>
          <w:bCs/>
          <w:sz w:val="28"/>
          <w:rtl/>
        </w:rPr>
        <w:t xml:space="preserve">סמל </w:t>
      </w:r>
      <w:proofErr w:type="spellStart"/>
      <w:r w:rsidR="006F2E67">
        <w:rPr>
          <w:rFonts w:ascii="David" w:hAnsi="David" w:hint="cs"/>
          <w:b/>
          <w:bCs/>
          <w:sz w:val="28"/>
          <w:rtl/>
        </w:rPr>
        <w:t>רקנאטי</w:t>
      </w:r>
      <w:proofErr w:type="spellEnd"/>
      <w:r w:rsidR="006F2E67">
        <w:rPr>
          <w:rFonts w:ascii="David" w:hAnsi="David" w:hint="cs"/>
          <w:b/>
          <w:bCs/>
          <w:sz w:val="28"/>
          <w:rtl/>
        </w:rPr>
        <w:t xml:space="preserve"> נ' התובע הצבאי הראשי</w:t>
      </w:r>
      <w:r w:rsidR="006F2E67">
        <w:rPr>
          <w:rFonts w:ascii="David" w:hAnsi="David" w:hint="cs"/>
          <w:sz w:val="28"/>
          <w:rtl/>
        </w:rPr>
        <w:t xml:space="preserve">, פסקה </w:t>
      </w:r>
      <w:r w:rsidR="0077750C">
        <w:rPr>
          <w:rFonts w:ascii="David" w:hAnsi="David" w:hint="cs"/>
          <w:sz w:val="28"/>
          <w:rtl/>
        </w:rPr>
        <w:t>18 (2023);</w:t>
      </w:r>
      <w:r w:rsidR="00050546">
        <w:rPr>
          <w:rFonts w:ascii="David" w:hAnsi="David" w:hint="cs"/>
          <w:sz w:val="28"/>
          <w:rtl/>
        </w:rPr>
        <w:t xml:space="preserve"> עניין </w:t>
      </w:r>
      <w:proofErr w:type="spellStart"/>
      <w:r w:rsidR="00050546">
        <w:rPr>
          <w:rFonts w:ascii="David" w:hAnsi="David" w:hint="cs"/>
          <w:b/>
          <w:bCs/>
          <w:sz w:val="28"/>
          <w:rtl/>
        </w:rPr>
        <w:t>מגנאג'י</w:t>
      </w:r>
      <w:proofErr w:type="spellEnd"/>
      <w:r w:rsidR="00050546">
        <w:rPr>
          <w:rFonts w:ascii="David" w:hAnsi="David" w:hint="cs"/>
          <w:b/>
          <w:bCs/>
          <w:sz w:val="28"/>
          <w:rtl/>
        </w:rPr>
        <w:t xml:space="preserve"> </w:t>
      </w:r>
      <w:r w:rsidR="00050546">
        <w:rPr>
          <w:rFonts w:ascii="David" w:hAnsi="David" w:hint="cs"/>
          <w:sz w:val="28"/>
          <w:rtl/>
        </w:rPr>
        <w:t>לעיל, פסקה 110)</w:t>
      </w:r>
      <w:r w:rsidR="00EA5315">
        <w:rPr>
          <w:rFonts w:ascii="David" w:hAnsi="David" w:hint="cs"/>
          <w:sz w:val="28"/>
          <w:rtl/>
        </w:rPr>
        <w:t xml:space="preserve">, שחלק נכבד ממנו </w:t>
      </w:r>
      <w:r w:rsidR="00012469">
        <w:rPr>
          <w:rFonts w:ascii="David" w:hAnsi="David" w:hint="cs"/>
          <w:sz w:val="28"/>
          <w:rtl/>
        </w:rPr>
        <w:t>מקורו בעיכוב ממשי ב</w:t>
      </w:r>
      <w:r w:rsidR="00950FBA">
        <w:rPr>
          <w:rFonts w:ascii="David" w:hAnsi="David" w:hint="cs"/>
          <w:sz w:val="28"/>
          <w:rtl/>
        </w:rPr>
        <w:t>הגשת התלונה ו</w:t>
      </w:r>
      <w:r>
        <w:rPr>
          <w:rFonts w:ascii="David" w:hAnsi="David" w:hint="cs"/>
          <w:sz w:val="28"/>
          <w:rtl/>
        </w:rPr>
        <w:t xml:space="preserve">בהגשת </w:t>
      </w:r>
      <w:r w:rsidR="00950FBA">
        <w:rPr>
          <w:rFonts w:ascii="David" w:hAnsi="David" w:hint="cs"/>
          <w:sz w:val="28"/>
          <w:rtl/>
        </w:rPr>
        <w:t xml:space="preserve">האישום. </w:t>
      </w:r>
      <w:r w:rsidR="00B42288">
        <w:rPr>
          <w:rFonts w:hint="cs"/>
          <w:rtl/>
        </w:rPr>
        <w:t xml:space="preserve">בזמן האמור, לא הסתבך המערער בעבירות נוספות, </w:t>
      </w:r>
      <w:r>
        <w:rPr>
          <w:rFonts w:hint="cs"/>
          <w:rtl/>
        </w:rPr>
        <w:t>סיים את שירותו ב</w:t>
      </w:r>
      <w:r w:rsidR="00B42288">
        <w:rPr>
          <w:rFonts w:hint="cs"/>
          <w:rtl/>
        </w:rPr>
        <w:t>צה"ל</w:t>
      </w:r>
      <w:r w:rsidR="00A7638D">
        <w:rPr>
          <w:rFonts w:hint="cs"/>
          <w:rtl/>
        </w:rPr>
        <w:t>,</w:t>
      </w:r>
      <w:r w:rsidR="00B42288">
        <w:rPr>
          <w:rFonts w:hint="cs"/>
          <w:rtl/>
        </w:rPr>
        <w:t xml:space="preserve"> החל את חייו האזרחיים</w:t>
      </w:r>
      <w:r w:rsidR="00A7638D">
        <w:rPr>
          <w:rFonts w:hint="cs"/>
          <w:rtl/>
        </w:rPr>
        <w:t xml:space="preserve"> ומנהל חיים נורמטיביים</w:t>
      </w:r>
      <w:r w:rsidR="00E6787E">
        <w:rPr>
          <w:rFonts w:hint="cs"/>
          <w:rtl/>
        </w:rPr>
        <w:t>.</w:t>
      </w:r>
      <w:r w:rsidR="00950FBA">
        <w:rPr>
          <w:rFonts w:hint="cs"/>
          <w:rtl/>
        </w:rPr>
        <w:t xml:space="preserve"> השתת עונש המאסר </w:t>
      </w:r>
      <w:r>
        <w:rPr>
          <w:rFonts w:hint="cs"/>
          <w:rtl/>
        </w:rPr>
        <w:t xml:space="preserve">בפועל </w:t>
      </w:r>
      <w:r w:rsidR="00950FBA">
        <w:rPr>
          <w:rFonts w:hint="cs"/>
          <w:rtl/>
        </w:rPr>
        <w:t xml:space="preserve">כעת קוטעת את מסלול חייו, לאחר </w:t>
      </w:r>
      <w:r>
        <w:rPr>
          <w:rFonts w:hint="cs"/>
          <w:rtl/>
        </w:rPr>
        <w:t xml:space="preserve">שכבר </w:t>
      </w:r>
      <w:r w:rsidR="00950FBA">
        <w:rPr>
          <w:rFonts w:hint="cs"/>
          <w:rtl/>
        </w:rPr>
        <w:t xml:space="preserve">השתלב בשירות בתי הסוהר ואף היה מיועד לצאת לקורס קצינים. </w:t>
      </w:r>
      <w:r w:rsidR="00333E98">
        <w:rPr>
          <w:rFonts w:ascii="David" w:hAnsi="David" w:hint="cs"/>
          <w:sz w:val="28"/>
          <w:rtl/>
        </w:rPr>
        <w:t xml:space="preserve">בשים לב לכל האמור, </w:t>
      </w:r>
      <w:r w:rsidR="006435BB">
        <w:rPr>
          <w:rFonts w:ascii="David" w:hAnsi="David" w:hint="cs"/>
          <w:sz w:val="28"/>
          <w:rtl/>
        </w:rPr>
        <w:t xml:space="preserve">סברנו </w:t>
      </w:r>
      <w:r w:rsidR="002C5888">
        <w:rPr>
          <w:rFonts w:ascii="David" w:hAnsi="David" w:hint="cs"/>
          <w:sz w:val="28"/>
          <w:rtl/>
        </w:rPr>
        <w:t xml:space="preserve">כי על אף </w:t>
      </w:r>
      <w:r w:rsidR="006435BB">
        <w:rPr>
          <w:rFonts w:ascii="David" w:hAnsi="David" w:hint="cs"/>
          <w:sz w:val="28"/>
          <w:rtl/>
        </w:rPr>
        <w:t xml:space="preserve">ששיקולי ההלימה אינם מאפשרים לקבל את עתירת ההגנה במלואה, </w:t>
      </w:r>
      <w:r w:rsidR="00373721">
        <w:rPr>
          <w:rFonts w:ascii="David" w:hAnsi="David" w:hint="cs"/>
          <w:sz w:val="28"/>
          <w:rtl/>
        </w:rPr>
        <w:t xml:space="preserve">הרי שניתן להתחשב ולהקל בעונשו </w:t>
      </w:r>
      <w:r w:rsidR="00333E98">
        <w:rPr>
          <w:rFonts w:ascii="David" w:hAnsi="David" w:hint="cs"/>
          <w:sz w:val="28"/>
          <w:rtl/>
        </w:rPr>
        <w:t>של המערער באופן מתון</w:t>
      </w:r>
      <w:r w:rsidR="00373721">
        <w:rPr>
          <w:rFonts w:ascii="David" w:hAnsi="David" w:hint="cs"/>
          <w:sz w:val="28"/>
          <w:rtl/>
        </w:rPr>
        <w:t xml:space="preserve">, כך שירצה עונש של </w:t>
      </w:r>
      <w:r w:rsidR="005C5BAA">
        <w:rPr>
          <w:rFonts w:ascii="David" w:hAnsi="David" w:hint="cs"/>
          <w:b/>
          <w:bCs/>
          <w:sz w:val="28"/>
          <w:rtl/>
        </w:rPr>
        <w:t xml:space="preserve">שבעה </w:t>
      </w:r>
      <w:r w:rsidR="005C5BAA">
        <w:rPr>
          <w:rFonts w:ascii="David" w:hAnsi="David" w:hint="cs"/>
          <w:sz w:val="28"/>
          <w:rtl/>
        </w:rPr>
        <w:t>חודשי מאסר</w:t>
      </w:r>
      <w:r w:rsidR="00F6348A">
        <w:rPr>
          <w:rFonts w:ascii="David" w:hAnsi="David" w:hint="cs"/>
          <w:sz w:val="28"/>
          <w:rtl/>
        </w:rPr>
        <w:t xml:space="preserve"> בפועל, בכליאה</w:t>
      </w:r>
      <w:r w:rsidR="005C5BAA">
        <w:rPr>
          <w:rFonts w:ascii="David" w:hAnsi="David" w:hint="cs"/>
          <w:sz w:val="28"/>
          <w:rtl/>
        </w:rPr>
        <w:t xml:space="preserve">, </w:t>
      </w:r>
      <w:r w:rsidR="001201EE">
        <w:rPr>
          <w:rFonts w:ascii="David" w:hAnsi="David" w:hint="cs"/>
          <w:sz w:val="28"/>
          <w:rtl/>
        </w:rPr>
        <w:t>שתחילתו כאמור ביום 14 בדצמבר 2025. יתר רכיבי הענישה י</w:t>
      </w:r>
      <w:r w:rsidR="00F6348A">
        <w:rPr>
          <w:rFonts w:ascii="David" w:hAnsi="David" w:hint="cs"/>
          <w:sz w:val="28"/>
          <w:rtl/>
        </w:rPr>
        <w:t>י</w:t>
      </w:r>
      <w:r w:rsidR="001201EE">
        <w:rPr>
          <w:rFonts w:ascii="David" w:hAnsi="David" w:hint="cs"/>
          <w:sz w:val="28"/>
          <w:rtl/>
        </w:rPr>
        <w:t>וותרו על כנם</w:t>
      </w:r>
      <w:r w:rsidR="005C5BAA">
        <w:rPr>
          <w:rFonts w:ascii="David" w:hAnsi="David" w:hint="cs"/>
          <w:sz w:val="28"/>
          <w:rtl/>
        </w:rPr>
        <w:t>.</w:t>
      </w:r>
      <w:r w:rsidR="00F6348A">
        <w:rPr>
          <w:rFonts w:ascii="David" w:hAnsi="David" w:hint="cs"/>
          <w:sz w:val="28"/>
          <w:rtl/>
        </w:rPr>
        <w:t xml:space="preserve"> הפיצויים לנפגעת הועמדו </w:t>
      </w:r>
      <w:r w:rsidR="00D84F1F">
        <w:rPr>
          <w:rFonts w:ascii="David" w:hAnsi="David" w:hint="cs"/>
          <w:sz w:val="28"/>
          <w:rtl/>
        </w:rPr>
        <w:t xml:space="preserve">בהסכמת המערער </w:t>
      </w:r>
      <w:r w:rsidR="00F6348A">
        <w:rPr>
          <w:rFonts w:ascii="David" w:hAnsi="David" w:hint="cs"/>
          <w:sz w:val="28"/>
          <w:rtl/>
        </w:rPr>
        <w:t>על 30,000 ש"ח וכבר הועברו לה, כאמור.</w:t>
      </w:r>
      <w:r w:rsidR="005C5BAA">
        <w:rPr>
          <w:rFonts w:ascii="David" w:hAnsi="David" w:hint="cs"/>
          <w:sz w:val="28"/>
          <w:rtl/>
        </w:rPr>
        <w:t xml:space="preserve"> </w:t>
      </w:r>
    </w:p>
    <w:p w14:paraId="6D915518" w14:textId="77777777" w:rsidR="00F6348A" w:rsidRDefault="00FA7DB9" w:rsidP="001201EE">
      <w:pPr>
        <w:pStyle w:val="a3"/>
        <w:widowControl w:val="0"/>
        <w:numPr>
          <w:ilvl w:val="0"/>
          <w:numId w:val="1"/>
        </w:numPr>
        <w:spacing w:after="240" w:line="353" w:lineRule="auto"/>
        <w:outlineLvl w:val="0"/>
      </w:pPr>
      <w:r>
        <w:rPr>
          <w:rFonts w:hint="cs"/>
          <w:rtl/>
        </w:rPr>
        <w:t xml:space="preserve">מכאן שערעור התביעה מתקבל באופן חלקי, בהיבט תשלום הפיצוי; ערעור ההגנה על הכרעת הדין נמחק וערעור ההגנה על גזר הדין מתקבל. </w:t>
      </w:r>
    </w:p>
    <w:p w14:paraId="7B7A646A" w14:textId="299DE73E" w:rsidR="009C6599" w:rsidRDefault="009C6599" w:rsidP="00C8410B">
      <w:pPr>
        <w:pStyle w:val="a3"/>
        <w:spacing w:before="480" w:after="240"/>
        <w:ind w:left="0" w:firstLine="0"/>
        <w:rPr>
          <w:rtl/>
        </w:rPr>
      </w:pPr>
      <w:r w:rsidRPr="00D52B24">
        <w:rPr>
          <w:sz w:val="28"/>
          <w:rtl/>
        </w:rPr>
        <w:t>ניתן והודע היום</w:t>
      </w:r>
      <w:r>
        <w:rPr>
          <w:rFonts w:hint="cs"/>
          <w:sz w:val="28"/>
          <w:rtl/>
        </w:rPr>
        <w:t xml:space="preserve">, </w:t>
      </w:r>
      <w:r w:rsidR="002C2C76">
        <w:rPr>
          <w:rFonts w:hint="cs"/>
          <w:sz w:val="28"/>
          <w:rtl/>
        </w:rPr>
        <w:t xml:space="preserve">ג' </w:t>
      </w:r>
      <w:r>
        <w:rPr>
          <w:rFonts w:hint="cs"/>
          <w:sz w:val="28"/>
          <w:rtl/>
        </w:rPr>
        <w:t>ב</w:t>
      </w:r>
      <w:r w:rsidR="002C2C76">
        <w:rPr>
          <w:rFonts w:hint="cs"/>
          <w:sz w:val="28"/>
          <w:rtl/>
        </w:rPr>
        <w:t>טבת</w:t>
      </w:r>
      <w:r>
        <w:rPr>
          <w:rFonts w:hint="cs"/>
          <w:sz w:val="28"/>
          <w:rtl/>
        </w:rPr>
        <w:t xml:space="preserve"> </w:t>
      </w:r>
      <w:proofErr w:type="spellStart"/>
      <w:r>
        <w:rPr>
          <w:rFonts w:hint="cs"/>
          <w:sz w:val="28"/>
          <w:rtl/>
        </w:rPr>
        <w:t>התשפ"</w:t>
      </w:r>
      <w:r w:rsidR="00507E68">
        <w:rPr>
          <w:rFonts w:hint="cs"/>
          <w:sz w:val="28"/>
          <w:rtl/>
        </w:rPr>
        <w:t>ו</w:t>
      </w:r>
      <w:proofErr w:type="spellEnd"/>
      <w:r>
        <w:rPr>
          <w:rFonts w:hint="cs"/>
          <w:sz w:val="28"/>
          <w:rtl/>
        </w:rPr>
        <w:t xml:space="preserve">, </w:t>
      </w:r>
      <w:r w:rsidR="002C2C76">
        <w:rPr>
          <w:rFonts w:hint="cs"/>
          <w:sz w:val="28"/>
          <w:rtl/>
        </w:rPr>
        <w:t>23</w:t>
      </w:r>
      <w:r>
        <w:rPr>
          <w:rFonts w:hint="cs"/>
          <w:sz w:val="28"/>
          <w:rtl/>
        </w:rPr>
        <w:t xml:space="preserve"> ב</w:t>
      </w:r>
      <w:r w:rsidR="00687955">
        <w:rPr>
          <w:rFonts w:hint="cs"/>
          <w:sz w:val="28"/>
          <w:rtl/>
        </w:rPr>
        <w:t>דצמבר</w:t>
      </w:r>
      <w:r>
        <w:rPr>
          <w:rFonts w:hint="cs"/>
          <w:sz w:val="28"/>
          <w:rtl/>
        </w:rPr>
        <w:t xml:space="preserve"> 202</w:t>
      </w:r>
      <w:r w:rsidR="00507E68">
        <w:rPr>
          <w:rFonts w:hint="cs"/>
          <w:sz w:val="28"/>
          <w:rtl/>
        </w:rPr>
        <w:t>5</w:t>
      </w:r>
      <w:r>
        <w:rPr>
          <w:rFonts w:hint="cs"/>
          <w:sz w:val="28"/>
          <w:rtl/>
        </w:rPr>
        <w:t>,</w:t>
      </w:r>
      <w:r w:rsidRPr="00D52B24">
        <w:rPr>
          <w:sz w:val="28"/>
          <w:rtl/>
        </w:rPr>
        <w:t xml:space="preserve"> בפומבי ובמעמד הצדדים.</w:t>
      </w:r>
    </w:p>
    <w:p w14:paraId="216B2986" w14:textId="77777777" w:rsidR="008176E8" w:rsidRPr="005D181E" w:rsidRDefault="008176E8" w:rsidP="008176E8">
      <w:pPr>
        <w:ind w:left="-58"/>
        <w:outlineLvl w:val="0"/>
        <w:rPr>
          <w:rFonts w:ascii="David" w:hAnsi="David"/>
          <w:szCs w:val="24"/>
          <w:rtl/>
        </w:rPr>
      </w:pPr>
    </w:p>
    <w:p w14:paraId="2724CCA1" w14:textId="0F306EE5" w:rsidR="008176E8" w:rsidRPr="0025739C" w:rsidRDefault="002C2C76" w:rsidP="008176E8">
      <w:pPr>
        <w:outlineLvl w:val="0"/>
        <w:rPr>
          <w:rFonts w:ascii="David" w:hAnsi="David"/>
          <w:sz w:val="28"/>
          <w:rtl/>
        </w:rPr>
      </w:pPr>
      <w:r>
        <w:rPr>
          <w:rFonts w:ascii="David" w:hAnsi="David" w:hint="cs"/>
          <w:sz w:val="28"/>
          <w:rtl/>
        </w:rPr>
        <w:t xml:space="preserve"> </w:t>
      </w:r>
      <w:r w:rsidR="008176E8" w:rsidRPr="0025739C">
        <w:rPr>
          <w:rFonts w:ascii="David" w:hAnsi="David"/>
          <w:sz w:val="28"/>
          <w:rtl/>
        </w:rPr>
        <w:t>______________</w:t>
      </w:r>
      <w:r w:rsidR="008176E8" w:rsidRPr="0025739C">
        <w:rPr>
          <w:rFonts w:ascii="David" w:hAnsi="David"/>
          <w:sz w:val="28"/>
          <w:rtl/>
        </w:rPr>
        <w:tab/>
        <w:t xml:space="preserve">  </w:t>
      </w:r>
      <w:r>
        <w:rPr>
          <w:rFonts w:ascii="David" w:hAnsi="David" w:hint="cs"/>
          <w:sz w:val="28"/>
          <w:rtl/>
        </w:rPr>
        <w:t xml:space="preserve">   </w:t>
      </w:r>
      <w:r w:rsidR="008176E8" w:rsidRPr="0025739C">
        <w:rPr>
          <w:rFonts w:ascii="David" w:hAnsi="David"/>
          <w:sz w:val="28"/>
          <w:rtl/>
        </w:rPr>
        <w:t xml:space="preserve"> </w:t>
      </w:r>
      <w:r w:rsidR="003A05E9">
        <w:rPr>
          <w:rFonts w:ascii="David" w:hAnsi="David" w:hint="cs"/>
          <w:sz w:val="28"/>
          <w:rtl/>
        </w:rPr>
        <w:t xml:space="preserve">               </w:t>
      </w:r>
      <w:r w:rsidR="008176E8" w:rsidRPr="0025739C">
        <w:rPr>
          <w:rFonts w:ascii="David" w:hAnsi="David"/>
          <w:sz w:val="28"/>
          <w:rtl/>
        </w:rPr>
        <w:t xml:space="preserve">  ______________</w:t>
      </w:r>
      <w:r w:rsidR="008176E8" w:rsidRPr="0025739C">
        <w:rPr>
          <w:rFonts w:ascii="David" w:hAnsi="David"/>
          <w:sz w:val="28"/>
          <w:rtl/>
        </w:rPr>
        <w:tab/>
        <w:t xml:space="preserve"> </w:t>
      </w:r>
      <w:r>
        <w:rPr>
          <w:rFonts w:ascii="David" w:hAnsi="David" w:hint="cs"/>
          <w:sz w:val="28"/>
          <w:rtl/>
        </w:rPr>
        <w:t xml:space="preserve">        </w:t>
      </w:r>
      <w:r w:rsidR="003A05E9">
        <w:rPr>
          <w:rFonts w:ascii="David" w:hAnsi="David" w:hint="cs"/>
          <w:sz w:val="28"/>
          <w:rtl/>
        </w:rPr>
        <w:t xml:space="preserve">   </w:t>
      </w:r>
      <w:r>
        <w:rPr>
          <w:rFonts w:ascii="David" w:hAnsi="David" w:hint="cs"/>
          <w:sz w:val="28"/>
          <w:rtl/>
        </w:rPr>
        <w:t xml:space="preserve">       </w:t>
      </w:r>
      <w:r w:rsidR="008176E8" w:rsidRPr="0025739C">
        <w:rPr>
          <w:rFonts w:ascii="David" w:hAnsi="David"/>
          <w:sz w:val="28"/>
          <w:rtl/>
        </w:rPr>
        <w:t xml:space="preserve"> ______________</w:t>
      </w:r>
    </w:p>
    <w:p w14:paraId="49CAF2E3" w14:textId="5A369887" w:rsidR="008176E8" w:rsidRDefault="008176E8" w:rsidP="008176E8">
      <w:pPr>
        <w:outlineLvl w:val="0"/>
        <w:rPr>
          <w:rFonts w:ascii="David" w:hAnsi="David"/>
          <w:sz w:val="28"/>
          <w:rtl/>
        </w:rPr>
      </w:pPr>
      <w:r w:rsidRPr="0025739C">
        <w:rPr>
          <w:rFonts w:ascii="David" w:hAnsi="David"/>
          <w:sz w:val="28"/>
          <w:rtl/>
        </w:rPr>
        <w:tab/>
        <w:t xml:space="preserve"> אב"ד         </w:t>
      </w:r>
      <w:r w:rsidRPr="0025739C">
        <w:rPr>
          <w:rFonts w:ascii="David" w:hAnsi="David"/>
          <w:sz w:val="28"/>
          <w:rtl/>
        </w:rPr>
        <w:tab/>
        <w:t xml:space="preserve">                      </w:t>
      </w:r>
      <w:r w:rsidR="003A05E9">
        <w:rPr>
          <w:rFonts w:ascii="David" w:hAnsi="David" w:hint="cs"/>
          <w:sz w:val="28"/>
          <w:rtl/>
        </w:rPr>
        <w:t xml:space="preserve">         </w:t>
      </w:r>
      <w:r w:rsidRPr="0025739C">
        <w:rPr>
          <w:rFonts w:ascii="David" w:hAnsi="David"/>
          <w:sz w:val="28"/>
          <w:rtl/>
        </w:rPr>
        <w:t xml:space="preserve">שופטת  </w:t>
      </w:r>
      <w:r w:rsidRPr="0025739C">
        <w:rPr>
          <w:rFonts w:ascii="David" w:hAnsi="David"/>
          <w:sz w:val="28"/>
          <w:rtl/>
        </w:rPr>
        <w:tab/>
        <w:t xml:space="preserve">                     </w:t>
      </w:r>
      <w:r w:rsidR="003A05E9">
        <w:rPr>
          <w:rFonts w:ascii="David" w:hAnsi="David" w:hint="cs"/>
          <w:sz w:val="28"/>
          <w:rtl/>
        </w:rPr>
        <w:t xml:space="preserve">            </w:t>
      </w:r>
      <w:r w:rsidRPr="0025739C">
        <w:rPr>
          <w:rFonts w:ascii="David" w:hAnsi="David"/>
          <w:sz w:val="28"/>
          <w:rtl/>
        </w:rPr>
        <w:t xml:space="preserve">      שופטת</w:t>
      </w:r>
    </w:p>
    <w:p w14:paraId="7B86641B" w14:textId="77777777" w:rsidR="00D602EB" w:rsidRPr="005D181E" w:rsidRDefault="00D602EB" w:rsidP="008176E8">
      <w:pPr>
        <w:outlineLvl w:val="0"/>
        <w:rPr>
          <w:rFonts w:ascii="David" w:hAnsi="David"/>
          <w:sz w:val="20"/>
          <w:szCs w:val="20"/>
          <w:rtl/>
        </w:rPr>
      </w:pPr>
    </w:p>
    <w:p w14:paraId="4EA39FA3" w14:textId="763008C7" w:rsidR="003A05E9" w:rsidRDefault="003A05E9" w:rsidP="008176E8">
      <w:pPr>
        <w:outlineLvl w:val="0"/>
        <w:rPr>
          <w:rFonts w:ascii="David" w:hAnsi="David"/>
          <w:sz w:val="28"/>
          <w:rtl/>
        </w:rPr>
      </w:pPr>
    </w:p>
    <w:p w14:paraId="7E14F547" w14:textId="7A34238F" w:rsidR="003A05E9" w:rsidRPr="003A05E9" w:rsidRDefault="003A05E9" w:rsidP="003A05E9">
      <w:pPr>
        <w:spacing w:after="200" w:line="276" w:lineRule="auto"/>
        <w:ind w:left="-58" w:right="-567"/>
        <w:jc w:val="left"/>
        <w:rPr>
          <w:rFonts w:ascii="David" w:hAnsi="David"/>
          <w:b/>
          <w:bCs/>
          <w:sz w:val="28"/>
          <w:rtl/>
        </w:rPr>
      </w:pPr>
      <w:bookmarkStart w:id="2" w:name="_Hlk122599666"/>
      <w:bookmarkStart w:id="3" w:name="_Hlk141797760"/>
      <w:r w:rsidRPr="003A05E9">
        <w:rPr>
          <w:rFonts w:ascii="David" w:hAnsi="David"/>
          <w:b/>
          <w:bCs/>
          <w:sz w:val="28"/>
          <w:rtl/>
        </w:rPr>
        <w:t xml:space="preserve">חתימת המגיה: _______________________________      העתק     </w:t>
      </w:r>
      <w:r w:rsidRPr="003A05E9">
        <w:rPr>
          <w:rFonts w:ascii="David" w:hAnsi="David" w:hint="cs"/>
          <w:b/>
          <w:bCs/>
          <w:sz w:val="28"/>
          <w:rtl/>
        </w:rPr>
        <w:t xml:space="preserve"> </w:t>
      </w:r>
      <w:r w:rsidRPr="003A05E9">
        <w:rPr>
          <w:rFonts w:ascii="David" w:hAnsi="David"/>
          <w:b/>
          <w:bCs/>
          <w:sz w:val="28"/>
          <w:rtl/>
        </w:rPr>
        <w:t xml:space="preserve">נאמן      למקור             </w:t>
      </w:r>
    </w:p>
    <w:p w14:paraId="05129F9B" w14:textId="263D06A6" w:rsidR="003A05E9" w:rsidRPr="003A05E9" w:rsidRDefault="003A05E9" w:rsidP="003A05E9">
      <w:pPr>
        <w:spacing w:after="200" w:line="276" w:lineRule="auto"/>
        <w:ind w:left="-58" w:right="-567"/>
        <w:jc w:val="left"/>
        <w:rPr>
          <w:rFonts w:ascii="David" w:hAnsi="David"/>
          <w:b/>
          <w:bCs/>
          <w:sz w:val="28"/>
          <w:rtl/>
        </w:rPr>
      </w:pPr>
      <w:r w:rsidRPr="003A05E9">
        <w:rPr>
          <w:rFonts w:ascii="David" w:hAnsi="David"/>
          <w:b/>
          <w:bCs/>
          <w:sz w:val="28"/>
          <w:rtl/>
        </w:rPr>
        <w:t xml:space="preserve">                                                                                                       </w:t>
      </w:r>
      <w:r w:rsidRPr="003A05E9">
        <w:rPr>
          <w:rFonts w:ascii="David" w:hAnsi="David" w:hint="cs"/>
          <w:b/>
          <w:bCs/>
          <w:sz w:val="28"/>
          <w:rtl/>
        </w:rPr>
        <w:t>רס"ל      מיקה     אשרוב</w:t>
      </w:r>
    </w:p>
    <w:p w14:paraId="3681A5B2" w14:textId="03B4888D" w:rsidR="003A05E9" w:rsidRPr="003A05E9" w:rsidRDefault="003A05E9" w:rsidP="003A05E9">
      <w:pPr>
        <w:spacing w:after="200" w:line="276" w:lineRule="auto"/>
        <w:ind w:left="-58" w:right="-567"/>
        <w:jc w:val="left"/>
        <w:rPr>
          <w:rFonts w:ascii="David" w:hAnsi="David"/>
          <w:b/>
          <w:bCs/>
          <w:sz w:val="28"/>
          <w:rtl/>
        </w:rPr>
      </w:pPr>
      <w:r w:rsidRPr="003A05E9">
        <w:rPr>
          <w:rFonts w:ascii="David" w:hAnsi="David"/>
          <w:b/>
          <w:bCs/>
          <w:sz w:val="28"/>
          <w:rtl/>
        </w:rPr>
        <w:t>תאריך: ____________________________________        קצי</w:t>
      </w:r>
      <w:r w:rsidRPr="003A05E9">
        <w:rPr>
          <w:rFonts w:ascii="David" w:hAnsi="David" w:hint="cs"/>
          <w:b/>
          <w:bCs/>
          <w:sz w:val="28"/>
          <w:rtl/>
        </w:rPr>
        <w:t>נת</w:t>
      </w:r>
      <w:r w:rsidRPr="003A05E9">
        <w:rPr>
          <w:rFonts w:ascii="David" w:hAnsi="David"/>
          <w:b/>
          <w:bCs/>
          <w:sz w:val="28"/>
          <w:rtl/>
        </w:rPr>
        <w:t xml:space="preserve">       בית        הדין</w:t>
      </w:r>
      <w:bookmarkEnd w:id="2"/>
      <w:bookmarkEnd w:id="3"/>
    </w:p>
    <w:sectPr w:rsidR="003A05E9" w:rsidRPr="003A05E9" w:rsidSect="00D4777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7B86F" w14:textId="77777777" w:rsidR="004C25C8" w:rsidRDefault="004C25C8" w:rsidP="005378FB">
      <w:pPr>
        <w:spacing w:line="240" w:lineRule="auto"/>
      </w:pPr>
      <w:r>
        <w:separator/>
      </w:r>
    </w:p>
  </w:endnote>
  <w:endnote w:type="continuationSeparator" w:id="0">
    <w:p w14:paraId="7738D6D7" w14:textId="77777777" w:rsidR="004C25C8" w:rsidRDefault="004C25C8" w:rsidP="005378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D3BA" w14:textId="77777777" w:rsidR="003A05E9" w:rsidRPr="003A05E9" w:rsidRDefault="003A05E9">
    <w:pPr>
      <w:pStyle w:val="a6"/>
      <w:jc w:val="center"/>
      <w:rPr>
        <w:rFonts w:ascii="David" w:hAnsi="David"/>
        <w:sz w:val="28"/>
        <w:szCs w:val="32"/>
      </w:rPr>
    </w:pPr>
    <w:r w:rsidRPr="003A05E9">
      <w:rPr>
        <w:rFonts w:ascii="David" w:hAnsi="David"/>
        <w:sz w:val="28"/>
        <w:szCs w:val="32"/>
      </w:rPr>
      <w:fldChar w:fldCharType="begin"/>
    </w:r>
    <w:r w:rsidRPr="003A05E9">
      <w:rPr>
        <w:rFonts w:ascii="David" w:hAnsi="David"/>
        <w:sz w:val="28"/>
        <w:szCs w:val="32"/>
      </w:rPr>
      <w:instrText xml:space="preserve"> PAGE   \* MERGEFORMAT </w:instrText>
    </w:r>
    <w:r w:rsidRPr="003A05E9">
      <w:rPr>
        <w:rFonts w:ascii="David" w:hAnsi="David"/>
        <w:sz w:val="28"/>
        <w:szCs w:val="32"/>
      </w:rPr>
      <w:fldChar w:fldCharType="separate"/>
    </w:r>
    <w:r w:rsidRPr="003A05E9">
      <w:rPr>
        <w:rFonts w:ascii="David" w:hAnsi="David"/>
        <w:noProof/>
        <w:sz w:val="28"/>
        <w:szCs w:val="32"/>
      </w:rPr>
      <w:t>2</w:t>
    </w:r>
    <w:r w:rsidRPr="003A05E9">
      <w:rPr>
        <w:rFonts w:ascii="David" w:hAnsi="David"/>
        <w:noProof/>
        <w:sz w:val="28"/>
        <w:szCs w:val="32"/>
      </w:rPr>
      <w:fldChar w:fldCharType="end"/>
    </w:r>
  </w:p>
  <w:p w14:paraId="67F06EDB" w14:textId="77777777" w:rsidR="003A05E9" w:rsidRDefault="003A05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4ED31" w14:textId="77777777" w:rsidR="004C25C8" w:rsidRDefault="004C25C8" w:rsidP="005378FB">
      <w:pPr>
        <w:spacing w:line="240" w:lineRule="auto"/>
      </w:pPr>
      <w:r>
        <w:separator/>
      </w:r>
    </w:p>
  </w:footnote>
  <w:footnote w:type="continuationSeparator" w:id="0">
    <w:p w14:paraId="52B92B34" w14:textId="77777777" w:rsidR="004C25C8" w:rsidRDefault="004C25C8" w:rsidP="005378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9D7F5" w14:textId="4B3CF6BC" w:rsidR="000948A2" w:rsidRDefault="00D31D23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7CD27358" wp14:editId="3E7A4C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2280" cy="422910"/>
              <wp:effectExtent l="0" t="0" r="13970" b="15240"/>
              <wp:wrapNone/>
              <wp:docPr id="762323972" name="תיבת טקסט 4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28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40150" w14:textId="3C135612" w:rsidR="00D31D23" w:rsidRPr="00D31D23" w:rsidRDefault="00D31D23" w:rsidP="00D31D2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1D2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27358" id="_x0000_t202" coordsize="21600,21600" o:spt="202" path="m,l,21600r21600,l21600,xe">
              <v:stroke joinstyle="miter"/>
              <v:path gradientshapeok="t" o:connecttype="rect"/>
            </v:shapetype>
            <v:shape id="תיבת טקסט 4" o:spid="_x0000_s1026" type="#_x0000_t202" alt="- בלמ&quot;ס -" style="position:absolute;left:0;text-align:left;margin-left:0;margin-top:0;width:36.4pt;height:33.3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6EE40150" w14:textId="3C135612" w:rsidR="00D31D23" w:rsidRPr="00D31D23" w:rsidRDefault="00D31D23" w:rsidP="00D31D2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31D2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A05E9"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6308185" wp14:editId="471A012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62280" cy="422910"/>
              <wp:effectExtent l="0" t="0" r="4445" b="0"/>
              <wp:wrapNone/>
              <wp:docPr id="4" name="Text Box 2" descr="- בלמ&quot;ס -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28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74F22F" w14:textId="77777777" w:rsidR="000948A2" w:rsidRPr="000948A2" w:rsidRDefault="000948A2" w:rsidP="000948A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948A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vert="horz" wrap="none" lIns="0" tIns="19050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3081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בלמ&quot;ס -" style="position:absolute;left:0;text-align:left;margin-left:0;margin-top:0;width:36.4pt;height:33.3pt;z-index:251657728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" filled="f" stroked="f">
              <v:textbox style="mso-fit-shape-to-text:t" inset="0,15pt,0,0">
                <w:txbxContent>
                  <w:p w14:paraId="3674F22F" w14:textId="77777777" w:rsidR="000948A2" w:rsidRPr="000948A2" w:rsidRDefault="000948A2" w:rsidP="000948A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948A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4712" w14:textId="577E03E7" w:rsidR="005378FB" w:rsidRDefault="00D31D23" w:rsidP="005378FB">
    <w:pPr>
      <w:pStyle w:val="a4"/>
      <w:jc w:val="right"/>
      <w:rPr>
        <w:rtl/>
      </w:rPr>
    </w:pPr>
    <w:r>
      <w:rPr>
        <w:rFonts w:hint="cs"/>
        <w:noProof/>
        <w:rtl/>
        <w:lang w:val="he-IL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1868A158" wp14:editId="1FFDE6EF">
              <wp:simplePos x="898497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462280" cy="422910"/>
              <wp:effectExtent l="0" t="0" r="13970" b="15240"/>
              <wp:wrapNone/>
              <wp:docPr id="1919513741" name="תיבת טקסט 5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28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347AC" w14:textId="7431980D" w:rsidR="00D31D23" w:rsidRPr="00D31D23" w:rsidRDefault="00D31D23" w:rsidP="00D31D2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1D2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8A158" id="_x0000_t202" coordsize="21600,21600" o:spt="202" path="m,l,21600r21600,l21600,xe">
              <v:stroke joinstyle="miter"/>
              <v:path gradientshapeok="t" o:connecttype="rect"/>
            </v:shapetype>
            <v:shape id="תיבת טקסט 5" o:spid="_x0000_s1028" type="#_x0000_t202" alt="- בלמ&quot;ס -" style="position:absolute;margin-left:0;margin-top:0;width:36.4pt;height:33.3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39347AC" w14:textId="7431980D" w:rsidR="00D31D23" w:rsidRPr="00D31D23" w:rsidRDefault="00D31D23" w:rsidP="00D31D2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31D2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20E96">
      <w:rPr>
        <w:rFonts w:hint="cs"/>
        <w:rtl/>
      </w:rPr>
      <w:t>ב ל</w:t>
    </w:r>
    <w:r w:rsidR="005D181E">
      <w:rPr>
        <w:rFonts w:hint="cs"/>
        <w:rtl/>
      </w:rPr>
      <w:t xml:space="preserve"> מ " ס</w:t>
    </w:r>
    <w:r w:rsidR="00F20E96">
      <w:rPr>
        <w:rFonts w:hint="cs"/>
        <w:rtl/>
      </w:rPr>
      <w:t xml:space="preserve">   </w:t>
    </w:r>
    <w:r w:rsidR="005D181E">
      <w:rPr>
        <w:rFonts w:hint="cs"/>
        <w:rtl/>
      </w:rPr>
      <w:t xml:space="preserve"> </w:t>
    </w:r>
    <w:r w:rsidR="00F20E96">
      <w:rPr>
        <w:rFonts w:hint="cs"/>
        <w:rtl/>
      </w:rPr>
      <w:t xml:space="preserve">          </w:t>
    </w:r>
    <w:r w:rsidR="003E7E2D">
      <w:rPr>
        <w:rFonts w:hint="cs"/>
        <w:rtl/>
      </w:rPr>
      <w:t xml:space="preserve">ע"פ </w:t>
    </w:r>
    <w:r w:rsidR="002C2C76">
      <w:rPr>
        <w:rFonts w:hint="cs"/>
        <w:rtl/>
      </w:rPr>
      <w:t>71725</w:t>
    </w:r>
    <w:r w:rsidR="003E7E2D">
      <w:rPr>
        <w:rFonts w:hint="cs"/>
        <w:rtl/>
      </w:rPr>
      <w:t xml:space="preserve">-08-25, </w:t>
    </w:r>
    <w:r w:rsidR="002C2C76">
      <w:rPr>
        <w:rFonts w:hint="cs"/>
        <w:rtl/>
      </w:rPr>
      <w:t>71749</w:t>
    </w:r>
    <w:r w:rsidR="003E7E2D">
      <w:rPr>
        <w:rFonts w:hint="cs"/>
        <w:rtl/>
      </w:rPr>
      <w:t>-08-25</w:t>
    </w:r>
  </w:p>
  <w:p w14:paraId="53005534" w14:textId="02BCCDC4" w:rsidR="00F977DA" w:rsidRDefault="00F977DA" w:rsidP="00F20E96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0C634" w14:textId="07806C7D" w:rsidR="000948A2" w:rsidRDefault="00D31D23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64CEBDC4" wp14:editId="7C56BB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2280" cy="422910"/>
              <wp:effectExtent l="0" t="0" r="13970" b="15240"/>
              <wp:wrapNone/>
              <wp:docPr id="877909376" name="תיבת טקסט 3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28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569A4" w14:textId="77777777" w:rsidR="00D31D23" w:rsidRPr="00D31D23" w:rsidRDefault="00D31D23" w:rsidP="00D31D2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EBDC4" id="_x0000_t202" coordsize="21600,21600" o:spt="202" path="m,l,21600r21600,l21600,xe">
              <v:stroke joinstyle="miter"/>
              <v:path gradientshapeok="t" o:connecttype="rect"/>
            </v:shapetype>
            <v:shape id="תיבת טקסט 3" o:spid="_x0000_s1029" type="#_x0000_t202" alt="- בלמ&quot;ס -" style="position:absolute;left:0;text-align:left;margin-left:0;margin-top:0;width:36.4pt;height:33.3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32569A4" w14:textId="77777777" w:rsidR="00D31D23" w:rsidRPr="00D31D23" w:rsidRDefault="00D31D23" w:rsidP="00D31D2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A05E9"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CAA9076" wp14:editId="2E6EDA6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62280" cy="422910"/>
              <wp:effectExtent l="0" t="0" r="4445" b="0"/>
              <wp:wrapNone/>
              <wp:docPr id="3" name="Text Box 1" descr="- בלמ&quot;ס -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28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13C9A" w14:textId="77777777" w:rsidR="000948A2" w:rsidRPr="000948A2" w:rsidRDefault="000948A2" w:rsidP="000948A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none" lIns="0" tIns="19050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AA90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- בלמ&quot;ס -" style="position:absolute;left:0;text-align:left;margin-left:0;margin-top:0;width:36.4pt;height:33.3pt;z-index:251656704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" filled="f" stroked="f">
              <v:textbox style="mso-fit-shape-to-text:t" inset="0,15pt,0,0">
                <w:txbxContent>
                  <w:p w14:paraId="52F46721" w14:textId="77777777" w:rsidR="000948A2" w:rsidRPr="000948A2" w:rsidRDefault="000948A2" w:rsidP="000948A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948A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81769"/>
    <w:multiLevelType w:val="hybridMultilevel"/>
    <w:tmpl w:val="E0327FEE"/>
    <w:lvl w:ilvl="0" w:tplc="57B429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27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proofState w:spelling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AD"/>
    <w:rsid w:val="00003806"/>
    <w:rsid w:val="00004FBA"/>
    <w:rsid w:val="00005906"/>
    <w:rsid w:val="00012469"/>
    <w:rsid w:val="00015201"/>
    <w:rsid w:val="00026A79"/>
    <w:rsid w:val="000307F5"/>
    <w:rsid w:val="000361CC"/>
    <w:rsid w:val="00036334"/>
    <w:rsid w:val="0004496B"/>
    <w:rsid w:val="000501A6"/>
    <w:rsid w:val="00050546"/>
    <w:rsid w:val="00055CB3"/>
    <w:rsid w:val="000749C3"/>
    <w:rsid w:val="000948A2"/>
    <w:rsid w:val="00094CA8"/>
    <w:rsid w:val="000C58A8"/>
    <w:rsid w:val="000D5F47"/>
    <w:rsid w:val="000D6810"/>
    <w:rsid w:val="000D703E"/>
    <w:rsid w:val="000E2E3D"/>
    <w:rsid w:val="000E3F3B"/>
    <w:rsid w:val="000E496F"/>
    <w:rsid w:val="000E5D52"/>
    <w:rsid w:val="000E7B39"/>
    <w:rsid w:val="000F4203"/>
    <w:rsid w:val="000F6D1A"/>
    <w:rsid w:val="000F7CAD"/>
    <w:rsid w:val="00101682"/>
    <w:rsid w:val="00105DDC"/>
    <w:rsid w:val="001072CB"/>
    <w:rsid w:val="0011327A"/>
    <w:rsid w:val="00115411"/>
    <w:rsid w:val="001201EE"/>
    <w:rsid w:val="00136D2E"/>
    <w:rsid w:val="00153206"/>
    <w:rsid w:val="00154B3A"/>
    <w:rsid w:val="00156306"/>
    <w:rsid w:val="001664D4"/>
    <w:rsid w:val="0017219A"/>
    <w:rsid w:val="00172285"/>
    <w:rsid w:val="00173FB9"/>
    <w:rsid w:val="00182F7C"/>
    <w:rsid w:val="001A06DF"/>
    <w:rsid w:val="001A0DF1"/>
    <w:rsid w:val="001A1F40"/>
    <w:rsid w:val="001A3501"/>
    <w:rsid w:val="001A5D66"/>
    <w:rsid w:val="001C34AC"/>
    <w:rsid w:val="001C4419"/>
    <w:rsid w:val="001C76DF"/>
    <w:rsid w:val="001E6248"/>
    <w:rsid w:val="001F774E"/>
    <w:rsid w:val="002038A0"/>
    <w:rsid w:val="00213A24"/>
    <w:rsid w:val="00216BD7"/>
    <w:rsid w:val="00217D7D"/>
    <w:rsid w:val="00221D50"/>
    <w:rsid w:val="00223201"/>
    <w:rsid w:val="0023702B"/>
    <w:rsid w:val="0024142E"/>
    <w:rsid w:val="002556DB"/>
    <w:rsid w:val="00265252"/>
    <w:rsid w:val="00267A9D"/>
    <w:rsid w:val="00270EC4"/>
    <w:rsid w:val="002748E9"/>
    <w:rsid w:val="00280FBA"/>
    <w:rsid w:val="002836F5"/>
    <w:rsid w:val="00296E1B"/>
    <w:rsid w:val="002A4C46"/>
    <w:rsid w:val="002A708F"/>
    <w:rsid w:val="002B0741"/>
    <w:rsid w:val="002C2C76"/>
    <w:rsid w:val="002C5615"/>
    <w:rsid w:val="002C5888"/>
    <w:rsid w:val="002E00FB"/>
    <w:rsid w:val="002E33FA"/>
    <w:rsid w:val="002E402A"/>
    <w:rsid w:val="002E73C6"/>
    <w:rsid w:val="002F60CA"/>
    <w:rsid w:val="00304763"/>
    <w:rsid w:val="00307AC4"/>
    <w:rsid w:val="00316303"/>
    <w:rsid w:val="003229CB"/>
    <w:rsid w:val="00331FC9"/>
    <w:rsid w:val="003325CD"/>
    <w:rsid w:val="00333E98"/>
    <w:rsid w:val="0033492A"/>
    <w:rsid w:val="003369EF"/>
    <w:rsid w:val="00354693"/>
    <w:rsid w:val="00364772"/>
    <w:rsid w:val="00373721"/>
    <w:rsid w:val="00373B3E"/>
    <w:rsid w:val="003746EC"/>
    <w:rsid w:val="0037484E"/>
    <w:rsid w:val="00375C17"/>
    <w:rsid w:val="00376411"/>
    <w:rsid w:val="0038267C"/>
    <w:rsid w:val="003867B0"/>
    <w:rsid w:val="00387EE4"/>
    <w:rsid w:val="00390B71"/>
    <w:rsid w:val="003A05E9"/>
    <w:rsid w:val="003A3B70"/>
    <w:rsid w:val="003A4900"/>
    <w:rsid w:val="003B5A32"/>
    <w:rsid w:val="003C08BC"/>
    <w:rsid w:val="003D4B7A"/>
    <w:rsid w:val="003E4505"/>
    <w:rsid w:val="003E7E2D"/>
    <w:rsid w:val="003F08E1"/>
    <w:rsid w:val="003F2CB4"/>
    <w:rsid w:val="003F3CA5"/>
    <w:rsid w:val="00407508"/>
    <w:rsid w:val="00417261"/>
    <w:rsid w:val="004246C8"/>
    <w:rsid w:val="004339DB"/>
    <w:rsid w:val="0044575E"/>
    <w:rsid w:val="0045016B"/>
    <w:rsid w:val="004511CA"/>
    <w:rsid w:val="00465CEA"/>
    <w:rsid w:val="0047108E"/>
    <w:rsid w:val="004779FB"/>
    <w:rsid w:val="004823F1"/>
    <w:rsid w:val="004830C5"/>
    <w:rsid w:val="00485B7F"/>
    <w:rsid w:val="004872C5"/>
    <w:rsid w:val="00497368"/>
    <w:rsid w:val="004A099D"/>
    <w:rsid w:val="004A3131"/>
    <w:rsid w:val="004A5420"/>
    <w:rsid w:val="004B333C"/>
    <w:rsid w:val="004B5859"/>
    <w:rsid w:val="004C0025"/>
    <w:rsid w:val="004C25C8"/>
    <w:rsid w:val="004D2459"/>
    <w:rsid w:val="004E49C4"/>
    <w:rsid w:val="004F2589"/>
    <w:rsid w:val="004F34B0"/>
    <w:rsid w:val="00507E68"/>
    <w:rsid w:val="00527231"/>
    <w:rsid w:val="005323AC"/>
    <w:rsid w:val="0053282D"/>
    <w:rsid w:val="00534182"/>
    <w:rsid w:val="005356E9"/>
    <w:rsid w:val="00536A4F"/>
    <w:rsid w:val="005378FB"/>
    <w:rsid w:val="00546BE5"/>
    <w:rsid w:val="00546FD2"/>
    <w:rsid w:val="00550AEF"/>
    <w:rsid w:val="00554C91"/>
    <w:rsid w:val="005562B8"/>
    <w:rsid w:val="005605EB"/>
    <w:rsid w:val="00560AF9"/>
    <w:rsid w:val="00565A0A"/>
    <w:rsid w:val="0059675E"/>
    <w:rsid w:val="005B0502"/>
    <w:rsid w:val="005B2BAC"/>
    <w:rsid w:val="005B700E"/>
    <w:rsid w:val="005C40CA"/>
    <w:rsid w:val="005C5BAA"/>
    <w:rsid w:val="005D06ED"/>
    <w:rsid w:val="005D181E"/>
    <w:rsid w:val="005D2283"/>
    <w:rsid w:val="005D2FE5"/>
    <w:rsid w:val="005D3AD2"/>
    <w:rsid w:val="005E4110"/>
    <w:rsid w:val="005E5444"/>
    <w:rsid w:val="005F4C67"/>
    <w:rsid w:val="0060359E"/>
    <w:rsid w:val="006073FF"/>
    <w:rsid w:val="00607A30"/>
    <w:rsid w:val="0061141A"/>
    <w:rsid w:val="00613906"/>
    <w:rsid w:val="006165DA"/>
    <w:rsid w:val="0061758F"/>
    <w:rsid w:val="00631647"/>
    <w:rsid w:val="006329CA"/>
    <w:rsid w:val="00636D06"/>
    <w:rsid w:val="00640750"/>
    <w:rsid w:val="0064223F"/>
    <w:rsid w:val="00642640"/>
    <w:rsid w:val="006435BB"/>
    <w:rsid w:val="006444AB"/>
    <w:rsid w:val="006564DA"/>
    <w:rsid w:val="006605F6"/>
    <w:rsid w:val="00673148"/>
    <w:rsid w:val="00674501"/>
    <w:rsid w:val="00677D86"/>
    <w:rsid w:val="00682B8A"/>
    <w:rsid w:val="00687955"/>
    <w:rsid w:val="006A3770"/>
    <w:rsid w:val="006A52D5"/>
    <w:rsid w:val="006A5A46"/>
    <w:rsid w:val="006A7811"/>
    <w:rsid w:val="006C07D4"/>
    <w:rsid w:val="006D155A"/>
    <w:rsid w:val="006E0A40"/>
    <w:rsid w:val="006E455B"/>
    <w:rsid w:val="006F2E67"/>
    <w:rsid w:val="006F3B18"/>
    <w:rsid w:val="00706255"/>
    <w:rsid w:val="007508E0"/>
    <w:rsid w:val="00751BE8"/>
    <w:rsid w:val="00773394"/>
    <w:rsid w:val="00773C0C"/>
    <w:rsid w:val="0077750C"/>
    <w:rsid w:val="007800C9"/>
    <w:rsid w:val="00781570"/>
    <w:rsid w:val="007869E2"/>
    <w:rsid w:val="0078728A"/>
    <w:rsid w:val="00790213"/>
    <w:rsid w:val="0079065E"/>
    <w:rsid w:val="007938BB"/>
    <w:rsid w:val="0079505F"/>
    <w:rsid w:val="00795130"/>
    <w:rsid w:val="007A4374"/>
    <w:rsid w:val="007A47E4"/>
    <w:rsid w:val="007B2B10"/>
    <w:rsid w:val="007B4A1F"/>
    <w:rsid w:val="007B743C"/>
    <w:rsid w:val="007C15EF"/>
    <w:rsid w:val="007D1D34"/>
    <w:rsid w:val="007D2B21"/>
    <w:rsid w:val="007E3C41"/>
    <w:rsid w:val="007E5AC4"/>
    <w:rsid w:val="007E786F"/>
    <w:rsid w:val="007F4C45"/>
    <w:rsid w:val="007F666A"/>
    <w:rsid w:val="00806715"/>
    <w:rsid w:val="00816C9D"/>
    <w:rsid w:val="008176E8"/>
    <w:rsid w:val="008261C1"/>
    <w:rsid w:val="00830A87"/>
    <w:rsid w:val="00836672"/>
    <w:rsid w:val="008547D0"/>
    <w:rsid w:val="00864DBA"/>
    <w:rsid w:val="00875E0A"/>
    <w:rsid w:val="0087668D"/>
    <w:rsid w:val="0088031D"/>
    <w:rsid w:val="00880CDA"/>
    <w:rsid w:val="00883F62"/>
    <w:rsid w:val="00886023"/>
    <w:rsid w:val="00887F94"/>
    <w:rsid w:val="008927C3"/>
    <w:rsid w:val="008A34F7"/>
    <w:rsid w:val="008B5CF7"/>
    <w:rsid w:val="008C209D"/>
    <w:rsid w:val="008C6978"/>
    <w:rsid w:val="008C768C"/>
    <w:rsid w:val="008D6EFB"/>
    <w:rsid w:val="008D7C39"/>
    <w:rsid w:val="008E0D0C"/>
    <w:rsid w:val="008E4F82"/>
    <w:rsid w:val="00901032"/>
    <w:rsid w:val="00904EBA"/>
    <w:rsid w:val="009054E6"/>
    <w:rsid w:val="009128DF"/>
    <w:rsid w:val="00931DA2"/>
    <w:rsid w:val="009332EC"/>
    <w:rsid w:val="00933E04"/>
    <w:rsid w:val="00935B2C"/>
    <w:rsid w:val="00947D66"/>
    <w:rsid w:val="00950FBA"/>
    <w:rsid w:val="0096162F"/>
    <w:rsid w:val="009624C4"/>
    <w:rsid w:val="00967668"/>
    <w:rsid w:val="009713E0"/>
    <w:rsid w:val="00990B05"/>
    <w:rsid w:val="00991CA2"/>
    <w:rsid w:val="009958C3"/>
    <w:rsid w:val="009A1C07"/>
    <w:rsid w:val="009B0298"/>
    <w:rsid w:val="009B6A12"/>
    <w:rsid w:val="009C03A4"/>
    <w:rsid w:val="009C0AA9"/>
    <w:rsid w:val="009C1371"/>
    <w:rsid w:val="009C1B7F"/>
    <w:rsid w:val="009C2B34"/>
    <w:rsid w:val="009C4A16"/>
    <w:rsid w:val="009C6599"/>
    <w:rsid w:val="009D48DF"/>
    <w:rsid w:val="009E4136"/>
    <w:rsid w:val="00A02E2C"/>
    <w:rsid w:val="00A129EA"/>
    <w:rsid w:val="00A146FC"/>
    <w:rsid w:val="00A20257"/>
    <w:rsid w:val="00A20CDB"/>
    <w:rsid w:val="00A23B5D"/>
    <w:rsid w:val="00A3168C"/>
    <w:rsid w:val="00A35280"/>
    <w:rsid w:val="00A35CCC"/>
    <w:rsid w:val="00A37DA8"/>
    <w:rsid w:val="00A45499"/>
    <w:rsid w:val="00A537EA"/>
    <w:rsid w:val="00A53AF3"/>
    <w:rsid w:val="00A60C64"/>
    <w:rsid w:val="00A60EFD"/>
    <w:rsid w:val="00A62387"/>
    <w:rsid w:val="00A63871"/>
    <w:rsid w:val="00A65596"/>
    <w:rsid w:val="00A7638D"/>
    <w:rsid w:val="00A76CFA"/>
    <w:rsid w:val="00A80BAC"/>
    <w:rsid w:val="00A83AF4"/>
    <w:rsid w:val="00A87EE2"/>
    <w:rsid w:val="00AA0CC6"/>
    <w:rsid w:val="00AA16ED"/>
    <w:rsid w:val="00AB6165"/>
    <w:rsid w:val="00AC5591"/>
    <w:rsid w:val="00AD3659"/>
    <w:rsid w:val="00AD676F"/>
    <w:rsid w:val="00AE44AA"/>
    <w:rsid w:val="00AF1265"/>
    <w:rsid w:val="00AF3AB8"/>
    <w:rsid w:val="00AF48F7"/>
    <w:rsid w:val="00AF5511"/>
    <w:rsid w:val="00AF749D"/>
    <w:rsid w:val="00B03040"/>
    <w:rsid w:val="00B051B0"/>
    <w:rsid w:val="00B22912"/>
    <w:rsid w:val="00B42288"/>
    <w:rsid w:val="00B45444"/>
    <w:rsid w:val="00B55980"/>
    <w:rsid w:val="00B560CC"/>
    <w:rsid w:val="00B62597"/>
    <w:rsid w:val="00B756D0"/>
    <w:rsid w:val="00B77882"/>
    <w:rsid w:val="00B9260A"/>
    <w:rsid w:val="00B9295E"/>
    <w:rsid w:val="00B9606B"/>
    <w:rsid w:val="00BA2A3C"/>
    <w:rsid w:val="00BA6390"/>
    <w:rsid w:val="00BA7CF4"/>
    <w:rsid w:val="00BB2EBF"/>
    <w:rsid w:val="00BC048F"/>
    <w:rsid w:val="00BC1A24"/>
    <w:rsid w:val="00BC5C25"/>
    <w:rsid w:val="00BD043F"/>
    <w:rsid w:val="00BD420C"/>
    <w:rsid w:val="00BD5857"/>
    <w:rsid w:val="00BE4063"/>
    <w:rsid w:val="00BE7D30"/>
    <w:rsid w:val="00BF0D65"/>
    <w:rsid w:val="00C10019"/>
    <w:rsid w:val="00C127D4"/>
    <w:rsid w:val="00C4354A"/>
    <w:rsid w:val="00C47E7F"/>
    <w:rsid w:val="00C5021E"/>
    <w:rsid w:val="00C51B00"/>
    <w:rsid w:val="00C54A25"/>
    <w:rsid w:val="00C60E6D"/>
    <w:rsid w:val="00C81B2A"/>
    <w:rsid w:val="00C8410B"/>
    <w:rsid w:val="00C85A08"/>
    <w:rsid w:val="00C923A9"/>
    <w:rsid w:val="00CB3CFB"/>
    <w:rsid w:val="00CB4F01"/>
    <w:rsid w:val="00CD19B5"/>
    <w:rsid w:val="00CD74AB"/>
    <w:rsid w:val="00CE60BF"/>
    <w:rsid w:val="00CF00A6"/>
    <w:rsid w:val="00CF6794"/>
    <w:rsid w:val="00D039DD"/>
    <w:rsid w:val="00D1197A"/>
    <w:rsid w:val="00D14C8D"/>
    <w:rsid w:val="00D16741"/>
    <w:rsid w:val="00D31D23"/>
    <w:rsid w:val="00D3754A"/>
    <w:rsid w:val="00D37B5E"/>
    <w:rsid w:val="00D4343C"/>
    <w:rsid w:val="00D4777D"/>
    <w:rsid w:val="00D47FFE"/>
    <w:rsid w:val="00D51F5A"/>
    <w:rsid w:val="00D57370"/>
    <w:rsid w:val="00D602EB"/>
    <w:rsid w:val="00D62DAF"/>
    <w:rsid w:val="00D84F1F"/>
    <w:rsid w:val="00D85739"/>
    <w:rsid w:val="00D8737B"/>
    <w:rsid w:val="00D912CC"/>
    <w:rsid w:val="00D931B5"/>
    <w:rsid w:val="00DA191A"/>
    <w:rsid w:val="00DA432A"/>
    <w:rsid w:val="00DB39F7"/>
    <w:rsid w:val="00DB7046"/>
    <w:rsid w:val="00DC4B1E"/>
    <w:rsid w:val="00DC6A28"/>
    <w:rsid w:val="00DF03A0"/>
    <w:rsid w:val="00DF6215"/>
    <w:rsid w:val="00E04DE0"/>
    <w:rsid w:val="00E0547F"/>
    <w:rsid w:val="00E1678D"/>
    <w:rsid w:val="00E3451C"/>
    <w:rsid w:val="00E40126"/>
    <w:rsid w:val="00E54F53"/>
    <w:rsid w:val="00E571A2"/>
    <w:rsid w:val="00E633D9"/>
    <w:rsid w:val="00E64B20"/>
    <w:rsid w:val="00E67387"/>
    <w:rsid w:val="00E6787E"/>
    <w:rsid w:val="00E67B07"/>
    <w:rsid w:val="00E74421"/>
    <w:rsid w:val="00E77397"/>
    <w:rsid w:val="00E815A9"/>
    <w:rsid w:val="00E87851"/>
    <w:rsid w:val="00EA42CA"/>
    <w:rsid w:val="00EA4316"/>
    <w:rsid w:val="00EA4442"/>
    <w:rsid w:val="00EA474F"/>
    <w:rsid w:val="00EA5315"/>
    <w:rsid w:val="00EB2197"/>
    <w:rsid w:val="00EB2BC7"/>
    <w:rsid w:val="00EC0E88"/>
    <w:rsid w:val="00EC0FE0"/>
    <w:rsid w:val="00EC5C55"/>
    <w:rsid w:val="00EC640D"/>
    <w:rsid w:val="00ED1839"/>
    <w:rsid w:val="00ED22AC"/>
    <w:rsid w:val="00ED44AD"/>
    <w:rsid w:val="00ED51EB"/>
    <w:rsid w:val="00ED65CC"/>
    <w:rsid w:val="00ED6970"/>
    <w:rsid w:val="00ED6BF0"/>
    <w:rsid w:val="00EE03C6"/>
    <w:rsid w:val="00EE5888"/>
    <w:rsid w:val="00EF02D6"/>
    <w:rsid w:val="00EF544E"/>
    <w:rsid w:val="00F04711"/>
    <w:rsid w:val="00F11A4D"/>
    <w:rsid w:val="00F17CB0"/>
    <w:rsid w:val="00F20E96"/>
    <w:rsid w:val="00F22073"/>
    <w:rsid w:val="00F26923"/>
    <w:rsid w:val="00F34086"/>
    <w:rsid w:val="00F36D6D"/>
    <w:rsid w:val="00F44D34"/>
    <w:rsid w:val="00F503EA"/>
    <w:rsid w:val="00F51CB2"/>
    <w:rsid w:val="00F5741E"/>
    <w:rsid w:val="00F61851"/>
    <w:rsid w:val="00F62BDA"/>
    <w:rsid w:val="00F6348A"/>
    <w:rsid w:val="00F82520"/>
    <w:rsid w:val="00F84E00"/>
    <w:rsid w:val="00F91FDD"/>
    <w:rsid w:val="00F9286A"/>
    <w:rsid w:val="00F977DA"/>
    <w:rsid w:val="00FA5E24"/>
    <w:rsid w:val="00FA7DB9"/>
    <w:rsid w:val="00FB4A9E"/>
    <w:rsid w:val="00FC6F5B"/>
    <w:rsid w:val="00FE3E64"/>
    <w:rsid w:val="00FF0D15"/>
    <w:rsid w:val="00FF11A3"/>
    <w:rsid w:val="00FF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DA685"/>
  <w15:chartTrackingRefBased/>
  <w15:docId w15:val="{745C70B0-E69D-4781-96F1-F6DD7AED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1A3"/>
    <w:pPr>
      <w:bidi/>
      <w:spacing w:line="360" w:lineRule="auto"/>
      <w:jc w:val="both"/>
    </w:pPr>
    <w:rPr>
      <w:rFonts w:ascii="Times New Roman" w:hAnsi="Times New Roman" w:cs="David"/>
      <w:sz w:val="24"/>
      <w:szCs w:val="28"/>
    </w:rPr>
  </w:style>
  <w:style w:type="paragraph" w:styleId="2">
    <w:name w:val="heading 2"/>
    <w:basedOn w:val="a"/>
    <w:link w:val="20"/>
    <w:qFormat/>
    <w:rsid w:val="00373B3E"/>
    <w:pPr>
      <w:keepNext/>
      <w:spacing w:before="360" w:after="120" w:line="240" w:lineRule="auto"/>
      <w:jc w:val="left"/>
      <w:outlineLvl w:val="1"/>
    </w:pPr>
    <w:rPr>
      <w:rFonts w:eastAsia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1A3"/>
    <w:pPr>
      <w:ind w:left="397" w:hanging="397"/>
    </w:pPr>
  </w:style>
  <w:style w:type="paragraph" w:styleId="a4">
    <w:name w:val="header"/>
    <w:basedOn w:val="a"/>
    <w:link w:val="a5"/>
    <w:uiPriority w:val="99"/>
    <w:unhideWhenUsed/>
    <w:rsid w:val="005378FB"/>
    <w:pPr>
      <w:tabs>
        <w:tab w:val="center" w:pos="4153"/>
        <w:tab w:val="right" w:pos="8306"/>
      </w:tabs>
      <w:spacing w:line="240" w:lineRule="auto"/>
    </w:pPr>
  </w:style>
  <w:style w:type="character" w:customStyle="1" w:styleId="a5">
    <w:name w:val="כותרת עליונה תו"/>
    <w:link w:val="a4"/>
    <w:uiPriority w:val="99"/>
    <w:rsid w:val="005378FB"/>
    <w:rPr>
      <w:rFonts w:ascii="Times New Roman" w:hAnsi="Times New Roman" w:cs="David"/>
      <w:sz w:val="24"/>
      <w:szCs w:val="28"/>
    </w:rPr>
  </w:style>
  <w:style w:type="character" w:customStyle="1" w:styleId="20">
    <w:name w:val="כותרת 2 תו"/>
    <w:link w:val="2"/>
    <w:rsid w:val="00373B3E"/>
    <w:rPr>
      <w:rFonts w:ascii="Times New Roman" w:eastAsia="Times New Roman" w:hAnsi="Times New Roman" w:cs="David"/>
      <w:b/>
      <w:bCs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2C2C7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2C2C76"/>
    <w:rPr>
      <w:rFonts w:ascii="Times New Roman" w:hAnsi="Times New Roman" w:cs="David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      Light"/>
        <a:font script="Hang" typeface="     "/>
        <a:font script="Hans" typeface="   Light"/>
        <a:font script="Hant" typeface="    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   "/>
        <a:font script="Hang" typeface="     "/>
        <a:font script="Hans" typeface="  "/>
        <a:font script="Hant" typeface="    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>
    <a:extraClrScheme>
      <a:clrScheme name="extraLst0">
        <a:dk1>
          <a:srgbClr val="70AB77"/>
        </a:dk1>
        <a:lt1>
          <a:srgbClr val="B9C7A1"/>
        </a:lt1>
        <a:dk2>
          <a:srgbClr val="5E38CB"/>
        </a:dk2>
        <a:lt2>
          <a:srgbClr val="5AD8E9"/>
        </a:lt2>
        <a:accent1>
          <a:srgbClr val="D23C66"/>
        </a:accent1>
        <a:accent2>
          <a:srgbClr val="A140DE"/>
        </a:accent2>
        <a:accent3>
          <a:srgbClr val="F6E99B"/>
        </a:accent3>
        <a:accent4>
          <a:srgbClr val="7BF245"/>
        </a:accent4>
        <a:accent5>
          <a:srgbClr val="27033E"/>
        </a:accent5>
        <a:accent6>
          <a:srgbClr val="40E979"/>
        </a:accent6>
        <a:hlink>
          <a:srgbClr val="8D6CD9"/>
        </a:hlink>
        <a:folHlink>
          <a:srgbClr val="AF0056"/>
        </a:folHlink>
      </a:clrScheme>
    </a:extraClrScheme>
  </a:extraClrSchemeLst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2286</Words>
  <Characters>11435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ארבל דו גלאון - בית הדין לערעורים/מש"ק משפט</dc:creator>
  <cp:lastModifiedBy>נאיה שלום</cp:lastModifiedBy>
  <cp:revision>4</cp:revision>
  <dcterms:created xsi:type="dcterms:W3CDTF">2025-12-25T08:17:00Z</dcterms:created>
  <dcterms:modified xsi:type="dcterms:W3CDTF">2025-12-25T10:46:00Z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3453d580,2d702404,7269748d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- בלמ"ס -</vt:lpwstr>
  </property>
  <property fmtid="{D5CDD505-2E9C-101B-9397-08002B2CF9AE}" pid="5" name="MSIP_Label_701b9bfc-c426-492e-a46c-1a922d5fe54b_Enabled">
    <vt:lpwstr>true</vt:lpwstr>
  </property>
  <property fmtid="{D5CDD505-2E9C-101B-9397-08002B2CF9AE}" pid="6" name="MSIP_Label_701b9bfc-c426-492e-a46c-1a922d5fe54b_SetDate">
    <vt:lpwstr>2025-12-25T10:40:16Z</vt:lpwstr>
  </property>
  <property fmtid="{D5CDD505-2E9C-101B-9397-08002B2CF9AE}" pid="7" name="MSIP_Label_701b9bfc-c426-492e-a46c-1a922d5fe54b_Method">
    <vt:lpwstr>Privileged</vt:lpwstr>
  </property>
  <property fmtid="{D5CDD505-2E9C-101B-9397-08002B2CF9AE}" pid="8" name="MSIP_Label_701b9bfc-c426-492e-a46c-1a922d5fe54b_Name">
    <vt:lpwstr>בלמ"ס</vt:lpwstr>
  </property>
  <property fmtid="{D5CDD505-2E9C-101B-9397-08002B2CF9AE}" pid="9" name="MSIP_Label_701b9bfc-c426-492e-a46c-1a922d5fe54b_SiteId">
    <vt:lpwstr>78820852-55fa-450b-908d-45c0d911e76b</vt:lpwstr>
  </property>
  <property fmtid="{D5CDD505-2E9C-101B-9397-08002B2CF9AE}" pid="10" name="MSIP_Label_701b9bfc-c426-492e-a46c-1a922d5fe54b_ActionId">
    <vt:lpwstr>af8ccb6e-167c-4c5e-b4e7-6f03f28dfe15</vt:lpwstr>
  </property>
  <property fmtid="{D5CDD505-2E9C-101B-9397-08002B2CF9AE}" pid="11" name="MSIP_Label_701b9bfc-c426-492e-a46c-1a922d5fe54b_ContentBits">
    <vt:lpwstr>1</vt:lpwstr>
  </property>
  <property fmtid="{D5CDD505-2E9C-101B-9397-08002B2CF9AE}" pid="12" name="MSIP_Label_701b9bfc-c426-492e-a46c-1a922d5fe54b_Tag">
    <vt:lpwstr>10, 0, 1, 1</vt:lpwstr>
  </property>
</Properties>
</file>