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EF5" w:rsidRPr="003E724F" w:rsidRDefault="00107EF5" w:rsidP="00107EF5">
      <w:pPr>
        <w:tabs>
          <w:tab w:val="right" w:pos="6328"/>
        </w:tabs>
        <w:spacing w:line="480" w:lineRule="auto"/>
        <w:ind w:left="1985" w:right="1985"/>
        <w:rPr>
          <w:rFonts w:cs="Monotype Hadassah"/>
          <w:sz w:val="20"/>
          <w:szCs w:val="20"/>
          <w:rtl/>
        </w:rPr>
      </w:pPr>
      <w:bookmarkStart w:id="0" w:name="_GoBack"/>
      <w:bookmarkEnd w:id="0"/>
      <w:r w:rsidRPr="003E724F">
        <w:rPr>
          <w:rFonts w:cs="Monotype Hadassah"/>
          <w:noProof/>
          <w:sz w:val="20"/>
          <w:szCs w:val="20"/>
        </w:rPr>
        <w:drawing>
          <wp:inline distT="0" distB="0" distL="0" distR="0" wp14:anchorId="1A7AE6AD" wp14:editId="77F04B3E">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Pr="003E724F">
        <w:rPr>
          <w:rFonts w:cs="Monotype Hadassah"/>
          <w:sz w:val="20"/>
          <w:szCs w:val="20"/>
        </w:rPr>
        <w:tab/>
      </w:r>
      <w:r w:rsidRPr="003E724F">
        <w:rPr>
          <w:rFonts w:cs="Monotype Hadassah"/>
          <w:noProof/>
          <w:sz w:val="20"/>
          <w:szCs w:val="20"/>
        </w:rPr>
        <w:drawing>
          <wp:inline distT="0" distB="0" distL="0" distR="0" wp14:anchorId="588385E7" wp14:editId="48B4DCD6">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107EF5" w:rsidRPr="003E724F" w:rsidRDefault="00107EF5" w:rsidP="00107EF5">
      <w:pPr>
        <w:rPr>
          <w:rFonts w:cs="Monotype Hadassah"/>
          <w:b/>
          <w:bCs/>
          <w:sz w:val="20"/>
          <w:szCs w:val="20"/>
          <w:rtl/>
        </w:rPr>
      </w:pPr>
      <w:r w:rsidRPr="003E724F">
        <w:rPr>
          <w:rFonts w:cs="Monotype Hadassah" w:hint="cs"/>
          <w:b/>
          <w:bCs/>
          <w:sz w:val="20"/>
          <w:szCs w:val="20"/>
          <w:rtl/>
        </w:rPr>
        <w:t xml:space="preserve">בבית הדין הצבאי </w:t>
      </w:r>
      <w:r w:rsidRPr="003E724F">
        <w:rPr>
          <w:rFonts w:cs="Monotype Hadassah"/>
          <w:b/>
          <w:bCs/>
          <w:sz w:val="20"/>
          <w:szCs w:val="20"/>
          <w:rtl/>
        </w:rPr>
        <w:t>המחוזי</w:t>
      </w:r>
    </w:p>
    <w:p w:rsidR="00107EF5" w:rsidRPr="003E724F" w:rsidRDefault="00107EF5" w:rsidP="00107EF5">
      <w:pPr>
        <w:rPr>
          <w:rFonts w:cs="Monotype Hadassah"/>
          <w:b/>
          <w:bCs/>
          <w:sz w:val="20"/>
          <w:szCs w:val="20"/>
          <w:rtl/>
        </w:rPr>
      </w:pPr>
      <w:r w:rsidRPr="003E724F">
        <w:rPr>
          <w:rFonts w:cs="Monotype Hadassah" w:hint="cs"/>
          <w:b/>
          <w:bCs/>
          <w:sz w:val="20"/>
          <w:szCs w:val="20"/>
          <w:rtl/>
        </w:rPr>
        <w:t xml:space="preserve">במחוז שיפוטי </w:t>
      </w:r>
      <w:r w:rsidRPr="003E724F">
        <w:rPr>
          <w:rFonts w:cs="Monotype Hadassah"/>
          <w:b/>
          <w:bCs/>
          <w:sz w:val="20"/>
          <w:szCs w:val="20"/>
          <w:rtl/>
        </w:rPr>
        <w:fldChar w:fldCharType="begin"/>
      </w:r>
      <w:r w:rsidRPr="003E724F">
        <w:rPr>
          <w:rFonts w:cs="Monotype Hadassah"/>
          <w:b/>
          <w:bCs/>
          <w:sz w:val="20"/>
          <w:szCs w:val="20"/>
          <w:rtl/>
        </w:rPr>
        <w:instrText xml:space="preserve"> </w:instrText>
      </w:r>
      <w:r w:rsidRPr="003E724F">
        <w:rPr>
          <w:rFonts w:cs="Monotype Hadassah"/>
          <w:b/>
          <w:bCs/>
          <w:sz w:val="20"/>
          <w:szCs w:val="20"/>
        </w:rPr>
        <w:instrText>DOCPROPERTY  machoz  \* MERGEFORMAT</w:instrText>
      </w:r>
      <w:r w:rsidRPr="003E724F">
        <w:rPr>
          <w:rFonts w:cs="Monotype Hadassah"/>
          <w:b/>
          <w:bCs/>
          <w:sz w:val="20"/>
          <w:szCs w:val="20"/>
          <w:rtl/>
        </w:rPr>
        <w:instrText xml:space="preserve"> </w:instrText>
      </w:r>
      <w:r w:rsidRPr="003E724F">
        <w:rPr>
          <w:rFonts w:cs="Monotype Hadassah"/>
          <w:b/>
          <w:bCs/>
          <w:sz w:val="20"/>
          <w:szCs w:val="20"/>
          <w:rtl/>
        </w:rPr>
        <w:fldChar w:fldCharType="separate"/>
      </w:r>
      <w:r w:rsidRPr="003E724F">
        <w:rPr>
          <w:rFonts w:cs="Monotype Hadassah"/>
          <w:b/>
          <w:bCs/>
          <w:sz w:val="20"/>
          <w:szCs w:val="20"/>
          <w:rtl/>
        </w:rPr>
        <w:t>צפון</w:t>
      </w:r>
      <w:r w:rsidRPr="003E724F">
        <w:rPr>
          <w:rFonts w:cs="Monotype Hadassah"/>
          <w:b/>
          <w:bCs/>
          <w:sz w:val="20"/>
          <w:szCs w:val="20"/>
          <w:rtl/>
        </w:rPr>
        <w:fldChar w:fldCharType="end"/>
      </w:r>
    </w:p>
    <w:p w:rsidR="00107EF5" w:rsidRPr="003E724F" w:rsidRDefault="00107EF5" w:rsidP="00107EF5">
      <w:pPr>
        <w:tabs>
          <w:tab w:val="left" w:pos="3402"/>
        </w:tabs>
        <w:rPr>
          <w:rFonts w:cs="Monotype Hadassah"/>
          <w:b/>
          <w:bCs/>
          <w:sz w:val="20"/>
          <w:szCs w:val="20"/>
          <w:rtl/>
        </w:rPr>
      </w:pPr>
      <w:r w:rsidRPr="003E724F">
        <w:rPr>
          <w:rFonts w:cs="Monotype Hadassah" w:hint="cs"/>
          <w:b/>
          <w:bCs/>
          <w:sz w:val="20"/>
          <w:szCs w:val="20"/>
          <w:rtl/>
        </w:rPr>
        <w:t>בפני השופטים:</w:t>
      </w:r>
      <w:r w:rsidRPr="003E724F">
        <w:rPr>
          <w:rFonts w:cs="Monotype Hadassah" w:hint="cs"/>
          <w:b/>
          <w:bCs/>
          <w:sz w:val="20"/>
          <w:szCs w:val="20"/>
          <w:rtl/>
        </w:rPr>
        <w:tab/>
      </w:r>
      <w:r w:rsidRPr="003E724F">
        <w:rPr>
          <w:rFonts w:cs="Monotype Hadassah"/>
          <w:b/>
          <w:bCs/>
          <w:sz w:val="20"/>
          <w:szCs w:val="20"/>
          <w:rtl/>
        </w:rPr>
        <w:fldChar w:fldCharType="begin"/>
      </w:r>
      <w:r w:rsidRPr="003E724F">
        <w:rPr>
          <w:rFonts w:cs="Monotype Hadassah"/>
          <w:b/>
          <w:bCs/>
          <w:sz w:val="20"/>
          <w:szCs w:val="20"/>
          <w:rtl/>
        </w:rPr>
        <w:instrText xml:space="preserve"> </w:instrText>
      </w:r>
      <w:r w:rsidRPr="003E724F">
        <w:rPr>
          <w:rFonts w:cs="Monotype Hadassah" w:hint="cs"/>
          <w:b/>
          <w:bCs/>
          <w:sz w:val="20"/>
          <w:szCs w:val="20"/>
        </w:rPr>
        <w:instrText>DOCPROPERTY  avbeitdin  \* MERGEFORMAT</w:instrText>
      </w:r>
      <w:r w:rsidRPr="003E724F">
        <w:rPr>
          <w:rFonts w:cs="Monotype Hadassah"/>
          <w:b/>
          <w:bCs/>
          <w:sz w:val="20"/>
          <w:szCs w:val="20"/>
          <w:rtl/>
        </w:rPr>
        <w:instrText xml:space="preserve"> </w:instrText>
      </w:r>
      <w:r w:rsidRPr="003E724F">
        <w:rPr>
          <w:rFonts w:cs="Monotype Hadassah"/>
          <w:b/>
          <w:bCs/>
          <w:sz w:val="20"/>
          <w:szCs w:val="20"/>
          <w:rtl/>
        </w:rPr>
        <w:fldChar w:fldCharType="end"/>
      </w:r>
      <w:r w:rsidRPr="003E724F">
        <w:rPr>
          <w:rFonts w:cs="Monotype Hadassah" w:hint="cs"/>
          <w:b/>
          <w:bCs/>
          <w:sz w:val="20"/>
          <w:szCs w:val="20"/>
          <w:rtl/>
        </w:rPr>
        <w:t xml:space="preserve"> רס"ן חיים בלילטי </w:t>
      </w:r>
      <w:r w:rsidRPr="003E724F">
        <w:rPr>
          <w:rFonts w:cs="Monotype Hadassah"/>
          <w:b/>
          <w:bCs/>
          <w:sz w:val="20"/>
          <w:szCs w:val="20"/>
          <w:rtl/>
        </w:rPr>
        <w:t>–</w:t>
      </w:r>
      <w:r w:rsidRPr="003E724F">
        <w:rPr>
          <w:rFonts w:cs="Monotype Hadassah" w:hint="cs"/>
          <w:b/>
          <w:bCs/>
          <w:sz w:val="20"/>
          <w:szCs w:val="20"/>
          <w:rtl/>
        </w:rPr>
        <w:t xml:space="preserve"> אב"ד</w:t>
      </w:r>
    </w:p>
    <w:p w:rsidR="00107EF5" w:rsidRPr="003E724F" w:rsidRDefault="00107EF5" w:rsidP="00107EF5">
      <w:pPr>
        <w:ind w:left="3402"/>
        <w:rPr>
          <w:rFonts w:cs="Monotype Hadassah"/>
          <w:b/>
          <w:bCs/>
          <w:sz w:val="20"/>
          <w:szCs w:val="20"/>
          <w:rtl/>
        </w:rPr>
      </w:pPr>
      <w:r w:rsidRPr="003E724F">
        <w:rPr>
          <w:rFonts w:cs="Monotype Hadassah"/>
          <w:b/>
          <w:bCs/>
          <w:sz w:val="20"/>
          <w:szCs w:val="20"/>
          <w:rtl/>
        </w:rPr>
        <w:fldChar w:fldCharType="begin"/>
      </w:r>
      <w:r w:rsidRPr="003E724F">
        <w:rPr>
          <w:rFonts w:cs="Monotype Hadassah"/>
          <w:b/>
          <w:bCs/>
          <w:sz w:val="20"/>
          <w:szCs w:val="20"/>
          <w:rtl/>
        </w:rPr>
        <w:instrText xml:space="preserve"> </w:instrText>
      </w:r>
      <w:r w:rsidRPr="003E724F">
        <w:rPr>
          <w:rFonts w:cs="Monotype Hadassah" w:hint="cs"/>
          <w:b/>
          <w:bCs/>
          <w:sz w:val="20"/>
          <w:szCs w:val="20"/>
        </w:rPr>
        <w:instrText>DOCPROPERTY  shofetshtayem  \* MERGEFORMAT</w:instrText>
      </w:r>
      <w:r w:rsidRPr="003E724F">
        <w:rPr>
          <w:rFonts w:cs="Monotype Hadassah"/>
          <w:b/>
          <w:bCs/>
          <w:sz w:val="20"/>
          <w:szCs w:val="20"/>
          <w:rtl/>
        </w:rPr>
        <w:instrText xml:space="preserve"> </w:instrText>
      </w:r>
      <w:r w:rsidRPr="003E724F">
        <w:rPr>
          <w:rFonts w:cs="Monotype Hadassah"/>
          <w:b/>
          <w:bCs/>
          <w:sz w:val="20"/>
          <w:szCs w:val="20"/>
          <w:rtl/>
        </w:rPr>
        <w:fldChar w:fldCharType="end"/>
      </w:r>
    </w:p>
    <w:p w:rsidR="00107EF5" w:rsidRPr="003E724F" w:rsidRDefault="00107EF5" w:rsidP="00107EF5">
      <w:pPr>
        <w:ind w:left="3402"/>
        <w:rPr>
          <w:rFonts w:cs="Monotype Hadassah"/>
          <w:b/>
          <w:bCs/>
          <w:sz w:val="20"/>
          <w:szCs w:val="20"/>
          <w:rtl/>
        </w:rPr>
      </w:pPr>
      <w:r w:rsidRPr="003E724F">
        <w:rPr>
          <w:rFonts w:cs="Monotype Hadassah"/>
          <w:b/>
          <w:bCs/>
          <w:sz w:val="20"/>
          <w:szCs w:val="20"/>
          <w:rtl/>
        </w:rPr>
        <w:fldChar w:fldCharType="begin"/>
      </w:r>
      <w:r w:rsidRPr="003E724F">
        <w:rPr>
          <w:rFonts w:cs="Monotype Hadassah"/>
          <w:b/>
          <w:bCs/>
          <w:sz w:val="20"/>
          <w:szCs w:val="20"/>
          <w:rtl/>
        </w:rPr>
        <w:instrText xml:space="preserve"> </w:instrText>
      </w:r>
      <w:r w:rsidRPr="003E724F">
        <w:rPr>
          <w:rFonts w:cs="Monotype Hadassah"/>
          <w:b/>
          <w:bCs/>
          <w:sz w:val="20"/>
          <w:szCs w:val="20"/>
        </w:rPr>
        <w:instrText>DOCPROPERTY  shofetshalosh  \* MERGEFORMAT</w:instrText>
      </w:r>
      <w:r w:rsidRPr="003E724F">
        <w:rPr>
          <w:rFonts w:cs="Monotype Hadassah"/>
          <w:b/>
          <w:bCs/>
          <w:sz w:val="20"/>
          <w:szCs w:val="20"/>
          <w:rtl/>
        </w:rPr>
        <w:instrText xml:space="preserve"> </w:instrText>
      </w:r>
      <w:r w:rsidRPr="003E724F">
        <w:rPr>
          <w:rFonts w:cs="Monotype Hadassah"/>
          <w:b/>
          <w:bCs/>
          <w:sz w:val="20"/>
          <w:szCs w:val="20"/>
          <w:rtl/>
        </w:rPr>
        <w:fldChar w:fldCharType="end"/>
      </w:r>
    </w:p>
    <w:p w:rsidR="00107EF5" w:rsidRPr="003E724F" w:rsidRDefault="00107EF5" w:rsidP="00107EF5">
      <w:pPr>
        <w:ind w:left="3402"/>
        <w:rPr>
          <w:rFonts w:cs="Monotype Hadassah"/>
          <w:b/>
          <w:bCs/>
          <w:sz w:val="20"/>
          <w:szCs w:val="20"/>
          <w:rtl/>
        </w:rPr>
      </w:pPr>
      <w:r w:rsidRPr="003E724F">
        <w:rPr>
          <w:rFonts w:cs="Monotype Hadassah"/>
          <w:b/>
          <w:bCs/>
          <w:sz w:val="20"/>
          <w:szCs w:val="20"/>
          <w:rtl/>
        </w:rPr>
        <w:fldChar w:fldCharType="begin"/>
      </w:r>
      <w:r w:rsidRPr="003E724F">
        <w:rPr>
          <w:rFonts w:cs="Monotype Hadassah"/>
          <w:b/>
          <w:bCs/>
          <w:sz w:val="20"/>
          <w:szCs w:val="20"/>
          <w:rtl/>
        </w:rPr>
        <w:instrText xml:space="preserve"> </w:instrText>
      </w:r>
      <w:r w:rsidRPr="003E724F">
        <w:rPr>
          <w:rFonts w:cs="Monotype Hadassah"/>
          <w:b/>
          <w:bCs/>
          <w:sz w:val="20"/>
          <w:szCs w:val="20"/>
        </w:rPr>
        <w:instrText>DOCPROPERTY  shofetarba  \* MERGEFORMAT</w:instrText>
      </w:r>
      <w:r w:rsidRPr="003E724F">
        <w:rPr>
          <w:rFonts w:cs="Monotype Hadassah"/>
          <w:b/>
          <w:bCs/>
          <w:sz w:val="20"/>
          <w:szCs w:val="20"/>
          <w:rtl/>
        </w:rPr>
        <w:instrText xml:space="preserve"> </w:instrText>
      </w:r>
      <w:r w:rsidRPr="003E724F">
        <w:rPr>
          <w:rFonts w:cs="Monotype Hadassah"/>
          <w:b/>
          <w:bCs/>
          <w:sz w:val="20"/>
          <w:szCs w:val="20"/>
          <w:rtl/>
        </w:rPr>
        <w:fldChar w:fldCharType="end"/>
      </w:r>
    </w:p>
    <w:p w:rsidR="00107EF5" w:rsidRPr="003E724F" w:rsidRDefault="00107EF5" w:rsidP="00107EF5">
      <w:pPr>
        <w:ind w:left="3402"/>
        <w:rPr>
          <w:rFonts w:cs="Monotype Hadassah"/>
          <w:b/>
          <w:bCs/>
          <w:sz w:val="20"/>
          <w:szCs w:val="20"/>
          <w:rtl/>
        </w:rPr>
      </w:pPr>
      <w:r w:rsidRPr="003E724F">
        <w:rPr>
          <w:rFonts w:cs="Monotype Hadassah"/>
          <w:b/>
          <w:bCs/>
          <w:sz w:val="20"/>
          <w:szCs w:val="20"/>
          <w:rtl/>
        </w:rPr>
        <w:fldChar w:fldCharType="begin"/>
      </w:r>
      <w:r w:rsidRPr="003E724F">
        <w:rPr>
          <w:rFonts w:cs="Monotype Hadassah"/>
          <w:b/>
          <w:bCs/>
          <w:sz w:val="20"/>
          <w:szCs w:val="20"/>
          <w:rtl/>
        </w:rPr>
        <w:instrText xml:space="preserve"> </w:instrText>
      </w:r>
      <w:r w:rsidRPr="003E724F">
        <w:rPr>
          <w:rFonts w:cs="Monotype Hadassah"/>
          <w:b/>
          <w:bCs/>
          <w:sz w:val="20"/>
          <w:szCs w:val="20"/>
        </w:rPr>
        <w:instrText>DOCPROPERTY  shofetchamesh  \* MERGEFORMAT</w:instrText>
      </w:r>
      <w:r w:rsidRPr="003E724F">
        <w:rPr>
          <w:rFonts w:cs="Monotype Hadassah"/>
          <w:b/>
          <w:bCs/>
          <w:sz w:val="20"/>
          <w:szCs w:val="20"/>
          <w:rtl/>
        </w:rPr>
        <w:instrText xml:space="preserve"> </w:instrText>
      </w:r>
      <w:r w:rsidRPr="003E724F">
        <w:rPr>
          <w:rFonts w:cs="Monotype Hadassah"/>
          <w:b/>
          <w:bCs/>
          <w:sz w:val="20"/>
          <w:szCs w:val="20"/>
          <w:rtl/>
        </w:rPr>
        <w:fldChar w:fldCharType="end"/>
      </w:r>
      <w:r w:rsidRPr="003E724F">
        <w:rPr>
          <w:rFonts w:cs="Monotype Hadassah" w:hint="cs"/>
          <w:b/>
          <w:bCs/>
          <w:sz w:val="20"/>
          <w:szCs w:val="20"/>
          <w:rtl/>
        </w:rPr>
        <w:t xml:space="preserve"> </w:t>
      </w:r>
    </w:p>
    <w:p w:rsidR="00107EF5" w:rsidRPr="003E724F" w:rsidRDefault="00107EF5" w:rsidP="00107EF5">
      <w:pPr>
        <w:ind w:left="3402"/>
        <w:rPr>
          <w:rFonts w:cs="Monotype Hadassah"/>
          <w:b/>
          <w:bCs/>
          <w:sz w:val="20"/>
          <w:szCs w:val="20"/>
          <w:rtl/>
        </w:rPr>
      </w:pPr>
      <w:r w:rsidRPr="003E724F">
        <w:rPr>
          <w:rFonts w:cs="Monotype Hadassah" w:hint="cs"/>
          <w:b/>
          <w:bCs/>
          <w:sz w:val="20"/>
          <w:szCs w:val="20"/>
          <w:rtl/>
        </w:rPr>
        <w:t xml:space="preserve"> </w:t>
      </w:r>
    </w:p>
    <w:p w:rsidR="00107EF5" w:rsidRPr="003E724F" w:rsidRDefault="00107EF5" w:rsidP="00107EF5">
      <w:pPr>
        <w:rPr>
          <w:rFonts w:cs="Monotype Hadassah"/>
          <w:sz w:val="20"/>
          <w:szCs w:val="20"/>
          <w:rtl/>
        </w:rPr>
      </w:pPr>
    </w:p>
    <w:p w:rsidR="00107EF5" w:rsidRPr="003E724F" w:rsidRDefault="00107EF5" w:rsidP="00107EF5">
      <w:pPr>
        <w:tabs>
          <w:tab w:val="left" w:pos="851"/>
          <w:tab w:val="left" w:pos="4536"/>
        </w:tabs>
        <w:rPr>
          <w:rFonts w:cs="Monotype Hadassah"/>
          <w:b/>
          <w:bCs/>
          <w:sz w:val="20"/>
          <w:szCs w:val="20"/>
        </w:rPr>
      </w:pPr>
      <w:r w:rsidRPr="003E724F">
        <w:rPr>
          <w:rFonts w:cs="Monotype Hadassah" w:hint="cs"/>
          <w:b/>
          <w:bCs/>
          <w:sz w:val="20"/>
          <w:szCs w:val="20"/>
          <w:rtl/>
        </w:rPr>
        <w:t>בעניין:</w:t>
      </w:r>
      <w:r w:rsidRPr="003E724F">
        <w:rPr>
          <w:rFonts w:cs="Monotype Hadassah" w:hint="cs"/>
          <w:b/>
          <w:bCs/>
          <w:sz w:val="20"/>
          <w:szCs w:val="20"/>
          <w:rtl/>
        </w:rPr>
        <w:tab/>
        <w:t>התובע הצבאי</w:t>
      </w:r>
      <w:r w:rsidRPr="003E724F">
        <w:rPr>
          <w:rFonts w:cs="Monotype Hadassah" w:hint="cs"/>
          <w:b/>
          <w:bCs/>
          <w:sz w:val="20"/>
          <w:szCs w:val="20"/>
          <w:rtl/>
        </w:rPr>
        <w:tab/>
        <w:t>(ע"י ב"כ,קמ"ש ליטל הרטמן  )</w:t>
      </w:r>
    </w:p>
    <w:p w:rsidR="00107EF5" w:rsidRPr="003E724F" w:rsidRDefault="00107EF5" w:rsidP="00107EF5">
      <w:pPr>
        <w:rPr>
          <w:rFonts w:cs="Monotype Hadassah"/>
          <w:sz w:val="20"/>
          <w:szCs w:val="20"/>
        </w:rPr>
      </w:pPr>
    </w:p>
    <w:p w:rsidR="00107EF5" w:rsidRPr="003E724F" w:rsidRDefault="00107EF5" w:rsidP="00107EF5">
      <w:pPr>
        <w:jc w:val="center"/>
        <w:rPr>
          <w:rFonts w:cs="Monotype Hadassah"/>
          <w:b/>
          <w:bCs/>
          <w:sz w:val="20"/>
          <w:szCs w:val="20"/>
          <w:u w:val="single"/>
          <w:rtl/>
        </w:rPr>
      </w:pPr>
      <w:r w:rsidRPr="003E724F">
        <w:rPr>
          <w:rFonts w:cs="Monotype Hadassah" w:hint="cs"/>
          <w:b/>
          <w:bCs/>
          <w:sz w:val="20"/>
          <w:szCs w:val="20"/>
          <w:u w:val="single"/>
          <w:rtl/>
        </w:rPr>
        <w:t>נגד</w:t>
      </w:r>
    </w:p>
    <w:p w:rsidR="00107EF5" w:rsidRPr="003E724F" w:rsidRDefault="00107EF5" w:rsidP="00107EF5">
      <w:pPr>
        <w:rPr>
          <w:rFonts w:cs="Monotype Hadassah"/>
          <w:sz w:val="20"/>
          <w:szCs w:val="20"/>
          <w:rtl/>
        </w:rPr>
      </w:pPr>
    </w:p>
    <w:p w:rsidR="00107EF5" w:rsidRPr="003E724F" w:rsidRDefault="00107EF5" w:rsidP="00107EF5">
      <w:pPr>
        <w:tabs>
          <w:tab w:val="left" w:pos="4536"/>
        </w:tabs>
        <w:rPr>
          <w:rFonts w:cs="Monotype Hadassah"/>
          <w:b/>
          <w:bCs/>
          <w:sz w:val="20"/>
          <w:szCs w:val="20"/>
          <w:rtl/>
        </w:rPr>
      </w:pPr>
      <w:r w:rsidRPr="003E724F">
        <w:rPr>
          <w:rFonts w:cs="Monotype Hadassah"/>
          <w:b/>
          <w:bCs/>
          <w:sz w:val="20"/>
          <w:szCs w:val="20"/>
          <w:rtl/>
        </w:rPr>
        <w:fldChar w:fldCharType="begin"/>
      </w:r>
      <w:r w:rsidRPr="003E724F">
        <w:rPr>
          <w:rFonts w:cs="Monotype Hadassah"/>
          <w:b/>
          <w:bCs/>
          <w:sz w:val="20"/>
          <w:szCs w:val="20"/>
          <w:rtl/>
        </w:rPr>
        <w:instrText xml:space="preserve"> </w:instrText>
      </w:r>
      <w:r w:rsidRPr="003E724F">
        <w:rPr>
          <w:rFonts w:cs="Monotype Hadassah"/>
          <w:b/>
          <w:bCs/>
          <w:sz w:val="20"/>
          <w:szCs w:val="20"/>
        </w:rPr>
        <w:instrText>DOCPROPERTY  sugsherutgorem  \* MERGEFORMAT</w:instrText>
      </w:r>
      <w:r w:rsidRPr="003E724F">
        <w:rPr>
          <w:rFonts w:cs="Monotype Hadassah"/>
          <w:b/>
          <w:bCs/>
          <w:sz w:val="20"/>
          <w:szCs w:val="20"/>
          <w:rtl/>
        </w:rPr>
        <w:instrText xml:space="preserve"> </w:instrText>
      </w:r>
      <w:r w:rsidRPr="003E724F">
        <w:rPr>
          <w:rFonts w:cs="Monotype Hadassah"/>
          <w:b/>
          <w:bCs/>
          <w:sz w:val="20"/>
          <w:szCs w:val="20"/>
          <w:rtl/>
        </w:rPr>
        <w:fldChar w:fldCharType="separate"/>
      </w:r>
      <w:r w:rsidRPr="003E724F">
        <w:rPr>
          <w:rFonts w:cs="Monotype Hadassah"/>
          <w:b/>
          <w:bCs/>
          <w:sz w:val="20"/>
          <w:szCs w:val="20"/>
          <w:rtl/>
        </w:rPr>
        <w:t>ב</w:t>
      </w:r>
      <w:r w:rsidRPr="003E724F">
        <w:rPr>
          <w:rFonts w:cs="Monotype Hadassah"/>
          <w:b/>
          <w:bCs/>
          <w:sz w:val="20"/>
          <w:szCs w:val="20"/>
          <w:rtl/>
        </w:rPr>
        <w:fldChar w:fldCharType="end"/>
      </w:r>
      <w:r w:rsidRPr="003E724F">
        <w:rPr>
          <w:rFonts w:cs="Monotype Hadassah"/>
          <w:b/>
          <w:bCs/>
          <w:sz w:val="20"/>
          <w:szCs w:val="20"/>
          <w:rtl/>
        </w:rPr>
        <w:t>/</w:t>
      </w:r>
      <w:r>
        <w:rPr>
          <w:rFonts w:cs="Monotype Hadassah" w:hint="cs"/>
          <w:b/>
          <w:bCs/>
          <w:sz w:val="20"/>
          <w:szCs w:val="20"/>
          <w:rtl/>
        </w:rPr>
        <w:t>***</w:t>
      </w:r>
      <w:r w:rsidRPr="003E724F">
        <w:rPr>
          <w:rFonts w:cs="Monotype Hadassah"/>
          <w:b/>
          <w:bCs/>
          <w:sz w:val="20"/>
          <w:szCs w:val="20"/>
          <w:rtl/>
        </w:rPr>
        <w:t xml:space="preserve"> </w:t>
      </w:r>
      <w:r w:rsidRPr="003E724F">
        <w:rPr>
          <w:rFonts w:cs="Monotype Hadassah"/>
          <w:b/>
          <w:bCs/>
          <w:sz w:val="20"/>
          <w:szCs w:val="20"/>
          <w:rtl/>
        </w:rPr>
        <w:fldChar w:fldCharType="begin"/>
      </w:r>
      <w:r w:rsidRPr="003E724F">
        <w:rPr>
          <w:rFonts w:cs="Monotype Hadassah"/>
          <w:b/>
          <w:bCs/>
          <w:sz w:val="20"/>
          <w:szCs w:val="20"/>
          <w:rtl/>
        </w:rPr>
        <w:instrText xml:space="preserve"> </w:instrText>
      </w:r>
      <w:r w:rsidRPr="003E724F">
        <w:rPr>
          <w:rFonts w:cs="Monotype Hadassah"/>
          <w:b/>
          <w:bCs/>
          <w:sz w:val="20"/>
          <w:szCs w:val="20"/>
        </w:rPr>
        <w:instrText>DOCPROPERTY  dargagorem  \* MERGEFORMAT</w:instrText>
      </w:r>
      <w:r w:rsidRPr="003E724F">
        <w:rPr>
          <w:rFonts w:cs="Monotype Hadassah"/>
          <w:b/>
          <w:bCs/>
          <w:sz w:val="20"/>
          <w:szCs w:val="20"/>
          <w:rtl/>
        </w:rPr>
        <w:instrText xml:space="preserve"> </w:instrText>
      </w:r>
      <w:r w:rsidRPr="003E724F">
        <w:rPr>
          <w:rFonts w:cs="Monotype Hadassah"/>
          <w:b/>
          <w:bCs/>
          <w:sz w:val="20"/>
          <w:szCs w:val="20"/>
          <w:rtl/>
        </w:rPr>
        <w:fldChar w:fldCharType="separate"/>
      </w:r>
      <w:r w:rsidRPr="003E724F">
        <w:rPr>
          <w:rFonts w:cs="Monotype Hadassah"/>
          <w:b/>
          <w:bCs/>
          <w:sz w:val="20"/>
          <w:szCs w:val="20"/>
          <w:rtl/>
        </w:rPr>
        <w:t>טוראי</w:t>
      </w:r>
      <w:r w:rsidRPr="003E724F">
        <w:rPr>
          <w:rFonts w:cs="Monotype Hadassah"/>
          <w:b/>
          <w:bCs/>
          <w:sz w:val="20"/>
          <w:szCs w:val="20"/>
          <w:rtl/>
        </w:rPr>
        <w:fldChar w:fldCharType="end"/>
      </w:r>
      <w:r w:rsidRPr="003E724F">
        <w:rPr>
          <w:rFonts w:cs="Monotype Hadassah"/>
          <w:b/>
          <w:bCs/>
          <w:sz w:val="20"/>
          <w:szCs w:val="20"/>
          <w:rtl/>
        </w:rPr>
        <w:t xml:space="preserve"> </w:t>
      </w:r>
      <w:r>
        <w:rPr>
          <w:rFonts w:cs="Monotype Hadassah" w:hint="cs"/>
          <w:b/>
          <w:bCs/>
          <w:sz w:val="20"/>
          <w:szCs w:val="20"/>
          <w:rtl/>
        </w:rPr>
        <w:t>ר.ז.ט</w:t>
      </w:r>
      <w:r w:rsidRPr="003E724F">
        <w:rPr>
          <w:rFonts w:cs="Monotype Hadassah" w:hint="cs"/>
          <w:b/>
          <w:bCs/>
          <w:sz w:val="20"/>
          <w:szCs w:val="20"/>
          <w:rtl/>
        </w:rPr>
        <w:tab/>
        <w:t>(ע"י ב"כ, עו"ד סגן יהונתן חסון)</w:t>
      </w:r>
    </w:p>
    <w:p w:rsidR="00107EF5" w:rsidRPr="003E724F" w:rsidRDefault="00107EF5" w:rsidP="00107EF5">
      <w:pPr>
        <w:rPr>
          <w:rFonts w:cs="Monotype Hadassah"/>
          <w:sz w:val="20"/>
          <w:szCs w:val="20"/>
          <w:rtl/>
        </w:rPr>
      </w:pPr>
    </w:p>
    <w:p w:rsidR="00107EF5" w:rsidRPr="003E724F" w:rsidRDefault="00107EF5" w:rsidP="00107EF5">
      <w:pPr>
        <w:keepNext/>
        <w:spacing w:after="240"/>
        <w:jc w:val="center"/>
        <w:outlineLvl w:val="0"/>
        <w:rPr>
          <w:rFonts w:cs="Monotype Hadassah"/>
          <w:b/>
          <w:bCs/>
          <w:sz w:val="20"/>
          <w:szCs w:val="20"/>
          <w:u w:val="single"/>
          <w:rtl/>
        </w:rPr>
      </w:pPr>
      <w:r w:rsidRPr="003E724F">
        <w:rPr>
          <w:rFonts w:cs="Monotype Hadassah" w:hint="cs"/>
          <w:b/>
          <w:bCs/>
          <w:sz w:val="20"/>
          <w:szCs w:val="20"/>
          <w:u w:val="single"/>
          <w:rtl/>
        </w:rPr>
        <w:t>הכרעת דין</w:t>
      </w:r>
    </w:p>
    <w:p w:rsidR="00107EF5" w:rsidRPr="003E724F" w:rsidRDefault="00107EF5" w:rsidP="00107EF5">
      <w:pPr>
        <w:jc w:val="center"/>
        <w:rPr>
          <w:rFonts w:cs="Monotype Hadassah"/>
          <w:b/>
          <w:bCs/>
          <w:sz w:val="20"/>
          <w:szCs w:val="20"/>
          <w:u w:val="single"/>
          <w:rtl/>
        </w:rPr>
      </w:pPr>
    </w:p>
    <w:p w:rsidR="00107EF5" w:rsidRPr="003E724F" w:rsidRDefault="00107EF5" w:rsidP="00107EF5">
      <w:pPr>
        <w:spacing w:line="360" w:lineRule="auto"/>
        <w:rPr>
          <w:rFonts w:cs="Monotype Hadassah"/>
          <w:sz w:val="20"/>
          <w:szCs w:val="20"/>
          <w:rtl/>
        </w:rPr>
      </w:pPr>
      <w:r w:rsidRPr="003E724F">
        <w:rPr>
          <w:rFonts w:cs="Monotype Hadassah" w:hint="cs"/>
          <w:sz w:val="20"/>
          <w:szCs w:val="20"/>
          <w:rtl/>
        </w:rPr>
        <w:t>על</w:t>
      </w:r>
      <w:r w:rsidRPr="003E724F">
        <w:rPr>
          <w:rFonts w:cs="Monotype Hadassah"/>
          <w:sz w:val="20"/>
          <w:szCs w:val="20"/>
          <w:rtl/>
        </w:rPr>
        <w:t xml:space="preserve"> </w:t>
      </w:r>
      <w:r w:rsidRPr="003E724F">
        <w:rPr>
          <w:rFonts w:cs="Monotype Hadassah" w:hint="cs"/>
          <w:sz w:val="20"/>
          <w:szCs w:val="20"/>
          <w:rtl/>
        </w:rPr>
        <w:t>פי</w:t>
      </w:r>
      <w:r w:rsidRPr="003E724F">
        <w:rPr>
          <w:rFonts w:cs="Monotype Hadassah"/>
          <w:sz w:val="20"/>
          <w:szCs w:val="20"/>
          <w:rtl/>
        </w:rPr>
        <w:t xml:space="preserve"> </w:t>
      </w:r>
      <w:r w:rsidRPr="003E724F">
        <w:rPr>
          <w:rFonts w:cs="Monotype Hadassah" w:hint="cs"/>
          <w:sz w:val="20"/>
          <w:szCs w:val="20"/>
          <w:rtl/>
        </w:rPr>
        <w:t>הודאתה</w:t>
      </w:r>
      <w:r w:rsidRPr="003E724F">
        <w:rPr>
          <w:rFonts w:cs="Monotype Hadassah"/>
          <w:sz w:val="20"/>
          <w:szCs w:val="20"/>
          <w:rtl/>
        </w:rPr>
        <w:t xml:space="preserve">, </w:t>
      </w:r>
      <w:r w:rsidRPr="003E724F">
        <w:rPr>
          <w:rFonts w:cs="Monotype Hadassah" w:hint="cs"/>
          <w:sz w:val="20"/>
          <w:szCs w:val="20"/>
          <w:rtl/>
        </w:rPr>
        <w:t>מורשעת הנאשמת בעבירה</w:t>
      </w:r>
      <w:r w:rsidRPr="003E724F">
        <w:rPr>
          <w:rFonts w:cs="Monotype Hadassah"/>
          <w:sz w:val="20"/>
          <w:szCs w:val="20"/>
          <w:rtl/>
        </w:rPr>
        <w:t xml:space="preserve"> </w:t>
      </w:r>
      <w:r w:rsidRPr="003E724F">
        <w:rPr>
          <w:rFonts w:cs="Monotype Hadassah" w:hint="cs"/>
          <w:sz w:val="20"/>
          <w:szCs w:val="20"/>
          <w:rtl/>
        </w:rPr>
        <w:t>המיוחסת</w:t>
      </w:r>
      <w:r w:rsidRPr="003E724F">
        <w:rPr>
          <w:rFonts w:cs="Monotype Hadassah"/>
          <w:sz w:val="20"/>
          <w:szCs w:val="20"/>
          <w:rtl/>
        </w:rPr>
        <w:t xml:space="preserve"> </w:t>
      </w:r>
      <w:r w:rsidRPr="003E724F">
        <w:rPr>
          <w:rFonts w:cs="Monotype Hadassah" w:hint="cs"/>
          <w:sz w:val="20"/>
          <w:szCs w:val="20"/>
          <w:rtl/>
        </w:rPr>
        <w:t>לה בכתב</w:t>
      </w:r>
      <w:r w:rsidRPr="003E724F">
        <w:rPr>
          <w:rFonts w:cs="Monotype Hadassah"/>
          <w:sz w:val="20"/>
          <w:szCs w:val="20"/>
          <w:rtl/>
        </w:rPr>
        <w:t xml:space="preserve"> </w:t>
      </w:r>
      <w:r w:rsidRPr="003E724F">
        <w:rPr>
          <w:rFonts w:cs="Monotype Hadassah" w:hint="cs"/>
          <w:sz w:val="20"/>
          <w:szCs w:val="20"/>
          <w:rtl/>
        </w:rPr>
        <w:t>האישום</w:t>
      </w:r>
      <w:r w:rsidRPr="003E724F">
        <w:rPr>
          <w:rFonts w:cs="Monotype Hadassah"/>
          <w:sz w:val="20"/>
          <w:szCs w:val="20"/>
          <w:rtl/>
        </w:rPr>
        <w:t xml:space="preserve">, </w:t>
      </w:r>
      <w:r w:rsidRPr="003E724F">
        <w:rPr>
          <w:rFonts w:cs="Monotype Hadassah" w:hint="cs"/>
          <w:sz w:val="20"/>
          <w:szCs w:val="20"/>
          <w:rtl/>
        </w:rPr>
        <w:t xml:space="preserve">היעדרות מן השירות שלא ברשות, לפי סעיף 94 לחוק השיפוט הצבאי, התשט"ו- 1955, על כי נעדרה מיחידתה מפח"ט </w:t>
      </w:r>
      <w:r>
        <w:rPr>
          <w:rFonts w:cs="Monotype Hadassah" w:hint="cs"/>
          <w:sz w:val="20"/>
          <w:szCs w:val="20"/>
          <w:rtl/>
        </w:rPr>
        <w:t>*</w:t>
      </w:r>
      <w:r w:rsidRPr="003E724F">
        <w:rPr>
          <w:rFonts w:cs="Monotype Hadassah" w:hint="cs"/>
          <w:sz w:val="20"/>
          <w:szCs w:val="20"/>
          <w:rtl/>
        </w:rPr>
        <w:t xml:space="preserve"> מיום 20.06.2019 ועד ליום 21.12.2019, בסך הכל 368 ימים. </w:t>
      </w:r>
    </w:p>
    <w:p w:rsidR="00107EF5" w:rsidRPr="003E724F" w:rsidRDefault="00107EF5" w:rsidP="00107EF5">
      <w:pPr>
        <w:spacing w:line="360" w:lineRule="auto"/>
        <w:rPr>
          <w:rFonts w:cs="Monotype Hadassah"/>
          <w:sz w:val="20"/>
          <w:szCs w:val="20"/>
          <w:rtl/>
        </w:rPr>
      </w:pPr>
    </w:p>
    <w:p w:rsidR="00107EF5" w:rsidRPr="003E724F" w:rsidRDefault="00107EF5" w:rsidP="00107EF5">
      <w:pPr>
        <w:rPr>
          <w:rFonts w:cs="Monotype Hadassah"/>
          <w:sz w:val="20"/>
          <w:szCs w:val="20"/>
          <w:rtl/>
        </w:rPr>
      </w:pPr>
      <w:r w:rsidRPr="003E724F">
        <w:rPr>
          <w:rFonts w:cs="Monotype Hadassah" w:hint="eastAsia"/>
          <w:sz w:val="20"/>
          <w:szCs w:val="20"/>
          <w:rtl/>
        </w:rPr>
        <w:t>•</w:t>
      </w:r>
      <w:r w:rsidRPr="003E724F">
        <w:rPr>
          <w:rFonts w:cs="Monotype Hadassah"/>
          <w:sz w:val="20"/>
          <w:szCs w:val="20"/>
          <w:rtl/>
        </w:rPr>
        <w:tab/>
      </w:r>
      <w:r w:rsidRPr="003E724F">
        <w:rPr>
          <w:rFonts w:cs="Monotype Hadassah" w:hint="cs"/>
          <w:sz w:val="20"/>
          <w:szCs w:val="20"/>
          <w:rtl/>
        </w:rPr>
        <w:t>ניתנה</w:t>
      </w:r>
      <w:r w:rsidRPr="003E724F">
        <w:rPr>
          <w:rFonts w:cs="Monotype Hadassah"/>
          <w:sz w:val="20"/>
          <w:szCs w:val="20"/>
          <w:rtl/>
        </w:rPr>
        <w:t xml:space="preserve"> </w:t>
      </w:r>
      <w:r w:rsidRPr="003E724F">
        <w:rPr>
          <w:rFonts w:cs="Monotype Hadassah" w:hint="cs"/>
          <w:sz w:val="20"/>
          <w:szCs w:val="20"/>
          <w:rtl/>
        </w:rPr>
        <w:t>היום</w:t>
      </w:r>
      <w:r w:rsidRPr="003E724F">
        <w:rPr>
          <w:rFonts w:cs="Monotype Hadassah"/>
          <w:sz w:val="20"/>
          <w:szCs w:val="20"/>
          <w:rtl/>
        </w:rPr>
        <w:t xml:space="preserve">, </w:t>
      </w:r>
      <w:r w:rsidRPr="003E724F">
        <w:rPr>
          <w:rFonts w:cs="Monotype Hadassah" w:hint="cs"/>
          <w:sz w:val="20"/>
          <w:szCs w:val="20"/>
          <w:rtl/>
        </w:rPr>
        <w:t>23.01.2020, והודעה</w:t>
      </w:r>
      <w:r w:rsidRPr="003E724F">
        <w:rPr>
          <w:rFonts w:cs="Monotype Hadassah"/>
          <w:sz w:val="20"/>
          <w:szCs w:val="20"/>
          <w:rtl/>
        </w:rPr>
        <w:t xml:space="preserve"> </w:t>
      </w:r>
      <w:r w:rsidRPr="003E724F">
        <w:rPr>
          <w:rFonts w:cs="Monotype Hadassah" w:hint="cs"/>
          <w:sz w:val="20"/>
          <w:szCs w:val="20"/>
          <w:rtl/>
        </w:rPr>
        <w:t>בפומבי</w:t>
      </w:r>
      <w:r w:rsidRPr="003E724F">
        <w:rPr>
          <w:rFonts w:cs="Monotype Hadassah"/>
          <w:sz w:val="20"/>
          <w:szCs w:val="20"/>
          <w:rtl/>
        </w:rPr>
        <w:t xml:space="preserve"> </w:t>
      </w:r>
      <w:r w:rsidRPr="003E724F">
        <w:rPr>
          <w:rFonts w:cs="Monotype Hadassah" w:hint="cs"/>
          <w:sz w:val="20"/>
          <w:szCs w:val="20"/>
          <w:rtl/>
        </w:rPr>
        <w:t>ובמעמד</w:t>
      </w:r>
      <w:r w:rsidRPr="003E724F">
        <w:rPr>
          <w:rFonts w:cs="Monotype Hadassah"/>
          <w:sz w:val="20"/>
          <w:szCs w:val="20"/>
          <w:rtl/>
        </w:rPr>
        <w:t xml:space="preserve"> </w:t>
      </w:r>
      <w:r w:rsidRPr="003E724F">
        <w:rPr>
          <w:rFonts w:cs="Monotype Hadassah" w:hint="cs"/>
          <w:sz w:val="20"/>
          <w:szCs w:val="20"/>
          <w:rtl/>
        </w:rPr>
        <w:t>הצדדים</w:t>
      </w:r>
      <w:r w:rsidRPr="003E724F">
        <w:rPr>
          <w:rFonts w:cs="Monotype Hadassah"/>
          <w:sz w:val="20"/>
          <w:szCs w:val="20"/>
          <w:rtl/>
        </w:rPr>
        <w:t>.</w:t>
      </w:r>
    </w:p>
    <w:p w:rsidR="00107EF5" w:rsidRPr="003E724F" w:rsidRDefault="00107EF5" w:rsidP="00107EF5">
      <w:pPr>
        <w:jc w:val="center"/>
        <w:rPr>
          <w:rFonts w:cs="Monotype Hadassah"/>
          <w:sz w:val="20"/>
          <w:szCs w:val="20"/>
          <w:rtl/>
        </w:rPr>
      </w:pPr>
    </w:p>
    <w:p w:rsidR="00107EF5" w:rsidRPr="003E724F" w:rsidRDefault="00107EF5" w:rsidP="00107EF5">
      <w:pPr>
        <w:jc w:val="center"/>
        <w:rPr>
          <w:rFonts w:cs="Monotype Hadassah"/>
          <w:sz w:val="20"/>
          <w:szCs w:val="20"/>
        </w:rPr>
      </w:pPr>
      <w:r w:rsidRPr="003E724F">
        <w:rPr>
          <w:rFonts w:cs="Monotype Hadassah"/>
          <w:sz w:val="20"/>
          <w:szCs w:val="20"/>
          <w:rtl/>
        </w:rPr>
        <w:t>____________</w:t>
      </w:r>
      <w:r w:rsidRPr="003E724F">
        <w:rPr>
          <w:rFonts w:cs="Monotype Hadassah"/>
          <w:sz w:val="20"/>
          <w:szCs w:val="20"/>
          <w:rtl/>
        </w:rPr>
        <w:softHyphen/>
      </w:r>
      <w:r w:rsidRPr="003E724F">
        <w:rPr>
          <w:rFonts w:cs="Monotype Hadassah"/>
          <w:sz w:val="20"/>
          <w:szCs w:val="20"/>
          <w:rtl/>
        </w:rPr>
        <w:softHyphen/>
      </w:r>
      <w:r w:rsidRPr="003E724F">
        <w:rPr>
          <w:rFonts w:cs="Monotype Hadassah"/>
          <w:sz w:val="20"/>
          <w:szCs w:val="20"/>
          <w:rtl/>
        </w:rPr>
        <w:softHyphen/>
      </w:r>
    </w:p>
    <w:p w:rsidR="00107EF5" w:rsidRPr="003E724F" w:rsidRDefault="00107EF5" w:rsidP="00107EF5">
      <w:pPr>
        <w:pStyle w:val="BodyText"/>
        <w:jc w:val="center"/>
        <w:rPr>
          <w:rFonts w:cs="Monotype Hadassah"/>
          <w:b w:val="0"/>
          <w:bCs w:val="0"/>
          <w:szCs w:val="20"/>
          <w:rtl/>
        </w:rPr>
      </w:pPr>
      <w:r w:rsidRPr="003E724F">
        <w:rPr>
          <w:rFonts w:cs="Monotype Hadassah" w:hint="cs"/>
          <w:szCs w:val="20"/>
          <w:rtl/>
        </w:rPr>
        <w:t>שופט</w:t>
      </w:r>
    </w:p>
    <w:p w:rsidR="00107EF5" w:rsidRPr="003E724F" w:rsidRDefault="00107EF5" w:rsidP="00107EF5">
      <w:pPr>
        <w:rPr>
          <w:rFonts w:cs="Monotype Hadassah"/>
          <w:sz w:val="20"/>
          <w:szCs w:val="20"/>
          <w:rtl/>
        </w:rPr>
      </w:pPr>
    </w:p>
    <w:p w:rsidR="00107EF5" w:rsidRPr="003E724F" w:rsidRDefault="00107EF5" w:rsidP="00107EF5">
      <w:pPr>
        <w:keepNext/>
        <w:spacing w:after="240"/>
        <w:jc w:val="center"/>
        <w:outlineLvl w:val="0"/>
        <w:rPr>
          <w:rFonts w:cs="Monotype Hadassah"/>
          <w:b/>
          <w:bCs/>
          <w:sz w:val="20"/>
          <w:szCs w:val="20"/>
          <w:u w:val="single"/>
          <w:rtl/>
        </w:rPr>
      </w:pPr>
      <w:r w:rsidRPr="003E724F">
        <w:rPr>
          <w:rFonts w:cs="Monotype Hadassah" w:hint="cs"/>
          <w:b/>
          <w:bCs/>
          <w:sz w:val="20"/>
          <w:szCs w:val="20"/>
          <w:u w:val="single"/>
          <w:rtl/>
        </w:rPr>
        <w:t>גזר דין</w:t>
      </w:r>
    </w:p>
    <w:p w:rsidR="00107EF5" w:rsidRPr="003E724F" w:rsidRDefault="00107EF5" w:rsidP="00107EF5">
      <w:pPr>
        <w:pStyle w:val="ListParagraph"/>
        <w:spacing w:line="360" w:lineRule="auto"/>
        <w:rPr>
          <w:rFonts w:cs="Monotype Hadassah"/>
          <w:b/>
          <w:bCs/>
          <w:sz w:val="20"/>
          <w:szCs w:val="20"/>
        </w:rPr>
      </w:pPr>
      <w:r w:rsidRPr="003E724F">
        <w:rPr>
          <w:rFonts w:cs="Monotype Hadassah" w:hint="cs"/>
          <w:b/>
          <w:bCs/>
          <w:sz w:val="20"/>
          <w:szCs w:val="20"/>
          <w:rtl/>
        </w:rPr>
        <w:t>כללי</w:t>
      </w: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הנאשמת, טוראי </w:t>
      </w:r>
      <w:r>
        <w:rPr>
          <w:rFonts w:cs="Monotype Hadassah" w:hint="cs"/>
          <w:sz w:val="20"/>
          <w:szCs w:val="20"/>
          <w:rtl/>
        </w:rPr>
        <w:t>ר.ט</w:t>
      </w:r>
      <w:r w:rsidRPr="003E724F">
        <w:rPr>
          <w:rFonts w:cs="Monotype Hadassah" w:hint="cs"/>
          <w:sz w:val="20"/>
          <w:szCs w:val="20"/>
          <w:rtl/>
        </w:rPr>
        <w:t xml:space="preserve">, הורשעה על פי הודאתה בעבירה של היעדר מן השירות שלא ברשות, על כי נעדרה מיחידתה לתקופה בת 368 ימים בסופה התייצבה. </w:t>
      </w:r>
    </w:p>
    <w:p w:rsidR="00107EF5" w:rsidRPr="003E724F" w:rsidRDefault="00107EF5" w:rsidP="00107EF5">
      <w:pPr>
        <w:pStyle w:val="ListParagraph"/>
        <w:spacing w:line="360" w:lineRule="auto"/>
        <w:rPr>
          <w:rFonts w:cs="Monotype Hadassah"/>
          <w:sz w:val="20"/>
          <w:szCs w:val="20"/>
          <w:rtl/>
        </w:rPr>
      </w:pPr>
    </w:p>
    <w:p w:rsidR="00107EF5" w:rsidRPr="003E724F" w:rsidRDefault="00107EF5" w:rsidP="00107EF5">
      <w:pPr>
        <w:pStyle w:val="ListParagraph"/>
        <w:spacing w:line="360" w:lineRule="auto"/>
        <w:rPr>
          <w:rFonts w:cs="Monotype Hadassah"/>
          <w:b/>
          <w:bCs/>
          <w:sz w:val="20"/>
          <w:szCs w:val="20"/>
        </w:rPr>
      </w:pPr>
      <w:r w:rsidRPr="003E724F">
        <w:rPr>
          <w:rFonts w:cs="Monotype Hadassah" w:hint="cs"/>
          <w:b/>
          <w:bCs/>
          <w:sz w:val="20"/>
          <w:szCs w:val="20"/>
          <w:rtl/>
        </w:rPr>
        <w:t>ראיות הצדדים</w:t>
      </w: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הצדדים נחלקו באשר לעונש הראוי לנאשמת בגין העבירה וטענו בעניין זה בפניי. מראיות התביעה עלה כי הנאשמת  עלתה ארצה מצרפת עם משפחתה. היא התגייסה לצה"ל בחודש נובמבר 2018. תחילה הוצבה לשרת במג"ב, אך נפלטה משם בחלוף מספר שבועות (ת/7). הנאשמת הוצבה מיד לאחר פליטתה ממג"ב לשרת כפקידה בחטיבת גולני וקיבלה צו הצבה ליום 19.12.2018 (ת/2). חרף הוראת צו זה לא התייצבה הנאשמת ביחידתה והחלה בהיעדרות מושא הרשעתה. יצוין, כי במהלך ההיעדרות, ביום 30.12.2018 התייצבה הנאשמת ביחידה </w:t>
      </w:r>
      <w:r w:rsidRPr="003E724F">
        <w:rPr>
          <w:rFonts w:cs="Monotype Hadassah" w:hint="cs"/>
          <w:sz w:val="20"/>
          <w:szCs w:val="20"/>
          <w:rtl/>
        </w:rPr>
        <w:lastRenderedPageBreak/>
        <w:t xml:space="preserve">למשך מספר שעות ועברה ריאיון קליטה בו סיפרה על מצבה המשפחתי ומצבו הרפואי של אביה אשר יפורט להלן (ת/3). הנאשמת נדרשה להישאר ביחידה על מנת לתת את הדין על היעדרותה עד למועד זה, אך עזבה את היחידה טרם נשפטה, על אף שהייתה מודעות לכך שהיא עתידה להישפט (ת/5) והמשיכה בהיעדרות ממושכת, בגינה הורשעה, כאמור. </w:t>
      </w:r>
    </w:p>
    <w:p w:rsidR="00107EF5" w:rsidRPr="003E724F" w:rsidRDefault="00107EF5" w:rsidP="00107EF5">
      <w:pPr>
        <w:pStyle w:val="ListParagraph"/>
        <w:spacing w:after="160" w:line="360" w:lineRule="auto"/>
        <w:rPr>
          <w:rFonts w:cs="Monotype Hadassah"/>
          <w:sz w:val="20"/>
          <w:szCs w:val="20"/>
          <w:rtl/>
        </w:rPr>
      </w:pPr>
    </w:p>
    <w:p w:rsidR="00107EF5" w:rsidRPr="003E724F" w:rsidRDefault="00107EF5" w:rsidP="00107EF5">
      <w:pPr>
        <w:pStyle w:val="ListParagraph"/>
        <w:spacing w:after="160" w:line="360" w:lineRule="auto"/>
        <w:rPr>
          <w:rFonts w:cs="Monotype Hadassah"/>
          <w:sz w:val="20"/>
          <w:szCs w:val="20"/>
        </w:rPr>
      </w:pPr>
      <w:r w:rsidRPr="003E724F">
        <w:rPr>
          <w:rFonts w:cs="Monotype Hadassah" w:hint="cs"/>
          <w:sz w:val="20"/>
          <w:szCs w:val="20"/>
          <w:rtl/>
        </w:rPr>
        <w:t>מתיעודי שיחות טלפוניות שנערכו עם הנאשמת במהלך ההיעדרות וכן מביקור בית שנערך אצלה עלה כי הייתה ערה לחובתה לשוב ליחידה, אך נמנעה מלעשות כן (ת/4, ת/6, ת/9). עוד עלה מטופס דיווח ההיעדרות כי הנאשמת לא הגיעה להיקלט במשרד הת"ש ביחידה (ת/6).</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מראיות ההגנה עלה כי מצבה הכלכלי של משפחת הנאשמת קשה. ממסמכים כלכליים שונים עלה כי המשפחה נתונה בחובות בהיקפים של עשרות אלפי שקלים לגורמים רבים לאורך השנים האחרונות (ס/1). למרבה הצער, מצבו הרפואי של אבי הנאשמת קשה. האב עבר תאונת דרכים בשלהי שנת 2017 ונפגע פגיעת ראש. מאז מצבו הרפואי קשה והוא זקוק לסיוע והשגחה צמודה (ס/4). בשל מצב רפואי זה נפסקו לאב אחוזי נכות בשיעור של 100%. גם סבה וסבתה של הנאשמת חולים וסובלים מבעיות רפואיות שונות. סבתה של הנאשמת מתמודדת עוד טרם גיוסה של הנאשמת לצה"ל ואף בימים אלו עם מחלת הסרטן. </w:t>
      </w:r>
    </w:p>
    <w:p w:rsidR="00107EF5" w:rsidRPr="003E724F" w:rsidRDefault="00107EF5" w:rsidP="00107EF5">
      <w:pPr>
        <w:pStyle w:val="ListParagraph"/>
        <w:spacing w:after="160" w:line="360" w:lineRule="auto"/>
        <w:rPr>
          <w:rFonts w:cs="Monotype Hadassah"/>
          <w:sz w:val="20"/>
          <w:szCs w:val="20"/>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הנאשמת פטורה כיום משירות (ס/5). בחוות דעת פסיכיאטרית שניתנה במהלך כליאתה הנוכחית (ס/9) עלה כי הותאם לה פרופיל פוסל שירות בגין הפרעת הסתגלות. פסיכיאטר מתקן הכליאה חיווה דעתו כי הנאשמת מגלה אפקט חרדתי במיוחד כאשר משוחחת על בעיותיו של אביה. על רקע מצוקתה ונוכח קווי אישיות שהעלה אבחונה ראה להמליץ לפטרה משירות. יוער, כי הנאשמת נבדקה כבר טרם גיוסה לצה"ל, בחודש יוני 2017, טרם תאונת הדרכים של אביה, אז לא התרשמו גורמי ברה"ן מצורך בהתערבות בתנאי שירותה (ס/10). לפי האמור בחוות הדעת, באותה עת, גילתה הנאשמת מוטיבציה לשירות צבאי.</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הנאשמת העידה בפניי. היא תיארה את המצוקה בבית ואת ההידרדרות שהחלה מאז גיוסה לצה"ל ועד עתה. לדבריה, במהלך ההיעדרות תמכה וסייעה לאביה. היא היחידה שיכולה להושיט סיוע לאב, כיוון שאחותה הגדולה אינה מתגוררת בבית והיא נשואה ואם לתינוק ואחיה הגדול לא מצוי בקשר עם המשפחה. אח גדול נוסף עובד ומסייע לכלכלת הבית ואילו אחותה הקטנה תלמידת בית ספר. הנאשמת ציינה כי רצתה מאוד להתגייס, אך הייתה סבורה שתקבל סיוע לאור מצבה מבית, סיוע לו לא זכתה. הנאשמת טענה כי שוחחה עם מש"קית הת"ש ביחידה ויידעה אותה על מצבה וכך גם עם מפקדה, אך לא שבה ליחידה כיוון שלא הייתה יכולה לאור המצב בבית. </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מר שמואל חאייק, חבר המשפחה, העיד אף הוא בפניי. הוא ציין כי הוא מלווה את המשפחה במצבה המורכב מזה כשלוש שנים. הוא סיפר על מצבה הכלכלי הקשה של המשפחה ועל היות המשפחה משוסעת לאור המצב הרפואי של האב והסבים. העד תיאר כי המשפחה יודעת מחסור במזון, כי אחד האחים התנכר למשפחה בשעותיה הקשות וכי האם עובד במספר עבודות במקביל כדי לפרנס את המשפחה. הוא הוסיף כי הנאשמת תיארה בפניו כי היא </w:t>
      </w:r>
      <w:r w:rsidRPr="003E724F">
        <w:rPr>
          <w:rFonts w:cs="Monotype Hadassah" w:hint="cs"/>
          <w:sz w:val="20"/>
          <w:szCs w:val="20"/>
          <w:rtl/>
        </w:rPr>
        <w:lastRenderedPageBreak/>
        <w:t xml:space="preserve">קרועה בין חובתה לסייע לבית לבין השירות הצבאי. לדבריו, הנאשמת פנויה יותר מאחיה העובדים אשר תומכים גם בסבתה ולכן עול הטיפול באב נפל עליה. </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spacing w:after="160" w:line="360" w:lineRule="auto"/>
        <w:rPr>
          <w:rFonts w:cs="Monotype Hadassah"/>
          <w:sz w:val="20"/>
          <w:szCs w:val="20"/>
          <w:rtl/>
        </w:rPr>
      </w:pPr>
      <w:r w:rsidRPr="003E724F">
        <w:rPr>
          <w:rFonts w:cs="Monotype Hadassah" w:hint="cs"/>
          <w:sz w:val="20"/>
          <w:szCs w:val="20"/>
          <w:rtl/>
        </w:rPr>
        <w:t xml:space="preserve">העד הוסיף כי פנה לגורמים שונים על מנת לסייע למשפחה, אך התהליכים ממושכים ואורכים זמן. משפחתה של הנאשמת מוכרת לגורמי הרווחה. העד אישר כי טרם גיוסה לצה"ל עבדה הנאשמת, אך המצב מאז השתנה והדרישות ממנה עלו, זאת גם לאור המחלוקות והמריבות בבית. </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numPr>
          <w:ilvl w:val="0"/>
          <w:numId w:val="5"/>
        </w:numPr>
        <w:spacing w:after="160" w:line="360" w:lineRule="auto"/>
        <w:rPr>
          <w:rFonts w:cs="Monotype Hadassah"/>
          <w:sz w:val="20"/>
          <w:szCs w:val="20"/>
          <w:rtl/>
        </w:rPr>
      </w:pPr>
      <w:r w:rsidRPr="003E724F">
        <w:rPr>
          <w:rFonts w:cs="Monotype Hadassah" w:hint="cs"/>
          <w:sz w:val="20"/>
          <w:szCs w:val="20"/>
          <w:rtl/>
        </w:rPr>
        <w:t xml:space="preserve">הגברת אדל מלכה, המלווה את הנאשמת בחודשים האחרונים העידה בפניי. היא ציינה כי היא בעלת ניסיון בעבודה עם נוער בסיכון וכי היא מעוניינת לעזור לנאשמת להשתקם. היא טענה כי כל התנהגותה של הנאשמת נובעת מן המצוקה בה חיה ולאור מצבה המשפחתי. העדה הביעה נכונות לקחת את הנאשמת תחת חסותה בעתיד. </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spacing w:line="360" w:lineRule="auto"/>
        <w:rPr>
          <w:rFonts w:cs="Monotype Hadassah"/>
          <w:b/>
          <w:bCs/>
          <w:sz w:val="20"/>
          <w:szCs w:val="20"/>
        </w:rPr>
      </w:pPr>
      <w:r w:rsidRPr="003E724F">
        <w:rPr>
          <w:rFonts w:cs="Monotype Hadassah" w:hint="cs"/>
          <w:b/>
          <w:bCs/>
          <w:sz w:val="20"/>
          <w:szCs w:val="20"/>
          <w:rtl/>
        </w:rPr>
        <w:t>טיעוני הצדדים</w:t>
      </w: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התביעה ציינה כי מדובר בתקופת היעדרות ממושכת וכי מידת הפגיעה בערכים המוגנים משמעותית. התביעה טענה כי הנאשמת לא ניסתה לשרת בצה"ל ולא פנתה לגורמים המתאימים לשם קבלת סיוע. נטען, כי היה בידי משפחת הנאשמת והנאשמת למצוא פתרון אחר למצבו הקשה של אביה לבד מהיעדרותה של הנאשמת משירות וכי היעדרותה מלמדת על חוסר מוטיבציה לשירות בצה"ל. </w:t>
      </w:r>
    </w:p>
    <w:p w:rsidR="00107EF5" w:rsidRPr="003E724F" w:rsidRDefault="00107EF5" w:rsidP="00107EF5">
      <w:pPr>
        <w:pStyle w:val="ListParagraph"/>
        <w:spacing w:after="160" w:line="360" w:lineRule="auto"/>
        <w:rPr>
          <w:rFonts w:cs="Monotype Hadassah"/>
          <w:sz w:val="20"/>
          <w:szCs w:val="20"/>
          <w:rtl/>
        </w:rPr>
      </w:pPr>
    </w:p>
    <w:p w:rsidR="00107EF5" w:rsidRPr="003E724F" w:rsidRDefault="00107EF5" w:rsidP="00107EF5">
      <w:pPr>
        <w:pStyle w:val="ListParagraph"/>
        <w:spacing w:after="160" w:line="360" w:lineRule="auto"/>
        <w:rPr>
          <w:rFonts w:cs="Monotype Hadassah"/>
          <w:sz w:val="20"/>
          <w:szCs w:val="20"/>
          <w:rtl/>
        </w:rPr>
      </w:pPr>
      <w:r w:rsidRPr="003E724F">
        <w:rPr>
          <w:rFonts w:cs="Monotype Hadassah" w:hint="cs"/>
          <w:sz w:val="20"/>
          <w:szCs w:val="20"/>
          <w:rtl/>
        </w:rPr>
        <w:t>לאור האמור, ותוך הכרה כי מדובר במי שמגיעה מנסיבות רקע משפחתיות מורכבות עתרה התביעה הצבאית לקבוע מתחם עונש הולם הנע בין 3 ל-7 חודשי מאסר בפועל. התביעה עתרה לקביעת עונשה של הנאשמת בתחתית המתחם ולו כדי שלא תוכתם ברישום פלילי מלא. התביעה הציגה פסיקה התומכת בעתירתה לעונש.</w:t>
      </w:r>
    </w:p>
    <w:p w:rsidR="00107EF5" w:rsidRPr="003E724F" w:rsidRDefault="00107EF5" w:rsidP="00107EF5">
      <w:pPr>
        <w:pStyle w:val="ListParagraph"/>
        <w:spacing w:after="160" w:line="360" w:lineRule="auto"/>
        <w:rPr>
          <w:rFonts w:cs="Monotype Hadassah"/>
          <w:sz w:val="20"/>
          <w:szCs w:val="20"/>
          <w:rtl/>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ההגנה הדגישה את מורכבות נסיבותיה של הנאשמת. היא ציינה כי מצבו של אביה לא היה מורכב כאשר שוחחה עם גורמי ברה"ן בלשכת הגיוס טרם גיוסה וכי ההחמרה באה לקראת גיוסה של הנאשמת לצה"ל. לראיית ההגנה, הנאשמת פעלה בניסיון לקבל סיוע ויש לקבל את עדותה בעניין זה. ההגנה הפנתה למכתבים שהוגשו מטעם ההגנה המלמדים על ניסיונות הנאשמת להסדיר את מעמדה מול הצבא במהלך ההיעדרות (ס/8). עוד נטען כי לנאשמת את מערכת תמיכה מבית וכי עדות לכך אפשר לראות בכך שהנאשמת נמצאת באולם בית הדין ללא קרובי משפחתה אלא בליווי מכרים של המשפחה. ההגנה עמדה על מצבה הנפשי של הנאשמת. </w:t>
      </w:r>
    </w:p>
    <w:p w:rsidR="00107EF5" w:rsidRPr="003E724F" w:rsidRDefault="00107EF5" w:rsidP="00107EF5">
      <w:pPr>
        <w:pStyle w:val="ListParagraph"/>
        <w:spacing w:after="160" w:line="360" w:lineRule="auto"/>
        <w:rPr>
          <w:rFonts w:cs="Monotype Hadassah"/>
          <w:sz w:val="20"/>
          <w:szCs w:val="20"/>
          <w:rtl/>
        </w:rPr>
      </w:pPr>
    </w:p>
    <w:p w:rsidR="00107EF5" w:rsidRPr="003E724F" w:rsidRDefault="00107EF5" w:rsidP="00107EF5">
      <w:pPr>
        <w:pStyle w:val="ListParagraph"/>
        <w:spacing w:after="160" w:line="360" w:lineRule="auto"/>
        <w:rPr>
          <w:rFonts w:cs="Monotype Hadassah"/>
          <w:sz w:val="20"/>
          <w:szCs w:val="20"/>
          <w:rtl/>
        </w:rPr>
      </w:pPr>
      <w:r w:rsidRPr="003E724F">
        <w:rPr>
          <w:rFonts w:cs="Monotype Hadassah" w:hint="cs"/>
          <w:sz w:val="20"/>
          <w:szCs w:val="20"/>
          <w:rtl/>
        </w:rPr>
        <w:t xml:space="preserve">לאורן של נסיבות אלו טענה ההגנה כי מידת אשמה של הנאשמת קטן וכי יש בכך כדי להשליך על מתחם העונש ההולם. </w:t>
      </w:r>
    </w:p>
    <w:p w:rsidR="00107EF5" w:rsidRPr="003E724F" w:rsidRDefault="00107EF5" w:rsidP="00107EF5">
      <w:pPr>
        <w:pStyle w:val="ListParagraph"/>
        <w:spacing w:after="160" w:line="360" w:lineRule="auto"/>
        <w:rPr>
          <w:rFonts w:cs="Monotype Hadassah"/>
          <w:sz w:val="20"/>
          <w:szCs w:val="20"/>
          <w:rtl/>
        </w:rPr>
      </w:pPr>
    </w:p>
    <w:p w:rsidR="00107EF5" w:rsidRPr="003E724F" w:rsidRDefault="00107EF5" w:rsidP="00107EF5">
      <w:pPr>
        <w:pStyle w:val="ListParagraph"/>
        <w:spacing w:after="160" w:line="360" w:lineRule="auto"/>
        <w:rPr>
          <w:rFonts w:cs="Monotype Hadassah"/>
          <w:sz w:val="20"/>
          <w:szCs w:val="20"/>
          <w:rtl/>
        </w:rPr>
      </w:pPr>
      <w:r w:rsidRPr="003E724F">
        <w:rPr>
          <w:rFonts w:cs="Monotype Hadassah" w:hint="cs"/>
          <w:sz w:val="20"/>
          <w:szCs w:val="20"/>
          <w:rtl/>
        </w:rPr>
        <w:t xml:space="preserve">ההגנה אף טענה כי יש לחרוג לקולא ממתחם העונש ההולם, לאור סיכויי שיקומה ועדותה של הגב' אדל מלכה. ההגנה הגישה פסיקה רבה התומכת לראייתה בעתירתה לעונש והיא עונש מאסר בפועל שלא יעלה על תקופת מעצרה של הנאשמת עד היום </w:t>
      </w:r>
      <w:r w:rsidRPr="003E724F">
        <w:rPr>
          <w:rFonts w:cs="Monotype Hadassah"/>
          <w:sz w:val="20"/>
          <w:szCs w:val="20"/>
          <w:rtl/>
        </w:rPr>
        <w:t>–</w:t>
      </w:r>
      <w:r w:rsidRPr="003E724F">
        <w:rPr>
          <w:rFonts w:cs="Monotype Hadassah" w:hint="cs"/>
          <w:sz w:val="20"/>
          <w:szCs w:val="20"/>
          <w:rtl/>
        </w:rPr>
        <w:t xml:space="preserve"> כ-40 ימים. לדידה של ההגנה עונש זה צריך להיות הרף העליון של מתחם העונש ההולם. יוער, כי חלק נכבד מן הפסיקה שהגישה ההגנה עניינו הסדרי טיעון של נעדרים מן השירות </w:t>
      </w:r>
      <w:r w:rsidRPr="003E724F">
        <w:rPr>
          <w:rFonts w:cs="Monotype Hadassah" w:hint="cs"/>
          <w:sz w:val="20"/>
          <w:szCs w:val="20"/>
          <w:rtl/>
        </w:rPr>
        <w:lastRenderedPageBreak/>
        <w:t xml:space="preserve">שפוטרו על רקע נפשי וישנו קושי להתחקות אחר הנסיבות המדוקדקות העומדות ברקעו של כל הסדר והסדר ובעיקר באשר למצבו הנפשי של כל אחד מן הנאשמים בהם אשר בבסיסו נעוץ ההסדר. </w:t>
      </w:r>
    </w:p>
    <w:p w:rsidR="00107EF5" w:rsidRPr="003E724F" w:rsidRDefault="00107EF5" w:rsidP="00107EF5">
      <w:pPr>
        <w:pStyle w:val="ListParagraph"/>
        <w:spacing w:after="160" w:line="360" w:lineRule="auto"/>
        <w:rPr>
          <w:rFonts w:cs="Monotype Hadassah"/>
          <w:sz w:val="20"/>
          <w:szCs w:val="20"/>
          <w:rtl/>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הנאשמת בדברה האחרון הביעה חרטה על העבירה. </w:t>
      </w:r>
    </w:p>
    <w:p w:rsidR="00107EF5" w:rsidRPr="003E724F" w:rsidRDefault="00107EF5" w:rsidP="00107EF5">
      <w:pPr>
        <w:pStyle w:val="ListParagraph"/>
        <w:spacing w:line="360" w:lineRule="auto"/>
        <w:rPr>
          <w:rFonts w:cs="Monotype Hadassah"/>
          <w:sz w:val="20"/>
          <w:szCs w:val="20"/>
        </w:rPr>
      </w:pPr>
    </w:p>
    <w:p w:rsidR="00107EF5" w:rsidRPr="003E724F" w:rsidRDefault="00107EF5" w:rsidP="00107EF5">
      <w:pPr>
        <w:pStyle w:val="ListParagraph"/>
        <w:rPr>
          <w:rFonts w:cs="Monotype Hadassah"/>
          <w:sz w:val="20"/>
          <w:szCs w:val="20"/>
          <w:rtl/>
        </w:rPr>
      </w:pPr>
    </w:p>
    <w:p w:rsidR="00107EF5" w:rsidRPr="003E724F" w:rsidRDefault="00107EF5" w:rsidP="00107EF5">
      <w:pPr>
        <w:spacing w:line="360" w:lineRule="auto"/>
        <w:ind w:firstLine="720"/>
        <w:rPr>
          <w:rFonts w:cs="Monotype Hadassah"/>
          <w:b/>
          <w:bCs/>
          <w:sz w:val="20"/>
          <w:szCs w:val="20"/>
          <w:rtl/>
        </w:rPr>
      </w:pPr>
      <w:r w:rsidRPr="003E724F">
        <w:rPr>
          <w:rFonts w:cs="Monotype Hadassah" w:hint="cs"/>
          <w:b/>
          <w:bCs/>
          <w:sz w:val="20"/>
          <w:szCs w:val="20"/>
          <w:rtl/>
        </w:rPr>
        <w:t>דיון והכרעה</w:t>
      </w: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תיקון 113 לחוק העונשין, שעניינו הבניית שיקול הדעת השיפוטי בענישה קבע כעקרון מוביל בענישה את עיקרון ההלימה. בהתאם לתיקון זה, תחילה, על בית הדין לקבוע מהו מתחם העונש ההולם למעשה העבירה שביצע הנאשם, לאחריו יש לבחון האם ראוי לסטות מן המתחם. אם התשובה לשאלה זו שלילית על בית הדין לגזור את העונש הראוי לנאשם בתוך מתחם העונש ההולם. </w:t>
      </w:r>
    </w:p>
    <w:p w:rsidR="00107EF5" w:rsidRPr="003E724F" w:rsidRDefault="00107EF5" w:rsidP="00107EF5">
      <w:pPr>
        <w:pStyle w:val="ListParagraph"/>
        <w:spacing w:after="160" w:line="360" w:lineRule="auto"/>
        <w:rPr>
          <w:rFonts w:cs="Monotype Hadassah"/>
          <w:sz w:val="20"/>
          <w:szCs w:val="20"/>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עיקרון ההלימה פירושו קיומו של יחס הולם בין חומרת מעשה העבירה בנסיבותיו ומידת אשמו של הנאשם ובין סוג ומידת העונש המוטל עליו. במסגרת בחינה זו ייתן בית המשפט דעתו, בין היתר, למידת הפגיעה בערכים החברתיים המוגנים שבבסיס העבירה, לטיבם של ערכים אלו, למדיניות הענישה הנהוגה ולנסיבות הקשורות בביצוע העבירה ובהן הטעמים שהניעו את הנאשם לבצע את העבירה.</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כידוע, עבירת היעדרות מן השירות פוגעת בערכים חברתיים מוגנים של שוויון ושל החלוקה בנטל השירות הצבאי. כן פוגעת העבירה ביכולת הצבא לתכנן ולממש את משימותיו. משעה שעבירת ההיעדרות היא עבירה מתמשכת המתחדשת בכל יום מחדש, ברי כי למשכה של ההיעדרות קשר ישיר לעוצמת הפגיעה בערכים המוגנים. כאשר עניין לנו בהיעדרות ממושכת מתעצם הנזק לערכים המוגנים ומתחדדת הפגיעה בהם. בשל כך, קבעה פסיקת בתי הדין הצבאיים כי הנעדרים משירות לתקופות ממושכות יהיו ראויים, ברגיל, מטעמי הלימה לעונשי מאסר משמעותיים לריצוי בפועל.</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גם במקרה דנן, ישנן נסיבות מחמירות שאינן מבוטלות. המדובר בהיעדרות ממושכת לתקופה העולה על שנה. היעדרות זו החלה בימיה הראשונים של הנאשמת במסגרת הצבאית, לאחר פליטתה משירות במג"ב. הנאשמת, כך ראיתי לקבוע, לא החלה בתהליכים נדרשים כלשהם על מנת לקבל הכרה או סיוע למצבה מבית. כך, לא נערך שיח ממצה מול המפקדים ולא בוצעו פניות לגורמי ת"ש לצורך קבלת סיוע כלכלי או הקלות בתנאי השירות. בנסיבות אלו, יקשה לומר כי הנאשמת פעלה כמצופה ממנה או כי אפשרה לגורמי הצבא לבחון עניינה באופן הולם טרם בחרה לעשות דין לעצמה ולהיעדר משירות לתקופה כה ארוכה. </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חרף האמור, התרשמתי באופן בלתי אמצעי כי לא טעמים של העדר מוטיבציה או רצון להתחמק מחובת השירות ומנטל השירות הצבאי עמדו בבסיס מעשיה של הנאשמת. בעניין זה, התרשמתי מכנות עדותה של הנאשמת. זו אישרה היעדרותה הממושכת והימלטותה מן היחידה טרם משפט בתוך תקופת ההיעדרות, אך בצד זאת הסבירה ותלתה ההיעדרות במצוקה מבית. מצוקה זו קיבלה אימות במסמכים אובייקטיביים מרובים שהניחה ההגנה בפניי, </w:t>
      </w:r>
      <w:r w:rsidRPr="003E724F">
        <w:rPr>
          <w:rFonts w:cs="Monotype Hadassah" w:hint="cs"/>
          <w:sz w:val="20"/>
          <w:szCs w:val="20"/>
          <w:rtl/>
        </w:rPr>
        <w:lastRenderedPageBreak/>
        <w:t xml:space="preserve">הן בפן הכלכלי והן בפן הרפואי בעיקר בכל הנוגע לאבי הנאשמת בו טיפלה הנאשמת במהלך ההיעדרות. לבחינת הטעמים שהניעו הנאשמת לבצע את המיוחס לה נודעת חשיבות גם בקביעת מתחם העונש ההולם עצמו, שכן יש בהם כדי ללמד על מידת האשם הגלומה בהם. לא זו אף זו, בענייננו המדובר במי שרקעה ואישיותה, כפי שראו גורמי בריאות הנפש בצבא לקבוע, מורכב באופן המלמד על הפרעה הסתגלותית הנובעת במישרין מקווי אישיות בעייתיים. </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spacing w:after="160" w:line="360" w:lineRule="auto"/>
        <w:rPr>
          <w:rFonts w:cs="Monotype Hadassah"/>
          <w:sz w:val="20"/>
          <w:szCs w:val="20"/>
        </w:rPr>
      </w:pPr>
      <w:r w:rsidRPr="003E724F">
        <w:rPr>
          <w:rFonts w:cs="Monotype Hadassah" w:hint="cs"/>
          <w:sz w:val="20"/>
          <w:szCs w:val="20"/>
          <w:rtl/>
        </w:rPr>
        <w:t xml:space="preserve">בשל כך, וכפי שהפנתה ובצדק ההגנה, ישנה השלכה למצבה הנפשי של הנאשמת ולנסיבות המורכבות שלבטח לא תרמו, ולהן השפעה על קביעת מידת אשמה וממילא על מתחם העונש ההולם בעניינה. פועל יוצא מכך, הוא שאם ברגיל היה מתחם העונש ההולם לו עתרה התביעה במקרה זה תואם את רמות הענישה הנהוגות ואף חורג מהן במקצת לקולה, אין כן פני הדברים בענייננו. כך קבע בית הדין הצבאי לערעורים במקרה אחר המתאים אף לענייננו – </w:t>
      </w:r>
    </w:p>
    <w:p w:rsidR="00107EF5" w:rsidRPr="003E724F" w:rsidRDefault="00107EF5" w:rsidP="00107EF5">
      <w:pPr>
        <w:pStyle w:val="ListParagraph"/>
        <w:rPr>
          <w:rFonts w:cs="Monotype Hadassah"/>
          <w:sz w:val="20"/>
          <w:szCs w:val="20"/>
        </w:rPr>
      </w:pPr>
    </w:p>
    <w:p w:rsidR="00107EF5" w:rsidRPr="003E724F" w:rsidRDefault="00107EF5" w:rsidP="00107EF5">
      <w:pPr>
        <w:pStyle w:val="ListParagraph"/>
        <w:spacing w:line="360" w:lineRule="auto"/>
        <w:ind w:left="1134" w:right="1134"/>
        <w:rPr>
          <w:rFonts w:cs="Monotype Hadassah"/>
          <w:sz w:val="20"/>
          <w:szCs w:val="20"/>
          <w:rtl/>
        </w:rPr>
      </w:pPr>
      <w:r w:rsidRPr="003E724F">
        <w:rPr>
          <w:rFonts w:cs="Monotype Hadassah" w:hint="cs"/>
          <w:sz w:val="20"/>
          <w:szCs w:val="20"/>
          <w:rtl/>
        </w:rPr>
        <w:t xml:space="preserve">"רקעו האישיותי של המערער, מחייב התחשבות כבר בעת קביעת מתחם העונש ההולם, שכן יש בו כדי להשליך על "מידת אשמו" של המערער (וראו: ע/68/17 </w:t>
      </w:r>
      <w:r w:rsidRPr="003E724F">
        <w:rPr>
          <w:rFonts w:cs="Monotype Hadassah" w:hint="cs"/>
          <w:b/>
          <w:bCs/>
          <w:sz w:val="20"/>
          <w:szCs w:val="20"/>
          <w:rtl/>
        </w:rPr>
        <w:t>טור' לוי נ' התובע הצבאי הראשי</w:t>
      </w:r>
      <w:r w:rsidRPr="003E724F">
        <w:rPr>
          <w:rFonts w:cs="Monotype Hadassah" w:hint="cs"/>
          <w:sz w:val="20"/>
          <w:szCs w:val="20"/>
          <w:rtl/>
        </w:rPr>
        <w:t xml:space="preserve"> (2017); ע/68/16 </w:t>
      </w:r>
      <w:r w:rsidRPr="003E724F">
        <w:rPr>
          <w:rFonts w:cs="Monotype Hadassah" w:hint="cs"/>
          <w:b/>
          <w:bCs/>
          <w:sz w:val="20"/>
          <w:szCs w:val="20"/>
          <w:rtl/>
        </w:rPr>
        <w:t>התובע הצבאי הראשי נ' טור' ורלמוב</w:t>
      </w:r>
      <w:r w:rsidRPr="003E724F">
        <w:rPr>
          <w:rFonts w:cs="Monotype Hadassah" w:hint="cs"/>
          <w:sz w:val="20"/>
          <w:szCs w:val="20"/>
          <w:rtl/>
        </w:rPr>
        <w:t xml:space="preserve"> (2016); ע/48/17 </w:t>
      </w:r>
      <w:r w:rsidRPr="003E724F">
        <w:rPr>
          <w:rFonts w:cs="Monotype Hadassah" w:hint="cs"/>
          <w:b/>
          <w:bCs/>
          <w:sz w:val="20"/>
          <w:szCs w:val="20"/>
          <w:rtl/>
        </w:rPr>
        <w:t>התובע הצבאי הראשי נ' טור' סגל</w:t>
      </w:r>
      <w:r w:rsidRPr="003E724F">
        <w:rPr>
          <w:rFonts w:cs="Monotype Hadassah" w:hint="cs"/>
          <w:sz w:val="20"/>
          <w:szCs w:val="20"/>
          <w:rtl/>
        </w:rPr>
        <w:t xml:space="preserve"> (2017)) " (ע/92/17 </w:t>
      </w:r>
      <w:r w:rsidRPr="003E724F">
        <w:rPr>
          <w:rFonts w:cs="Monotype Hadassah" w:hint="cs"/>
          <w:b/>
          <w:bCs/>
          <w:sz w:val="20"/>
          <w:szCs w:val="20"/>
          <w:rtl/>
        </w:rPr>
        <w:t>מורוזוב נ' התובע הצבאי הראשי</w:t>
      </w:r>
      <w:r w:rsidRPr="003E724F">
        <w:rPr>
          <w:rFonts w:cs="Monotype Hadassah" w:hint="cs"/>
          <w:sz w:val="20"/>
          <w:szCs w:val="20"/>
          <w:rtl/>
        </w:rPr>
        <w:t xml:space="preserve"> (2017)).</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spacing w:after="160" w:line="360" w:lineRule="auto"/>
        <w:rPr>
          <w:rFonts w:cs="Monotype Hadassah"/>
          <w:sz w:val="20"/>
          <w:szCs w:val="20"/>
          <w:rtl/>
        </w:rPr>
      </w:pPr>
      <w:r w:rsidRPr="003E724F">
        <w:rPr>
          <w:rFonts w:cs="Monotype Hadassah" w:hint="cs"/>
          <w:sz w:val="20"/>
          <w:szCs w:val="20"/>
          <w:rtl/>
        </w:rPr>
        <w:t>כפי שציינתי ראיתי להעניק משקל לעדותה של הנאשמת בפניי, אשר לא סתרה את תוכן הראיות שהוגשו לעיוני. האמנתי לנאשמת כי אכן סיפרה למפקדה באותה שיחה קצרה בה נכחה ביחידה על מצבה מבית ועצם נכותו של האב מתוארת אף במסמך סיכום הריאיון (ת/3). ברי, כי בכך לא היה די, בפרט שעה שהנאשמת עשתה דין לעצמה ועזבה את היחידה ולא שבה אליה משך למעלה משנה תמימה. הנאשמת הייתה ערה לחובותיה במערכת הצבאית ולכך שמעשיה מנוגדים להתנהלות המצופה מחייל וכי יש בהם משום עבירה. בשל כך, ודאי כי לא ניתן לקבל טענות ההגנה כי יש לפטור את הנאשמת מאחריות ולקבוע מתחם ענישה שקצהו העליון עומד על ימי מעצרה של הנאשמת. בכך, יהיה כדי להחטיא לגמרי את תכליות הענישה. ודוק: אף אם יש ברקעה הנפשי של הנאשמת ובמצבה מבית כדי להשליך על מידת אשמה במקרה זה ואולי אף באופן ניכר, אין בהם כדי לאיין או להקטין עד לבלי הכר אחריותה זו.</w:t>
      </w:r>
    </w:p>
    <w:p w:rsidR="00107EF5" w:rsidRPr="003E724F" w:rsidRDefault="00107EF5" w:rsidP="00107EF5">
      <w:pPr>
        <w:pStyle w:val="ListParagraph"/>
        <w:spacing w:after="160" w:line="360" w:lineRule="auto"/>
        <w:rPr>
          <w:rFonts w:cs="Monotype Hadassah"/>
          <w:sz w:val="20"/>
          <w:szCs w:val="20"/>
          <w:rtl/>
        </w:rPr>
      </w:pPr>
    </w:p>
    <w:p w:rsidR="00107EF5" w:rsidRPr="003E724F" w:rsidRDefault="00107EF5" w:rsidP="00107EF5">
      <w:pPr>
        <w:pStyle w:val="ListParagraph"/>
        <w:spacing w:after="160" w:line="360" w:lineRule="auto"/>
        <w:rPr>
          <w:rFonts w:cs="Monotype Hadassah"/>
          <w:sz w:val="20"/>
          <w:szCs w:val="20"/>
        </w:rPr>
      </w:pPr>
      <w:r w:rsidRPr="003E724F">
        <w:rPr>
          <w:rFonts w:cs="Monotype Hadassah" w:hint="cs"/>
          <w:sz w:val="20"/>
          <w:szCs w:val="20"/>
          <w:rtl/>
        </w:rPr>
        <w:t xml:space="preserve">אוסיף עוד כי התרשמתי מכנות עדותו של מר חאייק. אמנם, עדותו של עד זה נשמעה לאחר שנכח בעת שהעידה הנאשמת. אולם לא מצאתי להימנע מלהעניק לה משקל. כך או כך, לדבריו של עד זה נמצאו תימוכין רבים במסמכים שהוגשו ובמכלול התמונה העובדתית שנפרשה בפניי ולגביה לא היה חולק. </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נוכח מכלול האמור, ובראי הענישה הנהוגה וחלק מן הפסיקה אליה הפנו הצדדים סברתי כי מתחם העונש ההולם במקרה דנן נע בין 50 ימי מאסר ל-5 חודשי מאסר בפועל. לא מצאתי כי יש לחרוג מן המתחם משיקולי שיקום. בהקשר זה, לא סברתי כי יש לראות בעדותה של הגב' מלכה משום עדות בדבר פוטנציאל שיקומי של ממש. כך, </w:t>
      </w:r>
      <w:r w:rsidRPr="003E724F">
        <w:rPr>
          <w:rFonts w:cs="Monotype Hadassah" w:hint="cs"/>
          <w:sz w:val="20"/>
          <w:szCs w:val="20"/>
          <w:rtl/>
        </w:rPr>
        <w:lastRenderedPageBreak/>
        <w:t xml:space="preserve">לא הוצגו צעדים שננקטו על ידה לצורך שיקומה או תכנית בנושא לבד מנכונות, ראויה לכל שבח, להענקת תמיכה וליווי לנאשמת. אוסיף עוד, כי לא הובהרה עד תום כוונת ההגנה לשיקום בעניינה של נעדרת משירות אשר פוטרה משירות מחמת מצבה הנפשי. בצד זאת יצוין כי לעדותה של הגב' מלכה הענקתי משקל מסוים בעת קביעת העונש בתוך המתחם. </w:t>
      </w:r>
    </w:p>
    <w:p w:rsidR="00107EF5" w:rsidRPr="003E724F" w:rsidRDefault="00107EF5" w:rsidP="00107EF5">
      <w:pPr>
        <w:pStyle w:val="ListParagraph"/>
        <w:rPr>
          <w:rFonts w:cs="Monotype Hadassah"/>
          <w:sz w:val="20"/>
          <w:szCs w:val="20"/>
          <w:rtl/>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בעת קביעת עונשה של הנאשמת בתוך מתחם העונש ההולם נתתי משקל גם לעברה הנקי של הנאשמת, לנטילת האחריות מצדה, הבעת החרטה והחיסכון בזמן השיפוטי. שקלתי את הפגיעה שתיגרם לנאשמת  ובעיקר לבני משפחתה כתוצאה מהשתת עונש מאסר ממושך בפועל וכן שיקולי הרתעה כללית. לנוכח כלל האמור, ומבלי למצות עמה את הדין משיקולי חסד, מצאתי לגזור על הנאשמת עונש הקרוב לרף התחתון של מתחם העונש ההולם. </w:t>
      </w:r>
    </w:p>
    <w:p w:rsidR="00107EF5" w:rsidRPr="003E724F" w:rsidRDefault="00107EF5" w:rsidP="00107EF5">
      <w:pPr>
        <w:pStyle w:val="ListParagraph"/>
        <w:spacing w:line="360" w:lineRule="auto"/>
        <w:rPr>
          <w:rFonts w:cs="Monotype Hadassah"/>
          <w:sz w:val="20"/>
          <w:szCs w:val="20"/>
        </w:rPr>
      </w:pPr>
    </w:p>
    <w:p w:rsidR="00107EF5" w:rsidRPr="003E724F" w:rsidRDefault="00107EF5" w:rsidP="00107EF5">
      <w:pPr>
        <w:pStyle w:val="ListParagraph"/>
        <w:numPr>
          <w:ilvl w:val="0"/>
          <w:numId w:val="5"/>
        </w:numPr>
        <w:spacing w:after="160" w:line="360" w:lineRule="auto"/>
        <w:rPr>
          <w:rFonts w:cs="Monotype Hadassah"/>
          <w:sz w:val="20"/>
          <w:szCs w:val="20"/>
        </w:rPr>
      </w:pPr>
      <w:r w:rsidRPr="003E724F">
        <w:rPr>
          <w:rFonts w:cs="Monotype Hadassah" w:hint="cs"/>
          <w:sz w:val="20"/>
          <w:szCs w:val="20"/>
          <w:rtl/>
        </w:rPr>
        <w:t xml:space="preserve">סוף דבר, על הנאשמת נגזרים </w:t>
      </w:r>
      <w:r w:rsidRPr="003E724F">
        <w:rPr>
          <w:rFonts w:cs="Monotype Hadassah" w:hint="cs"/>
          <w:b/>
          <w:bCs/>
          <w:sz w:val="20"/>
          <w:szCs w:val="20"/>
          <w:rtl/>
        </w:rPr>
        <w:t>שישים (60)  ימי מאסר לריצוי בפועל ומניינם מיום מעצרה.</w:t>
      </w:r>
    </w:p>
    <w:p w:rsidR="00107EF5" w:rsidRPr="003E724F" w:rsidRDefault="00107EF5" w:rsidP="00107EF5">
      <w:pPr>
        <w:spacing w:line="360" w:lineRule="auto"/>
        <w:rPr>
          <w:rFonts w:cs="Monotype Hadassah"/>
          <w:b/>
          <w:bCs/>
          <w:sz w:val="20"/>
          <w:szCs w:val="20"/>
        </w:rPr>
      </w:pPr>
    </w:p>
    <w:p w:rsidR="00107EF5" w:rsidRPr="003E724F" w:rsidRDefault="00107EF5" w:rsidP="00107EF5">
      <w:pPr>
        <w:pStyle w:val="ListParagraph"/>
        <w:numPr>
          <w:ilvl w:val="0"/>
          <w:numId w:val="6"/>
        </w:numPr>
        <w:spacing w:after="160" w:line="360" w:lineRule="auto"/>
        <w:rPr>
          <w:rFonts w:cs="Monotype Hadassah"/>
          <w:b/>
          <w:bCs/>
          <w:sz w:val="20"/>
          <w:szCs w:val="20"/>
          <w:rtl/>
        </w:rPr>
      </w:pPr>
      <w:r w:rsidRPr="003E724F">
        <w:rPr>
          <w:rFonts w:cs="Monotype Hadassah" w:hint="cs"/>
          <w:b/>
          <w:bCs/>
          <w:sz w:val="20"/>
          <w:szCs w:val="20"/>
          <w:rtl/>
        </w:rPr>
        <w:t>זכות ערעור כחוק.</w:t>
      </w:r>
    </w:p>
    <w:p w:rsidR="00107EF5" w:rsidRPr="003E724F" w:rsidRDefault="00107EF5" w:rsidP="00107EF5">
      <w:pPr>
        <w:pStyle w:val="ListParagraph"/>
        <w:numPr>
          <w:ilvl w:val="0"/>
          <w:numId w:val="6"/>
        </w:numPr>
        <w:spacing w:after="160" w:line="360" w:lineRule="auto"/>
        <w:rPr>
          <w:rFonts w:cs="Monotype Hadassah"/>
          <w:b/>
          <w:bCs/>
          <w:sz w:val="20"/>
          <w:szCs w:val="20"/>
          <w:rtl/>
        </w:rPr>
      </w:pPr>
      <w:r w:rsidRPr="003E724F">
        <w:rPr>
          <w:rFonts w:cs="Monotype Hadassah" w:hint="cs"/>
          <w:b/>
          <w:bCs/>
          <w:sz w:val="20"/>
          <w:szCs w:val="20"/>
          <w:rtl/>
        </w:rPr>
        <w:t xml:space="preserve">ניתן והודע היום, 30.01.20, בפומבי ובמעמד הצדדים. </w:t>
      </w:r>
    </w:p>
    <w:p w:rsidR="00107EF5" w:rsidRPr="003E724F" w:rsidRDefault="00107EF5" w:rsidP="00107EF5">
      <w:pPr>
        <w:spacing w:line="360" w:lineRule="auto"/>
        <w:jc w:val="center"/>
        <w:rPr>
          <w:rFonts w:cs="Monotype Hadassah"/>
          <w:b/>
          <w:bCs/>
          <w:sz w:val="20"/>
          <w:szCs w:val="20"/>
          <w:rtl/>
        </w:rPr>
      </w:pPr>
      <w:r w:rsidRPr="003E724F">
        <w:rPr>
          <w:rFonts w:cs="Monotype Hadassah" w:hint="cs"/>
          <w:b/>
          <w:bCs/>
          <w:sz w:val="20"/>
          <w:szCs w:val="20"/>
          <w:rtl/>
        </w:rPr>
        <w:t>______________</w:t>
      </w:r>
    </w:p>
    <w:p w:rsidR="00107EF5" w:rsidRPr="003E724F" w:rsidRDefault="00107EF5" w:rsidP="00107EF5">
      <w:pPr>
        <w:jc w:val="center"/>
        <w:rPr>
          <w:rFonts w:cs="Monotype Hadassah"/>
          <w:b/>
          <w:bCs/>
          <w:sz w:val="20"/>
          <w:szCs w:val="20"/>
          <w:rtl/>
        </w:rPr>
      </w:pPr>
      <w:r w:rsidRPr="003E724F">
        <w:rPr>
          <w:rFonts w:cs="Monotype Hadassah" w:hint="cs"/>
          <w:b/>
          <w:bCs/>
          <w:sz w:val="20"/>
          <w:szCs w:val="20"/>
          <w:rtl/>
        </w:rPr>
        <w:t>חיים בלילטי, רס"ן</w:t>
      </w:r>
    </w:p>
    <w:p w:rsidR="00107EF5" w:rsidRPr="003E724F" w:rsidRDefault="00107EF5" w:rsidP="00107EF5">
      <w:pPr>
        <w:jc w:val="center"/>
        <w:rPr>
          <w:rFonts w:cs="Monotype Hadassah"/>
          <w:sz w:val="20"/>
          <w:szCs w:val="20"/>
        </w:rPr>
      </w:pPr>
      <w:r w:rsidRPr="003E724F">
        <w:rPr>
          <w:rFonts w:cs="Monotype Hadassah" w:hint="cs"/>
          <w:b/>
          <w:bCs/>
          <w:sz w:val="20"/>
          <w:szCs w:val="20"/>
          <w:rtl/>
        </w:rPr>
        <w:t xml:space="preserve"> שופט</w:t>
      </w:r>
    </w:p>
    <w:p w:rsidR="00107EF5" w:rsidRPr="003E724F" w:rsidRDefault="00107EF5" w:rsidP="00107EF5">
      <w:pPr>
        <w:spacing w:line="360" w:lineRule="auto"/>
        <w:rPr>
          <w:rFonts w:cs="Monotype Hadassah"/>
          <w:sz w:val="20"/>
          <w:szCs w:val="20"/>
          <w:rtl/>
        </w:rPr>
      </w:pPr>
    </w:p>
    <w:p w:rsidR="00107EF5" w:rsidRPr="003E724F" w:rsidRDefault="00107EF5" w:rsidP="00107EF5">
      <w:pPr>
        <w:rPr>
          <w:rFonts w:cs="Monotype Hadassah"/>
          <w:sz w:val="20"/>
          <w:szCs w:val="20"/>
        </w:rPr>
      </w:pPr>
    </w:p>
    <w:p w:rsidR="00107EF5" w:rsidRPr="003E724F" w:rsidRDefault="00107EF5" w:rsidP="00107EF5">
      <w:pPr>
        <w:spacing w:line="360" w:lineRule="auto"/>
        <w:rPr>
          <w:rFonts w:cs="Monotype Hadassah"/>
          <w:sz w:val="20"/>
          <w:szCs w:val="20"/>
          <w:rtl/>
        </w:rPr>
      </w:pPr>
    </w:p>
    <w:p w:rsidR="00107EF5" w:rsidRPr="003E724F" w:rsidRDefault="00107EF5" w:rsidP="00107EF5">
      <w:pPr>
        <w:rPr>
          <w:rFonts w:cs="Monotype Hadassah"/>
          <w:sz w:val="20"/>
          <w:szCs w:val="20"/>
          <w:rtl/>
        </w:rPr>
      </w:pPr>
    </w:p>
    <w:p w:rsidR="00107EF5" w:rsidRPr="003E724F" w:rsidRDefault="00107EF5" w:rsidP="00107EF5">
      <w:pPr>
        <w:ind w:left="5954"/>
        <w:rPr>
          <w:rFonts w:cs="Monotype Hadassah"/>
          <w:b/>
          <w:bCs/>
          <w:sz w:val="20"/>
          <w:szCs w:val="20"/>
          <w:rtl/>
        </w:rPr>
      </w:pPr>
      <w:r w:rsidRPr="003E724F">
        <w:rPr>
          <w:rFonts w:cs="Monotype Hadassah" w:hint="cs"/>
          <w:b/>
          <w:bCs/>
          <w:sz w:val="20"/>
          <w:szCs w:val="20"/>
          <w:rtl/>
        </w:rPr>
        <w:t>העתק נכון מהמקור</w:t>
      </w:r>
      <w:r w:rsidRPr="003E724F">
        <w:rPr>
          <w:rFonts w:cs="Monotype Hadassah"/>
          <w:b/>
          <w:bCs/>
          <w:sz w:val="20"/>
          <w:szCs w:val="20"/>
          <w:rtl/>
        </w:rPr>
        <w:br/>
      </w:r>
      <w:r w:rsidRPr="003E724F">
        <w:rPr>
          <w:rFonts w:cs="Monotype Hadassah" w:hint="cs"/>
          <w:b/>
          <w:bCs/>
          <w:sz w:val="20"/>
          <w:szCs w:val="20"/>
          <w:rtl/>
        </w:rPr>
        <w:t xml:space="preserve">רס"ן גלעד הרמן </w:t>
      </w:r>
      <w:r w:rsidRPr="003E724F">
        <w:rPr>
          <w:rFonts w:cs="Monotype Hadassah"/>
          <w:b/>
          <w:bCs/>
          <w:sz w:val="20"/>
          <w:szCs w:val="20"/>
          <w:rtl/>
        </w:rPr>
        <w:fldChar w:fldCharType="begin"/>
      </w:r>
      <w:r w:rsidRPr="003E724F">
        <w:rPr>
          <w:rFonts w:cs="Monotype Hadassah"/>
          <w:b/>
          <w:bCs/>
          <w:sz w:val="20"/>
          <w:szCs w:val="20"/>
          <w:rtl/>
        </w:rPr>
        <w:instrText xml:space="preserve"> </w:instrText>
      </w:r>
      <w:r w:rsidRPr="003E724F">
        <w:rPr>
          <w:rFonts w:cs="Monotype Hadassah"/>
          <w:b/>
          <w:bCs/>
          <w:sz w:val="20"/>
          <w:szCs w:val="20"/>
        </w:rPr>
        <w:instrText>DOCPROPERTY  kabidbeitdin  \* MERGEFORMAT</w:instrText>
      </w:r>
      <w:r w:rsidRPr="003E724F">
        <w:rPr>
          <w:rFonts w:cs="Monotype Hadassah"/>
          <w:b/>
          <w:bCs/>
          <w:sz w:val="20"/>
          <w:szCs w:val="20"/>
          <w:rtl/>
        </w:rPr>
        <w:instrText xml:space="preserve"> </w:instrText>
      </w:r>
      <w:r w:rsidRPr="003E724F">
        <w:rPr>
          <w:rFonts w:cs="Monotype Hadassah"/>
          <w:b/>
          <w:bCs/>
          <w:sz w:val="20"/>
          <w:szCs w:val="20"/>
          <w:rtl/>
        </w:rPr>
        <w:fldChar w:fldCharType="end"/>
      </w:r>
      <w:r w:rsidRPr="003E724F">
        <w:rPr>
          <w:rFonts w:cs="Monotype Hadassah"/>
          <w:b/>
          <w:bCs/>
          <w:sz w:val="20"/>
          <w:szCs w:val="20"/>
          <w:rtl/>
        </w:rPr>
        <w:br/>
      </w:r>
      <w:r w:rsidRPr="003E724F">
        <w:rPr>
          <w:rFonts w:cs="Monotype Hadassah" w:hint="cs"/>
          <w:b/>
          <w:bCs/>
          <w:sz w:val="20"/>
          <w:szCs w:val="20"/>
          <w:rtl/>
        </w:rPr>
        <w:t>ק' בית הדין</w:t>
      </w:r>
      <w:r w:rsidRPr="003E724F">
        <w:rPr>
          <w:rFonts w:cs="Monotype Hadassah"/>
          <w:b/>
          <w:bCs/>
          <w:sz w:val="20"/>
          <w:szCs w:val="20"/>
          <w:rtl/>
        </w:rPr>
        <w:br/>
      </w:r>
    </w:p>
    <w:p w:rsidR="00107EF5" w:rsidRPr="003E724F" w:rsidRDefault="00107EF5" w:rsidP="00107EF5">
      <w:pPr>
        <w:rPr>
          <w:rFonts w:cs="Monotype Hadassah"/>
          <w:b/>
          <w:bCs/>
          <w:sz w:val="20"/>
          <w:szCs w:val="20"/>
          <w:rtl/>
        </w:rPr>
      </w:pPr>
      <w:r w:rsidRPr="003E724F">
        <w:rPr>
          <w:rFonts w:cs="Monotype Hadassah" w:hint="cs"/>
          <w:b/>
          <w:bCs/>
          <w:sz w:val="20"/>
          <w:szCs w:val="20"/>
          <w:rtl/>
        </w:rPr>
        <w:t>נערך על ידי ל.ש</w:t>
      </w:r>
    </w:p>
    <w:p w:rsidR="00107EF5" w:rsidRPr="003E724F" w:rsidRDefault="00107EF5" w:rsidP="00107EF5">
      <w:pPr>
        <w:rPr>
          <w:rFonts w:cs="Monotype Hadassah"/>
          <w:b/>
          <w:bCs/>
          <w:sz w:val="20"/>
          <w:szCs w:val="20"/>
          <w:rtl/>
        </w:rPr>
      </w:pPr>
      <w:r w:rsidRPr="003E724F">
        <w:rPr>
          <w:rFonts w:cs="Monotype Hadassah" w:hint="cs"/>
          <w:b/>
          <w:bCs/>
          <w:sz w:val="20"/>
          <w:szCs w:val="20"/>
          <w:rtl/>
        </w:rPr>
        <w:t>בתאריך 18.02.2020</w:t>
      </w:r>
    </w:p>
    <w:p w:rsidR="00107EF5" w:rsidRPr="003E724F" w:rsidRDefault="00107EF5" w:rsidP="00107EF5">
      <w:pPr>
        <w:rPr>
          <w:rFonts w:cs="Monotype Hadassah"/>
          <w:b/>
          <w:bCs/>
          <w:sz w:val="20"/>
          <w:szCs w:val="20"/>
          <w:rtl/>
        </w:rPr>
      </w:pPr>
      <w:r w:rsidRPr="003E724F">
        <w:rPr>
          <w:rFonts w:cs="Monotype Hadassah" w:hint="cs"/>
          <w:b/>
          <w:bCs/>
          <w:sz w:val="20"/>
          <w:szCs w:val="20"/>
          <w:rtl/>
        </w:rPr>
        <w:t>חתימת המגיה:</w:t>
      </w:r>
    </w:p>
    <w:p w:rsidR="00107EF5" w:rsidRPr="003E724F" w:rsidRDefault="00107EF5" w:rsidP="00107EF5">
      <w:pPr>
        <w:rPr>
          <w:rFonts w:cs="Monotype Hadassah"/>
          <w:b/>
          <w:bCs/>
          <w:sz w:val="20"/>
          <w:szCs w:val="20"/>
          <w:rtl/>
        </w:rPr>
      </w:pPr>
    </w:p>
    <w:p w:rsidR="00B82938" w:rsidRPr="00107EF5" w:rsidRDefault="00B82938" w:rsidP="00107EF5">
      <w:pPr>
        <w:rPr>
          <w:rtl/>
        </w:rPr>
      </w:pPr>
    </w:p>
    <w:sectPr w:rsidR="00B82938" w:rsidRPr="00107EF5"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405E" w:rsidRDefault="00E3405E">
      <w:r>
        <w:separator/>
      </w:r>
    </w:p>
  </w:endnote>
  <w:endnote w:type="continuationSeparator" w:id="0">
    <w:p w:rsidR="00E3405E" w:rsidRDefault="00E34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Monotype Hadassah">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FE0BB7">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405E" w:rsidRDefault="00E3405E">
      <w:r>
        <w:separator/>
      </w:r>
    </w:p>
  </w:footnote>
  <w:footnote w:type="continuationSeparator" w:id="0">
    <w:p w:rsidR="00E3405E" w:rsidRDefault="00E340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צפון (מחוזי) 422/19</w:t>
    </w:r>
    <w:r>
      <w:rPr>
        <w:sz w:val="22"/>
        <w:szCs w:val="22"/>
        <w:rtl/>
      </w:rPr>
      <w:fldChar w:fldCharType="end"/>
    </w:r>
  </w:p>
  <w:p w:rsidR="00107EF5" w:rsidRPr="004B4BD8" w:rsidRDefault="00107EF5" w:rsidP="00B33A4A">
    <w:pPr>
      <w:pStyle w:val="Header"/>
      <w:jc w:val="center"/>
      <w:rPr>
        <w:b/>
        <w:bCs/>
        <w:sz w:val="22"/>
        <w:szCs w:val="22"/>
        <w:rtl/>
      </w:rPr>
    </w:pPr>
    <w:r w:rsidRPr="004B4BD8">
      <w:rPr>
        <w:rFonts w:hint="cs"/>
        <w:b/>
        <w:bCs/>
        <w:sz w:val="22"/>
        <w:szCs w:val="22"/>
        <w:rtl/>
      </w:rPr>
      <w:t>-בלמ"ס-</w:t>
    </w:r>
  </w:p>
  <w:p w:rsidR="0011094D" w:rsidRPr="007902A1" w:rsidRDefault="00107EF5" w:rsidP="007F51C4">
    <w:pPr>
      <w:pStyle w:val="Header"/>
      <w:jc w:val="right"/>
      <w:rPr>
        <w:sz w:val="22"/>
        <w:szCs w:val="22"/>
        <w:rtl/>
      </w:rPr>
    </w:pPr>
    <w:r>
      <w:rPr>
        <w:rFonts w:hint="cs"/>
        <w:sz w:val="22"/>
        <w:szCs w:val="22"/>
        <w:rtl/>
      </w:rPr>
      <w:t xml:space="preserve"> </w:t>
    </w:r>
  </w:p>
  <w:p w:rsidR="0011094D" w:rsidRPr="007902A1" w:rsidRDefault="0011094D">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1F5415CB"/>
    <w:multiLevelType w:val="hybridMultilevel"/>
    <w:tmpl w:val="6E04EA3A"/>
    <w:lvl w:ilvl="0" w:tplc="5372B7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7AC3616B"/>
    <w:multiLevelType w:val="hybridMultilevel"/>
    <w:tmpl w:val="71F649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07EF5"/>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D737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3405E"/>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 w:val="00FE0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107EF5"/>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107EF5"/>
    <w:rPr>
      <w:rFonts w:cs="Narkisim"/>
      <w:b/>
      <w:bCs/>
      <w:szCs w:val="28"/>
    </w:rPr>
  </w:style>
  <w:style w:type="paragraph" w:styleId="ListParagraph">
    <w:name w:val="List Paragraph"/>
    <w:basedOn w:val="Normal"/>
    <w:uiPriority w:val="34"/>
    <w:qFormat/>
    <w:rsid w:val="00107EF5"/>
    <w:pPr>
      <w:ind w:left="720"/>
      <w:contextualSpacing/>
    </w:pPr>
  </w:style>
  <w:style w:type="character" w:customStyle="1" w:styleId="HeaderChar">
    <w:name w:val="Header Char"/>
    <w:basedOn w:val="DefaultParagraphFont"/>
    <w:link w:val="Header"/>
    <w:rsid w:val="00107EF5"/>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1994</Words>
  <Characters>9970</Characters>
  <Application>Microsoft Office Word</Application>
  <DocSecurity>0</DocSecurity>
  <Lines>83</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s8669893</cp:lastModifiedBy>
  <cp:revision>2</cp:revision>
  <dcterms:created xsi:type="dcterms:W3CDTF">2020-05-19T08:06:00Z</dcterms:created>
  <dcterms:modified xsi:type="dcterms:W3CDTF">2020-05-19T08:06:00Z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422/19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8719479</vt:lpwstr>
  </property>
  <property fmtid="{D5CDD505-2E9C-101B-9397-08002B2CF9AE}" pid="7" name="shempratigorem">
    <vt:lpwstr>רבקה ז'</vt:lpwstr>
  </property>
  <property fmtid="{D5CDD505-2E9C-101B-9397-08002B2CF9AE}" pid="8" name="shemmishpachagorem">
    <vt:lpwstr>טייב</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כג' בשבט התשף"</vt:lpwstr>
  </property>
  <property fmtid="{D5CDD505-2E9C-101B-9397-08002B2CF9AE}" pid="15" name="taarichnochechi">
    <vt:lpwstr>18 בפברואר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