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2.0 -->
  <w:body>
    <w:p w:rsidR="005675A7" w:rsidRPr="00A40F7F" w:rsidP="005675A7" w14:paraId="6E53F4F9" w14:textId="77777777">
      <w:pPr>
        <w:spacing w:line="360" w:lineRule="auto"/>
        <w:jc w:val="center"/>
        <w:rPr>
          <w:rFonts w:cs="David"/>
          <w:b/>
          <w:bCs/>
          <w:sz w:val="32"/>
          <w:szCs w:val="32"/>
          <w:u w:val="single"/>
          <w:rtl/>
        </w:rPr>
      </w:pPr>
      <w:r w:rsidRPr="00A40F7F">
        <w:rPr>
          <w:rFonts w:cs="David" w:hint="cs"/>
          <w:b/>
          <w:bCs/>
          <w:sz w:val="32"/>
          <w:szCs w:val="32"/>
          <w:u w:val="single"/>
          <w:rtl/>
        </w:rPr>
        <w:t xml:space="preserve">רחבעם זאבי (גנדי) </w:t>
      </w:r>
      <w:r>
        <w:rPr>
          <w:rFonts w:cs="David" w:hint="cs"/>
          <w:b/>
          <w:bCs/>
          <w:sz w:val="32"/>
          <w:szCs w:val="32"/>
          <w:u w:val="single"/>
          <w:rtl/>
        </w:rPr>
        <w:t>1926-2001</w:t>
      </w:r>
    </w:p>
    <w:p w:rsidR="005675A7" w:rsidP="005675A7" w14:paraId="1A2836E8" w14:textId="58450AF4">
      <w:pPr>
        <w:spacing w:line="360" w:lineRule="auto"/>
        <w:jc w:val="both"/>
        <w:rPr>
          <w:rFonts w:ascii="Segoe UI" w:hAnsi="Segoe UI" w:cs="David"/>
          <w:color w:val="444444"/>
          <w:sz w:val="24"/>
          <w:szCs w:val="24"/>
          <w:rtl/>
        </w:rPr>
      </w:pPr>
      <w:r w:rsidRPr="000D5288">
        <w:rPr>
          <w:rFonts w:ascii="Segoe UI" w:hAnsi="Segoe UI" w:cs="David" w:hint="cs"/>
          <w:color w:val="444444"/>
          <w:sz w:val="24"/>
          <w:szCs w:val="24"/>
          <w:rtl/>
        </w:rPr>
        <w:t>י</w:t>
      </w:r>
      <w:r w:rsidRPr="000D5288">
        <w:rPr>
          <w:rFonts w:ascii="Segoe UI" w:hAnsi="Segoe UI" w:cs="David"/>
          <w:color w:val="444444"/>
          <w:sz w:val="24"/>
          <w:szCs w:val="24"/>
          <w:rtl/>
        </w:rPr>
        <w:t xml:space="preserve">ום הזיכרון הממלכתי לרחבעם זאבי (גנדי) - ל' בתשרי – 20 באוקטובר: בל' בתשרי חל יום הזיכרון הממלכתי לשר רחבעם זאבי. בתאריך זה בשנת תשס"ב (2001) נרצח זאבי בידי מתנקשים פלסטינים במלון בירושלים. הוא נולד בירושלים בשנת 1926, מילא שורת תפקידים בפלמ"ח ובצה"ל ובשנת 1968 מונה לאלוף פיקוד המרכז. עם פרישתו מצה"ל, ביצע שורת תפקידים בממשלות ישראל. </w:t>
      </w:r>
    </w:p>
    <w:p w:rsidR="005675A7" w:rsidP="005675A7" w14:paraId="13CF2844" w14:textId="464E5414">
      <w:pPr>
        <w:pStyle w:val="NormalWeb"/>
        <w:bidi/>
        <w:spacing w:before="0" w:beforeAutospacing="0" w:after="0" w:afterAutospacing="0" w:line="360" w:lineRule="auto"/>
        <w:textAlignment w:val="baseline"/>
        <w:rPr>
          <w:rFonts w:ascii="Arial" w:hAnsi="Arial" w:eastAsiaTheme="minorEastAsia" w:cs="David"/>
          <w:b/>
          <w:bCs/>
          <w:color w:val="000000" w:themeColor="text1"/>
          <w:kern w:val="24"/>
          <w:rtl/>
        </w:rPr>
      </w:pPr>
      <w:r w:rsidRPr="000D5288">
        <w:rPr>
          <w:rFonts w:ascii="Arial" w:hAnsi="Arial" w:eastAsiaTheme="minorEastAsia" w:cs="David"/>
          <w:b/>
          <w:bCs/>
          <w:color w:val="000000" w:themeColor="text1"/>
          <w:kern w:val="24"/>
          <w:rtl/>
        </w:rPr>
        <w:t xml:space="preserve">"אי אפשר לאהוב את המולדת בצורה וירטואלית, יש לאהוב אותה דרך כפות הרגליים – לטייל ולחבק את הארץ לאורכה ולרוחבה, וחזקה עלינו אם כך עשינו להתקשר לארץ ולעולם לא לעזבה". </w:t>
      </w:r>
    </w:p>
    <w:p w:rsidR="005675A7" w:rsidRPr="000D5288" w:rsidP="005675A7" w14:paraId="0D488535" w14:textId="753A5645">
      <w:pPr>
        <w:pStyle w:val="NormalWeb"/>
        <w:bidi/>
        <w:spacing w:before="0" w:beforeAutospacing="0" w:after="0" w:afterAutospacing="0" w:line="360" w:lineRule="auto"/>
        <w:textAlignment w:val="baseline"/>
        <w:rPr>
          <w:rFonts w:cs="David"/>
          <w:b/>
          <w:bCs/>
        </w:rPr>
      </w:pPr>
    </w:p>
    <w:p w:rsidR="005675A7" w:rsidRPr="000D5288" w:rsidP="005675A7" w14:paraId="322B0730" w14:textId="0AB9EB45">
      <w:pPr>
        <w:pStyle w:val="NormalWeb"/>
        <w:bidi/>
        <w:spacing w:before="0" w:beforeAutospacing="0" w:after="0" w:afterAutospacing="0" w:line="360" w:lineRule="auto"/>
        <w:textAlignment w:val="baseline"/>
        <w:rPr>
          <w:rFonts w:cs="David"/>
          <w:b/>
          <w:bCs/>
          <w:rtl/>
        </w:rPr>
      </w:pPr>
      <w:r>
        <w:rPr>
          <w:rFonts w:ascii="Arial" w:hAnsi="Arial" w:eastAsiaTheme="minorEastAsia" w:cs="David" w:hint="cs"/>
          <w:b/>
          <w:bCs/>
          <w:i/>
          <w:iCs/>
          <w:color w:val="000000" w:themeColor="text1"/>
          <w:kern w:val="24"/>
          <w:rtl/>
        </w:rPr>
        <w:t>-</w:t>
      </w:r>
      <w:r w:rsidRPr="000D5288">
        <w:rPr>
          <w:rFonts w:ascii="Arial" w:hAnsi="Arial" w:eastAsiaTheme="minorEastAsia" w:cs="David"/>
          <w:b/>
          <w:bCs/>
          <w:i/>
          <w:iCs/>
          <w:color w:val="000000" w:themeColor="text1"/>
          <w:kern w:val="24"/>
          <w:rtl/>
        </w:rPr>
        <w:t>רחבעם זאבי ז"ל</w:t>
      </w:r>
    </w:p>
    <w:p w:rsidR="005675A7" w:rsidP="005675A7" w14:paraId="37BF9A79" w14:textId="220B1C35">
      <w:pPr>
        <w:spacing w:line="360" w:lineRule="auto"/>
        <w:jc w:val="both"/>
        <w:rPr>
          <w:rFonts w:cs="David"/>
          <w:sz w:val="24"/>
          <w:szCs w:val="24"/>
          <w:rtl/>
        </w:rPr>
      </w:pPr>
    </w:p>
    <w:p w:rsidR="005675A7" w:rsidP="005675A7" w14:paraId="4C95EC39" w14:textId="69571942">
      <w:pPr>
        <w:spacing w:line="360" w:lineRule="auto"/>
        <w:jc w:val="both"/>
        <w:rPr>
          <w:rFonts w:cs="David"/>
          <w:sz w:val="24"/>
          <w:szCs w:val="24"/>
          <w:rtl/>
        </w:rPr>
      </w:pPr>
    </w:p>
    <w:p w:rsidR="005675A7" w:rsidRPr="00510D23" w:rsidP="005675A7" w14:paraId="40C3AC54" w14:textId="5F128921">
      <w:pPr>
        <w:spacing w:line="360" w:lineRule="auto"/>
        <w:jc w:val="both"/>
        <w:rPr>
          <w:rFonts w:cs="David"/>
          <w:b/>
          <w:bCs/>
          <w:sz w:val="28"/>
          <w:szCs w:val="28"/>
          <w:u w:val="single"/>
          <w:rtl/>
        </w:rPr>
      </w:pPr>
      <w:r w:rsidRPr="00510D23">
        <w:rPr>
          <w:rFonts w:cs="David" w:hint="cs"/>
          <w:b/>
          <w:bCs/>
          <w:sz w:val="28"/>
          <w:szCs w:val="28"/>
          <w:u w:val="single"/>
          <w:rtl/>
        </w:rPr>
        <w:t>קורות חיים</w:t>
      </w:r>
    </w:p>
    <w:p w:rsidR="005675A7" w:rsidRPr="00A40F7F" w:rsidP="005675A7" w14:paraId="2DB6DB7F" w14:textId="6523A595">
      <w:pPr>
        <w:spacing w:line="360" w:lineRule="auto"/>
        <w:jc w:val="both"/>
        <w:rPr>
          <w:rFonts w:cs="David"/>
          <w:sz w:val="24"/>
          <w:szCs w:val="24"/>
          <w:rtl/>
        </w:rPr>
      </w:pPr>
      <w:r w:rsidRPr="00510D23">
        <w:rPr>
          <w:rFonts w:cs="David"/>
          <w:noProof/>
          <w:sz w:val="24"/>
          <w:szCs w:val="24"/>
          <w:rtl/>
        </w:rPr>
        <w:drawing>
          <wp:anchor distT="0" distB="0" distL="114300" distR="114300" simplePos="0" relativeHeight="251658240" behindDoc="1" locked="0" layoutInCell="1" allowOverlap="1">
            <wp:simplePos x="0" y="0"/>
            <wp:positionH relativeFrom="margin">
              <wp:posOffset>-123825</wp:posOffset>
            </wp:positionH>
            <wp:positionV relativeFrom="paragraph">
              <wp:posOffset>107315</wp:posOffset>
            </wp:positionV>
            <wp:extent cx="2524125" cy="1775460"/>
            <wp:effectExtent l="0" t="0" r="9525" b="0"/>
            <wp:wrapTight wrapText="bothSides">
              <wp:wrapPolygon>
                <wp:start x="0" y="0"/>
                <wp:lineTo x="0" y="21322"/>
                <wp:lineTo x="21518" y="21322"/>
                <wp:lineTo x="21518" y="0"/>
                <wp:lineTo x="0" y="0"/>
              </wp:wrapPolygon>
            </wp:wrapTight>
            <wp:docPr id="4" name="תמונה 4" descr="\\hmakavfs\mekahar\PublicMekahar\Mador_Mop\תא ניהול ידע\תחומי תוכן\מורשת העם והמדינה\אישים\תמונות\גנדי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hmakavfs\mekahar\PublicMekahar\Mador_Mop\תא ניהול ידע\תחומי תוכן\מורשת העם והמדינה\אישים\תמונות\גנדי (2).jpg"/>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524125" cy="1775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40F7F">
        <w:rPr>
          <w:rFonts w:cs="David"/>
          <w:sz w:val="24"/>
          <w:szCs w:val="24"/>
          <w:rtl/>
        </w:rPr>
        <w:t>רחבעם זאבי - "גנדי" בפי מקורביו - נולד בירושלים, היה חבר בתנועת הנוער "המחנות העולים"</w:t>
      </w:r>
      <w:r w:rsidRPr="00A40F7F">
        <w:rPr>
          <w:rFonts w:cs="David" w:hint="cs"/>
          <w:sz w:val="24"/>
          <w:szCs w:val="24"/>
          <w:rtl/>
        </w:rPr>
        <w:t>,</w:t>
      </w:r>
      <w:r w:rsidRPr="00A40F7F">
        <w:rPr>
          <w:rFonts w:cs="David"/>
          <w:sz w:val="24"/>
          <w:szCs w:val="24"/>
          <w:rtl/>
        </w:rPr>
        <w:t xml:space="preserve"> הצטרף לפלמ"ח ב-1944</w:t>
      </w:r>
      <w:r w:rsidRPr="00A40F7F">
        <w:rPr>
          <w:rFonts w:cs="David" w:hint="cs"/>
          <w:sz w:val="24"/>
          <w:szCs w:val="24"/>
          <w:rtl/>
        </w:rPr>
        <w:t xml:space="preserve">. </w:t>
      </w:r>
      <w:r w:rsidRPr="00A40F7F">
        <w:rPr>
          <w:rFonts w:cs="David"/>
          <w:sz w:val="24"/>
          <w:szCs w:val="24"/>
          <w:rtl/>
        </w:rPr>
        <w:t>במלחמת העצמאות היה קצין-מודיעין של חטיבת יפתח, ולאחר מכן שירת כקצין-מבצעים בחזית</w:t>
      </w:r>
      <w:r w:rsidRPr="00A40F7F">
        <w:rPr>
          <w:rFonts w:cs="David"/>
          <w:sz w:val="24"/>
          <w:szCs w:val="24"/>
        </w:rPr>
        <w:t xml:space="preserve"> </w:t>
      </w:r>
      <w:r w:rsidRPr="00A40F7F">
        <w:rPr>
          <w:rFonts w:cs="David"/>
          <w:sz w:val="24"/>
          <w:szCs w:val="24"/>
          <w:rtl/>
        </w:rPr>
        <w:t>הצפון, כקצין-מודיעין בפיקוד הדרום וכמפקד גדוד בגולני. בשנת 1964 קיבל דרגת אלו</w:t>
      </w:r>
      <w:r w:rsidRPr="00A40F7F">
        <w:rPr>
          <w:rFonts w:cs="David" w:hint="cs"/>
          <w:sz w:val="24"/>
          <w:szCs w:val="24"/>
          <w:rtl/>
        </w:rPr>
        <w:t>ף.</w:t>
      </w:r>
      <w:r w:rsidRPr="00A40F7F">
        <w:rPr>
          <w:rFonts w:cs="David"/>
          <w:sz w:val="24"/>
          <w:szCs w:val="24"/>
        </w:rPr>
        <w:t xml:space="preserve"> </w:t>
      </w:r>
      <w:r w:rsidRPr="00A40F7F">
        <w:rPr>
          <w:rFonts w:cs="David"/>
          <w:sz w:val="24"/>
          <w:szCs w:val="24"/>
          <w:rtl/>
        </w:rPr>
        <w:t>בשנת 1968 מונה לאלוף פיקוד מרכז. פרש מצה"ל ב-1973, שבוע לפני מלחמת יום-הכיפורים</w:t>
      </w:r>
      <w:r w:rsidRPr="00A40F7F">
        <w:rPr>
          <w:rFonts w:cs="David" w:hint="cs"/>
          <w:sz w:val="24"/>
          <w:szCs w:val="24"/>
          <w:rtl/>
        </w:rPr>
        <w:t>,</w:t>
      </w:r>
      <w:r w:rsidRPr="00A40F7F">
        <w:rPr>
          <w:rFonts w:cs="David"/>
          <w:sz w:val="24"/>
          <w:szCs w:val="24"/>
        </w:rPr>
        <w:t xml:space="preserve"> </w:t>
      </w:r>
      <w:r w:rsidRPr="00A40F7F">
        <w:rPr>
          <w:rFonts w:cs="David"/>
          <w:sz w:val="24"/>
          <w:szCs w:val="24"/>
          <w:rtl/>
        </w:rPr>
        <w:t>אך עם פרוץ המלחמה חזר לתקופה קצרה לשירות פעיל כעוזר מיוחד לרמטכ"ל. אחרי המלחמה</w:t>
      </w:r>
      <w:r w:rsidRPr="00A40F7F">
        <w:rPr>
          <w:rFonts w:cs="David"/>
          <w:sz w:val="24"/>
          <w:szCs w:val="24"/>
        </w:rPr>
        <w:t xml:space="preserve"> </w:t>
      </w:r>
      <w:r w:rsidRPr="00A40F7F">
        <w:rPr>
          <w:rFonts w:cs="David"/>
          <w:sz w:val="24"/>
          <w:szCs w:val="24"/>
          <w:rtl/>
        </w:rPr>
        <w:t xml:space="preserve">שירת תקופה קצרה כראש אג"ם. </w:t>
      </w:r>
    </w:p>
    <w:p w:rsidR="005675A7" w:rsidRPr="00A40F7F" w:rsidP="005675A7" w14:paraId="5B0F6DD4" w14:textId="77777777">
      <w:pPr>
        <w:spacing w:line="360" w:lineRule="auto"/>
        <w:jc w:val="both"/>
        <w:rPr>
          <w:rFonts w:cs="David"/>
          <w:sz w:val="24"/>
          <w:szCs w:val="24"/>
        </w:rPr>
      </w:pPr>
      <w:r w:rsidRPr="00A40F7F">
        <w:rPr>
          <w:rFonts w:cs="David"/>
          <w:sz w:val="24"/>
          <w:szCs w:val="24"/>
          <w:rtl/>
        </w:rPr>
        <w:t>ב-1974 מינה אותו ראש הממשלה יצחק רבין כיועץ לענייני טרור, ובשנים</w:t>
      </w:r>
      <w:r w:rsidRPr="00A40F7F">
        <w:rPr>
          <w:rFonts w:cs="David" w:hint="cs"/>
          <w:sz w:val="24"/>
          <w:szCs w:val="24"/>
          <w:rtl/>
        </w:rPr>
        <w:t xml:space="preserve"> </w:t>
      </w:r>
      <w:r w:rsidRPr="00A40F7F">
        <w:rPr>
          <w:rFonts w:cs="David"/>
          <w:sz w:val="24"/>
          <w:szCs w:val="24"/>
          <w:rtl/>
        </w:rPr>
        <w:t>1977</w:t>
      </w:r>
      <w:r w:rsidRPr="00A40F7F">
        <w:rPr>
          <w:rFonts w:cs="David" w:hint="cs"/>
          <w:sz w:val="24"/>
          <w:szCs w:val="24"/>
          <w:rtl/>
        </w:rPr>
        <w:t xml:space="preserve"> </w:t>
      </w:r>
      <w:r w:rsidRPr="00A40F7F">
        <w:rPr>
          <w:rFonts w:cs="David"/>
          <w:sz w:val="24"/>
          <w:szCs w:val="24"/>
          <w:rtl/>
        </w:rPr>
        <w:t>–</w:t>
      </w:r>
      <w:r w:rsidRPr="00A40F7F">
        <w:rPr>
          <w:rFonts w:cs="David" w:hint="cs"/>
          <w:sz w:val="24"/>
          <w:szCs w:val="24"/>
          <w:rtl/>
        </w:rPr>
        <w:t xml:space="preserve"> 1975 </w:t>
      </w:r>
      <w:r w:rsidRPr="00A40F7F">
        <w:rPr>
          <w:rFonts w:cs="David"/>
          <w:sz w:val="24"/>
          <w:szCs w:val="24"/>
          <w:rtl/>
        </w:rPr>
        <w:t>כיהן כיועץ ראש הממשלה לענייני מודיעין. בשנת 1981 התמנה למנהל מוזיאון ארץ-ישראל</w:t>
      </w:r>
      <w:r w:rsidRPr="00A40F7F">
        <w:rPr>
          <w:rFonts w:cs="David"/>
          <w:sz w:val="24"/>
          <w:szCs w:val="24"/>
        </w:rPr>
        <w:t xml:space="preserve"> </w:t>
      </w:r>
      <w:r w:rsidRPr="00A40F7F">
        <w:rPr>
          <w:rFonts w:cs="David"/>
          <w:sz w:val="24"/>
          <w:szCs w:val="24"/>
          <w:rtl/>
        </w:rPr>
        <w:t>בתל-אביב וכיהן בתפקיד זה במשך עשר שנים. בשנת 1985 החל לדבר בפומבי על טרנספר</w:t>
      </w:r>
      <w:r w:rsidRPr="00A40F7F">
        <w:rPr>
          <w:rFonts w:cs="David"/>
          <w:sz w:val="24"/>
          <w:szCs w:val="24"/>
        </w:rPr>
        <w:t xml:space="preserve"> </w:t>
      </w:r>
      <w:r w:rsidRPr="00A40F7F">
        <w:rPr>
          <w:rFonts w:cs="David"/>
          <w:sz w:val="24"/>
          <w:szCs w:val="24"/>
          <w:rtl/>
        </w:rPr>
        <w:t>מרצון של ערביי יהודה, שומרון ורצועת עזה, כפתרון יחיד של הבעיה הישראלית-פלסטינית</w:t>
      </w:r>
      <w:r w:rsidRPr="00A40F7F">
        <w:rPr>
          <w:rFonts w:cs="David" w:hint="cs"/>
          <w:sz w:val="24"/>
          <w:szCs w:val="24"/>
          <w:rtl/>
        </w:rPr>
        <w:t>.</w:t>
      </w:r>
      <w:r w:rsidRPr="00A40F7F">
        <w:rPr>
          <w:rFonts w:cs="David"/>
          <w:sz w:val="24"/>
          <w:szCs w:val="24"/>
        </w:rPr>
        <w:t xml:space="preserve"> </w:t>
      </w:r>
    </w:p>
    <w:p w:rsidR="005675A7" w:rsidRPr="00A40F7F" w:rsidP="005675A7" w14:paraId="79F53DEC" w14:textId="77777777">
      <w:pPr>
        <w:spacing w:line="360" w:lineRule="auto"/>
        <w:jc w:val="both"/>
        <w:rPr>
          <w:rFonts w:cs="David"/>
          <w:sz w:val="24"/>
          <w:szCs w:val="24"/>
        </w:rPr>
      </w:pPr>
      <w:r w:rsidRPr="00A40F7F">
        <w:rPr>
          <w:rFonts w:cs="David"/>
          <w:sz w:val="24"/>
          <w:szCs w:val="24"/>
          <w:rtl/>
        </w:rPr>
        <w:t>לקראת הבחירות לכנסת ה-12</w:t>
      </w:r>
      <w:r w:rsidRPr="00A40F7F">
        <w:rPr>
          <w:rFonts w:cs="David"/>
          <w:sz w:val="24"/>
          <w:szCs w:val="24"/>
        </w:rPr>
        <w:t xml:space="preserve"> (1988) </w:t>
      </w:r>
      <w:r w:rsidRPr="00A40F7F">
        <w:rPr>
          <w:rFonts w:cs="David"/>
          <w:sz w:val="24"/>
          <w:szCs w:val="24"/>
          <w:rtl/>
        </w:rPr>
        <w:t>הקים מפלגה בשם "מולדת"</w:t>
      </w:r>
      <w:r w:rsidRPr="00A40F7F">
        <w:rPr>
          <w:rFonts w:cs="David" w:hint="cs"/>
          <w:sz w:val="24"/>
          <w:szCs w:val="24"/>
          <w:rtl/>
        </w:rPr>
        <w:t xml:space="preserve">. </w:t>
      </w:r>
      <w:r w:rsidRPr="00A40F7F">
        <w:rPr>
          <w:rFonts w:cs="David"/>
          <w:sz w:val="24"/>
          <w:szCs w:val="24"/>
          <w:rtl/>
        </w:rPr>
        <w:t>במהלך כהונתו בכנסת הרבה להתפלמס בחריפות</w:t>
      </w:r>
      <w:r w:rsidRPr="00A40F7F">
        <w:rPr>
          <w:rFonts w:cs="David"/>
          <w:sz w:val="24"/>
          <w:szCs w:val="24"/>
        </w:rPr>
        <w:t xml:space="preserve"> </w:t>
      </w:r>
      <w:r w:rsidRPr="00A40F7F">
        <w:rPr>
          <w:rFonts w:cs="David"/>
          <w:sz w:val="24"/>
          <w:szCs w:val="24"/>
          <w:rtl/>
        </w:rPr>
        <w:t>עם חברי הכנסת הערבים</w:t>
      </w:r>
      <w:r w:rsidRPr="00A40F7F">
        <w:rPr>
          <w:rFonts w:cs="David" w:hint="cs"/>
          <w:sz w:val="24"/>
          <w:szCs w:val="24"/>
          <w:rtl/>
        </w:rPr>
        <w:t>.</w:t>
      </w:r>
      <w:r w:rsidRPr="00A40F7F">
        <w:rPr>
          <w:rFonts w:cs="David"/>
          <w:sz w:val="24"/>
          <w:szCs w:val="24"/>
        </w:rPr>
        <w:t xml:space="preserve"> </w:t>
      </w:r>
    </w:p>
    <w:p w:rsidR="005675A7" w:rsidP="005675A7" w14:paraId="0F223C92" w14:textId="77777777">
      <w:pPr>
        <w:spacing w:line="360" w:lineRule="auto"/>
        <w:jc w:val="both"/>
        <w:rPr>
          <w:rFonts w:cs="David"/>
          <w:sz w:val="24"/>
          <w:szCs w:val="24"/>
          <w:rtl/>
        </w:rPr>
      </w:pPr>
    </w:p>
    <w:p w:rsidR="005675A7" w:rsidP="005675A7" w14:paraId="03F82396" w14:textId="77777777">
      <w:pPr>
        <w:spacing w:line="360" w:lineRule="auto"/>
        <w:jc w:val="both"/>
        <w:rPr>
          <w:rFonts w:cs="David"/>
          <w:sz w:val="24"/>
          <w:szCs w:val="24"/>
          <w:rtl/>
        </w:rPr>
      </w:pPr>
    </w:p>
    <w:p w:rsidR="005675A7" w:rsidP="005675A7" w14:paraId="1DD01E91" w14:textId="77777777">
      <w:pPr>
        <w:spacing w:line="360" w:lineRule="auto"/>
        <w:jc w:val="both"/>
        <w:rPr>
          <w:rFonts w:cs="David"/>
          <w:sz w:val="24"/>
          <w:szCs w:val="24"/>
          <w:rtl/>
        </w:rPr>
      </w:pPr>
    </w:p>
    <w:p w:rsidR="005675A7" w:rsidP="005675A7" w14:paraId="077E1F6A" w14:textId="77777777">
      <w:pPr>
        <w:spacing w:line="360" w:lineRule="auto"/>
        <w:jc w:val="both"/>
        <w:rPr>
          <w:rFonts w:cs="David"/>
          <w:sz w:val="24"/>
          <w:szCs w:val="24"/>
          <w:rtl/>
        </w:rPr>
      </w:pPr>
    </w:p>
    <w:p w:rsidR="005675A7" w:rsidRPr="00A40F7F" w:rsidP="005675A7" w14:paraId="505573C1" w14:textId="54316F0D">
      <w:pPr>
        <w:spacing w:line="360" w:lineRule="auto"/>
        <w:jc w:val="both"/>
        <w:rPr>
          <w:rFonts w:cs="David"/>
          <w:sz w:val="24"/>
          <w:szCs w:val="24"/>
        </w:rPr>
      </w:pPr>
      <w:r w:rsidRPr="00A40F7F">
        <w:rPr>
          <w:rFonts w:cs="David"/>
          <w:sz w:val="24"/>
          <w:szCs w:val="24"/>
          <w:rtl/>
        </w:rPr>
        <w:t>זאבי הצטרף לממשלתו של יצחק שמיר בפברואר 1991, למרות התנגדותם של כמה מחברי</w:t>
      </w:r>
      <w:r w:rsidRPr="00A40F7F">
        <w:rPr>
          <w:rFonts w:cs="David"/>
          <w:sz w:val="24"/>
          <w:szCs w:val="24"/>
        </w:rPr>
        <w:t xml:space="preserve"> </w:t>
      </w:r>
      <w:r w:rsidRPr="00A40F7F">
        <w:rPr>
          <w:rFonts w:cs="David"/>
          <w:sz w:val="24"/>
          <w:szCs w:val="24"/>
          <w:rtl/>
        </w:rPr>
        <w:t>הליכוד, ומונה לשר ללא תיק ולחבר הקבינט הביטחוני. זאבי פרש מהממשלה בינואר 1992 על</w:t>
      </w:r>
      <w:r w:rsidRPr="00A40F7F">
        <w:rPr>
          <w:rFonts w:cs="David"/>
          <w:sz w:val="24"/>
          <w:szCs w:val="24"/>
        </w:rPr>
        <w:t xml:space="preserve"> </w:t>
      </w:r>
      <w:r w:rsidRPr="00A40F7F">
        <w:rPr>
          <w:rFonts w:cs="David"/>
          <w:sz w:val="24"/>
          <w:szCs w:val="24"/>
          <w:rtl/>
        </w:rPr>
        <w:t>רקע ועידת מדריד</w:t>
      </w:r>
      <w:r>
        <w:rPr>
          <w:rStyle w:val="FootnoteReference"/>
          <w:rFonts w:cs="David"/>
          <w:sz w:val="24"/>
          <w:szCs w:val="24"/>
          <w:rtl/>
        </w:rPr>
        <w:footnoteReference w:id="2"/>
      </w:r>
      <w:r w:rsidRPr="00A40F7F">
        <w:rPr>
          <w:rFonts w:cs="David" w:hint="cs"/>
          <w:sz w:val="24"/>
          <w:szCs w:val="24"/>
          <w:rtl/>
        </w:rPr>
        <w:t>.</w:t>
      </w:r>
      <w:r w:rsidRPr="00A40F7F">
        <w:rPr>
          <w:rFonts w:cs="David"/>
          <w:sz w:val="24"/>
          <w:szCs w:val="24"/>
        </w:rPr>
        <w:t xml:space="preserve"> </w:t>
      </w:r>
    </w:p>
    <w:p w:rsidR="005675A7" w:rsidP="005675A7" w14:paraId="7946980A" w14:textId="77777777">
      <w:pPr>
        <w:spacing w:line="360" w:lineRule="auto"/>
        <w:jc w:val="both"/>
        <w:rPr>
          <w:rFonts w:cs="David"/>
          <w:sz w:val="24"/>
          <w:szCs w:val="24"/>
          <w:rtl/>
        </w:rPr>
      </w:pPr>
      <w:r w:rsidRPr="00A40F7F">
        <w:rPr>
          <w:rFonts w:cs="David"/>
          <w:sz w:val="24"/>
          <w:szCs w:val="24"/>
          <w:rtl/>
        </w:rPr>
        <w:t>במהלך הכנסת ה-13 היה זאבי מהמתנגדים החריפים ביותר להסכמי אוסלו</w:t>
      </w:r>
      <w:r>
        <w:rPr>
          <w:rStyle w:val="FootnoteReference"/>
          <w:rFonts w:cs="David"/>
          <w:sz w:val="24"/>
          <w:szCs w:val="24"/>
          <w:rtl/>
        </w:rPr>
        <w:footnoteReference w:id="3"/>
      </w:r>
      <w:r w:rsidRPr="00A40F7F">
        <w:rPr>
          <w:rFonts w:cs="David"/>
          <w:sz w:val="24"/>
          <w:szCs w:val="24"/>
          <w:rtl/>
        </w:rPr>
        <w:t>. הוא לא הצטרף</w:t>
      </w:r>
      <w:r w:rsidRPr="00A40F7F">
        <w:rPr>
          <w:rFonts w:cs="David"/>
          <w:sz w:val="24"/>
          <w:szCs w:val="24"/>
        </w:rPr>
        <w:t xml:space="preserve"> </w:t>
      </w:r>
      <w:r w:rsidRPr="00A40F7F">
        <w:rPr>
          <w:rFonts w:cs="David"/>
          <w:sz w:val="24"/>
          <w:szCs w:val="24"/>
          <w:rtl/>
        </w:rPr>
        <w:t>לממשלה שהקים בנימין נתניהו ב-1996, אך תמך בממשלה מבחוץ. זאבי הצטרף לממשלה שהקים</w:t>
      </w:r>
      <w:r w:rsidRPr="00A40F7F">
        <w:rPr>
          <w:rFonts w:cs="David"/>
          <w:sz w:val="24"/>
          <w:szCs w:val="24"/>
        </w:rPr>
        <w:t xml:space="preserve"> </w:t>
      </w:r>
      <w:r w:rsidRPr="00A40F7F">
        <w:rPr>
          <w:rFonts w:cs="David"/>
          <w:sz w:val="24"/>
          <w:szCs w:val="24"/>
          <w:rtl/>
        </w:rPr>
        <w:t>אריאל שרון במארס 2001 כשר התיירות, אך יום וחצי לפני ה</w:t>
      </w:r>
      <w:r w:rsidRPr="00A40F7F">
        <w:rPr>
          <w:rFonts w:cs="David" w:hint="cs"/>
          <w:sz w:val="24"/>
          <w:szCs w:val="24"/>
          <w:rtl/>
        </w:rPr>
        <w:t>י</w:t>
      </w:r>
      <w:r w:rsidRPr="00A40F7F">
        <w:rPr>
          <w:rFonts w:cs="David"/>
          <w:sz w:val="24"/>
          <w:szCs w:val="24"/>
          <w:rtl/>
        </w:rPr>
        <w:t>רצחו הגיש את התפטרותו</w:t>
      </w:r>
      <w:r w:rsidRPr="00A40F7F">
        <w:rPr>
          <w:rFonts w:cs="David"/>
          <w:sz w:val="24"/>
          <w:szCs w:val="24"/>
        </w:rPr>
        <w:t xml:space="preserve"> </w:t>
      </w:r>
      <w:r w:rsidRPr="00A40F7F">
        <w:rPr>
          <w:rFonts w:cs="David"/>
          <w:sz w:val="24"/>
          <w:szCs w:val="24"/>
          <w:rtl/>
        </w:rPr>
        <w:t>מהממשלה, יחד עם שר התשתיות אביגדור ליברמן, על רקע החלטת ראש הממשלה להוציא את</w:t>
      </w:r>
      <w:r w:rsidRPr="00A40F7F">
        <w:rPr>
          <w:rFonts w:cs="David"/>
          <w:sz w:val="24"/>
          <w:szCs w:val="24"/>
        </w:rPr>
        <w:t xml:space="preserve"> </w:t>
      </w:r>
      <w:r w:rsidRPr="00A40F7F">
        <w:rPr>
          <w:rFonts w:cs="David"/>
          <w:sz w:val="24"/>
          <w:szCs w:val="24"/>
          <w:rtl/>
        </w:rPr>
        <w:t>כוחות צה"ל מעמדות שתפסו בחברון</w:t>
      </w:r>
      <w:r w:rsidRPr="00A40F7F">
        <w:rPr>
          <w:rFonts w:cs="David" w:hint="cs"/>
          <w:sz w:val="24"/>
          <w:szCs w:val="24"/>
          <w:rtl/>
        </w:rPr>
        <w:t>.</w:t>
      </w:r>
      <w:r w:rsidRPr="00A40F7F">
        <w:rPr>
          <w:rFonts w:cs="David"/>
          <w:sz w:val="24"/>
          <w:szCs w:val="24"/>
        </w:rPr>
        <w:t xml:space="preserve"> </w:t>
      </w:r>
    </w:p>
    <w:p w:rsidR="005675A7" w:rsidRPr="00C02334" w:rsidP="005675A7" w14:paraId="2443AB2D" w14:textId="77777777">
      <w:pPr>
        <w:spacing w:line="360" w:lineRule="auto"/>
        <w:jc w:val="both"/>
        <w:rPr>
          <w:rFonts w:ascii="Arial" w:hAnsi="Arial" w:cs="David"/>
          <w:sz w:val="24"/>
          <w:szCs w:val="24"/>
          <w:rtl/>
        </w:rPr>
      </w:pPr>
      <w:r w:rsidRPr="00C02334">
        <w:rPr>
          <w:rFonts w:ascii="Arial" w:hAnsi="Arial" w:cs="David"/>
          <w:sz w:val="24"/>
          <w:szCs w:val="24"/>
          <w:rtl/>
        </w:rPr>
        <w:t xml:space="preserve">ב17 באוקטובר 2001, זאבי נרצח על ידי מחבלים שהיו שייכים לארגון "החזית העממית". </w:t>
      </w:r>
      <w:r w:rsidRPr="00C02334">
        <w:rPr>
          <w:rFonts w:ascii="Arial" w:hAnsi="Arial" w:cs="David" w:hint="cs"/>
          <w:sz w:val="24"/>
          <w:szCs w:val="24"/>
          <w:rtl/>
        </w:rPr>
        <w:t xml:space="preserve"> </w:t>
      </w:r>
      <w:r w:rsidRPr="00C02334">
        <w:rPr>
          <w:rFonts w:ascii="Arial" w:hAnsi="Arial" w:cs="David"/>
          <w:sz w:val="24"/>
          <w:szCs w:val="24"/>
          <w:rtl/>
        </w:rPr>
        <w:t>לאחר רצח זאבי, ממשלת ישראל הציגה אולטימאטום לרשות הפלשתינית להסגרת רוצחיו של השר שהיו שייכים לארגון "החזית העממית".</w:t>
      </w:r>
      <w:r w:rsidRPr="00C02334">
        <w:rPr>
          <w:rFonts w:ascii="Arial" w:hAnsi="Arial" w:cs="David" w:hint="cs"/>
          <w:sz w:val="24"/>
          <w:szCs w:val="24"/>
          <w:rtl/>
        </w:rPr>
        <w:t xml:space="preserve"> </w:t>
      </w:r>
      <w:r w:rsidRPr="00C02334">
        <w:rPr>
          <w:rFonts w:ascii="Arial" w:hAnsi="Arial" w:cs="David"/>
          <w:sz w:val="24"/>
          <w:szCs w:val="24"/>
          <w:rtl/>
        </w:rPr>
        <w:t xml:space="preserve">הרצח הוביל לשינוי במדיניות הפעלת הכוח של צה"ל, וב-18 באוקטובר 2001, נכנסו כוחות צה"ל לראשונה, מאז יישום ההסכמים להפסקת האש שבאו בעקבות אירועי "גאות ושפל", לפעולה בשטחי  </w:t>
      </w:r>
      <w:r w:rsidRPr="00C02334">
        <w:rPr>
          <w:rFonts w:ascii="Arial" w:hAnsi="Arial" w:cs="David"/>
          <w:sz w:val="24"/>
          <w:szCs w:val="24"/>
        </w:rPr>
        <w:t>A</w:t>
      </w:r>
      <w:r w:rsidRPr="00C02334">
        <w:rPr>
          <w:rFonts w:ascii="Arial" w:hAnsi="Arial" w:cs="David"/>
          <w:sz w:val="24"/>
          <w:szCs w:val="24"/>
          <w:rtl/>
        </w:rPr>
        <w:t xml:space="preserve"> הנמצאים בשליטה פלסטינית מלאה.</w:t>
      </w:r>
    </w:p>
    <w:p w:rsidR="005675A7" w:rsidP="005675A7" w14:paraId="530A946B" w14:textId="066D3AE4">
      <w:pPr>
        <w:spacing w:line="360" w:lineRule="auto"/>
        <w:rPr>
          <w:rFonts w:cs="David"/>
          <w:sz w:val="24"/>
          <w:szCs w:val="24"/>
          <w:rtl/>
        </w:rPr>
      </w:pPr>
      <w:r w:rsidRPr="00A40F7F">
        <w:rPr>
          <w:rFonts w:cs="David" w:hint="cs"/>
          <w:sz w:val="24"/>
          <w:szCs w:val="24"/>
          <w:rtl/>
        </w:rPr>
        <w:t xml:space="preserve">חוק להנצחת זכרו של גנדי התקבל </w:t>
      </w:r>
      <w:r>
        <w:rPr>
          <w:rFonts w:cs="David" w:hint="cs"/>
          <w:sz w:val="24"/>
          <w:szCs w:val="24"/>
          <w:rtl/>
        </w:rPr>
        <w:t xml:space="preserve">בכנסת </w:t>
      </w:r>
      <w:r w:rsidRPr="00A40F7F">
        <w:rPr>
          <w:rFonts w:cs="David" w:hint="cs"/>
          <w:sz w:val="24"/>
          <w:szCs w:val="24"/>
          <w:rtl/>
        </w:rPr>
        <w:t xml:space="preserve">ב2005 ומטרתו: "להנציח לדורות את פועלו ומורשתו של רחבעם זאבי." </w:t>
      </w:r>
    </w:p>
    <w:p w:rsidR="005675A7" w:rsidP="005675A7" w14:paraId="2778F088" w14:textId="38380DCA">
      <w:pPr>
        <w:spacing w:line="360" w:lineRule="auto"/>
        <w:rPr>
          <w:rFonts w:cs="David"/>
          <w:sz w:val="24"/>
          <w:szCs w:val="24"/>
          <w:rtl/>
        </w:rPr>
      </w:pPr>
    </w:p>
    <w:p w:rsidR="005675A7" w:rsidRPr="00C02334" w:rsidP="005675A7" w14:paraId="5975CDBB" w14:textId="77777777">
      <w:pPr>
        <w:spacing w:line="360" w:lineRule="auto"/>
        <w:rPr>
          <w:rFonts w:cs="David"/>
          <w:sz w:val="24"/>
          <w:szCs w:val="24"/>
          <w:rtl/>
        </w:rPr>
      </w:pPr>
    </w:p>
    <w:p w:rsidR="005675A7" w:rsidP="005675A7" w14:paraId="35027DF0" w14:textId="77777777">
      <w:pPr>
        <w:spacing w:line="360" w:lineRule="auto"/>
        <w:jc w:val="both"/>
        <w:rPr>
          <w:rFonts w:cs="David"/>
          <w:b/>
          <w:bCs/>
          <w:sz w:val="24"/>
          <w:szCs w:val="24"/>
          <w:u w:val="single"/>
          <w:rtl/>
        </w:rPr>
      </w:pPr>
    </w:p>
    <w:p w:rsidR="005675A7" w:rsidP="005675A7" w14:paraId="6F32FC92" w14:textId="77777777">
      <w:pPr>
        <w:spacing w:line="360" w:lineRule="auto"/>
        <w:jc w:val="both"/>
        <w:rPr>
          <w:rFonts w:cs="David"/>
          <w:b/>
          <w:bCs/>
          <w:sz w:val="24"/>
          <w:szCs w:val="24"/>
          <w:u w:val="single"/>
          <w:rtl/>
        </w:rPr>
      </w:pPr>
    </w:p>
    <w:p w:rsidR="005675A7" w:rsidP="005675A7" w14:paraId="1A476057" w14:textId="77777777">
      <w:pPr>
        <w:spacing w:line="360" w:lineRule="auto"/>
        <w:jc w:val="both"/>
        <w:rPr>
          <w:rFonts w:cs="David"/>
          <w:b/>
          <w:bCs/>
          <w:sz w:val="24"/>
          <w:szCs w:val="24"/>
          <w:u w:val="single"/>
          <w:rtl/>
        </w:rPr>
      </w:pPr>
    </w:p>
    <w:p w:rsidR="005675A7" w:rsidP="005675A7" w14:paraId="3C28005C" w14:textId="77777777">
      <w:pPr>
        <w:spacing w:line="360" w:lineRule="auto"/>
        <w:jc w:val="both"/>
        <w:rPr>
          <w:rFonts w:cs="David"/>
          <w:b/>
          <w:bCs/>
          <w:sz w:val="24"/>
          <w:szCs w:val="24"/>
          <w:u w:val="single"/>
          <w:rtl/>
        </w:rPr>
      </w:pPr>
    </w:p>
    <w:p w:rsidR="005675A7" w:rsidP="005675A7" w14:paraId="283C1718" w14:textId="77777777">
      <w:pPr>
        <w:spacing w:line="360" w:lineRule="auto"/>
        <w:jc w:val="both"/>
        <w:rPr>
          <w:rFonts w:cs="David"/>
          <w:b/>
          <w:bCs/>
          <w:sz w:val="24"/>
          <w:szCs w:val="24"/>
          <w:u w:val="single"/>
          <w:rtl/>
        </w:rPr>
      </w:pPr>
    </w:p>
    <w:p w:rsidR="005675A7" w:rsidP="005675A7" w14:paraId="7DF45B55" w14:textId="77777777">
      <w:pPr>
        <w:spacing w:line="360" w:lineRule="auto"/>
        <w:jc w:val="both"/>
        <w:rPr>
          <w:rFonts w:cs="David"/>
          <w:b/>
          <w:bCs/>
          <w:sz w:val="24"/>
          <w:szCs w:val="24"/>
          <w:u w:val="single"/>
          <w:rtl/>
        </w:rPr>
      </w:pPr>
    </w:p>
    <w:p w:rsidR="005675A7" w:rsidP="005675A7" w14:paraId="77E96322" w14:textId="77777777">
      <w:pPr>
        <w:spacing w:line="360" w:lineRule="auto"/>
        <w:jc w:val="both"/>
        <w:rPr>
          <w:rFonts w:cs="David"/>
          <w:b/>
          <w:bCs/>
          <w:sz w:val="24"/>
          <w:szCs w:val="24"/>
          <w:u w:val="single"/>
          <w:rtl/>
        </w:rPr>
      </w:pPr>
    </w:p>
    <w:p w:rsidR="005675A7" w:rsidP="005675A7" w14:paraId="6F13C981" w14:textId="77777777">
      <w:pPr>
        <w:spacing w:line="360" w:lineRule="auto"/>
        <w:jc w:val="both"/>
        <w:rPr>
          <w:rFonts w:cs="David"/>
          <w:b/>
          <w:bCs/>
          <w:sz w:val="24"/>
          <w:szCs w:val="24"/>
          <w:u w:val="single"/>
          <w:rtl/>
        </w:rPr>
      </w:pPr>
    </w:p>
    <w:p w:rsidR="005675A7" w:rsidP="005675A7" w14:paraId="0899CFB0" w14:textId="77777777">
      <w:pPr>
        <w:spacing w:line="360" w:lineRule="auto"/>
        <w:jc w:val="both"/>
        <w:rPr>
          <w:rFonts w:cs="David"/>
          <w:b/>
          <w:bCs/>
          <w:sz w:val="24"/>
          <w:szCs w:val="24"/>
          <w:u w:val="single"/>
          <w:rtl/>
        </w:rPr>
      </w:pPr>
    </w:p>
    <w:p w:rsidR="005675A7" w:rsidP="005675A7" w14:paraId="02D1580A" w14:textId="77777777">
      <w:pPr>
        <w:spacing w:line="360" w:lineRule="auto"/>
        <w:jc w:val="both"/>
        <w:rPr>
          <w:rFonts w:cs="David"/>
          <w:b/>
          <w:bCs/>
          <w:sz w:val="24"/>
          <w:szCs w:val="24"/>
          <w:u w:val="single"/>
          <w:rtl/>
        </w:rPr>
      </w:pPr>
    </w:p>
    <w:p w:rsidR="005675A7" w:rsidRPr="00BD040C" w:rsidP="005675A7" w14:paraId="57ECBA1E" w14:textId="0FC139C1">
      <w:pPr>
        <w:spacing w:line="360" w:lineRule="auto"/>
        <w:jc w:val="both"/>
        <w:rPr>
          <w:rFonts w:cs="David"/>
          <w:b/>
          <w:bCs/>
          <w:sz w:val="24"/>
          <w:szCs w:val="24"/>
          <w:u w:val="single"/>
        </w:rPr>
      </w:pPr>
      <w:bookmarkStart w:id="0" w:name="_GoBack"/>
      <w:bookmarkEnd w:id="0"/>
      <w:r w:rsidRPr="00BD040C">
        <w:rPr>
          <w:rFonts w:cs="David"/>
          <w:b/>
          <w:bCs/>
          <w:sz w:val="24"/>
          <w:szCs w:val="24"/>
          <w:u w:val="single"/>
          <w:rtl/>
        </w:rPr>
        <w:t xml:space="preserve">נאומו </w:t>
      </w:r>
      <w:r w:rsidRPr="00BD040C">
        <w:rPr>
          <w:rFonts w:cs="David" w:hint="cs"/>
          <w:b/>
          <w:bCs/>
          <w:sz w:val="24"/>
          <w:szCs w:val="24"/>
          <w:u w:val="single"/>
          <w:rtl/>
        </w:rPr>
        <w:t xml:space="preserve">של רחבעם זאבי "גנדי" </w:t>
      </w:r>
      <w:r w:rsidRPr="00BD040C">
        <w:rPr>
          <w:rFonts w:cs="David"/>
          <w:b/>
          <w:bCs/>
          <w:sz w:val="24"/>
          <w:szCs w:val="24"/>
          <w:u w:val="single"/>
          <w:rtl/>
        </w:rPr>
        <w:t>במלאת שישים שנה להקמת הפלמ"ח - 23 במאי 2001</w:t>
      </w:r>
    </w:p>
    <w:p w:rsidR="005675A7" w:rsidP="005675A7" w14:paraId="2FACE44C" w14:textId="65B0519E">
      <w:pPr>
        <w:spacing w:line="360" w:lineRule="auto"/>
        <w:jc w:val="both"/>
        <w:rPr>
          <w:rFonts w:cs="David"/>
          <w:sz w:val="24"/>
          <w:szCs w:val="24"/>
          <w:rtl/>
        </w:rPr>
      </w:pPr>
      <w:r>
        <w:rPr>
          <w:rFonts w:cs="David" w:hint="cs"/>
          <w:sz w:val="24"/>
          <w:szCs w:val="24"/>
          <w:rtl/>
        </w:rPr>
        <w:t>"...</w:t>
      </w:r>
      <w:r w:rsidRPr="004467A6">
        <w:rPr>
          <w:rFonts w:cs="David"/>
          <w:sz w:val="24"/>
          <w:szCs w:val="24"/>
          <w:rtl/>
        </w:rPr>
        <w:t>הפלמ"ח היה יצירה מקורית ארץ-ישראלית, שניזונה</w:t>
      </w:r>
      <w:r w:rsidRPr="004467A6">
        <w:rPr>
          <w:rFonts w:cs="David"/>
          <w:sz w:val="24"/>
          <w:szCs w:val="24"/>
        </w:rPr>
        <w:t xml:space="preserve"> </w:t>
      </w:r>
      <w:r w:rsidRPr="004467A6">
        <w:rPr>
          <w:rFonts w:cs="David"/>
          <w:sz w:val="24"/>
          <w:szCs w:val="24"/>
          <w:rtl/>
        </w:rPr>
        <w:t>מתנועות ההתיישבות, בעיקר הקיבוץ המאוחד, מתנועות הנוער החלוציות ומפעילי ארגון</w:t>
      </w:r>
      <w:r w:rsidRPr="004467A6">
        <w:rPr>
          <w:rFonts w:cs="David"/>
          <w:sz w:val="24"/>
          <w:szCs w:val="24"/>
        </w:rPr>
        <w:t xml:space="preserve"> "</w:t>
      </w:r>
      <w:r w:rsidRPr="004467A6">
        <w:rPr>
          <w:rFonts w:cs="David"/>
          <w:sz w:val="24"/>
          <w:szCs w:val="24"/>
          <w:rtl/>
        </w:rPr>
        <w:t>ההגנה". הפלמ"ח היה צבא מגויס במתכונת ובארגון שאין דומים להם: הוא היה כוח לוחם</w:t>
      </w:r>
      <w:r w:rsidRPr="004467A6">
        <w:rPr>
          <w:rFonts w:cs="David"/>
          <w:sz w:val="24"/>
          <w:szCs w:val="24"/>
        </w:rPr>
        <w:t xml:space="preserve"> </w:t>
      </w:r>
      <w:r w:rsidRPr="004467A6">
        <w:rPr>
          <w:rFonts w:cs="David"/>
          <w:sz w:val="24"/>
          <w:szCs w:val="24"/>
          <w:rtl/>
        </w:rPr>
        <w:t>של מתנדבים בתנאי מחתרת, כוח לוחם שמשולבות בו גם בנות ואפילו בתפקידי לחימה. כוח</w:t>
      </w:r>
      <w:r w:rsidRPr="004467A6">
        <w:rPr>
          <w:rFonts w:cs="David"/>
          <w:sz w:val="24"/>
          <w:szCs w:val="24"/>
        </w:rPr>
        <w:t xml:space="preserve"> </w:t>
      </w:r>
      <w:r w:rsidRPr="004467A6">
        <w:rPr>
          <w:rFonts w:cs="David"/>
          <w:sz w:val="24"/>
          <w:szCs w:val="24"/>
          <w:rtl/>
        </w:rPr>
        <w:t>לוחם שכמעט קיים את עצמו בעבודת אנשיו בקיבוצים; כוח לוחם שהצליח לשלב באינטגרציה</w:t>
      </w:r>
      <w:r w:rsidRPr="004467A6">
        <w:rPr>
          <w:rFonts w:cs="David"/>
          <w:sz w:val="24"/>
          <w:szCs w:val="24"/>
        </w:rPr>
        <w:t xml:space="preserve"> </w:t>
      </w:r>
      <w:r w:rsidRPr="004467A6">
        <w:rPr>
          <w:rFonts w:cs="David"/>
          <w:sz w:val="24"/>
          <w:szCs w:val="24"/>
          <w:rtl/>
        </w:rPr>
        <w:t>אמיתית</w:t>
      </w:r>
      <w:r w:rsidRPr="004467A6">
        <w:rPr>
          <w:rFonts w:cs="David"/>
          <w:sz w:val="24"/>
          <w:szCs w:val="24"/>
          <w:rtl/>
        </w:rPr>
        <w:t xml:space="preserve"> בני עיר ובני כפר וגם נערים שבאו משכונות מצוקה ולקדמם לתפקידי פיקוד</w:t>
      </w:r>
      <w:r w:rsidRPr="004467A6">
        <w:rPr>
          <w:rFonts w:cs="David"/>
          <w:sz w:val="24"/>
          <w:szCs w:val="24"/>
        </w:rPr>
        <w:t xml:space="preserve"> </w:t>
      </w:r>
      <w:r w:rsidRPr="004467A6">
        <w:rPr>
          <w:rFonts w:cs="David"/>
          <w:sz w:val="24"/>
          <w:szCs w:val="24"/>
          <w:rtl/>
        </w:rPr>
        <w:t>ומנהיגות; כוח לוחם שחי בצלם של הקיבוצים אשר שימשו לו כבסיס ומחסה; כוח לוחם שנטל</w:t>
      </w:r>
      <w:r w:rsidRPr="004467A6">
        <w:rPr>
          <w:rFonts w:cs="David"/>
          <w:sz w:val="24"/>
          <w:szCs w:val="24"/>
        </w:rPr>
        <w:t xml:space="preserve"> </w:t>
      </w:r>
      <w:r w:rsidRPr="004467A6">
        <w:rPr>
          <w:rFonts w:cs="David"/>
          <w:sz w:val="24"/>
          <w:szCs w:val="24"/>
          <w:rtl/>
        </w:rPr>
        <w:t>על עצמו משימות ותפקידים מעל לכוחו בארגון ההעפלה הבלתי-חוקית, בהקמת היאחזויות</w:t>
      </w:r>
      <w:r w:rsidRPr="004467A6">
        <w:rPr>
          <w:rFonts w:cs="David" w:hint="cs"/>
          <w:sz w:val="24"/>
          <w:szCs w:val="24"/>
          <w:rtl/>
        </w:rPr>
        <w:t>,</w:t>
      </w:r>
      <w:r w:rsidRPr="004467A6">
        <w:rPr>
          <w:rFonts w:cs="David"/>
          <w:sz w:val="24"/>
          <w:szCs w:val="24"/>
        </w:rPr>
        <w:t xml:space="preserve"> </w:t>
      </w:r>
      <w:r w:rsidRPr="004467A6">
        <w:rPr>
          <w:rFonts w:cs="David"/>
          <w:sz w:val="24"/>
          <w:szCs w:val="24"/>
          <w:rtl/>
        </w:rPr>
        <w:t>ביצירת הגרעינים לחיל הים ולחיל האוויר; כוח לוחם שגיבש יש מאין תורת לחימה ותורת</w:t>
      </w:r>
      <w:r w:rsidRPr="004467A6">
        <w:rPr>
          <w:rFonts w:cs="David"/>
          <w:sz w:val="24"/>
          <w:szCs w:val="24"/>
        </w:rPr>
        <w:t xml:space="preserve"> </w:t>
      </w:r>
      <w:r w:rsidRPr="004467A6">
        <w:rPr>
          <w:rFonts w:cs="David"/>
          <w:sz w:val="24"/>
          <w:szCs w:val="24"/>
          <w:rtl/>
        </w:rPr>
        <w:t>ביטחון; כוח לוחם שקלט לתוכו מתנדבי חוץ-לארץ - מח"ל - ומגויסי חוץ-לארץ - גח"ל</w:t>
      </w:r>
      <w:r w:rsidRPr="004467A6">
        <w:rPr>
          <w:rFonts w:cs="David" w:hint="cs"/>
          <w:sz w:val="24"/>
          <w:szCs w:val="24"/>
          <w:rtl/>
        </w:rPr>
        <w:t>;</w:t>
      </w:r>
      <w:r w:rsidRPr="004467A6">
        <w:rPr>
          <w:rFonts w:cs="David"/>
          <w:sz w:val="24"/>
          <w:szCs w:val="24"/>
        </w:rPr>
        <w:t xml:space="preserve"> </w:t>
      </w:r>
      <w:r w:rsidRPr="004467A6">
        <w:rPr>
          <w:rFonts w:cs="David"/>
          <w:sz w:val="24"/>
          <w:szCs w:val="24"/>
          <w:rtl/>
        </w:rPr>
        <w:t>כוח לוחם שפיתח תרבות משלו בשירה ובפרוזה; כוח לוחם שלמד והכיר את כל הארץ; כוח</w:t>
      </w:r>
      <w:r w:rsidRPr="004467A6">
        <w:rPr>
          <w:rFonts w:cs="David"/>
          <w:sz w:val="24"/>
          <w:szCs w:val="24"/>
        </w:rPr>
        <w:t xml:space="preserve"> </w:t>
      </w:r>
      <w:r w:rsidRPr="004467A6">
        <w:rPr>
          <w:rFonts w:cs="David"/>
          <w:sz w:val="24"/>
          <w:szCs w:val="24"/>
          <w:rtl/>
        </w:rPr>
        <w:t>לוחם שטיפח יחסי אנוש בין לוחמים ובין מפקדים לפקודים</w:t>
      </w:r>
      <w:r w:rsidRPr="004467A6">
        <w:rPr>
          <w:rFonts w:cs="David" w:hint="cs"/>
          <w:sz w:val="24"/>
          <w:szCs w:val="24"/>
          <w:rtl/>
        </w:rPr>
        <w:t>.</w:t>
      </w:r>
      <w:r w:rsidRPr="004467A6">
        <w:rPr>
          <w:rFonts w:cs="David"/>
          <w:sz w:val="24"/>
          <w:szCs w:val="24"/>
        </w:rPr>
        <w:t xml:space="preserve"> </w:t>
      </w:r>
      <w:r w:rsidRPr="004467A6">
        <w:rPr>
          <w:rFonts w:cs="David" w:hint="cs"/>
          <w:sz w:val="24"/>
          <w:szCs w:val="24"/>
          <w:rtl/>
        </w:rPr>
        <w:t>[...]</w:t>
      </w:r>
      <w:r>
        <w:rPr>
          <w:rFonts w:cs="David" w:hint="cs"/>
          <w:sz w:val="24"/>
          <w:szCs w:val="24"/>
          <w:rtl/>
        </w:rPr>
        <w:t xml:space="preserve"> </w:t>
      </w:r>
      <w:r w:rsidRPr="004467A6">
        <w:rPr>
          <w:rFonts w:cs="David"/>
          <w:sz w:val="24"/>
          <w:szCs w:val="24"/>
          <w:rtl/>
        </w:rPr>
        <w:t>הפלמ"ח היה יצירת מופת של דור התקומה, ועוד ידברו בו</w:t>
      </w:r>
      <w:r w:rsidRPr="004467A6">
        <w:rPr>
          <w:rFonts w:cs="David"/>
          <w:sz w:val="24"/>
          <w:szCs w:val="24"/>
        </w:rPr>
        <w:t xml:space="preserve"> </w:t>
      </w:r>
      <w:r w:rsidRPr="004467A6">
        <w:rPr>
          <w:rFonts w:cs="David"/>
          <w:sz w:val="24"/>
          <w:szCs w:val="24"/>
          <w:rtl/>
        </w:rPr>
        <w:t>היסטוריונים בעתיד. אינני אובייקטיבי כדי לספר על מעלליו ועל מקומו בתקומת ישראל</w:t>
      </w:r>
      <w:r w:rsidRPr="004467A6">
        <w:rPr>
          <w:rFonts w:cs="David" w:hint="cs"/>
          <w:sz w:val="24"/>
          <w:szCs w:val="24"/>
          <w:rtl/>
        </w:rPr>
        <w:t>,</w:t>
      </w:r>
      <w:r w:rsidRPr="004467A6">
        <w:rPr>
          <w:rFonts w:cs="David"/>
          <w:sz w:val="24"/>
          <w:szCs w:val="24"/>
        </w:rPr>
        <w:t xml:space="preserve"> </w:t>
      </w:r>
      <w:r w:rsidRPr="004467A6">
        <w:rPr>
          <w:rFonts w:cs="David"/>
          <w:sz w:val="24"/>
          <w:szCs w:val="24"/>
          <w:rtl/>
        </w:rPr>
        <w:t>כי נמניתי עמו, ואת נעורי ובחרותי עשיתי בשורותיו. בפלמ"ח למדתי את מוסר המלחמה</w:t>
      </w:r>
      <w:r w:rsidRPr="004467A6">
        <w:rPr>
          <w:rFonts w:cs="David"/>
          <w:sz w:val="24"/>
          <w:szCs w:val="24"/>
        </w:rPr>
        <w:t xml:space="preserve"> </w:t>
      </w:r>
      <w:r w:rsidRPr="004467A6">
        <w:rPr>
          <w:rFonts w:cs="David"/>
          <w:sz w:val="24"/>
          <w:szCs w:val="24"/>
          <w:rtl/>
        </w:rPr>
        <w:t>ותורת הקרב, את מקומן של ההתיישבות והעלייה בהגשמה הציונית, את המשמעת לפקודת</w:t>
      </w:r>
      <w:r w:rsidRPr="004467A6">
        <w:rPr>
          <w:rFonts w:cs="David"/>
          <w:sz w:val="24"/>
          <w:szCs w:val="24"/>
        </w:rPr>
        <w:t xml:space="preserve"> </w:t>
      </w:r>
      <w:r w:rsidRPr="004467A6">
        <w:rPr>
          <w:rFonts w:cs="David"/>
          <w:sz w:val="24"/>
          <w:szCs w:val="24"/>
          <w:rtl/>
        </w:rPr>
        <w:t>המוסדות הלאומיים הנבחרים, את אחוות הלוחמים והרעות. בפלמ"ח הכרתי את רעייתי</w:t>
      </w:r>
      <w:r w:rsidRPr="004467A6">
        <w:rPr>
          <w:rFonts w:cs="David" w:hint="cs"/>
          <w:sz w:val="24"/>
          <w:szCs w:val="24"/>
          <w:rtl/>
        </w:rPr>
        <w:t>,</w:t>
      </w:r>
      <w:r w:rsidRPr="004467A6">
        <w:rPr>
          <w:rFonts w:cs="David"/>
          <w:sz w:val="24"/>
          <w:szCs w:val="24"/>
        </w:rPr>
        <w:t xml:space="preserve"> </w:t>
      </w:r>
      <w:r w:rsidRPr="004467A6">
        <w:rPr>
          <w:rFonts w:cs="David"/>
          <w:sz w:val="24"/>
          <w:szCs w:val="24"/>
          <w:rtl/>
        </w:rPr>
        <w:t>ולבננו הבכור קראנו בשם פלמ"ח. הפלמ"ח עשה אותי לאדם, ללוחם, למפקד, למגשים</w:t>
      </w:r>
      <w:r w:rsidRPr="004467A6">
        <w:rPr>
          <w:rFonts w:cs="David"/>
          <w:sz w:val="24"/>
          <w:szCs w:val="24"/>
        </w:rPr>
        <w:t xml:space="preserve">, </w:t>
      </w:r>
      <w:r w:rsidRPr="004467A6">
        <w:rPr>
          <w:rFonts w:cs="David"/>
          <w:sz w:val="24"/>
          <w:szCs w:val="24"/>
          <w:rtl/>
        </w:rPr>
        <w:t>והפלמ"ח ממלא את כל ישותי</w:t>
      </w:r>
      <w:r w:rsidRPr="004467A6">
        <w:rPr>
          <w:rFonts w:cs="David" w:hint="cs"/>
          <w:sz w:val="24"/>
          <w:szCs w:val="24"/>
          <w:rtl/>
        </w:rPr>
        <w:t>.</w:t>
      </w:r>
      <w:r>
        <w:rPr>
          <w:rFonts w:cs="David" w:hint="cs"/>
          <w:sz w:val="24"/>
          <w:szCs w:val="24"/>
          <w:rtl/>
        </w:rPr>
        <w:t>"</w:t>
      </w:r>
    </w:p>
    <w:p w:rsidR="00960C29" w:rsidRPr="00D118C4" w:rsidP="00D118C4" w14:paraId="2580F6C3" w14:textId="0818C4C2">
      <w:pPr>
        <w:rPr>
          <w:rtl/>
        </w:rPr>
      </w:pPr>
    </w:p>
    <w:sectPr>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David">
    <w:charset w:val="B1"/>
    <w:family w:val="swiss"/>
    <w:pitch w:val="variable"/>
    <w:sig w:usb0="00000803" w:usb1="00000000" w:usb2="00000000" w:usb3="00000000" w:csb0="0000002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8513E" w14:paraId="6454A11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8513E" w14:paraId="4545255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8513E" w14:paraId="6F10485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B4DF6" w:rsidP="0090599E" w14:paraId="1BB65FBE" w14:textId="77777777">
      <w:pPr>
        <w:spacing w:after="0" w:line="240" w:lineRule="auto"/>
      </w:pPr>
      <w:r>
        <w:separator/>
      </w:r>
    </w:p>
  </w:footnote>
  <w:footnote w:type="continuationSeparator" w:id="1">
    <w:p w:rsidR="00BB4DF6" w:rsidP="0090599E" w14:paraId="5F12BA99" w14:textId="77777777">
      <w:pPr>
        <w:spacing w:after="0" w:line="240" w:lineRule="auto"/>
      </w:pPr>
      <w:r>
        <w:continuationSeparator/>
      </w:r>
    </w:p>
  </w:footnote>
  <w:footnote w:id="2">
    <w:p w:rsidR="005675A7" w:rsidRPr="004467A6" w:rsidP="005675A7" w14:paraId="161587DB" w14:textId="77777777">
      <w:pPr>
        <w:pStyle w:val="FootnoteText"/>
        <w:rPr>
          <w:rFonts w:cs="David"/>
        </w:rPr>
      </w:pPr>
      <w:r>
        <w:rPr>
          <w:rStyle w:val="FootnoteReference"/>
        </w:rPr>
        <w:footnoteRef/>
      </w:r>
      <w:r>
        <w:rPr>
          <w:rtl/>
        </w:rPr>
        <w:t xml:space="preserve"> </w:t>
      </w:r>
      <w:r w:rsidRPr="004467A6">
        <w:rPr>
          <w:rFonts w:cs="David" w:hint="cs"/>
          <w:b/>
          <w:bCs/>
          <w:rtl/>
        </w:rPr>
        <w:t>ועידת</w:t>
      </w:r>
      <w:r w:rsidRPr="004467A6">
        <w:rPr>
          <w:rFonts w:cs="David" w:hint="cs"/>
          <w:rtl/>
        </w:rPr>
        <w:t xml:space="preserve"> </w:t>
      </w:r>
      <w:r w:rsidRPr="004467A6">
        <w:rPr>
          <w:rFonts w:cs="David" w:hint="cs"/>
          <w:b/>
          <w:bCs/>
          <w:rtl/>
        </w:rPr>
        <w:t>מדריד</w:t>
      </w:r>
      <w:r>
        <w:rPr>
          <w:rFonts w:cs="David" w:hint="cs"/>
          <w:rtl/>
        </w:rPr>
        <w:t xml:space="preserve"> היא ועידה בינלאומית ש</w:t>
      </w:r>
      <w:r w:rsidRPr="004467A6">
        <w:rPr>
          <w:rFonts w:cs="David" w:hint="cs"/>
          <w:rtl/>
        </w:rPr>
        <w:t>נערכה במדריד בירת ספרד בין 30 באוקטובר ל-1 בנובמבר 1991 במטרה לקדם את תהליך השלום בין ישראל, הפלסטינים ומדינות ערב.</w:t>
      </w:r>
    </w:p>
  </w:footnote>
  <w:footnote w:id="3">
    <w:p w:rsidR="005675A7" w:rsidRPr="00FA5A98" w:rsidP="005675A7" w14:paraId="5309A444" w14:textId="77777777">
      <w:pPr>
        <w:pStyle w:val="FootnoteText"/>
        <w:rPr>
          <w:rFonts w:cs="David"/>
        </w:rPr>
      </w:pPr>
      <w:r w:rsidRPr="00FA5A98">
        <w:rPr>
          <w:rStyle w:val="FootnoteReference"/>
          <w:rFonts w:cs="David"/>
        </w:rPr>
        <w:footnoteRef/>
      </w:r>
      <w:r w:rsidRPr="00FA5A98">
        <w:rPr>
          <w:rFonts w:cs="David"/>
          <w:rtl/>
        </w:rPr>
        <w:t xml:space="preserve"> </w:t>
      </w:r>
      <w:r w:rsidRPr="00FA5A98">
        <w:rPr>
          <w:rFonts w:cs="David" w:hint="cs"/>
          <w:b/>
          <w:bCs/>
          <w:rtl/>
        </w:rPr>
        <w:t>הסכמי</w:t>
      </w:r>
      <w:r w:rsidRPr="00FA5A98">
        <w:rPr>
          <w:rFonts w:cs="David" w:hint="cs"/>
          <w:rtl/>
        </w:rPr>
        <w:t xml:space="preserve"> </w:t>
      </w:r>
      <w:r w:rsidRPr="00FA5A98">
        <w:rPr>
          <w:rFonts w:cs="David" w:hint="cs"/>
          <w:b/>
          <w:bCs/>
          <w:rtl/>
        </w:rPr>
        <w:t>אוסלו</w:t>
      </w:r>
      <w:r w:rsidRPr="00FA5A98">
        <w:rPr>
          <w:rFonts w:cs="David" w:hint="cs"/>
          <w:rtl/>
        </w:rPr>
        <w:t xml:space="preserve"> הם סדרה של הסכמים מדיניים בין מדינת ישראל לבין הארגון לשחרור פלסטין (אש"ף), בו הוקמה הראשות הפלסטינית.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599E" w14:paraId="1E361C04" w14:textId="7BAFA35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1175860" o:spid="_x0000_s2049" type="#_x0000_t75" style="width:613.05pt;height:867.15pt;margin-top:0;margin-left:0;mso-position-horizontal:center;mso-position-horizontal-relative:margin;mso-position-vertical:center;mso-position-vertical-relative:margin;position:absolute;z-index:-251657216" o:allowincell="f">
          <v:imagedata r:id="rId1" o:title="פורמט ל- התאריכון בול בזמן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61B0" w14:paraId="7A638D3A" w14:textId="3120B90D">
    <w:pPr>
      <w:pStyle w:val="Header"/>
      <w:rPr>
        <w:rtl/>
      </w:rPr>
    </w:pPr>
    <w:r>
      <w:rPr>
        <w:noProof/>
      </w:rPr>
      <w:drawing>
        <wp:anchor distT="0" distB="0" distL="114300" distR="114300" simplePos="0" relativeHeight="251661312" behindDoc="0" locked="0" layoutInCell="1" allowOverlap="1">
          <wp:simplePos x="0" y="0"/>
          <wp:positionH relativeFrom="column">
            <wp:posOffset>4572000</wp:posOffset>
          </wp:positionH>
          <wp:positionV relativeFrom="paragraph">
            <wp:posOffset>-260350</wp:posOffset>
          </wp:positionV>
          <wp:extent cx="1797883" cy="800100"/>
          <wp:effectExtent l="0" t="0" r="0" b="0"/>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התאריכון בול בזמן - לוגו.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797883" cy="800100"/>
                  </a:xfrm>
                  <a:prstGeom prst="rect">
                    <a:avLst/>
                  </a:prstGeom>
                </pic:spPr>
              </pic:pic>
            </a:graphicData>
          </a:graphic>
          <wp14:sizeRelH relativeFrom="page">
            <wp14:pctWidth>0</wp14:pctWidth>
          </wp14:sizeRelH>
          <wp14:sizeRelV relativeFrom="page">
            <wp14:pctHeight>0</wp14:pctHeight>
          </wp14:sizeRelV>
        </wp:anchor>
      </w:drawing>
    </w:r>
  </w:p>
  <w:p w:rsidR="0090599E" w14:paraId="780D6D47" w14:textId="185C89D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1175861" o:spid="_x0000_s2050" type="#_x0000_t75" style="width:637.25pt;height:901.4pt;margin-top:-122.35pt;margin-left:-99.45pt;mso-position-horizontal-relative:margin;mso-position-vertical-relative:margin;position:absolute;z-index:-251656192" o:allowincell="f">
          <v:imagedata r:id="rId2" o:title="פורמט ל- התאריכון בול בזמן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599E" w14:paraId="1979DA60" w14:textId="0F67855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1175859" o:spid="_x0000_s2051" type="#_x0000_t75" style="width:613.05pt;height:867.15pt;margin-top:0;margin-left:0;mso-position-horizontal:center;mso-position-horizontal-relative:margin;mso-position-vertical:center;mso-position-vertical-relative:margin;position:absolute;z-index:-251658240" o:allowincell="f">
          <v:imagedata r:id="rId1" o:title="פורמט ל- התאריכון בול בזמן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A99"/>
    <w:rsid w:val="00072FEE"/>
    <w:rsid w:val="000D45CD"/>
    <w:rsid w:val="000D5288"/>
    <w:rsid w:val="002661B0"/>
    <w:rsid w:val="00385A25"/>
    <w:rsid w:val="003F0FF5"/>
    <w:rsid w:val="004467A6"/>
    <w:rsid w:val="004A6975"/>
    <w:rsid w:val="004C1329"/>
    <w:rsid w:val="00510D23"/>
    <w:rsid w:val="005675A7"/>
    <w:rsid w:val="0088513E"/>
    <w:rsid w:val="0090599E"/>
    <w:rsid w:val="00960C29"/>
    <w:rsid w:val="00A40F7F"/>
    <w:rsid w:val="00AD29AE"/>
    <w:rsid w:val="00B6550E"/>
    <w:rsid w:val="00BB4DF6"/>
    <w:rsid w:val="00BD040C"/>
    <w:rsid w:val="00C02334"/>
    <w:rsid w:val="00C37677"/>
    <w:rsid w:val="00C77738"/>
    <w:rsid w:val="00D118C4"/>
    <w:rsid w:val="00D94A99"/>
    <w:rsid w:val="00FA5A98"/>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7E8ECE24"/>
  <w15:chartTrackingRefBased/>
  <w15:docId w15:val="{C1A220E9-BDEC-4AA5-8B15-A1D1923B8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61B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99E"/>
    <w:pPr>
      <w:tabs>
        <w:tab w:val="center" w:pos="4320"/>
        <w:tab w:val="right" w:pos="8640"/>
      </w:tabs>
      <w:bidi w:val="0"/>
      <w:spacing w:after="0" w:line="240" w:lineRule="auto"/>
    </w:pPr>
  </w:style>
  <w:style w:type="character" w:customStyle="1" w:styleId="HeaderChar">
    <w:name w:val="Header Char"/>
    <w:basedOn w:val="DefaultParagraphFont"/>
    <w:link w:val="Header"/>
    <w:uiPriority w:val="99"/>
    <w:rsid w:val="0090599E"/>
  </w:style>
  <w:style w:type="paragraph" w:styleId="Footer">
    <w:name w:val="footer"/>
    <w:basedOn w:val="Normal"/>
    <w:link w:val="FooterChar"/>
    <w:uiPriority w:val="99"/>
    <w:unhideWhenUsed/>
    <w:rsid w:val="0090599E"/>
    <w:pPr>
      <w:tabs>
        <w:tab w:val="center" w:pos="4320"/>
        <w:tab w:val="right" w:pos="8640"/>
      </w:tabs>
      <w:bidi w:val="0"/>
      <w:spacing w:after="0" w:line="240" w:lineRule="auto"/>
    </w:pPr>
  </w:style>
  <w:style w:type="character" w:customStyle="1" w:styleId="FooterChar">
    <w:name w:val="Footer Char"/>
    <w:basedOn w:val="DefaultParagraphFont"/>
    <w:link w:val="Footer"/>
    <w:uiPriority w:val="99"/>
    <w:rsid w:val="0090599E"/>
  </w:style>
  <w:style w:type="paragraph" w:styleId="FootnoteText">
    <w:name w:val="footnote text"/>
    <w:basedOn w:val="Normal"/>
    <w:link w:val="FootnoteTextChar"/>
    <w:uiPriority w:val="99"/>
    <w:semiHidden/>
    <w:unhideWhenUsed/>
    <w:rsid w:val="005675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75A7"/>
    <w:rPr>
      <w:sz w:val="20"/>
      <w:szCs w:val="20"/>
    </w:rPr>
  </w:style>
  <w:style w:type="character" w:styleId="FootnoteReference">
    <w:name w:val="footnote reference"/>
    <w:basedOn w:val="DefaultParagraphFont"/>
    <w:uiPriority w:val="99"/>
    <w:semiHidden/>
    <w:unhideWhenUsed/>
    <w:rsid w:val="005675A7"/>
    <w:rPr>
      <w:vertAlign w:val="superscript"/>
    </w:rPr>
  </w:style>
  <w:style w:type="paragraph" w:styleId="NormalWeb">
    <w:name w:val="Normal (Web)"/>
    <w:basedOn w:val="Normal"/>
    <w:uiPriority w:val="99"/>
    <w:semiHidden/>
    <w:unhideWhenUsed/>
    <w:rsid w:val="005675A7"/>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jpeg"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2.jpeg" /></Relationships>
</file>

<file path=word/_rels/header2.xml.rels><?xml version="1.0" encoding="utf-8" standalone="yes"?><Relationships xmlns="http://schemas.openxmlformats.org/package/2006/relationships"><Relationship Id="rId1" Type="http://schemas.openxmlformats.org/officeDocument/2006/relationships/image" Target="media/image3.jpeg" /><Relationship Id="rId2" Type="http://schemas.openxmlformats.org/officeDocument/2006/relationships/image" Target="media/image2.jpeg" /></Relationships>
</file>

<file path=word/_rels/header3.xml.rels><?xml version="1.0" encoding="utf-8" standalone="yes"?><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836FE-118B-4F98-9484-EC9108C18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