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34B4" w14:textId="77777777" w:rsidR="003B5FE4" w:rsidRDefault="003B5FE4" w:rsidP="001A2C30">
      <w:pPr>
        <w:tabs>
          <w:tab w:val="right" w:pos="6328"/>
        </w:tabs>
        <w:ind w:left="2500" w:right="1985"/>
        <w:rPr>
          <w:rtl/>
        </w:rPr>
      </w:pPr>
      <w:bookmarkStart w:id="0" w:name="_Hlk149821736"/>
      <w:bookmarkStart w:id="1" w:name="_Hlk149824479"/>
      <w:r w:rsidRPr="009A19A1">
        <w:rPr>
          <w:noProof/>
        </w:rPr>
        <w:drawing>
          <wp:inline distT="0" distB="0" distL="0" distR="0" wp14:anchorId="41443346" wp14:editId="706FE6E2">
            <wp:extent cx="866775" cy="790575"/>
            <wp:effectExtent l="0" t="0" r="0" b="0"/>
            <wp:docPr id="6"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9A19A1">
        <w:rPr>
          <w:noProof/>
        </w:rPr>
        <w:drawing>
          <wp:inline distT="0" distB="0" distL="0" distR="0" wp14:anchorId="0FF95FDE" wp14:editId="6CDF938C">
            <wp:extent cx="581025" cy="789940"/>
            <wp:effectExtent l="0" t="0" r="0" b="0"/>
            <wp:docPr id="5"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486F5DB1" w14:textId="77777777" w:rsidR="00B421C8" w:rsidRPr="00126E94" w:rsidRDefault="00B421C8" w:rsidP="001A2C30">
      <w:pPr>
        <w:tabs>
          <w:tab w:val="right" w:pos="6328"/>
        </w:tabs>
        <w:ind w:left="2500" w:right="1985"/>
        <w:rPr>
          <w:rtl/>
        </w:rPr>
      </w:pPr>
    </w:p>
    <w:p w14:paraId="187AD7C0" w14:textId="77777777" w:rsidR="003B5FE4" w:rsidRDefault="003B5FE4" w:rsidP="001A2C30">
      <w:pPr>
        <w:bidi w:val="0"/>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43A454F1" w14:textId="77777777" w:rsidR="00B4530B" w:rsidRPr="00B421C8" w:rsidRDefault="00B4530B" w:rsidP="00B4530B">
      <w:pPr>
        <w:bidi w:val="0"/>
        <w:rPr>
          <w:rFonts w:ascii="David" w:hAnsi="David" w:cs="David"/>
          <w:b/>
          <w:bCs/>
          <w:u w:val="single"/>
        </w:rPr>
      </w:pPr>
    </w:p>
    <w:p w14:paraId="48DA8152" w14:textId="77777777" w:rsidR="00B421C8" w:rsidRDefault="003B5FE4" w:rsidP="001A2C30">
      <w:pPr>
        <w:spacing w:before="120"/>
        <w:jc w:val="both"/>
        <w:rPr>
          <w:rFonts w:cs="David"/>
          <w:sz w:val="28"/>
          <w:szCs w:val="28"/>
          <w:rtl/>
        </w:rPr>
      </w:pPr>
      <w:r w:rsidRPr="00FD2DDA">
        <w:rPr>
          <w:rFonts w:ascii="David" w:hAnsi="David" w:cs="David" w:hint="cs"/>
          <w:sz w:val="28"/>
          <w:szCs w:val="28"/>
          <w:rtl/>
        </w:rPr>
        <w:t>בפני:</w:t>
      </w:r>
    </w:p>
    <w:p w14:paraId="4CB2C8FB" w14:textId="736A1CA9" w:rsidR="003B5FE4" w:rsidRPr="003B5FE4" w:rsidRDefault="003B5FE4" w:rsidP="001A2C30">
      <w:pPr>
        <w:spacing w:before="120"/>
        <w:jc w:val="both"/>
        <w:rPr>
          <w:rFonts w:cs="David"/>
          <w:b/>
          <w:bCs/>
          <w:sz w:val="10"/>
          <w:szCs w:val="10"/>
          <w:rtl/>
        </w:rPr>
      </w:pPr>
      <w:r w:rsidRPr="005E2B5F">
        <w:rPr>
          <w:rFonts w:cs="David"/>
          <w:sz w:val="28"/>
          <w:szCs w:val="28"/>
          <w:rtl/>
        </w:rPr>
        <w:br/>
      </w:r>
    </w:p>
    <w:p w14:paraId="76D97DBE" w14:textId="1608694A" w:rsidR="003B5FE4" w:rsidRPr="003B5FE4" w:rsidRDefault="003B5FE4" w:rsidP="001A2C30">
      <w:pPr>
        <w:spacing w:before="120"/>
        <w:jc w:val="center"/>
        <w:rPr>
          <w:rFonts w:ascii="David" w:hAnsi="David" w:cs="David"/>
          <w:sz w:val="28"/>
          <w:szCs w:val="28"/>
          <w:rtl/>
        </w:rPr>
      </w:pPr>
      <w:r w:rsidRPr="005E2B5F">
        <w:rPr>
          <w:rFonts w:cs="David" w:hint="cs"/>
          <w:b/>
          <w:bCs/>
          <w:sz w:val="28"/>
          <w:szCs w:val="28"/>
          <w:rtl/>
        </w:rPr>
        <w:t>אל"ם</w:t>
      </w:r>
      <w:r>
        <w:rPr>
          <w:rFonts w:cs="David" w:hint="cs"/>
          <w:b/>
          <w:bCs/>
          <w:sz w:val="28"/>
          <w:szCs w:val="28"/>
          <w:rtl/>
        </w:rPr>
        <w:t xml:space="preserve"> </w:t>
      </w:r>
      <w:r w:rsidRPr="005E2B5F">
        <w:rPr>
          <w:rFonts w:cs="David" w:hint="cs"/>
          <w:b/>
          <w:bCs/>
          <w:sz w:val="28"/>
          <w:szCs w:val="28"/>
          <w:rtl/>
        </w:rPr>
        <w:t>מאיה</w:t>
      </w:r>
      <w:r>
        <w:rPr>
          <w:rFonts w:cs="David" w:hint="cs"/>
          <w:b/>
          <w:bCs/>
          <w:sz w:val="28"/>
          <w:szCs w:val="28"/>
          <w:rtl/>
        </w:rPr>
        <w:t xml:space="preserve"> </w:t>
      </w:r>
      <w:r w:rsidRPr="005E2B5F">
        <w:rPr>
          <w:rFonts w:cs="David" w:hint="cs"/>
          <w:b/>
          <w:bCs/>
          <w:sz w:val="28"/>
          <w:szCs w:val="28"/>
          <w:rtl/>
        </w:rPr>
        <w:t>גולדשמידט</w:t>
      </w:r>
      <w:r>
        <w:rPr>
          <w:rFonts w:cs="David" w:hint="cs"/>
          <w:b/>
          <w:bCs/>
          <w:sz w:val="28"/>
          <w:szCs w:val="28"/>
          <w:rtl/>
        </w:rPr>
        <w:t xml:space="preserve">    </w:t>
      </w:r>
      <w:r w:rsidRPr="00FD2DDA">
        <w:rPr>
          <w:rFonts w:ascii="David" w:hAnsi="David" w:cs="David" w:hint="cs"/>
          <w:b/>
          <w:bCs/>
          <w:sz w:val="28"/>
          <w:szCs w:val="28"/>
          <w:rtl/>
        </w:rPr>
        <w:t>–</w:t>
      </w:r>
      <w:r w:rsidRPr="005E2B5F">
        <w:rPr>
          <w:rFonts w:cs="David" w:hint="cs"/>
          <w:b/>
          <w:bCs/>
          <w:sz w:val="28"/>
          <w:szCs w:val="28"/>
          <w:rtl/>
        </w:rPr>
        <w:t xml:space="preserve">  </w:t>
      </w:r>
      <w:r>
        <w:rPr>
          <w:rFonts w:cs="David" w:hint="cs"/>
          <w:b/>
          <w:bCs/>
          <w:sz w:val="28"/>
          <w:szCs w:val="28"/>
          <w:rtl/>
        </w:rPr>
        <w:t xml:space="preserve">  </w:t>
      </w:r>
      <w:r>
        <w:rPr>
          <w:rFonts w:cs="David" w:hint="cs"/>
          <w:sz w:val="28"/>
          <w:szCs w:val="28"/>
          <w:rtl/>
        </w:rPr>
        <w:t>שופטת</w:t>
      </w:r>
    </w:p>
    <w:p w14:paraId="10B9DFC2" w14:textId="77777777" w:rsidR="003B5FE4" w:rsidRPr="00AD7F34" w:rsidRDefault="003B5FE4" w:rsidP="001A2C30">
      <w:pPr>
        <w:spacing w:before="120"/>
        <w:ind w:left="2174" w:right="2268"/>
        <w:jc w:val="both"/>
        <w:rPr>
          <w:rFonts w:cs="David"/>
          <w:b/>
          <w:bCs/>
          <w:sz w:val="6"/>
          <w:szCs w:val="6"/>
          <w:rtl/>
        </w:rPr>
      </w:pPr>
    </w:p>
    <w:p w14:paraId="482FB871" w14:textId="483C2CFE" w:rsidR="003B5FE4" w:rsidRDefault="003B5FE4" w:rsidP="001A2C30">
      <w:pPr>
        <w:rPr>
          <w:rFonts w:ascii="David" w:hAnsi="David" w:cs="David"/>
          <w:sz w:val="28"/>
          <w:szCs w:val="28"/>
          <w:rtl/>
        </w:rPr>
      </w:pPr>
      <w:r w:rsidRPr="00FD2DDA">
        <w:rPr>
          <w:rFonts w:ascii="David" w:hAnsi="David" w:cs="David" w:hint="cs"/>
          <w:sz w:val="28"/>
          <w:szCs w:val="28"/>
          <w:rtl/>
        </w:rPr>
        <w:t>בעניין:</w:t>
      </w:r>
    </w:p>
    <w:p w14:paraId="7216F43A" w14:textId="77777777" w:rsidR="00B421C8" w:rsidRDefault="00B421C8" w:rsidP="001A2C30">
      <w:pPr>
        <w:rPr>
          <w:rFonts w:ascii="David" w:hAnsi="David" w:cs="David"/>
          <w:sz w:val="28"/>
          <w:szCs w:val="28"/>
          <w:rtl/>
        </w:rPr>
      </w:pPr>
    </w:p>
    <w:p w14:paraId="69C397F9" w14:textId="77777777" w:rsidR="003B5FE4" w:rsidRPr="00AD7F34" w:rsidRDefault="003B5FE4" w:rsidP="001A2C30">
      <w:pPr>
        <w:rPr>
          <w:rFonts w:ascii="David" w:hAnsi="David" w:cs="David"/>
          <w:sz w:val="10"/>
          <w:szCs w:val="10"/>
          <w:rtl/>
        </w:rPr>
      </w:pPr>
    </w:p>
    <w:p w14:paraId="0FAA0BE5" w14:textId="1C6F7FB4" w:rsidR="003B5FE4" w:rsidRDefault="00170A90" w:rsidP="001A2C30">
      <w:pPr>
        <w:spacing w:after="120"/>
        <w:jc w:val="center"/>
        <w:rPr>
          <w:rFonts w:ascii="Times New Roman" w:eastAsia="Times New Roman" w:hAnsi="Times New Roman" w:cs="David"/>
          <w:b/>
          <w:bCs/>
          <w:sz w:val="32"/>
          <w:szCs w:val="28"/>
          <w:rtl/>
        </w:rPr>
      </w:pPr>
      <w:r>
        <w:rPr>
          <w:rFonts w:ascii="Times New Roman" w:eastAsia="Times New Roman" w:hAnsi="Times New Roman" w:cs="David" w:hint="cs"/>
          <w:b/>
          <w:bCs/>
          <w:sz w:val="32"/>
          <w:szCs w:val="28"/>
          <w:rtl/>
        </w:rPr>
        <w:t>התובע הצבאי הראשי</w:t>
      </w:r>
      <w:r w:rsidR="005D0579">
        <w:rPr>
          <w:rFonts w:ascii="Times New Roman" w:eastAsia="Times New Roman" w:hAnsi="Times New Roman" w:cs="David" w:hint="cs"/>
          <w:b/>
          <w:bCs/>
          <w:sz w:val="32"/>
          <w:szCs w:val="28"/>
          <w:rtl/>
        </w:rPr>
        <w:t xml:space="preserve"> </w:t>
      </w:r>
      <w:r w:rsidR="003B5FE4" w:rsidRPr="00FD2DDA">
        <w:rPr>
          <w:rFonts w:ascii="David" w:hAnsi="David" w:cs="David" w:hint="cs"/>
          <w:b/>
          <w:bCs/>
          <w:sz w:val="28"/>
          <w:szCs w:val="28"/>
          <w:rtl/>
        </w:rPr>
        <w:t>–</w:t>
      </w:r>
      <w:r w:rsidR="003B5FE4" w:rsidRPr="00FD2DDA">
        <w:rPr>
          <w:rFonts w:ascii="David" w:hAnsi="David" w:cs="David" w:hint="cs"/>
          <w:sz w:val="28"/>
          <w:szCs w:val="28"/>
          <w:rtl/>
        </w:rPr>
        <w:t xml:space="preserve"> המ</w:t>
      </w:r>
      <w:r w:rsidR="00D97FDC">
        <w:rPr>
          <w:rFonts w:ascii="David" w:hAnsi="David" w:cs="David" w:hint="cs"/>
          <w:sz w:val="28"/>
          <w:szCs w:val="28"/>
          <w:rtl/>
        </w:rPr>
        <w:t>בקש</w:t>
      </w:r>
      <w:r w:rsidR="003B5FE4" w:rsidRPr="00FD2DDA">
        <w:rPr>
          <w:rFonts w:ascii="David" w:hAnsi="David" w:cs="David" w:hint="cs"/>
          <w:sz w:val="28"/>
          <w:szCs w:val="28"/>
          <w:rtl/>
        </w:rPr>
        <w:t xml:space="preserve"> (ע"י ב"כ,</w:t>
      </w:r>
      <w:r w:rsidR="003B5FE4">
        <w:rPr>
          <w:rFonts w:ascii="David" w:hAnsi="David" w:cs="David" w:hint="cs"/>
          <w:sz w:val="28"/>
          <w:szCs w:val="28"/>
          <w:rtl/>
        </w:rPr>
        <w:t xml:space="preserve"> </w:t>
      </w:r>
      <w:r>
        <w:rPr>
          <w:rFonts w:ascii="David" w:hAnsi="David" w:cs="David" w:hint="cs"/>
          <w:sz w:val="28"/>
          <w:szCs w:val="28"/>
          <w:rtl/>
        </w:rPr>
        <w:t xml:space="preserve">סרן בת אל </w:t>
      </w:r>
      <w:proofErr w:type="spellStart"/>
      <w:r>
        <w:rPr>
          <w:rFonts w:ascii="David" w:hAnsi="David" w:cs="David" w:hint="cs"/>
          <w:sz w:val="28"/>
          <w:szCs w:val="28"/>
          <w:rtl/>
        </w:rPr>
        <w:t>זיגמן</w:t>
      </w:r>
      <w:proofErr w:type="spellEnd"/>
      <w:r w:rsidR="003B5FE4" w:rsidRPr="00FD2DDA">
        <w:rPr>
          <w:rFonts w:ascii="David" w:hAnsi="David" w:cs="David" w:hint="cs"/>
          <w:sz w:val="28"/>
          <w:szCs w:val="28"/>
          <w:rtl/>
        </w:rPr>
        <w:t>)</w:t>
      </w:r>
    </w:p>
    <w:p w14:paraId="0996FAE7" w14:textId="77777777" w:rsidR="003B5FE4" w:rsidRPr="00924749" w:rsidRDefault="003B5FE4" w:rsidP="001A2C30">
      <w:pPr>
        <w:jc w:val="center"/>
        <w:rPr>
          <w:rFonts w:ascii="David" w:hAnsi="David" w:cs="David"/>
          <w:sz w:val="20"/>
          <w:szCs w:val="20"/>
          <w:rtl/>
        </w:rPr>
      </w:pPr>
    </w:p>
    <w:p w14:paraId="002437EE" w14:textId="77777777" w:rsidR="003B5FE4" w:rsidRPr="00FD2DDA" w:rsidRDefault="003B5FE4" w:rsidP="001A2C3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088247EF" w14:textId="69412317" w:rsidR="003B5FE4" w:rsidRPr="00FD2DDA" w:rsidRDefault="00373D0A" w:rsidP="00373D0A">
      <w:pPr>
        <w:jc w:val="center"/>
        <w:rPr>
          <w:rFonts w:ascii="David" w:hAnsi="David" w:cs="David"/>
          <w:sz w:val="28"/>
          <w:szCs w:val="28"/>
          <w:rtl/>
        </w:rPr>
      </w:pPr>
      <w:r w:rsidRPr="00373D0A">
        <w:rPr>
          <w:rFonts w:ascii="Times New Roman" w:eastAsia="Times New Roman" w:hAnsi="Times New Roman" w:cs="David"/>
          <w:b/>
          <w:bCs/>
          <w:sz w:val="28"/>
          <w:szCs w:val="24"/>
        </w:rPr>
        <w:t>X</w:t>
      </w:r>
      <w:r w:rsidR="00170A90">
        <w:rPr>
          <w:rFonts w:ascii="Times New Roman" w:eastAsia="Times New Roman" w:hAnsi="Times New Roman" w:cs="David" w:hint="cs"/>
          <w:b/>
          <w:bCs/>
          <w:sz w:val="32"/>
          <w:szCs w:val="28"/>
          <w:rtl/>
        </w:rPr>
        <w:t>/</w:t>
      </w:r>
      <w:r w:rsidRPr="00373D0A">
        <w:rPr>
          <w:rFonts w:ascii="Times New Roman" w:eastAsia="Times New Roman" w:hAnsi="Times New Roman" w:cs="David"/>
          <w:b/>
          <w:bCs/>
          <w:sz w:val="28"/>
          <w:szCs w:val="24"/>
        </w:rPr>
        <w:t>XXXXXXX</w:t>
      </w:r>
      <w:r w:rsidR="00170A90">
        <w:rPr>
          <w:rFonts w:ascii="Times New Roman" w:eastAsia="Times New Roman" w:hAnsi="Times New Roman" w:cs="David" w:hint="cs"/>
          <w:b/>
          <w:bCs/>
          <w:sz w:val="32"/>
          <w:szCs w:val="28"/>
          <w:rtl/>
        </w:rPr>
        <w:t xml:space="preserve"> רס"ר ד</w:t>
      </w:r>
      <w:r>
        <w:rPr>
          <w:rFonts w:ascii="Times New Roman" w:eastAsia="Times New Roman" w:hAnsi="Times New Roman" w:cs="David" w:hint="cs"/>
          <w:b/>
          <w:bCs/>
          <w:sz w:val="32"/>
          <w:szCs w:val="28"/>
          <w:rtl/>
        </w:rPr>
        <w:t>'</w:t>
      </w:r>
      <w:r w:rsidR="00170A90">
        <w:rPr>
          <w:rFonts w:ascii="Times New Roman" w:eastAsia="Times New Roman" w:hAnsi="Times New Roman" w:cs="David" w:hint="cs"/>
          <w:b/>
          <w:bCs/>
          <w:sz w:val="32"/>
          <w:szCs w:val="28"/>
          <w:rtl/>
        </w:rPr>
        <w:t xml:space="preserve"> י</w:t>
      </w:r>
      <w:r>
        <w:rPr>
          <w:rFonts w:ascii="Times New Roman" w:eastAsia="Times New Roman" w:hAnsi="Times New Roman" w:cs="David" w:hint="cs"/>
          <w:b/>
          <w:bCs/>
          <w:sz w:val="32"/>
          <w:szCs w:val="28"/>
          <w:rtl/>
        </w:rPr>
        <w:t>'</w:t>
      </w:r>
      <w:r w:rsidR="00170A90">
        <w:rPr>
          <w:rFonts w:ascii="Times New Roman" w:eastAsia="Times New Roman" w:hAnsi="Times New Roman" w:cs="David" w:hint="cs"/>
          <w:b/>
          <w:bCs/>
          <w:sz w:val="32"/>
          <w:szCs w:val="28"/>
          <w:rtl/>
        </w:rPr>
        <w:t xml:space="preserve"> </w:t>
      </w:r>
      <w:r w:rsidR="003B5FE4" w:rsidRPr="00FD2DDA">
        <w:rPr>
          <w:rFonts w:ascii="David" w:hAnsi="David" w:cs="David" w:hint="cs"/>
          <w:b/>
          <w:bCs/>
          <w:sz w:val="28"/>
          <w:szCs w:val="28"/>
          <w:rtl/>
        </w:rPr>
        <w:t>–</w:t>
      </w:r>
      <w:r w:rsidR="003B5FE4" w:rsidRPr="00FD2DDA">
        <w:rPr>
          <w:rFonts w:ascii="David" w:hAnsi="David" w:cs="David" w:hint="cs"/>
          <w:sz w:val="28"/>
          <w:szCs w:val="28"/>
          <w:rtl/>
        </w:rPr>
        <w:t xml:space="preserve"> המ</w:t>
      </w:r>
      <w:r w:rsidR="003B5FE4">
        <w:rPr>
          <w:rFonts w:ascii="David" w:hAnsi="David" w:cs="David" w:hint="cs"/>
          <w:sz w:val="28"/>
          <w:szCs w:val="28"/>
          <w:rtl/>
        </w:rPr>
        <w:t>שיב</w:t>
      </w:r>
      <w:r w:rsidR="003B5FE4" w:rsidRPr="00FD2DDA">
        <w:rPr>
          <w:rFonts w:ascii="David" w:hAnsi="David" w:cs="David" w:hint="cs"/>
          <w:sz w:val="28"/>
          <w:szCs w:val="28"/>
          <w:rtl/>
        </w:rPr>
        <w:t xml:space="preserve"> (ע"י ב"כ,</w:t>
      </w:r>
      <w:r w:rsidR="00170A90">
        <w:rPr>
          <w:rFonts w:ascii="David" w:hAnsi="David" w:cs="David" w:hint="cs"/>
          <w:sz w:val="28"/>
          <w:szCs w:val="28"/>
          <w:rtl/>
        </w:rPr>
        <w:t xml:space="preserve"> עו"ד עדי </w:t>
      </w:r>
      <w:proofErr w:type="spellStart"/>
      <w:r w:rsidR="00170A90">
        <w:rPr>
          <w:rFonts w:ascii="David" w:hAnsi="David" w:cs="David" w:hint="cs"/>
          <w:sz w:val="28"/>
          <w:szCs w:val="28"/>
          <w:rtl/>
        </w:rPr>
        <w:t>אייזנר</w:t>
      </w:r>
      <w:proofErr w:type="spellEnd"/>
      <w:r w:rsidR="003B5FE4" w:rsidRPr="00FD2DDA">
        <w:rPr>
          <w:rFonts w:ascii="David" w:hAnsi="David" w:cs="David" w:hint="cs"/>
          <w:sz w:val="28"/>
          <w:szCs w:val="28"/>
          <w:rtl/>
        </w:rPr>
        <w:t>)</w:t>
      </w:r>
    </w:p>
    <w:p w14:paraId="090E3E39" w14:textId="77777777" w:rsidR="003B5FE4" w:rsidRPr="00924749" w:rsidRDefault="003B5FE4" w:rsidP="001A2C30">
      <w:pPr>
        <w:spacing w:after="120"/>
        <w:jc w:val="center"/>
        <w:rPr>
          <w:rFonts w:ascii="Times New Roman" w:eastAsia="Times New Roman" w:hAnsi="Times New Roman" w:cs="David"/>
          <w:b/>
          <w:bCs/>
          <w:sz w:val="32"/>
          <w:szCs w:val="28"/>
          <w:rtl/>
        </w:rPr>
      </w:pPr>
    </w:p>
    <w:p w14:paraId="0275BA83" w14:textId="77777777" w:rsidR="003B5FE4" w:rsidRPr="003E3218" w:rsidRDefault="003B5FE4" w:rsidP="001A2C30">
      <w:pPr>
        <w:spacing w:after="360"/>
        <w:rPr>
          <w:rFonts w:ascii="David" w:hAnsi="David" w:cs="David"/>
          <w:b/>
          <w:bCs/>
          <w:sz w:val="18"/>
          <w:szCs w:val="18"/>
          <w:u w:val="single"/>
          <w:rtl/>
        </w:rPr>
      </w:pPr>
    </w:p>
    <w:bookmarkEnd w:id="0"/>
    <w:bookmarkEnd w:id="1"/>
    <w:p w14:paraId="7980E571" w14:textId="479CA4F3" w:rsidR="003B5FE4" w:rsidRDefault="00170A90" w:rsidP="001A2C30">
      <w:pPr>
        <w:spacing w:after="360"/>
        <w:jc w:val="both"/>
        <w:rPr>
          <w:rFonts w:ascii="David" w:hAnsi="David" w:cs="David"/>
          <w:sz w:val="28"/>
          <w:szCs w:val="28"/>
          <w:rtl/>
        </w:rPr>
      </w:pPr>
      <w:r>
        <w:rPr>
          <w:rFonts w:ascii="David" w:hAnsi="David" w:cs="David" w:hint="cs"/>
          <w:sz w:val="28"/>
          <w:szCs w:val="28"/>
          <w:rtl/>
        </w:rPr>
        <w:t>בקשה להארכת מעצרו של המשיב</w:t>
      </w:r>
      <w:r w:rsidR="003B5FE4" w:rsidRPr="00EE22D0">
        <w:rPr>
          <w:rFonts w:ascii="David" w:hAnsi="David" w:cs="David" w:hint="cs"/>
          <w:sz w:val="28"/>
          <w:szCs w:val="28"/>
          <w:rtl/>
        </w:rPr>
        <w:t xml:space="preserve">. </w:t>
      </w:r>
      <w:r>
        <w:rPr>
          <w:rFonts w:ascii="David" w:hAnsi="David" w:cs="David" w:hint="cs"/>
          <w:sz w:val="28"/>
          <w:szCs w:val="28"/>
          <w:rtl/>
        </w:rPr>
        <w:t>הבקשה</w:t>
      </w:r>
      <w:r w:rsidR="003E3218">
        <w:rPr>
          <w:rFonts w:ascii="David" w:hAnsi="David" w:cs="David" w:hint="cs"/>
          <w:sz w:val="28"/>
          <w:szCs w:val="28"/>
          <w:rtl/>
        </w:rPr>
        <w:t xml:space="preserve"> התקבל</w:t>
      </w:r>
      <w:r>
        <w:rPr>
          <w:rFonts w:ascii="David" w:hAnsi="David" w:cs="David" w:hint="cs"/>
          <w:sz w:val="28"/>
          <w:szCs w:val="28"/>
          <w:rtl/>
        </w:rPr>
        <w:t>ה</w:t>
      </w:r>
      <w:r w:rsidR="003B5FE4" w:rsidRPr="00EE22D0">
        <w:rPr>
          <w:rFonts w:ascii="David" w:hAnsi="David" w:cs="David" w:hint="cs"/>
          <w:sz w:val="28"/>
          <w:szCs w:val="28"/>
          <w:rtl/>
        </w:rPr>
        <w:t>.</w:t>
      </w:r>
    </w:p>
    <w:p w14:paraId="3AB90F1D" w14:textId="77777777" w:rsidR="00B421C8" w:rsidRPr="00924749" w:rsidRDefault="00B421C8" w:rsidP="001A2C30">
      <w:pPr>
        <w:spacing w:after="360"/>
        <w:jc w:val="both"/>
        <w:rPr>
          <w:rFonts w:ascii="David" w:hAnsi="David" w:cs="David"/>
          <w:sz w:val="28"/>
          <w:szCs w:val="28"/>
          <w:rtl/>
        </w:rPr>
      </w:pPr>
    </w:p>
    <w:p w14:paraId="60EF1FA5" w14:textId="53719A60" w:rsidR="003B5FE4" w:rsidRPr="00E608CB" w:rsidRDefault="003B5FE4" w:rsidP="001A2C30">
      <w:pPr>
        <w:pStyle w:val="a9"/>
        <w:ind w:left="0"/>
        <w:jc w:val="center"/>
        <w:rPr>
          <w:rFonts w:ascii="David" w:hAnsi="David" w:cs="David"/>
          <w:b/>
          <w:bCs/>
          <w:sz w:val="28"/>
          <w:szCs w:val="28"/>
          <w:u w:val="single"/>
        </w:rPr>
      </w:pPr>
      <w:r>
        <w:rPr>
          <w:rFonts w:ascii="David" w:hAnsi="David" w:cs="David" w:hint="cs"/>
          <w:b/>
          <w:bCs/>
          <w:sz w:val="28"/>
          <w:szCs w:val="28"/>
          <w:u w:val="single"/>
          <w:rtl/>
        </w:rPr>
        <w:t>ה ח ל ט ה</w:t>
      </w:r>
      <w:r w:rsidRPr="00E608CB">
        <w:rPr>
          <w:rFonts w:ascii="David" w:hAnsi="David" w:cs="David"/>
          <w:b/>
          <w:bCs/>
          <w:sz w:val="28"/>
          <w:szCs w:val="28"/>
          <w:u w:val="single"/>
          <w:rtl/>
        </w:rPr>
        <w:t xml:space="preserve"> </w:t>
      </w:r>
    </w:p>
    <w:p w14:paraId="509DEB76" w14:textId="77777777" w:rsidR="003B5FE4" w:rsidRPr="00E608CB" w:rsidRDefault="003B5FE4" w:rsidP="001A2C30">
      <w:pPr>
        <w:pStyle w:val="a9"/>
        <w:ind w:left="0"/>
        <w:jc w:val="both"/>
        <w:rPr>
          <w:rFonts w:ascii="David" w:hAnsi="David" w:cs="David"/>
          <w:sz w:val="28"/>
          <w:szCs w:val="28"/>
        </w:rPr>
      </w:pPr>
    </w:p>
    <w:p w14:paraId="32D6A62B" w14:textId="67501B35"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מונחת בפניי </w:t>
      </w:r>
      <w:bookmarkStart w:id="2" w:name="ABSTRACT_START"/>
      <w:bookmarkEnd w:id="2"/>
      <w:r w:rsidRPr="00D60598">
        <w:rPr>
          <w:rFonts w:ascii="David" w:hAnsi="David" w:cs="David"/>
          <w:sz w:val="28"/>
          <w:szCs w:val="28"/>
          <w:rtl/>
        </w:rPr>
        <w:t>בקשת התביעה הצבאית להארכת מעצרו של המשיב, רס"ר ד</w:t>
      </w:r>
      <w:r w:rsidR="005375EA">
        <w:rPr>
          <w:rFonts w:ascii="David" w:hAnsi="David" w:cs="David" w:hint="cs"/>
          <w:sz w:val="28"/>
          <w:szCs w:val="28"/>
          <w:rtl/>
        </w:rPr>
        <w:t>'</w:t>
      </w:r>
      <w:r w:rsidRPr="00D60598">
        <w:rPr>
          <w:rFonts w:ascii="David" w:hAnsi="David" w:cs="David"/>
          <w:sz w:val="28"/>
          <w:szCs w:val="28"/>
          <w:rtl/>
        </w:rPr>
        <w:t xml:space="preserve"> י</w:t>
      </w:r>
      <w:r w:rsidR="005375EA">
        <w:rPr>
          <w:rFonts w:ascii="David" w:hAnsi="David" w:cs="David" w:hint="cs"/>
          <w:sz w:val="28"/>
          <w:szCs w:val="28"/>
          <w:rtl/>
        </w:rPr>
        <w:t>'</w:t>
      </w:r>
      <w:r w:rsidRPr="00D60598">
        <w:rPr>
          <w:rFonts w:ascii="David" w:hAnsi="David" w:cs="David"/>
          <w:sz w:val="28"/>
          <w:szCs w:val="28"/>
          <w:rtl/>
        </w:rPr>
        <w:t xml:space="preserve"> ב-90 ימים, החל מיום 17 במארס 2026 או עד למתן הכרעת הדין בעניינו, לפי המוקדם. הבקשה הוגשה בהתאם לסעיף 243ב לחוק השיפוט הצבאי, </w:t>
      </w:r>
      <w:proofErr w:type="spellStart"/>
      <w:r w:rsidRPr="00D60598">
        <w:rPr>
          <w:rFonts w:ascii="David" w:hAnsi="David" w:cs="David"/>
          <w:sz w:val="28"/>
          <w:szCs w:val="28"/>
          <w:rtl/>
        </w:rPr>
        <w:t>התשט"ו</w:t>
      </w:r>
      <w:proofErr w:type="spellEnd"/>
      <w:r w:rsidRPr="00D60598">
        <w:rPr>
          <w:rFonts w:ascii="David" w:hAnsi="David" w:cs="David"/>
          <w:sz w:val="28"/>
          <w:szCs w:val="28"/>
          <w:rtl/>
        </w:rPr>
        <w:t xml:space="preserve"> - 1955 וסעיף 62 לחוק סדר הדין הפלילי (סמכויות אכיפה - מעצרים), </w:t>
      </w:r>
      <w:proofErr w:type="spellStart"/>
      <w:r w:rsidRPr="00D60598">
        <w:rPr>
          <w:rFonts w:ascii="David" w:hAnsi="David" w:cs="David"/>
          <w:sz w:val="28"/>
          <w:szCs w:val="28"/>
          <w:rtl/>
        </w:rPr>
        <w:t>התשנ"ו</w:t>
      </w:r>
      <w:proofErr w:type="spellEnd"/>
      <w:r w:rsidRPr="00D60598">
        <w:rPr>
          <w:rFonts w:ascii="David" w:hAnsi="David" w:cs="David"/>
          <w:sz w:val="28"/>
          <w:szCs w:val="28"/>
          <w:rtl/>
        </w:rPr>
        <w:t xml:space="preserve"> - 1996</w:t>
      </w:r>
      <w:bookmarkStart w:id="3" w:name="ABSTRACT_END"/>
      <w:bookmarkEnd w:id="3"/>
      <w:r w:rsidRPr="00D60598">
        <w:rPr>
          <w:rFonts w:ascii="David" w:hAnsi="David" w:cs="David"/>
          <w:sz w:val="28"/>
          <w:szCs w:val="28"/>
          <w:rtl/>
        </w:rPr>
        <w:t>.</w:t>
      </w:r>
    </w:p>
    <w:p w14:paraId="6FB19915"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המשיב נעצר ביום 13 בנובמבר 2024. כתב האישום שהוגש נגדו ביום 19 בדצמבר 2025 (ותוקן בהמשך), מייחס לו עבירות של הוצאת נשק מרשות הצבא בצוותא, לפי סעיף 78 לחוק השיפוט הצבאי וסעיף 29(ב) לחוק העונשין, </w:t>
      </w:r>
      <w:proofErr w:type="spellStart"/>
      <w:r w:rsidRPr="00D60598">
        <w:rPr>
          <w:rFonts w:ascii="David" w:hAnsi="David" w:cs="David"/>
          <w:sz w:val="28"/>
          <w:szCs w:val="28"/>
          <w:rtl/>
        </w:rPr>
        <w:t>התשל"ז</w:t>
      </w:r>
      <w:proofErr w:type="spellEnd"/>
      <w:r w:rsidRPr="00D60598">
        <w:rPr>
          <w:rFonts w:ascii="David" w:hAnsi="David" w:cs="David"/>
          <w:sz w:val="28"/>
          <w:szCs w:val="28"/>
          <w:rtl/>
        </w:rPr>
        <w:t xml:space="preserve"> - 1977; עבירות בנשק (סחר)</w:t>
      </w:r>
      <w:r w:rsidRPr="00D60598">
        <w:rPr>
          <w:rFonts w:ascii="David" w:hAnsi="David" w:cs="David"/>
          <w:sz w:val="28"/>
          <w:szCs w:val="28"/>
        </w:rPr>
        <w:t> </w:t>
      </w:r>
      <w:r w:rsidRPr="00D60598">
        <w:rPr>
          <w:rFonts w:ascii="David" w:hAnsi="David" w:cs="David"/>
          <w:sz w:val="28"/>
          <w:szCs w:val="28"/>
          <w:rtl/>
        </w:rPr>
        <w:t xml:space="preserve">בצוותא, </w:t>
      </w:r>
      <w:r w:rsidRPr="00D60598">
        <w:rPr>
          <w:rFonts w:ascii="David" w:hAnsi="David" w:cs="David"/>
          <w:sz w:val="28"/>
          <w:szCs w:val="28"/>
          <w:rtl/>
        </w:rPr>
        <w:lastRenderedPageBreak/>
        <w:t xml:space="preserve">לפי סעיף 144(ב2) וסעיף 29(ב) לחוק העונשין; שימוש בסם מסוכן, לפי סעיף 7(א) ו-(ג) סיפה לפקודת הסמים המסוכנים [נוסח חדש], </w:t>
      </w:r>
      <w:proofErr w:type="spellStart"/>
      <w:r w:rsidRPr="00D60598">
        <w:rPr>
          <w:rFonts w:ascii="David" w:hAnsi="David" w:cs="David"/>
          <w:sz w:val="28"/>
          <w:szCs w:val="28"/>
          <w:rtl/>
        </w:rPr>
        <w:t>התשל"ג</w:t>
      </w:r>
      <w:proofErr w:type="spellEnd"/>
      <w:r w:rsidRPr="00D60598">
        <w:rPr>
          <w:rFonts w:ascii="David" w:hAnsi="David" w:cs="David"/>
          <w:sz w:val="28"/>
          <w:szCs w:val="28"/>
          <w:rtl/>
        </w:rPr>
        <w:t xml:space="preserve"> - 1973; החזקת סם מסוכן, לפי סעיף 7(א) ו-(ג)</w:t>
      </w:r>
      <w:r w:rsidRPr="00D60598">
        <w:rPr>
          <w:rFonts w:ascii="David" w:hAnsi="David" w:cs="David"/>
          <w:sz w:val="28"/>
          <w:szCs w:val="28"/>
        </w:rPr>
        <w:t> </w:t>
      </w:r>
      <w:r w:rsidRPr="00D60598">
        <w:rPr>
          <w:rFonts w:ascii="David" w:hAnsi="David" w:cs="David"/>
          <w:sz w:val="28"/>
          <w:szCs w:val="28"/>
          <w:rtl/>
        </w:rPr>
        <w:t>לפקודת הסמים המסוכנים; החזקת כלים להכנת סם לצריכה עצמית, לפי סעיף 10 סיפה לפקודת הסמים המסוכנים; סירוב להיבדק לשם גילוי שימוש בסמים מסוכנים, לפי סעיפים 127א' ו-250א' לחוק השיפוט הצבאי; והתנהגות שאינה הולמת, לפי סעיף 130 לחוק השיפוט הצבאי.</w:t>
      </w:r>
    </w:p>
    <w:p w14:paraId="0B4AB630"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tl/>
        </w:rPr>
      </w:pPr>
      <w:r w:rsidRPr="00D60598">
        <w:rPr>
          <w:rFonts w:ascii="David" w:hAnsi="David" w:cs="David"/>
          <w:sz w:val="28"/>
          <w:szCs w:val="28"/>
          <w:rtl/>
        </w:rPr>
        <w:t xml:space="preserve">בכתב האישום נטען, כי המשיב, משרת קבע בדרגת רס"ר, בתפקיד בוחן מכונאות </w:t>
      </w:r>
      <w:proofErr w:type="spellStart"/>
      <w:r w:rsidRPr="00D60598">
        <w:rPr>
          <w:rFonts w:ascii="David" w:hAnsi="David" w:cs="David"/>
          <w:sz w:val="28"/>
          <w:szCs w:val="28"/>
          <w:rtl/>
        </w:rPr>
        <w:t>נמ"ר</w:t>
      </w:r>
      <w:proofErr w:type="spellEnd"/>
      <w:r w:rsidRPr="00D60598">
        <w:rPr>
          <w:rFonts w:ascii="David" w:hAnsi="David" w:cs="David"/>
          <w:sz w:val="28"/>
          <w:szCs w:val="28"/>
          <w:rtl/>
        </w:rPr>
        <w:t xml:space="preserve"> בסיירת גבעתי, הוציא במועדים שונים, בין אוקטובר 2023 ועד לנובמבר 2024, מרשות הצבא, 23 רימוני רסס, שמונה לבנות חבלה ו-30 נפצי חבלה חשמליים מרשות הצבא (שהוצאו בחלקם משטחי כינוס בסמוך לעזה), בצוותא עם נגד נוסף, רס"ר אטיאס, וכי השניים סחרו בנשק האמור עם סוכן חשאי במצ"ח. כן נטען בכתב האישום כי המשיב השתמש בסם מסוג קנאביס במספר הזדמנויות בביתו ובסם מסוג קוקאין, במספר רב של פעמים ביחידתו, וכן החזיק בסם מסוג קוקאין ובכלים לצריכתו ביחידה. לבסוף נטען כי סירב למסור דגימת שתן בחקירתו, גם לאחר שהוצא בעניינו צו </w:t>
      </w:r>
      <w:proofErr w:type="spellStart"/>
      <w:r w:rsidRPr="00D60598">
        <w:rPr>
          <w:rFonts w:ascii="David" w:hAnsi="David" w:cs="David"/>
          <w:sz w:val="28"/>
          <w:szCs w:val="28"/>
          <w:rtl/>
        </w:rPr>
        <w:t>קש"ב</w:t>
      </w:r>
      <w:proofErr w:type="spellEnd"/>
      <w:r w:rsidRPr="00D60598">
        <w:rPr>
          <w:rFonts w:ascii="David" w:hAnsi="David" w:cs="David"/>
          <w:sz w:val="28"/>
          <w:szCs w:val="28"/>
          <w:rtl/>
        </w:rPr>
        <w:t xml:space="preserve"> המחייבו לעשות כן.</w:t>
      </w:r>
    </w:p>
    <w:p w14:paraId="4C3C1725"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tl/>
        </w:rPr>
      </w:pPr>
      <w:r w:rsidRPr="00D60598">
        <w:rPr>
          <w:rFonts w:ascii="David" w:hAnsi="David" w:cs="David"/>
          <w:sz w:val="28"/>
          <w:szCs w:val="28"/>
          <w:rtl/>
        </w:rPr>
        <w:t xml:space="preserve">בהחלטת מעצר שניתנה ביום 17 בפברואר 2025 על ידי כב' השופטת סא"ל </w:t>
      </w:r>
      <w:proofErr w:type="spellStart"/>
      <w:r w:rsidRPr="00D60598">
        <w:rPr>
          <w:rFonts w:ascii="David" w:hAnsi="David" w:cs="David"/>
          <w:sz w:val="28"/>
          <w:szCs w:val="28"/>
          <w:rtl/>
        </w:rPr>
        <w:t>אנסטסיה</w:t>
      </w:r>
      <w:proofErr w:type="spellEnd"/>
      <w:r w:rsidRPr="00D60598">
        <w:rPr>
          <w:rFonts w:ascii="David" w:hAnsi="David" w:cs="David"/>
          <w:sz w:val="28"/>
          <w:szCs w:val="28"/>
          <w:rtl/>
        </w:rPr>
        <w:t xml:space="preserve"> </w:t>
      </w:r>
      <w:proofErr w:type="spellStart"/>
      <w:r w:rsidRPr="00D60598">
        <w:rPr>
          <w:rFonts w:ascii="David" w:hAnsi="David" w:cs="David"/>
          <w:sz w:val="28"/>
          <w:szCs w:val="28"/>
          <w:rtl/>
        </w:rPr>
        <w:t>סורז'נקו</w:t>
      </w:r>
      <w:proofErr w:type="spellEnd"/>
      <w:r w:rsidRPr="00D60598">
        <w:rPr>
          <w:rFonts w:ascii="David" w:hAnsi="David" w:cs="David"/>
          <w:sz w:val="28"/>
          <w:szCs w:val="28"/>
          <w:rtl/>
        </w:rPr>
        <w:t>, נבחן המסד הראייתי שבבסיסו של כתב האישום. מסד זה כולל, בתמצית, דוחות של סוכן חשאי שעמד בקשר עם רס"ר אטיאס, ומהם עלה, כי רס"ר אטיאס מכר לו אמצעי לחימה, תוך שתיאר כי מקורם בשטחי כינוס, משם הוציא אותם ביחד עם שותפו - המשיב. לדוחות צורפו צילומי מסך מהשיחה של רס"ר אטיאס עם הסוכן. כמו כן בחיפוש במכשיר הטלפון של המשיב נמצאו התכתבויות מחשידות עם רס"ר אטיאס ביחס להוצאת אמל"ח מרשות הצבא ושימוש בסם; ובחיפוש ביחידתם של המשיב ורס"ר אטיאס נמצאו שטרות כסף וסמים מסוג קוקאין. רס"ר אטיאס שמר בחקירתו על זכות השתיקה ואילו המשיב</w:t>
      </w:r>
      <w:r w:rsidRPr="00D60598">
        <w:rPr>
          <w:rFonts w:ascii="David" w:hAnsi="David" w:cs="David"/>
          <w:sz w:val="28"/>
          <w:szCs w:val="28"/>
          <w:rtl/>
        </w:rPr>
        <w:br/>
        <w:t xml:space="preserve">אישר כי רס"ר אטיאס פנה אליו בעבר בהצעה כי יוציאו אמצעי לחימה מעזה, אך טען כי השיב בשלילה והכחיש את מעורבותו בעניין. לצד זאת הודה בשימוש בסם. בית הדין המחוזי קבע כי יש ראיות לכאורה למעורבות המשיב הן בהוצאת אמצעי הלחימה והן בשימוש בסם, והורה על מעצרו של המשיב עד לתום ההליכים המשפטיים בעניינו. על החלטה זו לא הוגש ערעור. </w:t>
      </w:r>
    </w:p>
    <w:p w14:paraId="3850B9C3"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המשיב כפר באשמה ביום 12 בינואר 2025, ובתיק התנהלו דיונים בבקשת ההגנה לקבל חומרי חקירה ובעתירה לגילוי ראיה חסויה. כמו כן התנהלו ישיבות גישור בין הצדדים. בין לבין הוארך מעצרו של המשיב על ידי בית דין זה מספר פעמים, מרביתם בהסכמת הצדדים, ובאחת הפעמים על אף התנגדות ההגנה. התיק מתנהל כעת בדרך של שמיעת ראיות. </w:t>
      </w:r>
    </w:p>
    <w:p w14:paraId="0BF34715"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בחודש ספטמבר 2025 ביקשה ההגנה מבית הדין קמא לעיין מחדש בשאלת מעצרו של המשיב, מטעמים ראייתיים ולאור חלוף הזמן. הבקשה נדונה על ידי </w:t>
      </w:r>
      <w:proofErr w:type="spellStart"/>
      <w:r w:rsidRPr="00D60598">
        <w:rPr>
          <w:rFonts w:ascii="David" w:hAnsi="David" w:cs="David"/>
          <w:sz w:val="28"/>
          <w:szCs w:val="28"/>
          <w:rtl/>
        </w:rPr>
        <w:t>האב"ד</w:t>
      </w:r>
      <w:proofErr w:type="spellEnd"/>
      <w:r w:rsidRPr="00D60598">
        <w:rPr>
          <w:rFonts w:ascii="David" w:hAnsi="David" w:cs="David"/>
          <w:sz w:val="28"/>
          <w:szCs w:val="28"/>
          <w:rtl/>
        </w:rPr>
        <w:t xml:space="preserve"> בתיק, כב' סגן הנשיא, סא"ל טובי הארט, ונדחתה ביום 17 בספטמבר 2025. אף על החלטה זו לא הוגש </w:t>
      </w:r>
      <w:r w:rsidRPr="00D60598">
        <w:rPr>
          <w:rFonts w:ascii="David" w:hAnsi="David" w:cs="David"/>
          <w:sz w:val="28"/>
          <w:szCs w:val="28"/>
          <w:rtl/>
        </w:rPr>
        <w:lastRenderedPageBreak/>
        <w:t xml:space="preserve">ערעור. כעת, כאמור, מבקשת התביעה להאריך את מעצרו של המערער פעם נוספת למשך 90 ימים או עד למתן הכרעת הדין. </w:t>
      </w:r>
    </w:p>
    <w:p w14:paraId="0EFAB0EC"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מטיעוני הצדדים עלה, כי הסתיימה פרשת התביעה, ואף פרשת ההגנה קרובה לסיומה. עם זאת הצדדים חלוקים ביניהם ביחס לאופן שבו יישמעו עדויותיהם של שני עדים נוספים. בואר, כי ביום 19 בפברואר 2026, לאחר שהוגשו סיכומים מטעם הצדדים בכתב ובמועד שנקבע לשמיעת סיכומי הצדדים בעל פה, התעוררה סוגיה המצריכה לשמוע את עדויותיהם של שני חוקרי מצ"ח, שאחד מהם שוהה כעת בחו"ל, לאחר שחרורו מצה"ל. נטען על ידי ההגנה כי נוכח טענות שהועלו על ידיה, ביקש בית הדין מיוזמתו לשמוע הבהרות מטעם העדים האמורים. </w:t>
      </w:r>
    </w:p>
    <w:p w14:paraId="4261FB5E"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לשיטת ההגנה דרך המלך לשמיעת עדותו של העד השוהה מחוץ לישראל היא באמצעות הגשת בקשה מתאימה בהתאם לחוק עזרה משפטית בין מדינות, </w:t>
      </w:r>
      <w:proofErr w:type="spellStart"/>
      <w:r w:rsidRPr="00D60598">
        <w:rPr>
          <w:rFonts w:ascii="David" w:hAnsi="David" w:cs="David"/>
          <w:sz w:val="28"/>
          <w:szCs w:val="28"/>
          <w:rtl/>
        </w:rPr>
        <w:t>התשנ"ח</w:t>
      </w:r>
      <w:proofErr w:type="spellEnd"/>
      <w:r w:rsidRPr="00D60598">
        <w:rPr>
          <w:rFonts w:ascii="David" w:hAnsi="David" w:cs="David"/>
          <w:sz w:val="28"/>
          <w:szCs w:val="28"/>
          <w:rtl/>
        </w:rPr>
        <w:t xml:space="preserve"> - 1998, אשר טיפול בה עשוי להימשך זמן רב, וכן נטען כי  יהיה צורך לגבות את עדותו בקונסוליה הישראלית במדינה שבה הוא שוהה, כדי לאפשר את הזהרתו כראוי וכן הצגת מסמכים במהלך חקירתו הנגדית. משהליכים אלה עשויים להימשך זמן רב ולהביא לעיכוב ממשי בניהול ההליכים, בשים לב למצב החירום השורר כעת, שעשוי אף הוא להוביל לעיכובים, וכן לאור הצורך לעדכן את סיכומי הצדדים נוכח העדויות שיישמעו - סבורה ההגנה כי צפויה התמשכות הליכים בלתי מידתית. לפיכך עתרה לשחרורו של המערער לחלופת מעצר. צוין כי יש למערער בני משפחה שהם שוטרים, שביכולתם לפקח עליו באופן הרמטי. </w:t>
      </w:r>
    </w:p>
    <w:p w14:paraId="43F51060"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מנגד טוענת התביעה, כי לפי פרשנותה את הדין לא נדרש לשמוע את העד השוהה בחו"ל במסגרת הליך לפי חוק עזרה משפטית בין מדינות (תוך שצוין גם כי אין ביכולתו של העד להגיע אל הקונסוליה), אלא ניתן לשמוע את עדותו במסגרת היוועדות חזותית, תוך הזהרתו על ידי בית הדין כמקובל - הליך שהעד מסר כי באפשרותו להשתתף בו מרחוק. לפיכך סבורה התביעה, כי ניתן יהיה לשמוע את שני העדים במועד קרוב (צוין, כי התיק נקבע לשמיעת העדויות ב-25 למארס 2026 והתביעה הגישה בקשה להקדמת הדיון ביומיים נוספים), ולסיים את שמיעת התיק בתוך פרק זמן סביר. עוד נטען, כי עילות המעצר המובהקות המתקיימות בעניינו של המערער אינן מאפשרות את שחרורו לחלופת מעצר. </w:t>
      </w:r>
    </w:p>
    <w:p w14:paraId="2B821ACD" w14:textId="77777777" w:rsidR="00B4530B" w:rsidRPr="00D60598" w:rsidRDefault="00B4530B" w:rsidP="00B4530B">
      <w:pPr>
        <w:tabs>
          <w:tab w:val="left" w:pos="-58"/>
          <w:tab w:val="left" w:pos="226"/>
          <w:tab w:val="left" w:pos="368"/>
          <w:tab w:val="left" w:pos="935"/>
        </w:tabs>
        <w:ind w:left="225"/>
        <w:jc w:val="both"/>
        <w:rPr>
          <w:rFonts w:ascii="David" w:hAnsi="David" w:cs="David"/>
          <w:sz w:val="28"/>
          <w:szCs w:val="28"/>
        </w:rPr>
      </w:pPr>
    </w:p>
    <w:p w14:paraId="394B01D7" w14:textId="77777777" w:rsidR="00B4530B" w:rsidRPr="00D60598" w:rsidRDefault="00B4530B" w:rsidP="00B4530B">
      <w:pPr>
        <w:tabs>
          <w:tab w:val="left" w:pos="-58"/>
          <w:tab w:val="left" w:pos="226"/>
          <w:tab w:val="left" w:pos="368"/>
          <w:tab w:val="left" w:pos="935"/>
        </w:tabs>
        <w:jc w:val="both"/>
        <w:rPr>
          <w:rFonts w:ascii="David" w:hAnsi="David" w:cs="David"/>
          <w:sz w:val="28"/>
          <w:szCs w:val="28"/>
          <w:rtl/>
        </w:rPr>
      </w:pPr>
      <w:r w:rsidRPr="00D60598">
        <w:rPr>
          <w:rFonts w:ascii="David" w:hAnsi="David" w:cs="David"/>
          <w:b/>
          <w:bCs/>
          <w:sz w:val="28"/>
          <w:szCs w:val="28"/>
          <w:rtl/>
        </w:rPr>
        <w:t>דיון והכרעה</w:t>
      </w:r>
    </w:p>
    <w:p w14:paraId="0D926701" w14:textId="77777777" w:rsidR="00B4530B" w:rsidRPr="00D60598" w:rsidRDefault="00B4530B" w:rsidP="00B4530B">
      <w:pPr>
        <w:tabs>
          <w:tab w:val="left" w:pos="-58"/>
          <w:tab w:val="left" w:pos="226"/>
          <w:tab w:val="left" w:pos="368"/>
          <w:tab w:val="left" w:pos="935"/>
        </w:tabs>
        <w:ind w:left="225"/>
        <w:jc w:val="both"/>
        <w:rPr>
          <w:rFonts w:ascii="David" w:hAnsi="David" w:cs="David"/>
          <w:sz w:val="28"/>
          <w:szCs w:val="28"/>
          <w:rtl/>
        </w:rPr>
      </w:pPr>
    </w:p>
    <w:p w14:paraId="4486594B"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tl/>
        </w:rPr>
      </w:pPr>
      <w:r w:rsidRPr="00D60598">
        <w:rPr>
          <w:rFonts w:ascii="David" w:hAnsi="David" w:cs="David"/>
          <w:sz w:val="28"/>
          <w:szCs w:val="28"/>
          <w:rtl/>
        </w:rPr>
        <w:t xml:space="preserve">כידוע, וכפי שבואר גם בהחלטות קודמות שניתנו בעניינו של המשיב, בשאלת הארכת המעצר לפי סעיף 62 לחוק סדר הדין הפלילי (סמכויות אכיפה - מעצרים) (שהוחל, כאמור, בשינויים המחויבים, בסעיף 243ב לחוק השיפוט הצבאי) יש לאזן בין הפגיעה המתמשכת בחירותו של הנאשם לבין הצורך בהגנה על שלום הציבור ובטחונו והצורך להגן על תקינות ההליך הפלילי, וזאת בדרך של התחשבות בחלוף הזמן מאז הושם הנאשם במעצר; חומרת </w:t>
      </w:r>
      <w:r w:rsidRPr="00D60598">
        <w:rPr>
          <w:rFonts w:ascii="David" w:hAnsi="David" w:cs="David"/>
          <w:sz w:val="28"/>
          <w:szCs w:val="28"/>
          <w:rtl/>
        </w:rPr>
        <w:lastRenderedPageBreak/>
        <w:t>העבירות המיוחסות לנאשם ונסיבותיהן; מידת המסוכנות הנשקפת ממנו; וכן החשש מפני שיבוש הליכי משפט (</w:t>
      </w:r>
      <w:proofErr w:type="spellStart"/>
      <w:r w:rsidRPr="00D60598">
        <w:rPr>
          <w:rFonts w:ascii="David" w:hAnsi="David" w:cs="David"/>
          <w:sz w:val="28"/>
          <w:szCs w:val="28"/>
          <w:rtl/>
        </w:rPr>
        <w:t>בש"פ</w:t>
      </w:r>
      <w:proofErr w:type="spellEnd"/>
      <w:r w:rsidRPr="00D60598">
        <w:rPr>
          <w:rFonts w:ascii="David" w:hAnsi="David" w:cs="David"/>
          <w:sz w:val="28"/>
          <w:szCs w:val="28"/>
          <w:rtl/>
        </w:rPr>
        <w:t xml:space="preserve"> 7430/21 </w:t>
      </w:r>
      <w:r w:rsidRPr="00D60598">
        <w:rPr>
          <w:rFonts w:ascii="David" w:hAnsi="David" w:cs="David"/>
          <w:b/>
          <w:bCs/>
          <w:sz w:val="28"/>
          <w:szCs w:val="28"/>
          <w:rtl/>
        </w:rPr>
        <w:t>מדינת ישראל נ' פלוני</w:t>
      </w:r>
      <w:r w:rsidRPr="00D60598">
        <w:rPr>
          <w:rFonts w:ascii="David" w:hAnsi="David" w:cs="David"/>
          <w:sz w:val="28"/>
          <w:szCs w:val="28"/>
          <w:rtl/>
        </w:rPr>
        <w:t>,</w:t>
      </w:r>
      <w:r w:rsidRPr="00D60598">
        <w:rPr>
          <w:rFonts w:ascii="David" w:hAnsi="David" w:cs="David"/>
          <w:b/>
          <w:bCs/>
          <w:sz w:val="28"/>
          <w:szCs w:val="28"/>
          <w:rtl/>
        </w:rPr>
        <w:t> </w:t>
      </w:r>
      <w:r w:rsidRPr="00D60598">
        <w:rPr>
          <w:rFonts w:ascii="David" w:hAnsi="David" w:cs="David"/>
          <w:sz w:val="28"/>
          <w:szCs w:val="28"/>
          <w:rtl/>
        </w:rPr>
        <w:t>פסקה 12 </w:t>
      </w:r>
      <w:r w:rsidRPr="00D60598">
        <w:rPr>
          <w:rFonts w:ascii="David" w:hAnsi="David" w:cs="David"/>
          <w:b/>
          <w:bCs/>
          <w:sz w:val="28"/>
          <w:szCs w:val="28"/>
          <w:rtl/>
        </w:rPr>
        <w:t> </w:t>
      </w:r>
      <w:r w:rsidRPr="00D60598">
        <w:rPr>
          <w:rFonts w:ascii="David" w:hAnsi="David" w:cs="David"/>
          <w:sz w:val="28"/>
          <w:szCs w:val="28"/>
          <w:rtl/>
        </w:rPr>
        <w:t>(18.11.2021);</w:t>
      </w:r>
      <w:r>
        <w:rPr>
          <w:rFonts w:ascii="David" w:hAnsi="David" w:cs="David" w:hint="cs"/>
          <w:sz w:val="28"/>
          <w:szCs w:val="28"/>
          <w:rtl/>
        </w:rPr>
        <w:t xml:space="preserve"> </w:t>
      </w:r>
      <w:proofErr w:type="spellStart"/>
      <w:r w:rsidRPr="00D60598">
        <w:rPr>
          <w:rFonts w:ascii="David" w:hAnsi="David" w:cs="David"/>
          <w:sz w:val="28"/>
          <w:szCs w:val="28"/>
          <w:rtl/>
        </w:rPr>
        <w:t>בש"פ</w:t>
      </w:r>
      <w:proofErr w:type="spellEnd"/>
      <w:r w:rsidRPr="00D60598">
        <w:rPr>
          <w:rFonts w:ascii="David" w:hAnsi="David" w:cs="David"/>
          <w:sz w:val="28"/>
          <w:szCs w:val="28"/>
          <w:rtl/>
        </w:rPr>
        <w:t xml:space="preserve"> 85/21 </w:t>
      </w:r>
      <w:r w:rsidRPr="00D60598">
        <w:rPr>
          <w:rFonts w:ascii="David" w:hAnsi="David" w:cs="David"/>
          <w:b/>
          <w:bCs/>
          <w:sz w:val="28"/>
          <w:szCs w:val="28"/>
          <w:rtl/>
        </w:rPr>
        <w:t xml:space="preserve">מדינת ישראל נ' </w:t>
      </w:r>
      <w:proofErr w:type="spellStart"/>
      <w:r w:rsidRPr="00D60598">
        <w:rPr>
          <w:rFonts w:ascii="David" w:hAnsi="David" w:cs="David"/>
          <w:b/>
          <w:bCs/>
          <w:sz w:val="28"/>
          <w:szCs w:val="28"/>
          <w:rtl/>
        </w:rPr>
        <w:t>מחאג'נה</w:t>
      </w:r>
      <w:proofErr w:type="spellEnd"/>
      <w:r w:rsidRPr="00D60598">
        <w:rPr>
          <w:rFonts w:ascii="David" w:hAnsi="David" w:cs="David"/>
          <w:sz w:val="28"/>
          <w:szCs w:val="28"/>
          <w:rtl/>
        </w:rPr>
        <w:t>, פסקה 10 (19.1.2021);</w:t>
      </w:r>
      <w:r>
        <w:rPr>
          <w:rFonts w:ascii="David" w:hAnsi="David" w:cs="David" w:hint="cs"/>
          <w:sz w:val="28"/>
          <w:szCs w:val="28"/>
          <w:rtl/>
        </w:rPr>
        <w:t xml:space="preserve"> ב"ש</w:t>
      </w:r>
      <w:r w:rsidRPr="00D60598">
        <w:rPr>
          <w:rFonts w:ascii="David" w:hAnsi="David" w:cs="David"/>
          <w:sz w:val="28"/>
          <w:szCs w:val="28"/>
          <w:rtl/>
        </w:rPr>
        <w:t xml:space="preserve"> 15/21 </w:t>
      </w:r>
      <w:r w:rsidRPr="00D60598">
        <w:rPr>
          <w:rFonts w:ascii="David" w:hAnsi="David" w:cs="David"/>
          <w:b/>
          <w:bCs/>
          <w:sz w:val="28"/>
          <w:szCs w:val="28"/>
          <w:rtl/>
        </w:rPr>
        <w:t xml:space="preserve">התובע הצבאי הראשי נ' רס"ר </w:t>
      </w:r>
      <w:proofErr w:type="spellStart"/>
      <w:r w:rsidRPr="00D60598">
        <w:rPr>
          <w:rFonts w:ascii="David" w:hAnsi="David" w:cs="David"/>
          <w:b/>
          <w:bCs/>
          <w:sz w:val="28"/>
          <w:szCs w:val="28"/>
          <w:rtl/>
        </w:rPr>
        <w:t>שיליאן</w:t>
      </w:r>
      <w:proofErr w:type="spellEnd"/>
      <w:r w:rsidRPr="00D60598">
        <w:rPr>
          <w:rFonts w:ascii="David" w:hAnsi="David" w:cs="David"/>
          <w:sz w:val="28"/>
          <w:szCs w:val="28"/>
          <w:rtl/>
        </w:rPr>
        <w:t> (2021); ב"ש 7/22 </w:t>
      </w:r>
      <w:r w:rsidRPr="00D60598">
        <w:rPr>
          <w:rFonts w:ascii="David" w:hAnsi="David" w:cs="David"/>
          <w:b/>
          <w:bCs/>
          <w:sz w:val="28"/>
          <w:szCs w:val="28"/>
          <w:rtl/>
        </w:rPr>
        <w:t>התובע הצבאי הראשי נ' סמל יגר</w:t>
      </w:r>
      <w:r w:rsidRPr="00D60598">
        <w:rPr>
          <w:rFonts w:ascii="David" w:hAnsi="David" w:cs="David"/>
          <w:sz w:val="28"/>
          <w:szCs w:val="28"/>
          <w:rtl/>
        </w:rPr>
        <w:t>, פסקה 9</w:t>
      </w:r>
      <w:r w:rsidRPr="00D60598">
        <w:rPr>
          <w:rFonts w:ascii="David" w:hAnsi="David" w:cs="David"/>
          <w:b/>
          <w:bCs/>
          <w:sz w:val="28"/>
          <w:szCs w:val="28"/>
          <w:rtl/>
        </w:rPr>
        <w:t> </w:t>
      </w:r>
      <w:r w:rsidRPr="00D60598">
        <w:rPr>
          <w:rFonts w:ascii="David" w:hAnsi="David" w:cs="David"/>
          <w:sz w:val="28"/>
          <w:szCs w:val="28"/>
          <w:rtl/>
        </w:rPr>
        <w:t>(2022)). בחינה זו נועדה לקיים מנגנון של ביקורת שיפוטית על הליכי מעצר ממושכים, תוך בחינה, בין היתר, של קצב התקדמות ההליך המשפטי בעניינו וצפי התמשכותו בעתיד (</w:t>
      </w:r>
      <w:proofErr w:type="spellStart"/>
      <w:r w:rsidRPr="00D60598">
        <w:rPr>
          <w:rFonts w:ascii="David" w:hAnsi="David" w:cs="David"/>
          <w:sz w:val="28"/>
          <w:szCs w:val="28"/>
          <w:rtl/>
        </w:rPr>
        <w:t>בש"פ</w:t>
      </w:r>
      <w:proofErr w:type="spellEnd"/>
      <w:r w:rsidRPr="00D60598">
        <w:rPr>
          <w:rFonts w:ascii="David" w:hAnsi="David" w:cs="David"/>
          <w:sz w:val="28"/>
          <w:szCs w:val="28"/>
          <w:rtl/>
        </w:rPr>
        <w:t xml:space="preserve"> 4661/21 </w:t>
      </w:r>
      <w:r w:rsidRPr="00D60598">
        <w:rPr>
          <w:rFonts w:ascii="David" w:hAnsi="David" w:cs="David"/>
          <w:b/>
          <w:bCs/>
          <w:sz w:val="28"/>
          <w:szCs w:val="28"/>
          <w:rtl/>
        </w:rPr>
        <w:t>ראובן נ' מדינת ישראל</w:t>
      </w:r>
      <w:r w:rsidRPr="00D60598">
        <w:rPr>
          <w:rFonts w:ascii="David" w:hAnsi="David" w:cs="David"/>
          <w:sz w:val="28"/>
          <w:szCs w:val="28"/>
          <w:rtl/>
        </w:rPr>
        <w:t>, פסקה 7 (25.7.2021); ב"ש 107/22 </w:t>
      </w:r>
      <w:r w:rsidRPr="00D60598">
        <w:rPr>
          <w:rFonts w:ascii="David" w:hAnsi="David" w:cs="David"/>
          <w:b/>
          <w:bCs/>
          <w:sz w:val="28"/>
          <w:szCs w:val="28"/>
          <w:rtl/>
        </w:rPr>
        <w:t>סא"ל דן שרוני נ' התובע הצבאי הראשי</w:t>
      </w:r>
      <w:r w:rsidRPr="00D60598">
        <w:rPr>
          <w:rFonts w:ascii="David" w:hAnsi="David" w:cs="David"/>
          <w:sz w:val="28"/>
          <w:szCs w:val="28"/>
          <w:rtl/>
        </w:rPr>
        <w:t xml:space="preserve">, פסקאות 20-18 (2023)). </w:t>
      </w:r>
    </w:p>
    <w:p w14:paraId="711C7A78"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למשיב מיוחסות בכתב האישום עבירות נשק המקימות חזקת מסוכנות סטטוטורית לפי סעיף 21(א)(1)(ג)(2) לחוק סדר הדין הפלילי (סמכויות אכיפה - מעצרים). לצד עילת המעצר הסטטוטורית מתקיימות בעניינו של המשיב, גם עילת המסוכנות הצבאית ועילת המעצר הצבאית הייחודית, שעניינה פגיעה חריפה במשמעת הצבא, אשר אף אם התקהו עקב פיטוריו משירות עדיין לא התאיינו כליל; וזאת בשים לב לטיב העבירות, להיקף אמצעי הלחימה שבהם עסקינן  ולכך שהמשיב ביצע את העבירות תוך מעילה באמון מפקדיו ובתפקידו כנגד בשירות קבע, ותוך פגיעה בכוננות הצבא בעיצומה של מלחמה קשה. מכאן שמתקיימות בנסיבות העניין עילות מעצר מובהקות שאינן מאפשרות שחרור לחלופת מעצר בנסיבות העניין (ראו לעניין זה את ההחלטה בעניינו של שותפו של המערער, רס"ר אטיאס (ע"מ 447-06-25 </w:t>
      </w:r>
      <w:r w:rsidRPr="00D60598">
        <w:rPr>
          <w:rFonts w:ascii="David" w:hAnsi="David" w:cs="David"/>
          <w:b/>
          <w:bCs/>
          <w:sz w:val="28"/>
          <w:szCs w:val="28"/>
          <w:rtl/>
        </w:rPr>
        <w:t>רס"ר אטיאס נ' התובע הצבאי הראשי</w:t>
      </w:r>
      <w:r w:rsidRPr="00D60598">
        <w:rPr>
          <w:rFonts w:ascii="David" w:hAnsi="David" w:cs="David"/>
          <w:sz w:val="28"/>
          <w:szCs w:val="28"/>
          <w:rtl/>
        </w:rPr>
        <w:t xml:space="preserve">, פסקאות 15, 20 (2025);  כן את ע"מ 20173-02-26 </w:t>
      </w:r>
      <w:r w:rsidRPr="00D60598">
        <w:rPr>
          <w:rFonts w:ascii="David" w:hAnsi="David" w:cs="David"/>
          <w:b/>
          <w:bCs/>
          <w:sz w:val="28"/>
          <w:szCs w:val="28"/>
          <w:rtl/>
        </w:rPr>
        <w:t>רס"ר (מיל')</w:t>
      </w:r>
      <w:r w:rsidRPr="00D60598">
        <w:rPr>
          <w:rFonts w:ascii="David" w:hAnsi="David" w:cs="David"/>
          <w:b/>
          <w:bCs/>
          <w:sz w:val="28"/>
          <w:szCs w:val="28"/>
        </w:rPr>
        <w:t xml:space="preserve"> </w:t>
      </w:r>
      <w:r w:rsidRPr="00D60598">
        <w:rPr>
          <w:rFonts w:ascii="David" w:hAnsi="David" w:cs="David"/>
          <w:b/>
          <w:bCs/>
          <w:sz w:val="28"/>
          <w:szCs w:val="28"/>
          <w:rtl/>
        </w:rPr>
        <w:t>אסלים נ' התובע הצבאי הראשי</w:t>
      </w:r>
      <w:r w:rsidRPr="00D60598">
        <w:rPr>
          <w:rFonts w:ascii="David" w:hAnsi="David" w:cs="David"/>
          <w:sz w:val="28"/>
          <w:szCs w:val="28"/>
          <w:rtl/>
        </w:rPr>
        <w:t xml:space="preserve">, פסקה 36 (2026)). </w:t>
      </w:r>
    </w:p>
    <w:p w14:paraId="6C9340D5" w14:textId="0EBBF994"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המשיב עצור אמנם פרק זמן שאינו קצר, ומובן כי את עילות המעצר יש לבחון אל מול משך מעצרו של המשיב עד כה וכאמור גם אל מול התמשכות ההליכים הצפויה; אך יוטעם כי "אין בחלוף הזמן כשלעצמו כדי לאיין את האינטרסים הציבוריים העומדים בבסיס המעצר, ובהם הגנה על שלום הציבור וביטחונו; ויש לבחון בכל מקרה לגופו את הגורמים שהובילו להתמשכותו של ההליך המשפטי, תוך התייחסות למועד בו צפוי ההליך להסתיים" (</w:t>
      </w:r>
      <w:proofErr w:type="spellStart"/>
      <w:r w:rsidRPr="00D60598">
        <w:rPr>
          <w:rFonts w:ascii="David" w:hAnsi="David" w:cs="David"/>
          <w:sz w:val="28"/>
          <w:szCs w:val="28"/>
          <w:rtl/>
        </w:rPr>
        <w:t>עמ"ת</w:t>
      </w:r>
      <w:proofErr w:type="spellEnd"/>
      <w:r w:rsidRPr="00D60598">
        <w:rPr>
          <w:rFonts w:ascii="David" w:hAnsi="David" w:cs="David"/>
          <w:sz w:val="28"/>
          <w:szCs w:val="28"/>
          <w:rtl/>
        </w:rPr>
        <w:t xml:space="preserve"> 4690-12-25 </w:t>
      </w:r>
      <w:proofErr w:type="spellStart"/>
      <w:r w:rsidRPr="00D60598">
        <w:rPr>
          <w:rFonts w:ascii="David" w:hAnsi="David" w:cs="David"/>
          <w:b/>
          <w:bCs/>
          <w:sz w:val="28"/>
          <w:szCs w:val="28"/>
          <w:rtl/>
        </w:rPr>
        <w:t>פיודורוב</w:t>
      </w:r>
      <w:proofErr w:type="spellEnd"/>
      <w:r w:rsidRPr="00D60598">
        <w:rPr>
          <w:rFonts w:ascii="David" w:hAnsi="David" w:cs="David"/>
          <w:b/>
          <w:bCs/>
          <w:sz w:val="28"/>
          <w:szCs w:val="28"/>
          <w:rtl/>
        </w:rPr>
        <w:t xml:space="preserve"> נ' מדינת ישראל, </w:t>
      </w:r>
      <w:r w:rsidRPr="00D60598">
        <w:rPr>
          <w:rFonts w:ascii="David" w:hAnsi="David" w:cs="David"/>
          <w:sz w:val="28"/>
          <w:szCs w:val="28"/>
          <w:rtl/>
        </w:rPr>
        <w:t xml:space="preserve">פסקה 4 והאסמכתאות שם (10.12.2025)). </w:t>
      </w:r>
    </w:p>
    <w:p w14:paraId="682B134D"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 xml:space="preserve">ביישום לענייננו </w:t>
      </w:r>
      <w:r>
        <w:rPr>
          <w:rFonts w:ascii="David" w:hAnsi="David" w:cs="David"/>
          <w:sz w:val="28"/>
          <w:szCs w:val="28"/>
          <w:rtl/>
        </w:rPr>
        <w:t>–</w:t>
      </w:r>
      <w:r w:rsidRPr="00D60598">
        <w:rPr>
          <w:rFonts w:ascii="David" w:hAnsi="David" w:cs="David"/>
          <w:sz w:val="28"/>
          <w:szCs w:val="28"/>
          <w:rtl/>
        </w:rPr>
        <w:t xml:space="preserve"> התיק</w:t>
      </w:r>
      <w:r>
        <w:rPr>
          <w:rFonts w:ascii="David" w:hAnsi="David" w:cs="David" w:hint="cs"/>
          <w:sz w:val="28"/>
          <w:szCs w:val="28"/>
          <w:rtl/>
        </w:rPr>
        <w:t xml:space="preserve"> </w:t>
      </w:r>
      <w:r w:rsidRPr="00D60598">
        <w:rPr>
          <w:rFonts w:ascii="David" w:hAnsi="David" w:cs="David"/>
          <w:sz w:val="28"/>
          <w:szCs w:val="28"/>
          <w:rtl/>
        </w:rPr>
        <w:t xml:space="preserve">התנהל עד כה בקצב סביר. אמנם, שמיעתו לא הסתיימה עד כה בשל הצורך שהתעורר בשמיעת העדים הנוספים, באופן המעכב מעט את סיום ההליך; אך </w:t>
      </w:r>
      <w:proofErr w:type="spellStart"/>
      <w:r w:rsidRPr="00D60598">
        <w:rPr>
          <w:rFonts w:ascii="David" w:hAnsi="David" w:cs="David"/>
          <w:sz w:val="28"/>
          <w:szCs w:val="28"/>
          <w:rtl/>
        </w:rPr>
        <w:t>משעסקינן</w:t>
      </w:r>
      <w:proofErr w:type="spellEnd"/>
      <w:r w:rsidRPr="00D60598">
        <w:rPr>
          <w:rFonts w:ascii="David" w:hAnsi="David" w:cs="David"/>
          <w:sz w:val="28"/>
          <w:szCs w:val="28"/>
          <w:rtl/>
        </w:rPr>
        <w:t xml:space="preserve"> בשני עדים בלבד ומכיוון שהצדדים נערכו זה מכבר להשמיע את עיקרי סיכומיהם בעל פה </w:t>
      </w:r>
      <w:r>
        <w:rPr>
          <w:rFonts w:ascii="David" w:hAnsi="David" w:cs="David"/>
          <w:sz w:val="28"/>
          <w:szCs w:val="28"/>
          <w:rtl/>
        </w:rPr>
        <w:t>–</w:t>
      </w:r>
      <w:r w:rsidRPr="00D60598">
        <w:rPr>
          <w:rFonts w:ascii="David" w:hAnsi="David" w:cs="David"/>
          <w:sz w:val="28"/>
          <w:szCs w:val="28"/>
          <w:rtl/>
        </w:rPr>
        <w:t xml:space="preserve"> העיכוב</w:t>
      </w:r>
      <w:r>
        <w:rPr>
          <w:rFonts w:ascii="David" w:hAnsi="David" w:cs="David" w:hint="cs"/>
          <w:sz w:val="28"/>
          <w:szCs w:val="28"/>
          <w:rtl/>
        </w:rPr>
        <w:t xml:space="preserve"> </w:t>
      </w:r>
      <w:r w:rsidRPr="00D60598">
        <w:rPr>
          <w:rFonts w:ascii="David" w:hAnsi="David" w:cs="David"/>
          <w:sz w:val="28"/>
          <w:szCs w:val="28"/>
          <w:rtl/>
        </w:rPr>
        <w:t xml:space="preserve">אינו צפוי להיות ממושך. ההכרעה במחלוקת בין הצדדים, בשאלה כיצד תישמע עדותו של העד השוהה בחו"ל, נתונה לבית הדין המחוזי, וחזקה עליו כי ימצא את הדרך לעשות כן בהקדם האפשרי. יבואר עוד כי אף במצב החירום השורר כעת אין כדי למנוע קיום דיונים לשמיעת ראיות, כאשר הדבר נדרש ובהתאם למגבלות שנקבעו בסעיפים 26 - 28 לחוק קיום דיונים בהיוועדות חזותית בעת הכרזה על הגבלה (עצורים, אסירים וכלואים) </w:t>
      </w:r>
      <w:r w:rsidRPr="00D60598">
        <w:rPr>
          <w:rFonts w:ascii="David" w:hAnsi="David" w:cs="David"/>
          <w:sz w:val="28"/>
          <w:szCs w:val="28"/>
          <w:rtl/>
        </w:rPr>
        <w:lastRenderedPageBreak/>
        <w:t xml:space="preserve">(הוראת שעה), </w:t>
      </w:r>
      <w:proofErr w:type="spellStart"/>
      <w:r w:rsidRPr="00D60598">
        <w:rPr>
          <w:rFonts w:ascii="David" w:hAnsi="David" w:cs="David"/>
          <w:sz w:val="28"/>
          <w:szCs w:val="28"/>
          <w:rtl/>
        </w:rPr>
        <w:t>התשפ"ו</w:t>
      </w:r>
      <w:proofErr w:type="spellEnd"/>
      <w:r w:rsidRPr="00D60598">
        <w:rPr>
          <w:rFonts w:ascii="David" w:hAnsi="David" w:cs="David"/>
          <w:sz w:val="28"/>
          <w:szCs w:val="28"/>
          <w:rtl/>
        </w:rPr>
        <w:t xml:space="preserve"> - 2026. הדיון צפוי, אפוא, להתקדם בזמן הקרוב, ויש אפוא להניח כי ניתן יהיה להשלים את ההליך בפרק הזמן המבוקש על ידי התביעה. </w:t>
      </w:r>
    </w:p>
    <w:p w14:paraId="57906EC7" w14:textId="77777777" w:rsidR="00B4530B" w:rsidRPr="00D60598" w:rsidRDefault="00B4530B" w:rsidP="00B4530B">
      <w:pPr>
        <w:numPr>
          <w:ilvl w:val="0"/>
          <w:numId w:val="4"/>
        </w:numPr>
        <w:tabs>
          <w:tab w:val="left" w:pos="-58"/>
          <w:tab w:val="left" w:pos="226"/>
          <w:tab w:val="left" w:pos="368"/>
          <w:tab w:val="left" w:pos="935"/>
        </w:tabs>
        <w:jc w:val="both"/>
        <w:rPr>
          <w:rFonts w:ascii="David" w:hAnsi="David" w:cs="David"/>
          <w:sz w:val="28"/>
          <w:szCs w:val="28"/>
        </w:rPr>
      </w:pPr>
      <w:r w:rsidRPr="00D60598">
        <w:rPr>
          <w:rFonts w:ascii="David" w:hAnsi="David" w:cs="David"/>
          <w:sz w:val="28"/>
          <w:szCs w:val="28"/>
          <w:rtl/>
        </w:rPr>
        <w:t>משכך, בשים לב לטיב העבירות המיוחסות למשיב המקימות עילות מעצר מובהקות כאמור, ולצפי לסיום ההליך, אני מורה על הארכת מעצרו של המשיב למשך 90 יום החל מיום 17 במארס 2026 או עד שתינתן הכרעת הדין בעניינו, לפי המוקדם.</w:t>
      </w:r>
    </w:p>
    <w:p w14:paraId="5AF6A128" w14:textId="77777777" w:rsidR="00B4530B" w:rsidRPr="00D60598" w:rsidRDefault="00B4530B" w:rsidP="00B4530B">
      <w:pPr>
        <w:tabs>
          <w:tab w:val="left" w:pos="-58"/>
          <w:tab w:val="left" w:pos="226"/>
          <w:tab w:val="left" w:pos="368"/>
          <w:tab w:val="left" w:pos="935"/>
        </w:tabs>
        <w:jc w:val="both"/>
        <w:rPr>
          <w:rFonts w:ascii="David" w:hAnsi="David" w:cs="David"/>
          <w:sz w:val="28"/>
          <w:szCs w:val="28"/>
          <w:rtl/>
        </w:rPr>
      </w:pPr>
    </w:p>
    <w:p w14:paraId="7F98D903" w14:textId="77777777" w:rsidR="00170A90" w:rsidRPr="00170A90" w:rsidRDefault="00170A90" w:rsidP="00170A90">
      <w:pPr>
        <w:tabs>
          <w:tab w:val="left" w:pos="-58"/>
          <w:tab w:val="left" w:pos="226"/>
          <w:tab w:val="left" w:pos="368"/>
          <w:tab w:val="left" w:pos="935"/>
        </w:tabs>
        <w:ind w:left="225"/>
        <w:jc w:val="both"/>
        <w:rPr>
          <w:rFonts w:ascii="David" w:hAnsi="David" w:cs="David"/>
          <w:sz w:val="28"/>
          <w:szCs w:val="28"/>
          <w:rtl/>
        </w:rPr>
      </w:pPr>
    </w:p>
    <w:p w14:paraId="1D7AEAA1" w14:textId="32886131" w:rsidR="003B5FE4" w:rsidRPr="003B5FE4" w:rsidRDefault="00170A90" w:rsidP="001A2C30">
      <w:pPr>
        <w:contextualSpacing/>
        <w:jc w:val="both"/>
        <w:rPr>
          <w:rFonts w:ascii="David" w:eastAsia="Times New Roman" w:hAnsi="David" w:cs="David"/>
          <w:sz w:val="28"/>
          <w:szCs w:val="28"/>
          <w:rtl/>
        </w:rPr>
      </w:pPr>
      <w:bookmarkStart w:id="4" w:name="Nitan"/>
      <w:r>
        <w:rPr>
          <w:rFonts w:ascii="David" w:eastAsia="Times New Roman" w:hAnsi="David" w:cs="David" w:hint="cs"/>
          <w:sz w:val="28"/>
          <w:szCs w:val="28"/>
          <w:rtl/>
        </w:rPr>
        <w:t xml:space="preserve">ההחלטה </w:t>
      </w:r>
      <w:r w:rsidR="003B5FE4" w:rsidRPr="003B5FE4">
        <w:rPr>
          <w:rFonts w:ascii="David" w:eastAsia="Times New Roman" w:hAnsi="David" w:cs="David"/>
          <w:sz w:val="28"/>
          <w:szCs w:val="28"/>
          <w:rtl/>
        </w:rPr>
        <w:t xml:space="preserve">ניתנה </w:t>
      </w:r>
      <w:r>
        <w:rPr>
          <w:rFonts w:ascii="David" w:eastAsia="Times New Roman" w:hAnsi="David" w:cs="David" w:hint="cs"/>
          <w:sz w:val="28"/>
          <w:szCs w:val="28"/>
          <w:rtl/>
        </w:rPr>
        <w:t xml:space="preserve">בלשכה </w:t>
      </w:r>
      <w:r w:rsidR="003B5FE4" w:rsidRPr="003B5FE4">
        <w:rPr>
          <w:rFonts w:ascii="David" w:eastAsia="Times New Roman" w:hAnsi="David" w:cs="David"/>
          <w:sz w:val="28"/>
          <w:szCs w:val="28"/>
          <w:rtl/>
        </w:rPr>
        <w:t xml:space="preserve">היום, </w:t>
      </w:r>
      <w:r w:rsidR="003B5FE4" w:rsidRPr="003B5FE4">
        <w:rPr>
          <w:rFonts w:ascii="David" w:eastAsia="Times New Roman" w:hAnsi="David" w:cs="David" w:hint="cs"/>
          <w:sz w:val="28"/>
          <w:szCs w:val="28"/>
          <w:rtl/>
        </w:rPr>
        <w:t>כ</w:t>
      </w:r>
      <w:r>
        <w:rPr>
          <w:rFonts w:ascii="David" w:eastAsia="Times New Roman" w:hAnsi="David" w:cs="David" w:hint="cs"/>
          <w:sz w:val="28"/>
          <w:szCs w:val="28"/>
          <w:rtl/>
        </w:rPr>
        <w:t>"ח</w:t>
      </w:r>
      <w:r w:rsidR="003B5FE4" w:rsidRPr="003B5FE4">
        <w:rPr>
          <w:rFonts w:ascii="David" w:eastAsia="Times New Roman" w:hAnsi="David" w:cs="David" w:hint="cs"/>
          <w:sz w:val="28"/>
          <w:szCs w:val="28"/>
          <w:rtl/>
        </w:rPr>
        <w:t xml:space="preserve"> באדר </w:t>
      </w:r>
      <w:proofErr w:type="spellStart"/>
      <w:r w:rsidR="003E3218">
        <w:rPr>
          <w:rFonts w:ascii="David" w:eastAsia="Times New Roman" w:hAnsi="David" w:cs="David" w:hint="cs"/>
          <w:sz w:val="28"/>
          <w:szCs w:val="28"/>
          <w:rtl/>
        </w:rPr>
        <w:t>ה</w:t>
      </w:r>
      <w:r w:rsidR="003B5FE4" w:rsidRPr="003B5FE4">
        <w:rPr>
          <w:rFonts w:ascii="David" w:eastAsia="Times New Roman" w:hAnsi="David" w:cs="David" w:hint="cs"/>
          <w:sz w:val="28"/>
          <w:szCs w:val="28"/>
          <w:rtl/>
        </w:rPr>
        <w:t>תשפ"ו</w:t>
      </w:r>
      <w:proofErr w:type="spellEnd"/>
      <w:r w:rsidR="003B5FE4" w:rsidRPr="003B5FE4">
        <w:rPr>
          <w:rFonts w:ascii="David" w:eastAsia="Times New Roman" w:hAnsi="David" w:cs="David"/>
          <w:sz w:val="28"/>
          <w:szCs w:val="28"/>
          <w:rtl/>
        </w:rPr>
        <w:t xml:space="preserve">, </w:t>
      </w:r>
      <w:r>
        <w:rPr>
          <w:rFonts w:ascii="David" w:eastAsia="Times New Roman" w:hAnsi="David" w:cs="David" w:hint="cs"/>
          <w:sz w:val="28"/>
          <w:szCs w:val="28"/>
          <w:rtl/>
        </w:rPr>
        <w:t xml:space="preserve">17 </w:t>
      </w:r>
      <w:r w:rsidR="003B5FE4" w:rsidRPr="003B5FE4">
        <w:rPr>
          <w:rFonts w:ascii="David" w:eastAsia="Times New Roman" w:hAnsi="David" w:cs="David" w:hint="cs"/>
          <w:sz w:val="28"/>
          <w:szCs w:val="28"/>
          <w:rtl/>
        </w:rPr>
        <w:t>במארס 2026</w:t>
      </w:r>
      <w:r w:rsidR="003B5FE4" w:rsidRPr="003B5FE4">
        <w:rPr>
          <w:rFonts w:ascii="David" w:eastAsia="Times New Roman" w:hAnsi="David" w:cs="David"/>
          <w:sz w:val="28"/>
          <w:szCs w:val="28"/>
          <w:rtl/>
        </w:rPr>
        <w:t>, ותועבר ל</w:t>
      </w:r>
      <w:r>
        <w:rPr>
          <w:rFonts w:ascii="David" w:eastAsia="Times New Roman" w:hAnsi="David" w:cs="David" w:hint="cs"/>
          <w:sz w:val="28"/>
          <w:szCs w:val="28"/>
          <w:rtl/>
        </w:rPr>
        <w:t>ידיעת</w:t>
      </w:r>
      <w:r w:rsidR="003B5FE4" w:rsidRPr="003B5FE4">
        <w:rPr>
          <w:rFonts w:ascii="David" w:eastAsia="Times New Roman" w:hAnsi="David" w:cs="David"/>
          <w:sz w:val="28"/>
          <w:szCs w:val="28"/>
          <w:rtl/>
        </w:rPr>
        <w:t xml:space="preserve"> </w:t>
      </w:r>
      <w:r>
        <w:rPr>
          <w:rFonts w:ascii="David" w:eastAsia="Times New Roman" w:hAnsi="David" w:cs="David" w:hint="cs"/>
          <w:sz w:val="28"/>
          <w:szCs w:val="28"/>
          <w:rtl/>
        </w:rPr>
        <w:t>ה</w:t>
      </w:r>
      <w:r w:rsidR="00FE28C8">
        <w:rPr>
          <w:rFonts w:ascii="David" w:eastAsia="Times New Roman" w:hAnsi="David" w:cs="David" w:hint="cs"/>
          <w:sz w:val="28"/>
          <w:szCs w:val="28"/>
          <w:rtl/>
        </w:rPr>
        <w:t>צ</w:t>
      </w:r>
      <w:r>
        <w:rPr>
          <w:rFonts w:ascii="David" w:eastAsia="Times New Roman" w:hAnsi="David" w:cs="David" w:hint="cs"/>
          <w:sz w:val="28"/>
          <w:szCs w:val="28"/>
          <w:rtl/>
        </w:rPr>
        <w:t xml:space="preserve">דדים </w:t>
      </w:r>
      <w:r w:rsidR="003B5FE4" w:rsidRPr="003B5FE4">
        <w:rPr>
          <w:rFonts w:ascii="David" w:eastAsia="Times New Roman" w:hAnsi="David" w:cs="David"/>
          <w:sz w:val="28"/>
          <w:szCs w:val="28"/>
          <w:rtl/>
        </w:rPr>
        <w:t xml:space="preserve">על ידי </w:t>
      </w:r>
      <w:bookmarkEnd w:id="4"/>
      <w:r>
        <w:rPr>
          <w:rFonts w:ascii="David" w:eastAsia="Times New Roman" w:hAnsi="David" w:cs="David" w:hint="cs"/>
          <w:sz w:val="28"/>
          <w:szCs w:val="28"/>
          <w:rtl/>
        </w:rPr>
        <w:t xml:space="preserve">מזכירות </w:t>
      </w:r>
      <w:r w:rsidR="003B5FE4" w:rsidRPr="003B5FE4">
        <w:rPr>
          <w:rFonts w:ascii="David" w:eastAsia="Times New Roman" w:hAnsi="David" w:cs="David" w:hint="cs"/>
          <w:sz w:val="28"/>
          <w:szCs w:val="28"/>
          <w:rtl/>
        </w:rPr>
        <w:t xml:space="preserve">בית הדין. </w:t>
      </w:r>
    </w:p>
    <w:p w14:paraId="5FC9340D" w14:textId="77777777" w:rsidR="003B5FE4" w:rsidRDefault="003B5FE4" w:rsidP="001A2C30">
      <w:pPr>
        <w:outlineLvl w:val="0"/>
        <w:rPr>
          <w:rFonts w:ascii="David" w:hAnsi="David" w:cs="David"/>
          <w:sz w:val="28"/>
          <w:szCs w:val="28"/>
          <w:rtl/>
        </w:rPr>
      </w:pPr>
    </w:p>
    <w:p w14:paraId="67CE2709" w14:textId="77777777" w:rsidR="003E3218" w:rsidRPr="00FC76BC" w:rsidRDefault="003B5FE4" w:rsidP="001A2C30">
      <w:pPr>
        <w:tabs>
          <w:tab w:val="center" w:pos="1599"/>
          <w:tab w:val="center" w:pos="4052"/>
        </w:tabs>
        <w:contextualSpacing/>
        <w:jc w:val="right"/>
        <w:rPr>
          <w:rFonts w:ascii="David" w:hAnsi="David" w:cs="David"/>
          <w:b/>
          <w:bCs/>
          <w:sz w:val="28"/>
          <w:szCs w:val="28"/>
          <w:rtl/>
        </w:rPr>
      </w:pPr>
      <w:r w:rsidRPr="00E608CB">
        <w:rPr>
          <w:rFonts w:ascii="David" w:hAnsi="David" w:cs="David"/>
          <w:sz w:val="28"/>
          <w:szCs w:val="28"/>
          <w:rtl/>
        </w:rPr>
        <w:t xml:space="preserve"> </w:t>
      </w:r>
      <w:r w:rsidR="003E3218" w:rsidRPr="00FC76BC">
        <w:rPr>
          <w:rFonts w:ascii="David" w:hAnsi="David" w:cs="David" w:hint="cs"/>
          <w:b/>
          <w:bCs/>
          <w:sz w:val="28"/>
          <w:szCs w:val="28"/>
          <w:rtl/>
        </w:rPr>
        <w:t xml:space="preserve">          ___</w:t>
      </w:r>
      <w:r w:rsidR="003E3218" w:rsidRPr="00FC76BC">
        <w:rPr>
          <w:rFonts w:ascii="David" w:hAnsi="David" w:cs="David"/>
          <w:b/>
          <w:bCs/>
          <w:sz w:val="28"/>
          <w:szCs w:val="28"/>
          <w:rtl/>
        </w:rPr>
        <w:t>__________________</w:t>
      </w:r>
    </w:p>
    <w:p w14:paraId="6ABC69F2" w14:textId="77777777" w:rsidR="003E3218" w:rsidRPr="00FC76BC" w:rsidRDefault="003E3218" w:rsidP="001A2C30">
      <w:pPr>
        <w:tabs>
          <w:tab w:val="center" w:pos="1599"/>
          <w:tab w:val="center" w:pos="4052"/>
        </w:tabs>
        <w:contextualSpacing/>
        <w:jc w:val="right"/>
        <w:rPr>
          <w:rFonts w:ascii="David" w:hAnsi="David" w:cs="David"/>
          <w:b/>
          <w:bCs/>
          <w:sz w:val="28"/>
          <w:szCs w:val="28"/>
          <w:rtl/>
        </w:rPr>
      </w:pPr>
      <w:r w:rsidRPr="00FC76BC">
        <w:rPr>
          <w:rFonts w:ascii="David" w:hAnsi="David" w:cs="David"/>
          <w:b/>
          <w:bCs/>
          <w:sz w:val="28"/>
          <w:szCs w:val="28"/>
          <w:rtl/>
        </w:rPr>
        <w:t>אל"ם</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מאיה</w:t>
      </w:r>
      <w:r w:rsidRPr="00FC76BC">
        <w:rPr>
          <w:rFonts w:ascii="David" w:hAnsi="David" w:cs="David" w:hint="cs"/>
          <w:b/>
          <w:bCs/>
          <w:sz w:val="28"/>
          <w:szCs w:val="28"/>
          <w:rtl/>
        </w:rPr>
        <w:t xml:space="preserve">    </w:t>
      </w:r>
      <w:r w:rsidRPr="00FC76BC">
        <w:rPr>
          <w:rFonts w:ascii="David" w:hAnsi="David" w:cs="David"/>
          <w:b/>
          <w:bCs/>
          <w:sz w:val="28"/>
          <w:szCs w:val="28"/>
          <w:rtl/>
        </w:rPr>
        <w:t xml:space="preserve"> גולדשמידט</w:t>
      </w:r>
    </w:p>
    <w:p w14:paraId="59395569" w14:textId="77777777" w:rsidR="003E3218" w:rsidRPr="00FC76BC" w:rsidRDefault="003E3218" w:rsidP="001A2C30">
      <w:pPr>
        <w:tabs>
          <w:tab w:val="center" w:pos="1599"/>
          <w:tab w:val="center" w:pos="4052"/>
        </w:tabs>
        <w:contextualSpacing/>
        <w:jc w:val="right"/>
        <w:rPr>
          <w:rFonts w:ascii="David" w:hAnsi="David" w:cs="David"/>
          <w:b/>
          <w:bCs/>
          <w:sz w:val="28"/>
          <w:szCs w:val="28"/>
          <w:rtl/>
        </w:rPr>
      </w:pPr>
      <w:r w:rsidRPr="00FC76BC">
        <w:rPr>
          <w:rFonts w:ascii="David" w:hAnsi="David" w:cs="David"/>
          <w:b/>
          <w:bCs/>
          <w:sz w:val="28"/>
          <w:szCs w:val="2"/>
          <w:rtl/>
        </w:rPr>
        <w:t>5123</w:t>
      </w:r>
      <w:r w:rsidRPr="00FC76BC">
        <w:rPr>
          <w:rFonts w:ascii="David" w:hAnsi="David" w:cs="David"/>
          <w:b/>
          <w:bCs/>
          <w:sz w:val="28"/>
          <w:szCs w:val="28"/>
          <w:rtl/>
        </w:rPr>
        <w:t xml:space="preserve">שופטת  </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 xml:space="preserve">בית </w:t>
      </w:r>
      <w:r w:rsidRPr="00FC76BC">
        <w:rPr>
          <w:rFonts w:ascii="David" w:hAnsi="David" w:cs="David" w:hint="cs"/>
          <w:b/>
          <w:bCs/>
          <w:sz w:val="28"/>
          <w:szCs w:val="28"/>
          <w:rtl/>
        </w:rPr>
        <w:t xml:space="preserve">  </w:t>
      </w:r>
      <w:r w:rsidRPr="00FC76BC">
        <w:rPr>
          <w:rFonts w:ascii="David" w:hAnsi="David" w:cs="David"/>
          <w:b/>
          <w:bCs/>
          <w:sz w:val="28"/>
          <w:szCs w:val="28"/>
          <w:rtl/>
        </w:rPr>
        <w:t xml:space="preserve"> </w:t>
      </w:r>
      <w:r w:rsidRPr="00FC76BC">
        <w:rPr>
          <w:rFonts w:ascii="David" w:hAnsi="David" w:cs="David" w:hint="cs"/>
          <w:b/>
          <w:bCs/>
          <w:sz w:val="28"/>
          <w:szCs w:val="28"/>
          <w:rtl/>
        </w:rPr>
        <w:t xml:space="preserve"> </w:t>
      </w:r>
      <w:r w:rsidRPr="00FC76BC">
        <w:rPr>
          <w:rFonts w:ascii="David" w:hAnsi="David" w:cs="David"/>
          <w:b/>
          <w:bCs/>
          <w:sz w:val="28"/>
          <w:szCs w:val="28"/>
          <w:rtl/>
        </w:rPr>
        <w:t xml:space="preserve">דין </w:t>
      </w:r>
      <w:r w:rsidRPr="00FC76BC">
        <w:rPr>
          <w:rFonts w:ascii="David" w:hAnsi="David" w:cs="David" w:hint="cs"/>
          <w:b/>
          <w:bCs/>
          <w:sz w:val="28"/>
          <w:szCs w:val="28"/>
          <w:rtl/>
        </w:rPr>
        <w:t xml:space="preserve">   </w:t>
      </w:r>
      <w:r w:rsidRPr="00FC76BC">
        <w:rPr>
          <w:rFonts w:ascii="David" w:hAnsi="David" w:cs="David"/>
          <w:b/>
          <w:bCs/>
          <w:sz w:val="28"/>
          <w:szCs w:val="28"/>
          <w:rtl/>
        </w:rPr>
        <w:t>הצבאי</w:t>
      </w:r>
    </w:p>
    <w:p w14:paraId="33471B03" w14:textId="240FD4FF" w:rsidR="003B5FE4" w:rsidRPr="003E3218" w:rsidRDefault="003E3218" w:rsidP="001A2C30">
      <w:pPr>
        <w:tabs>
          <w:tab w:val="center" w:pos="1599"/>
          <w:tab w:val="center" w:pos="4052"/>
        </w:tabs>
        <w:contextualSpacing/>
        <w:jc w:val="right"/>
        <w:rPr>
          <w:rFonts w:ascii="David" w:hAnsi="David" w:cs="David"/>
          <w:b/>
          <w:bCs/>
          <w:sz w:val="28"/>
          <w:szCs w:val="24"/>
          <w:rtl/>
        </w:rPr>
      </w:pPr>
      <w:r w:rsidRPr="00FC76BC">
        <w:rPr>
          <w:rFonts w:ascii="David" w:hAnsi="David" w:cs="David"/>
          <w:b/>
          <w:bCs/>
          <w:sz w:val="28"/>
          <w:szCs w:val="2"/>
          <w:rtl/>
        </w:rPr>
        <w:t>54678313</w:t>
      </w:r>
      <w:r w:rsidRPr="00FC76BC">
        <w:rPr>
          <w:rFonts w:ascii="David" w:hAnsi="David" w:cs="David"/>
          <w:b/>
          <w:bCs/>
          <w:sz w:val="28"/>
          <w:szCs w:val="28"/>
          <w:rtl/>
        </w:rPr>
        <w:t xml:space="preserve">ל     </w:t>
      </w:r>
      <w:r w:rsidRPr="00FC76BC">
        <w:rPr>
          <w:rFonts w:ascii="David" w:hAnsi="David" w:cs="David" w:hint="cs"/>
          <w:b/>
          <w:bCs/>
          <w:sz w:val="28"/>
          <w:szCs w:val="28"/>
          <w:rtl/>
        </w:rPr>
        <w:t xml:space="preserve"> </w:t>
      </w:r>
      <w:r w:rsidRPr="00FC76BC">
        <w:rPr>
          <w:rFonts w:ascii="David" w:hAnsi="David" w:cs="David"/>
          <w:b/>
          <w:bCs/>
          <w:sz w:val="28"/>
          <w:szCs w:val="28"/>
          <w:rtl/>
        </w:rPr>
        <w:t xml:space="preserve">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ר   ע  </w:t>
      </w:r>
      <w:r w:rsidRPr="00FC76BC">
        <w:rPr>
          <w:rFonts w:ascii="David" w:hAnsi="David" w:cs="David" w:hint="cs"/>
          <w:b/>
          <w:bCs/>
          <w:sz w:val="28"/>
          <w:szCs w:val="28"/>
          <w:rtl/>
        </w:rPr>
        <w:t xml:space="preserve"> </w:t>
      </w:r>
      <w:r w:rsidRPr="00FC76BC">
        <w:rPr>
          <w:rFonts w:ascii="David" w:hAnsi="David" w:cs="David"/>
          <w:b/>
          <w:bCs/>
          <w:sz w:val="28"/>
          <w:szCs w:val="28"/>
          <w:rtl/>
        </w:rPr>
        <w:t xml:space="preserve"> ו   </w:t>
      </w:r>
      <w:r w:rsidRPr="00FC76BC">
        <w:rPr>
          <w:rFonts w:ascii="David" w:hAnsi="David" w:cs="David" w:hint="cs"/>
          <w:b/>
          <w:bCs/>
          <w:sz w:val="28"/>
          <w:szCs w:val="28"/>
          <w:rtl/>
        </w:rPr>
        <w:t xml:space="preserve"> </w:t>
      </w:r>
      <w:r w:rsidRPr="00FC76BC">
        <w:rPr>
          <w:rFonts w:ascii="David" w:hAnsi="David" w:cs="David"/>
          <w:b/>
          <w:bCs/>
          <w:sz w:val="28"/>
          <w:szCs w:val="28"/>
          <w:rtl/>
        </w:rPr>
        <w:t xml:space="preserve">ר  </w:t>
      </w:r>
      <w:r w:rsidRPr="00FC76BC">
        <w:rPr>
          <w:rFonts w:ascii="David" w:hAnsi="David" w:cs="David" w:hint="cs"/>
          <w:b/>
          <w:bCs/>
          <w:sz w:val="28"/>
          <w:szCs w:val="28"/>
          <w:rtl/>
        </w:rPr>
        <w:t xml:space="preserve"> </w:t>
      </w:r>
      <w:r w:rsidRPr="00FC76BC">
        <w:rPr>
          <w:rFonts w:ascii="David" w:hAnsi="David" w:cs="David"/>
          <w:b/>
          <w:bCs/>
          <w:sz w:val="28"/>
          <w:szCs w:val="28"/>
          <w:rtl/>
        </w:rPr>
        <w:t xml:space="preserve"> י </w:t>
      </w:r>
      <w:r w:rsidRPr="00FC76BC">
        <w:rPr>
          <w:rFonts w:ascii="David" w:hAnsi="David" w:cs="David" w:hint="cs"/>
          <w:b/>
          <w:bCs/>
          <w:sz w:val="28"/>
          <w:szCs w:val="28"/>
          <w:rtl/>
        </w:rPr>
        <w:t xml:space="preserve">  </w:t>
      </w:r>
      <w:r w:rsidRPr="00FC76BC">
        <w:rPr>
          <w:rFonts w:ascii="David" w:hAnsi="David" w:cs="David"/>
          <w:b/>
          <w:bCs/>
          <w:sz w:val="28"/>
          <w:szCs w:val="28"/>
          <w:rtl/>
        </w:rPr>
        <w:t xml:space="preserve">  ם</w:t>
      </w:r>
    </w:p>
    <w:p w14:paraId="1BAC0486" w14:textId="77777777" w:rsidR="003B5FE4" w:rsidRDefault="003B5FE4" w:rsidP="001A2C30">
      <w:pPr>
        <w:outlineLvl w:val="0"/>
        <w:rPr>
          <w:rFonts w:ascii="David" w:hAnsi="David" w:cs="David"/>
          <w:sz w:val="28"/>
          <w:szCs w:val="28"/>
          <w:rtl/>
        </w:rPr>
      </w:pPr>
    </w:p>
    <w:p w14:paraId="313657A8" w14:textId="77777777" w:rsidR="003B5FE4" w:rsidRPr="00405BC8" w:rsidRDefault="003B5FE4" w:rsidP="001A2C30">
      <w:pPr>
        <w:ind w:left="-58" w:right="-567"/>
        <w:rPr>
          <w:rFonts w:ascii="David" w:hAnsi="David" w:cs="David"/>
          <w:b/>
          <w:bCs/>
          <w:sz w:val="28"/>
          <w:szCs w:val="28"/>
          <w:rtl/>
        </w:rPr>
      </w:pPr>
      <w:bookmarkStart w:id="5" w:name="_Hlk122599666"/>
      <w:bookmarkStart w:id="6" w:name="_Hlk141797760"/>
      <w:r w:rsidRPr="00405BC8">
        <w:rPr>
          <w:rFonts w:ascii="David" w:hAnsi="David" w:cs="David"/>
          <w:b/>
          <w:bCs/>
          <w:sz w:val="28"/>
          <w:szCs w:val="28"/>
          <w:rtl/>
        </w:rPr>
        <w:t xml:space="preserve">חתימת המגיה: _______________________________      העתק      </w:t>
      </w:r>
      <w:r>
        <w:rPr>
          <w:rFonts w:ascii="David" w:hAnsi="David" w:cs="David" w:hint="cs"/>
          <w:b/>
          <w:bCs/>
          <w:sz w:val="28"/>
          <w:szCs w:val="28"/>
          <w:rtl/>
        </w:rPr>
        <w:t xml:space="preserve"> </w:t>
      </w:r>
      <w:r w:rsidRPr="00405BC8">
        <w:rPr>
          <w:rFonts w:ascii="David" w:hAnsi="David" w:cs="David"/>
          <w:b/>
          <w:bCs/>
          <w:sz w:val="28"/>
          <w:szCs w:val="28"/>
          <w:rtl/>
        </w:rPr>
        <w:t xml:space="preserve">נאמן         למקור             </w:t>
      </w:r>
    </w:p>
    <w:p w14:paraId="0CCD8CBE" w14:textId="77777777" w:rsidR="003B5FE4" w:rsidRPr="00405BC8" w:rsidRDefault="003B5FE4" w:rsidP="001A2C30">
      <w:pPr>
        <w:ind w:left="-58" w:right="-567"/>
        <w:rPr>
          <w:rFonts w:ascii="David" w:hAnsi="David" w:cs="David"/>
          <w:b/>
          <w:bCs/>
          <w:sz w:val="28"/>
          <w:szCs w:val="28"/>
          <w:rtl/>
        </w:rPr>
      </w:pPr>
      <w:r w:rsidRPr="00405BC8">
        <w:rPr>
          <w:rFonts w:ascii="David" w:hAnsi="David" w:cs="David"/>
          <w:b/>
          <w:bCs/>
          <w:sz w:val="28"/>
          <w:szCs w:val="28"/>
          <w:rtl/>
        </w:rPr>
        <w:t xml:space="preserve">                                                                                                       </w:t>
      </w:r>
      <w:r>
        <w:rPr>
          <w:rFonts w:ascii="David" w:hAnsi="David" w:cs="David" w:hint="cs"/>
          <w:b/>
          <w:bCs/>
          <w:sz w:val="28"/>
          <w:szCs w:val="28"/>
          <w:rtl/>
        </w:rPr>
        <w:t xml:space="preserve">רס"ל       מיקה        </w:t>
      </w:r>
      <w:proofErr w:type="spellStart"/>
      <w:r>
        <w:rPr>
          <w:rFonts w:ascii="David" w:hAnsi="David" w:cs="David" w:hint="cs"/>
          <w:b/>
          <w:bCs/>
          <w:sz w:val="28"/>
          <w:szCs w:val="28"/>
          <w:rtl/>
        </w:rPr>
        <w:t>אשרוב</w:t>
      </w:r>
      <w:proofErr w:type="spellEnd"/>
    </w:p>
    <w:p w14:paraId="449D1E27" w14:textId="77777777" w:rsidR="003B5FE4" w:rsidRPr="00405BC8" w:rsidRDefault="003B5FE4" w:rsidP="001A2C30">
      <w:pPr>
        <w:ind w:left="-58" w:right="-567"/>
        <w:rPr>
          <w:rFonts w:ascii="David" w:hAnsi="David" w:cs="David"/>
          <w:b/>
          <w:bCs/>
          <w:sz w:val="28"/>
          <w:szCs w:val="28"/>
          <w:rtl/>
        </w:rPr>
      </w:pPr>
      <w:r w:rsidRPr="00405BC8">
        <w:rPr>
          <w:rFonts w:ascii="David" w:hAnsi="David" w:cs="David"/>
          <w:b/>
          <w:bCs/>
          <w:sz w:val="28"/>
          <w:szCs w:val="28"/>
          <w:rtl/>
        </w:rPr>
        <w:t>תאריך: ____________________________________        קצי</w:t>
      </w:r>
      <w:r>
        <w:rPr>
          <w:rFonts w:ascii="David" w:hAnsi="David" w:cs="David" w:hint="cs"/>
          <w:b/>
          <w:bCs/>
          <w:sz w:val="28"/>
          <w:szCs w:val="28"/>
          <w:rtl/>
        </w:rPr>
        <w:t>נת</w:t>
      </w:r>
      <w:r w:rsidRPr="00405BC8">
        <w:rPr>
          <w:rFonts w:ascii="David" w:hAnsi="David" w:cs="David"/>
          <w:b/>
          <w:bCs/>
          <w:sz w:val="28"/>
          <w:szCs w:val="28"/>
          <w:rtl/>
        </w:rPr>
        <w:t xml:space="preserve">        בית           הדין</w:t>
      </w:r>
      <w:bookmarkEnd w:id="5"/>
    </w:p>
    <w:bookmarkEnd w:id="6"/>
    <w:p w14:paraId="5A9AA2CC" w14:textId="77777777" w:rsidR="003B5FE4" w:rsidRPr="00E608CB" w:rsidRDefault="003B5FE4" w:rsidP="001A2C30">
      <w:pPr>
        <w:outlineLvl w:val="0"/>
        <w:rPr>
          <w:rFonts w:ascii="David" w:hAnsi="David" w:cs="David"/>
          <w:sz w:val="28"/>
          <w:szCs w:val="28"/>
          <w:rtl/>
        </w:rPr>
      </w:pPr>
    </w:p>
    <w:p w14:paraId="796443C6" w14:textId="77777777" w:rsidR="003B5FE4" w:rsidRPr="00E608CB" w:rsidRDefault="003B5FE4" w:rsidP="001A2C30">
      <w:pPr>
        <w:outlineLvl w:val="0"/>
        <w:rPr>
          <w:rFonts w:ascii="David" w:hAnsi="David" w:cs="David"/>
          <w:sz w:val="28"/>
          <w:szCs w:val="28"/>
          <w:rtl/>
        </w:rPr>
      </w:pPr>
    </w:p>
    <w:p w14:paraId="1688F0B4" w14:textId="77777777" w:rsidR="003B5FE4" w:rsidRPr="00E608CB" w:rsidRDefault="003B5FE4" w:rsidP="001A2C30">
      <w:pPr>
        <w:outlineLvl w:val="0"/>
        <w:rPr>
          <w:rFonts w:ascii="David" w:hAnsi="David" w:cs="David"/>
          <w:sz w:val="28"/>
          <w:szCs w:val="28"/>
          <w:rtl/>
        </w:rPr>
      </w:pPr>
    </w:p>
    <w:p w14:paraId="1E86E0EA" w14:textId="77777777" w:rsidR="003B5FE4" w:rsidRDefault="003B5FE4" w:rsidP="001A2C30">
      <w:pPr>
        <w:outlineLvl w:val="0"/>
        <w:rPr>
          <w:rFonts w:ascii="David" w:hAnsi="David" w:cs="David"/>
          <w:sz w:val="28"/>
          <w:szCs w:val="28"/>
          <w:rtl/>
        </w:rPr>
      </w:pPr>
    </w:p>
    <w:p w14:paraId="376F3B56" w14:textId="77777777" w:rsidR="003B5FE4" w:rsidRPr="00E608CB" w:rsidRDefault="003B5FE4" w:rsidP="001A2C30">
      <w:pPr>
        <w:outlineLvl w:val="0"/>
        <w:rPr>
          <w:rFonts w:ascii="David" w:hAnsi="David" w:cs="David"/>
          <w:sz w:val="28"/>
          <w:szCs w:val="28"/>
          <w:rtl/>
        </w:rPr>
      </w:pPr>
    </w:p>
    <w:p w14:paraId="41019881" w14:textId="77777777" w:rsidR="005A61A2" w:rsidRDefault="005A61A2" w:rsidP="001A2C30"/>
    <w:sectPr w:rsidR="005A61A2" w:rsidSect="003B5FE4">
      <w:headerReference w:type="even" r:id="rId9"/>
      <w:headerReference w:type="default" r:id="rId10"/>
      <w:footerReference w:type="default" r:id="rId11"/>
      <w:head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00AD" w14:textId="77777777" w:rsidR="007551F3" w:rsidRDefault="007551F3" w:rsidP="003E3218">
      <w:pPr>
        <w:spacing w:line="240" w:lineRule="auto"/>
      </w:pPr>
      <w:r>
        <w:separator/>
      </w:r>
    </w:p>
  </w:endnote>
  <w:endnote w:type="continuationSeparator" w:id="0">
    <w:p w14:paraId="52C927E3" w14:textId="77777777" w:rsidR="007551F3" w:rsidRDefault="007551F3" w:rsidP="003E3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17BA" w14:textId="77777777" w:rsidR="003B5FE4" w:rsidRPr="00AD7F34" w:rsidRDefault="003B5FE4">
    <w:pPr>
      <w:pStyle w:val="af1"/>
      <w:jc w:val="center"/>
      <w:rPr>
        <w:rFonts w:ascii="David" w:hAnsi="David" w:cs="David"/>
        <w:sz w:val="28"/>
        <w:szCs w:val="28"/>
      </w:rPr>
    </w:pPr>
    <w:r w:rsidRPr="00AD7F34">
      <w:rPr>
        <w:rFonts w:ascii="David" w:hAnsi="David" w:cs="David"/>
        <w:sz w:val="28"/>
        <w:szCs w:val="28"/>
      </w:rPr>
      <w:fldChar w:fldCharType="begin"/>
    </w:r>
    <w:r w:rsidRPr="00AD7F34">
      <w:rPr>
        <w:rFonts w:ascii="David" w:hAnsi="David" w:cs="David"/>
        <w:sz w:val="28"/>
        <w:szCs w:val="28"/>
      </w:rPr>
      <w:instrText>PAGE</w:instrText>
    </w:r>
    <w:r w:rsidRPr="00AD7F34">
      <w:rPr>
        <w:rFonts w:ascii="David" w:hAnsi="David" w:cs="David"/>
        <w:sz w:val="28"/>
        <w:szCs w:val="28"/>
      </w:rPr>
      <w:fldChar w:fldCharType="separate"/>
    </w:r>
    <w:r w:rsidRPr="00AD7F34">
      <w:rPr>
        <w:rFonts w:ascii="David" w:hAnsi="David" w:cs="David"/>
        <w:noProof/>
        <w:sz w:val="28"/>
        <w:szCs w:val="28"/>
        <w:rtl/>
      </w:rPr>
      <w:t>4</w:t>
    </w:r>
    <w:r w:rsidRPr="00AD7F34">
      <w:rPr>
        <w:rFonts w:ascii="David" w:hAnsi="David" w:cs="David"/>
        <w:noProof/>
        <w:sz w:val="28"/>
        <w:szCs w:val="28"/>
        <w:rtl/>
      </w:rPr>
      <w:t>5</w:t>
    </w:r>
    <w:r w:rsidRPr="00AD7F34">
      <w:rPr>
        <w:rFonts w:ascii="David" w:hAnsi="David" w:cs="David"/>
        <w:sz w:val="28"/>
        <w:szCs w:val="28"/>
      </w:rPr>
      <w:fldChar w:fldCharType="end"/>
    </w:r>
  </w:p>
  <w:p w14:paraId="08A1EFFF" w14:textId="77777777" w:rsidR="003B5FE4" w:rsidRDefault="003B5FE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738A" w14:textId="77777777" w:rsidR="007551F3" w:rsidRDefault="007551F3" w:rsidP="003E3218">
      <w:pPr>
        <w:spacing w:line="240" w:lineRule="auto"/>
      </w:pPr>
      <w:r>
        <w:separator/>
      </w:r>
    </w:p>
  </w:footnote>
  <w:footnote w:type="continuationSeparator" w:id="0">
    <w:p w14:paraId="1A6000ED" w14:textId="77777777" w:rsidR="007551F3" w:rsidRDefault="007551F3" w:rsidP="003E3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521" w14:textId="19FF875D" w:rsidR="003B5FE4" w:rsidRDefault="003E3218">
    <w:pPr>
      <w:pStyle w:val="af"/>
    </w:pPr>
    <w:r>
      <w:rPr>
        <w:noProof/>
        <w14:ligatures w14:val="standardContextual"/>
      </w:rPr>
      <mc:AlternateContent>
        <mc:Choice Requires="wps">
          <w:drawing>
            <wp:anchor distT="0" distB="0" distL="0" distR="0" simplePos="0" relativeHeight="251658752" behindDoc="0" locked="0" layoutInCell="1" allowOverlap="1" wp14:anchorId="7AF8C9E8" wp14:editId="76059BBD">
              <wp:simplePos x="635" y="635"/>
              <wp:positionH relativeFrom="page">
                <wp:align>center</wp:align>
              </wp:positionH>
              <wp:positionV relativeFrom="page">
                <wp:align>top</wp:align>
              </wp:positionV>
              <wp:extent cx="462280" cy="422910"/>
              <wp:effectExtent l="0" t="0" r="13970" b="15240"/>
              <wp:wrapNone/>
              <wp:docPr id="432003642"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42387836" w14:textId="0B68759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8C9E8"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6.4pt;height:33.3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" filled="f" stroked="f">
              <v:textbox style="mso-fit-shape-to-text:t" inset="0,15pt,0,0">
                <w:txbxContent>
                  <w:p w14:paraId="42387836" w14:textId="0B68759B"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v:textbox>
              <w10:wrap anchorx="page" anchory="page"/>
            </v:shape>
          </w:pict>
        </mc:Fallback>
      </mc:AlternateContent>
    </w:r>
    <w:r w:rsidR="003B5FE4">
      <w:rPr>
        <w:noProof/>
      </w:rPr>
      <mc:AlternateContent>
        <mc:Choice Requires="wps">
          <w:drawing>
            <wp:anchor distT="0" distB="0" distL="0" distR="0" simplePos="0" relativeHeight="251656704" behindDoc="0" locked="0" layoutInCell="1" allowOverlap="1" wp14:anchorId="749ED648" wp14:editId="0C8F82F8">
              <wp:simplePos x="0" y="0"/>
              <wp:positionH relativeFrom="page">
                <wp:align>center</wp:align>
              </wp:positionH>
              <wp:positionV relativeFrom="page">
                <wp:align>top</wp:align>
              </wp:positionV>
              <wp:extent cx="443865" cy="44386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3D49C554" w14:textId="77777777" w:rsidR="003B5FE4" w:rsidRPr="00A54410" w:rsidRDefault="003B5FE4" w:rsidP="00A54410">
                          <w:pPr>
                            <w:rPr>
                              <w:rFonts w:cs="Calibri"/>
                              <w:noProof/>
                              <w:color w:val="000000"/>
                              <w:sz w:val="20"/>
                              <w:szCs w:val="20"/>
                            </w:rPr>
                          </w:pPr>
                          <w:r w:rsidRPr="00A54410">
                            <w:rPr>
                              <w:rFonts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9ED648" id="Text Box 3" o:spid="_x0000_s1027" type="#_x0000_t202" style="position:absolute;left:0;text-align:left;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" filled="f" stroked="f">
              <v:textbox style="mso-fit-shape-to-text:t" inset="0,15pt,0,0">
                <w:txbxContent>
                  <w:p w14:paraId="3D49C554" w14:textId="77777777" w:rsidR="003B5FE4" w:rsidRPr="00A54410" w:rsidRDefault="003B5FE4"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2330" w14:textId="26C4A360" w:rsidR="003B5FE4" w:rsidRDefault="003B5FE4" w:rsidP="00924749">
    <w:pPr>
      <w:pStyle w:val="af"/>
      <w:tabs>
        <w:tab w:val="clear" w:pos="4153"/>
        <w:tab w:val="center" w:pos="3911"/>
      </w:tabs>
      <w:jc w:val="center"/>
      <w:rPr>
        <w:rFonts w:ascii="David" w:hAnsi="David" w:cs="David"/>
        <w:sz w:val="28"/>
        <w:szCs w:val="28"/>
        <w:rtl/>
      </w:rPr>
    </w:pPr>
    <w:r>
      <w:rPr>
        <w:rFonts w:ascii="David" w:hAnsi="David" w:cs="David" w:hint="cs"/>
        <w:sz w:val="28"/>
        <w:szCs w:val="28"/>
        <w:rtl/>
      </w:rPr>
      <w:t xml:space="preserve">                                                                </w:t>
    </w:r>
    <w:r>
      <w:rPr>
        <w:rFonts w:ascii="David" w:hAnsi="David" w:cs="David" w:hint="cs"/>
        <w:sz w:val="28"/>
        <w:szCs w:val="28"/>
        <w:rtl/>
      </w:rPr>
      <w:t xml:space="preserve">ב ל מ " ס    </w:t>
    </w:r>
    <w:r w:rsidR="003E3218">
      <w:rPr>
        <w:rFonts w:ascii="David" w:hAnsi="David" w:cs="David" w:hint="cs"/>
        <w:sz w:val="28"/>
        <w:szCs w:val="28"/>
        <w:rtl/>
      </w:rPr>
      <w:t xml:space="preserve">              </w:t>
    </w:r>
    <w:r>
      <w:rPr>
        <w:rFonts w:ascii="David" w:hAnsi="David" w:cs="David" w:hint="cs"/>
        <w:sz w:val="28"/>
        <w:szCs w:val="28"/>
        <w:rtl/>
      </w:rPr>
      <w:t xml:space="preserve">                 </w:t>
    </w:r>
    <w:proofErr w:type="spellStart"/>
    <w:r w:rsidR="00170A90">
      <w:rPr>
        <w:rFonts w:ascii="David" w:hAnsi="David" w:cs="David" w:hint="cs"/>
        <w:sz w:val="28"/>
        <w:szCs w:val="28"/>
        <w:rtl/>
      </w:rPr>
      <w:t>ה</w:t>
    </w:r>
    <w:r w:rsidR="003E3218">
      <w:rPr>
        <w:rFonts w:ascii="David" w:hAnsi="David" w:cs="David" w:hint="cs"/>
        <w:sz w:val="28"/>
        <w:szCs w:val="28"/>
        <w:rtl/>
      </w:rPr>
      <w:t>מ</w:t>
    </w:r>
    <w:r w:rsidR="009579FE">
      <w:rPr>
        <w:rFonts w:ascii="David" w:hAnsi="David" w:cs="David" w:hint="cs"/>
        <w:sz w:val="28"/>
        <w:szCs w:val="28"/>
        <w:rtl/>
      </w:rPr>
      <w:t>"</w:t>
    </w:r>
    <w:r w:rsidR="00170A90">
      <w:rPr>
        <w:rFonts w:ascii="David" w:hAnsi="David" w:cs="David" w:hint="cs"/>
        <w:sz w:val="28"/>
        <w:szCs w:val="28"/>
        <w:rtl/>
      </w:rPr>
      <w:t>ע</w:t>
    </w:r>
    <w:proofErr w:type="spellEnd"/>
    <w:r w:rsidR="00170A90">
      <w:rPr>
        <w:rFonts w:ascii="David" w:hAnsi="David" w:cs="David" w:hint="cs"/>
        <w:sz w:val="28"/>
        <w:szCs w:val="28"/>
        <w:rtl/>
      </w:rPr>
      <w:t xml:space="preserve"> 34266</w:t>
    </w:r>
    <w:r w:rsidR="003E3218">
      <w:rPr>
        <w:rFonts w:ascii="David" w:hAnsi="David" w:cs="David" w:hint="cs"/>
        <w:sz w:val="28"/>
        <w:szCs w:val="28"/>
        <w:rtl/>
      </w:rPr>
      <w:t>-03-26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8B6F" w14:textId="386744B9" w:rsidR="003B5FE4" w:rsidRDefault="003E3218">
    <w:pPr>
      <w:pStyle w:val="af"/>
    </w:pPr>
    <w:r>
      <w:rPr>
        <w:noProof/>
        <w14:ligatures w14:val="standardContextual"/>
      </w:rPr>
      <mc:AlternateContent>
        <mc:Choice Requires="wps">
          <w:drawing>
            <wp:anchor distT="0" distB="0" distL="0" distR="0" simplePos="0" relativeHeight="251657728" behindDoc="0" locked="0" layoutInCell="1" allowOverlap="1" wp14:anchorId="6CC44998" wp14:editId="746E51B0">
              <wp:simplePos x="635" y="635"/>
              <wp:positionH relativeFrom="page">
                <wp:align>center</wp:align>
              </wp:positionH>
              <wp:positionV relativeFrom="page">
                <wp:align>top</wp:align>
              </wp:positionV>
              <wp:extent cx="462280" cy="422910"/>
              <wp:effectExtent l="0" t="0" r="13970" b="15240"/>
              <wp:wrapNone/>
              <wp:docPr id="1276363479"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422910"/>
                      </a:xfrm>
                      <a:prstGeom prst="rect">
                        <a:avLst/>
                      </a:prstGeom>
                      <a:noFill/>
                      <a:ln>
                        <a:noFill/>
                      </a:ln>
                    </wps:spPr>
                    <wps:txbx>
                      <w:txbxContent>
                        <w:p w14:paraId="096A0DDF" w14:textId="44A2CEDF"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44998" id="_x0000_t202" coordsize="21600,21600" o:spt="202" path="m,l,21600r21600,l21600,xe">
              <v:stroke joinstyle="miter"/>
              <v:path gradientshapeok="t" o:connecttype="rect"/>
            </v:shapetype>
            <v:shape id="Text Box 1" o:spid="_x0000_s1028" type="#_x0000_t202" alt="- בלמ&quot;ס -" style="position:absolute;left:0;text-align:left;margin-left:0;margin-top:0;width:36.4pt;height:33.3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" filled="f" stroked="f">
              <v:textbox style="mso-fit-shape-to-text:t" inset="0,15pt,0,0">
                <w:txbxContent>
                  <w:p w14:paraId="096A0DDF" w14:textId="44A2CEDF" w:rsidR="003E3218" w:rsidRPr="003E3218" w:rsidRDefault="003E3218" w:rsidP="003E3218">
                    <w:pPr>
                      <w:rPr>
                        <w:rFonts w:ascii="Aptos" w:eastAsia="Aptos" w:hAnsi="Aptos" w:cs="Aptos"/>
                        <w:noProof/>
                        <w:color w:val="000000"/>
                        <w:sz w:val="20"/>
                        <w:szCs w:val="20"/>
                      </w:rPr>
                    </w:pPr>
                    <w:r w:rsidRPr="003E3218">
                      <w:rPr>
                        <w:rFonts w:ascii="Aptos" w:eastAsia="Aptos" w:hAnsi="Aptos" w:cs="Aptos"/>
                        <w:noProof/>
                        <w:color w:val="000000"/>
                        <w:sz w:val="20"/>
                        <w:szCs w:val="20"/>
                        <w:rtl/>
                      </w:rPr>
                      <w:t>- בלמ"ס -</w:t>
                    </w:r>
                  </w:p>
                </w:txbxContent>
              </v:textbox>
              <w10:wrap anchorx="page" anchory="page"/>
            </v:shape>
          </w:pict>
        </mc:Fallback>
      </mc:AlternateContent>
    </w:r>
    <w:r w:rsidR="003B5FE4">
      <w:rPr>
        <w:noProof/>
      </w:rPr>
      <mc:AlternateContent>
        <mc:Choice Requires="wps">
          <w:drawing>
            <wp:anchor distT="0" distB="0" distL="0" distR="0" simplePos="0" relativeHeight="251655680" behindDoc="0" locked="0" layoutInCell="1" allowOverlap="1" wp14:anchorId="05A6AC20" wp14:editId="6625F8B3">
              <wp:simplePos x="0" y="0"/>
              <wp:positionH relativeFrom="page">
                <wp:align>center</wp:align>
              </wp:positionH>
              <wp:positionV relativeFrom="page">
                <wp:align>top</wp:align>
              </wp:positionV>
              <wp:extent cx="443865" cy="4438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67245A16" w14:textId="77777777" w:rsidR="003B5FE4" w:rsidRPr="00A54410" w:rsidRDefault="003B5FE4" w:rsidP="00A54410">
                          <w:pPr>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6AC20" id="_x0000_s1029" type="#_x0000_t202" style="position:absolute;left:0;text-align:left;margin-left:0;margin-top:0;width:34.95pt;height:34.95pt;z-index:25165568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" filled="f" stroked="f">
              <v:textbox style="mso-fit-shape-to-text:t" inset="0,15pt,0,0">
                <w:txbxContent>
                  <w:p w14:paraId="67245A16" w14:textId="77777777" w:rsidR="003B5FE4" w:rsidRPr="00A54410" w:rsidRDefault="003B5FE4" w:rsidP="00A54410">
                    <w:pPr>
                      <w:rPr>
                        <w:rFonts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09E"/>
    <w:multiLevelType w:val="hybridMultilevel"/>
    <w:tmpl w:val="1B248C6C"/>
    <w:lvl w:ilvl="0" w:tplc="8F262D5E">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A79D1"/>
    <w:multiLevelType w:val="hybridMultilevel"/>
    <w:tmpl w:val="F38AAB60"/>
    <w:lvl w:ilvl="0" w:tplc="845C318A">
      <w:start w:val="1"/>
      <w:numFmt w:val="hebrew1"/>
      <w:lvlText w:val="%1."/>
      <w:lvlJc w:val="left"/>
      <w:pPr>
        <w:ind w:left="585" w:hanging="360"/>
      </w:pPr>
      <w:rPr>
        <w:rFonts w:hint="default"/>
      </w:rPr>
    </w:lvl>
    <w:lvl w:ilvl="1" w:tplc="20000019" w:tentative="1">
      <w:start w:val="1"/>
      <w:numFmt w:val="lowerLetter"/>
      <w:lvlText w:val="%2."/>
      <w:lvlJc w:val="left"/>
      <w:pPr>
        <w:ind w:left="1305" w:hanging="360"/>
      </w:pPr>
    </w:lvl>
    <w:lvl w:ilvl="2" w:tplc="2000001B" w:tentative="1">
      <w:start w:val="1"/>
      <w:numFmt w:val="lowerRoman"/>
      <w:lvlText w:val="%3."/>
      <w:lvlJc w:val="right"/>
      <w:pPr>
        <w:ind w:left="2025" w:hanging="180"/>
      </w:pPr>
    </w:lvl>
    <w:lvl w:ilvl="3" w:tplc="2000000F" w:tentative="1">
      <w:start w:val="1"/>
      <w:numFmt w:val="decimal"/>
      <w:lvlText w:val="%4."/>
      <w:lvlJc w:val="left"/>
      <w:pPr>
        <w:ind w:left="2745" w:hanging="360"/>
      </w:pPr>
    </w:lvl>
    <w:lvl w:ilvl="4" w:tplc="20000019" w:tentative="1">
      <w:start w:val="1"/>
      <w:numFmt w:val="lowerLetter"/>
      <w:lvlText w:val="%5."/>
      <w:lvlJc w:val="left"/>
      <w:pPr>
        <w:ind w:left="3465" w:hanging="360"/>
      </w:pPr>
    </w:lvl>
    <w:lvl w:ilvl="5" w:tplc="2000001B" w:tentative="1">
      <w:start w:val="1"/>
      <w:numFmt w:val="lowerRoman"/>
      <w:lvlText w:val="%6."/>
      <w:lvlJc w:val="right"/>
      <w:pPr>
        <w:ind w:left="4185" w:hanging="180"/>
      </w:pPr>
    </w:lvl>
    <w:lvl w:ilvl="6" w:tplc="2000000F" w:tentative="1">
      <w:start w:val="1"/>
      <w:numFmt w:val="decimal"/>
      <w:lvlText w:val="%7."/>
      <w:lvlJc w:val="left"/>
      <w:pPr>
        <w:ind w:left="4905" w:hanging="360"/>
      </w:pPr>
    </w:lvl>
    <w:lvl w:ilvl="7" w:tplc="20000019" w:tentative="1">
      <w:start w:val="1"/>
      <w:numFmt w:val="lowerLetter"/>
      <w:lvlText w:val="%8."/>
      <w:lvlJc w:val="left"/>
      <w:pPr>
        <w:ind w:left="5625" w:hanging="360"/>
      </w:pPr>
    </w:lvl>
    <w:lvl w:ilvl="8" w:tplc="2000001B" w:tentative="1">
      <w:start w:val="1"/>
      <w:numFmt w:val="lowerRoman"/>
      <w:lvlText w:val="%9."/>
      <w:lvlJc w:val="right"/>
      <w:pPr>
        <w:ind w:left="6345" w:hanging="180"/>
      </w:pPr>
    </w:lvl>
  </w:abstractNum>
  <w:abstractNum w:abstractNumId="2" w15:restartNumberingAfterBreak="0">
    <w:nsid w:val="2FF75B99"/>
    <w:multiLevelType w:val="hybridMultilevel"/>
    <w:tmpl w:val="648CA99E"/>
    <w:lvl w:ilvl="0" w:tplc="676AE140">
      <w:start w:val="1"/>
      <w:numFmt w:val="decimal"/>
      <w:suff w:val="space"/>
      <w:lvlText w:val="%1."/>
      <w:lvlJc w:val="left"/>
      <w:pPr>
        <w:ind w:left="0" w:firstLine="0"/>
      </w:pPr>
      <w:rPr>
        <w:rFonts w:hint="default"/>
      </w:rPr>
    </w:lvl>
    <w:lvl w:ilvl="1" w:tplc="04090019">
      <w:start w:val="1"/>
      <w:numFmt w:val="lowerLetter"/>
      <w:lvlText w:val="%2."/>
      <w:lvlJc w:val="left"/>
      <w:pPr>
        <w:ind w:left="1073" w:hanging="360"/>
      </w:pPr>
    </w:lvl>
    <w:lvl w:ilvl="2" w:tplc="0409001B">
      <w:start w:val="1"/>
      <w:numFmt w:val="lowerRoman"/>
      <w:lvlText w:val="%3."/>
      <w:lvlJc w:val="right"/>
      <w:pPr>
        <w:ind w:left="1793" w:hanging="180"/>
      </w:pPr>
    </w:lvl>
    <w:lvl w:ilvl="3" w:tplc="0409000F">
      <w:start w:val="1"/>
      <w:numFmt w:val="decimal"/>
      <w:lvlText w:val="%4."/>
      <w:lvlJc w:val="left"/>
      <w:pPr>
        <w:ind w:left="2513" w:hanging="360"/>
      </w:pPr>
    </w:lvl>
    <w:lvl w:ilvl="4" w:tplc="04090019">
      <w:start w:val="1"/>
      <w:numFmt w:val="lowerLetter"/>
      <w:lvlText w:val="%5."/>
      <w:lvlJc w:val="left"/>
      <w:pPr>
        <w:ind w:left="3233" w:hanging="360"/>
      </w:pPr>
    </w:lvl>
    <w:lvl w:ilvl="5" w:tplc="0409001B">
      <w:start w:val="1"/>
      <w:numFmt w:val="lowerRoman"/>
      <w:lvlText w:val="%6."/>
      <w:lvlJc w:val="right"/>
      <w:pPr>
        <w:ind w:left="3953" w:hanging="180"/>
      </w:pPr>
    </w:lvl>
    <w:lvl w:ilvl="6" w:tplc="0409000F">
      <w:start w:val="1"/>
      <w:numFmt w:val="decimal"/>
      <w:lvlText w:val="%7."/>
      <w:lvlJc w:val="left"/>
      <w:pPr>
        <w:ind w:left="4673" w:hanging="360"/>
      </w:pPr>
    </w:lvl>
    <w:lvl w:ilvl="7" w:tplc="04090019">
      <w:start w:val="1"/>
      <w:numFmt w:val="lowerLetter"/>
      <w:lvlText w:val="%8."/>
      <w:lvlJc w:val="left"/>
      <w:pPr>
        <w:ind w:left="5393" w:hanging="360"/>
      </w:pPr>
    </w:lvl>
    <w:lvl w:ilvl="8" w:tplc="0409001B">
      <w:start w:val="1"/>
      <w:numFmt w:val="lowerRoman"/>
      <w:lvlText w:val="%9."/>
      <w:lvlJc w:val="right"/>
      <w:pPr>
        <w:ind w:left="6113" w:hanging="180"/>
      </w:pPr>
    </w:lvl>
  </w:abstractNum>
  <w:abstractNum w:abstractNumId="3"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063934">
    <w:abstractNumId w:val="3"/>
  </w:num>
  <w:num w:numId="2" w16cid:durableId="262231472">
    <w:abstractNumId w:val="0"/>
  </w:num>
  <w:num w:numId="3" w16cid:durableId="1358002700">
    <w:abstractNumId w:val="1"/>
  </w:num>
  <w:num w:numId="4" w16cid:durableId="145112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E4"/>
    <w:rsid w:val="00057B97"/>
    <w:rsid w:val="000778D2"/>
    <w:rsid w:val="00170A90"/>
    <w:rsid w:val="001A2C30"/>
    <w:rsid w:val="00342426"/>
    <w:rsid w:val="00373D0A"/>
    <w:rsid w:val="003B5FE4"/>
    <w:rsid w:val="003D6AA9"/>
    <w:rsid w:val="003E3218"/>
    <w:rsid w:val="004A3C75"/>
    <w:rsid w:val="005375EA"/>
    <w:rsid w:val="005A61A2"/>
    <w:rsid w:val="005D0579"/>
    <w:rsid w:val="006B5849"/>
    <w:rsid w:val="00707CF3"/>
    <w:rsid w:val="00745821"/>
    <w:rsid w:val="007551F3"/>
    <w:rsid w:val="007D1F20"/>
    <w:rsid w:val="008662B6"/>
    <w:rsid w:val="00902388"/>
    <w:rsid w:val="009579FE"/>
    <w:rsid w:val="00990A99"/>
    <w:rsid w:val="00996006"/>
    <w:rsid w:val="00A2749F"/>
    <w:rsid w:val="00B421C8"/>
    <w:rsid w:val="00B42D39"/>
    <w:rsid w:val="00B4530B"/>
    <w:rsid w:val="00B71C66"/>
    <w:rsid w:val="00C013FE"/>
    <w:rsid w:val="00C512F1"/>
    <w:rsid w:val="00C649E1"/>
    <w:rsid w:val="00C812FF"/>
    <w:rsid w:val="00C85266"/>
    <w:rsid w:val="00CE206B"/>
    <w:rsid w:val="00D57E3B"/>
    <w:rsid w:val="00D6370C"/>
    <w:rsid w:val="00D97FDC"/>
    <w:rsid w:val="00E630B4"/>
    <w:rsid w:val="00E66B47"/>
    <w:rsid w:val="00F9357C"/>
    <w:rsid w:val="00FE28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954D"/>
  <w15:chartTrackingRefBased/>
  <w15:docId w15:val="{014D4449-5B7B-40AB-8EF1-EF0142B6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FE4"/>
    <w:pPr>
      <w:bidi/>
      <w:spacing w:after="0" w:line="360" w:lineRule="auto"/>
    </w:pPr>
    <w:rPr>
      <w:rFonts w:ascii="Calibri" w:eastAsia="Calibri" w:hAnsi="Calibri" w:cs="Arial"/>
      <w:kern w:val="0"/>
      <w:sz w:val="22"/>
      <w:szCs w:val="22"/>
      <w14:ligatures w14:val="none"/>
    </w:rPr>
  </w:style>
  <w:style w:type="paragraph" w:styleId="1">
    <w:name w:val="heading 1"/>
    <w:basedOn w:val="a"/>
    <w:next w:val="a"/>
    <w:link w:val="10"/>
    <w:uiPriority w:val="9"/>
    <w:qFormat/>
    <w:rsid w:val="003B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B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5F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5F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5F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5FE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5FE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5FE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5FE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B5FE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3B5FE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B5FE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B5FE4"/>
    <w:rPr>
      <w:rFonts w:eastAsiaTheme="majorEastAsia" w:cstheme="majorBidi"/>
      <w:i/>
      <w:iCs/>
      <w:color w:val="0F4761" w:themeColor="accent1" w:themeShade="BF"/>
    </w:rPr>
  </w:style>
  <w:style w:type="character" w:customStyle="1" w:styleId="50">
    <w:name w:val="כותרת 5 תו"/>
    <w:basedOn w:val="a0"/>
    <w:link w:val="5"/>
    <w:uiPriority w:val="9"/>
    <w:semiHidden/>
    <w:rsid w:val="003B5FE4"/>
    <w:rPr>
      <w:rFonts w:eastAsiaTheme="majorEastAsia" w:cstheme="majorBidi"/>
      <w:color w:val="0F4761" w:themeColor="accent1" w:themeShade="BF"/>
    </w:rPr>
  </w:style>
  <w:style w:type="character" w:customStyle="1" w:styleId="60">
    <w:name w:val="כותרת 6 תו"/>
    <w:basedOn w:val="a0"/>
    <w:link w:val="6"/>
    <w:uiPriority w:val="9"/>
    <w:semiHidden/>
    <w:rsid w:val="003B5FE4"/>
    <w:rPr>
      <w:rFonts w:eastAsiaTheme="majorEastAsia" w:cstheme="majorBidi"/>
      <w:i/>
      <w:iCs/>
      <w:color w:val="595959" w:themeColor="text1" w:themeTint="A6"/>
    </w:rPr>
  </w:style>
  <w:style w:type="character" w:customStyle="1" w:styleId="70">
    <w:name w:val="כותרת 7 תו"/>
    <w:basedOn w:val="a0"/>
    <w:link w:val="7"/>
    <w:uiPriority w:val="9"/>
    <w:semiHidden/>
    <w:rsid w:val="003B5FE4"/>
    <w:rPr>
      <w:rFonts w:eastAsiaTheme="majorEastAsia" w:cstheme="majorBidi"/>
      <w:color w:val="595959" w:themeColor="text1" w:themeTint="A6"/>
    </w:rPr>
  </w:style>
  <w:style w:type="character" w:customStyle="1" w:styleId="80">
    <w:name w:val="כותרת 8 תו"/>
    <w:basedOn w:val="a0"/>
    <w:link w:val="8"/>
    <w:uiPriority w:val="9"/>
    <w:semiHidden/>
    <w:rsid w:val="003B5FE4"/>
    <w:rPr>
      <w:rFonts w:eastAsiaTheme="majorEastAsia" w:cstheme="majorBidi"/>
      <w:i/>
      <w:iCs/>
      <w:color w:val="272727" w:themeColor="text1" w:themeTint="D8"/>
    </w:rPr>
  </w:style>
  <w:style w:type="character" w:customStyle="1" w:styleId="90">
    <w:name w:val="כותרת 9 תו"/>
    <w:basedOn w:val="a0"/>
    <w:link w:val="9"/>
    <w:uiPriority w:val="9"/>
    <w:semiHidden/>
    <w:rsid w:val="003B5FE4"/>
    <w:rPr>
      <w:rFonts w:eastAsiaTheme="majorEastAsia" w:cstheme="majorBidi"/>
      <w:color w:val="272727" w:themeColor="text1" w:themeTint="D8"/>
    </w:rPr>
  </w:style>
  <w:style w:type="paragraph" w:styleId="a3">
    <w:name w:val="Title"/>
    <w:basedOn w:val="a"/>
    <w:next w:val="a"/>
    <w:link w:val="a4"/>
    <w:uiPriority w:val="10"/>
    <w:qFormat/>
    <w:rsid w:val="003B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B5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FE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B5FE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5FE4"/>
    <w:pPr>
      <w:spacing w:before="160"/>
      <w:jc w:val="center"/>
    </w:pPr>
    <w:rPr>
      <w:i/>
      <w:iCs/>
      <w:color w:val="404040" w:themeColor="text1" w:themeTint="BF"/>
    </w:rPr>
  </w:style>
  <w:style w:type="character" w:customStyle="1" w:styleId="a8">
    <w:name w:val="ציטוט תו"/>
    <w:basedOn w:val="a0"/>
    <w:link w:val="a7"/>
    <w:uiPriority w:val="29"/>
    <w:rsid w:val="003B5FE4"/>
    <w:rPr>
      <w:i/>
      <w:iCs/>
      <w:color w:val="404040" w:themeColor="text1" w:themeTint="BF"/>
    </w:rPr>
  </w:style>
  <w:style w:type="paragraph" w:styleId="a9">
    <w:name w:val="List Paragraph"/>
    <w:basedOn w:val="a"/>
    <w:link w:val="aa"/>
    <w:qFormat/>
    <w:rsid w:val="003B5FE4"/>
    <w:pPr>
      <w:ind w:left="720"/>
      <w:contextualSpacing/>
    </w:pPr>
  </w:style>
  <w:style w:type="character" w:styleId="ab">
    <w:name w:val="Intense Emphasis"/>
    <w:basedOn w:val="a0"/>
    <w:uiPriority w:val="21"/>
    <w:qFormat/>
    <w:rsid w:val="003B5FE4"/>
    <w:rPr>
      <w:i/>
      <w:iCs/>
      <w:color w:val="0F4761" w:themeColor="accent1" w:themeShade="BF"/>
    </w:rPr>
  </w:style>
  <w:style w:type="paragraph" w:styleId="ac">
    <w:name w:val="Intense Quote"/>
    <w:basedOn w:val="a"/>
    <w:next w:val="a"/>
    <w:link w:val="ad"/>
    <w:uiPriority w:val="30"/>
    <w:qFormat/>
    <w:rsid w:val="003B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3B5FE4"/>
    <w:rPr>
      <w:i/>
      <w:iCs/>
      <w:color w:val="0F4761" w:themeColor="accent1" w:themeShade="BF"/>
    </w:rPr>
  </w:style>
  <w:style w:type="character" w:styleId="ae">
    <w:name w:val="Intense Reference"/>
    <w:basedOn w:val="a0"/>
    <w:uiPriority w:val="32"/>
    <w:qFormat/>
    <w:rsid w:val="003B5FE4"/>
    <w:rPr>
      <w:b/>
      <w:bCs/>
      <w:smallCaps/>
      <w:color w:val="0F4761" w:themeColor="accent1" w:themeShade="BF"/>
      <w:spacing w:val="5"/>
    </w:rPr>
  </w:style>
  <w:style w:type="paragraph" w:styleId="af">
    <w:name w:val="header"/>
    <w:basedOn w:val="a"/>
    <w:link w:val="af0"/>
    <w:unhideWhenUsed/>
    <w:rsid w:val="003B5FE4"/>
    <w:pPr>
      <w:tabs>
        <w:tab w:val="center" w:pos="4153"/>
        <w:tab w:val="right" w:pos="8306"/>
      </w:tabs>
      <w:spacing w:line="240" w:lineRule="auto"/>
    </w:pPr>
  </w:style>
  <w:style w:type="character" w:customStyle="1" w:styleId="af0">
    <w:name w:val="כותרת עליונה תו"/>
    <w:basedOn w:val="a0"/>
    <w:link w:val="af"/>
    <w:rsid w:val="003B5FE4"/>
    <w:rPr>
      <w:rFonts w:ascii="Calibri" w:eastAsia="Calibri" w:hAnsi="Calibri" w:cs="Arial"/>
      <w:kern w:val="0"/>
      <w:sz w:val="22"/>
      <w:szCs w:val="22"/>
      <w14:ligatures w14:val="none"/>
    </w:rPr>
  </w:style>
  <w:style w:type="paragraph" w:styleId="af1">
    <w:name w:val="footer"/>
    <w:basedOn w:val="a"/>
    <w:link w:val="af2"/>
    <w:uiPriority w:val="99"/>
    <w:unhideWhenUsed/>
    <w:rsid w:val="003B5FE4"/>
    <w:pPr>
      <w:tabs>
        <w:tab w:val="center" w:pos="4153"/>
        <w:tab w:val="right" w:pos="8306"/>
      </w:tabs>
      <w:spacing w:line="240" w:lineRule="auto"/>
    </w:pPr>
  </w:style>
  <w:style w:type="character" w:customStyle="1" w:styleId="af2">
    <w:name w:val="כותרת תחתונה תו"/>
    <w:basedOn w:val="a0"/>
    <w:link w:val="af1"/>
    <w:uiPriority w:val="99"/>
    <w:rsid w:val="003B5FE4"/>
    <w:rPr>
      <w:rFonts w:ascii="Calibri" w:eastAsia="Calibri" w:hAnsi="Calibri" w:cs="Arial"/>
      <w:kern w:val="0"/>
      <w:sz w:val="22"/>
      <w:szCs w:val="22"/>
      <w14:ligatures w14:val="none"/>
    </w:rPr>
  </w:style>
  <w:style w:type="character" w:customStyle="1" w:styleId="aa">
    <w:name w:val="פיסקת רשימה תו"/>
    <w:link w:val="a9"/>
    <w:locked/>
    <w:rsid w:val="003B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1567</Words>
  <Characters>7305</Characters>
  <Application>Microsoft Office Word</Application>
  <DocSecurity>0</DocSecurity>
  <Lines>158</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נאיה שלום</dc:creator>
  <cp:keywords/>
  <dc:description/>
  <cp:lastModifiedBy>נאיה שלום</cp:lastModifiedBy>
  <cp:revision>9</cp:revision>
  <cp:lastPrinted>2026-03-16T09:14:00Z</cp:lastPrinted>
  <dcterms:created xsi:type="dcterms:W3CDTF">2026-03-29T18:34:00Z</dcterms:created>
  <dcterms:modified xsi:type="dcterms:W3CDTF">2026-03-31T10:21:00Z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4c13c2d7,19bfda3a,50650345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2026-03-16T08:49:32Z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da5652aa-7080-4bab-a6f4-e4cd12d9a374</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