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073E7" w14:textId="74A971E4" w:rsidR="00BE71F2" w:rsidRDefault="00202D6F" w:rsidP="00A51FCE">
      <w:pPr>
        <w:ind w:right="993"/>
        <w:jc w:val="both"/>
        <w:rPr>
          <w:rFonts w:ascii="David" w:eastAsia="David" w:hAnsi="David" w:cs="David"/>
          <w:sz w:val="24"/>
          <w:szCs w:val="24"/>
          <w:rtl/>
        </w:rPr>
      </w:pPr>
      <w:bookmarkStart w:id="0" w:name="_Hlk157070294"/>
      <w:r>
        <w:rPr>
          <w:noProof/>
        </w:rPr>
        <w:t xml:space="preserve">      </w:t>
      </w:r>
      <w:r w:rsidRPr="007F3314">
        <w:rPr>
          <w:noProof/>
        </w:rPr>
        <w:drawing>
          <wp:inline distT="0" distB="0" distL="0" distR="0" wp14:anchorId="5A17C52C" wp14:editId="5CF40B4A">
            <wp:extent cx="781050" cy="714375"/>
            <wp:effectExtent l="0" t="0" r="0" b="9525"/>
            <wp:docPr id="4" name="Picture 4"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noProof/>
        </w:rPr>
        <w:t xml:space="preserve">                                         </w:t>
      </w:r>
      <w:r>
        <w:rPr>
          <w:rFonts w:hint="cs"/>
          <w:noProof/>
          <w:rtl/>
        </w:rPr>
        <w:t xml:space="preserve">                                                 </w:t>
      </w:r>
      <w:r w:rsidRPr="007F3314">
        <w:rPr>
          <w:noProof/>
        </w:rPr>
        <w:drawing>
          <wp:inline distT="0" distB="0" distL="0" distR="0" wp14:anchorId="1961FBB7" wp14:editId="5F02492F">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bookmarkEnd w:id="0"/>
      <w:r>
        <w:rPr>
          <w:rFonts w:ascii="David" w:eastAsia="David" w:hAnsi="David" w:cs="David" w:hint="cs"/>
          <w:sz w:val="24"/>
          <w:szCs w:val="24"/>
          <w:rtl/>
        </w:rPr>
        <w:t xml:space="preserve">           </w:t>
      </w:r>
    </w:p>
    <w:p w14:paraId="083B4D4C" w14:textId="77777777" w:rsidR="00BE71F2" w:rsidRDefault="00BE71F2" w:rsidP="00A51FCE">
      <w:pPr>
        <w:ind w:left="1359" w:right="993"/>
        <w:jc w:val="both"/>
        <w:rPr>
          <w:rFonts w:ascii="David" w:eastAsia="David" w:hAnsi="David" w:cs="David"/>
          <w:sz w:val="24"/>
          <w:szCs w:val="24"/>
        </w:rPr>
      </w:pPr>
    </w:p>
    <w:p w14:paraId="66111122" w14:textId="77777777" w:rsidR="00BE71F2" w:rsidRPr="00A90E84" w:rsidRDefault="003149D5" w:rsidP="00202D6F">
      <w:pPr>
        <w:pStyle w:val="Heading1"/>
        <w:spacing w:line="360" w:lineRule="auto"/>
        <w:ind w:left="226"/>
        <w:jc w:val="both"/>
        <w:rPr>
          <w:rFonts w:ascii="David" w:eastAsia="David" w:hAnsi="David" w:cs="David"/>
          <w:b/>
          <w:bCs/>
          <w:color w:val="000000"/>
          <w:sz w:val="28"/>
          <w:szCs w:val="28"/>
        </w:rPr>
      </w:pPr>
      <w:r w:rsidRPr="00A90E84">
        <w:rPr>
          <w:rFonts w:ascii="David" w:eastAsia="David" w:hAnsi="David" w:cs="David" w:hint="cs"/>
          <w:b/>
          <w:bCs/>
          <w:color w:val="000000"/>
          <w:sz w:val="28"/>
          <w:szCs w:val="28"/>
          <w:rtl/>
        </w:rPr>
        <w:t>בבית הדין הצבאי המחוזי</w:t>
      </w:r>
    </w:p>
    <w:p w14:paraId="085E369F" w14:textId="7CDA9CBE" w:rsidR="00BE71F2" w:rsidRPr="00A90E84" w:rsidRDefault="00202D6F" w:rsidP="00202D6F">
      <w:pPr>
        <w:spacing w:before="120" w:after="120" w:line="360" w:lineRule="auto"/>
        <w:ind w:left="84" w:right="993" w:firstLine="142"/>
        <w:jc w:val="both"/>
        <w:rPr>
          <w:rFonts w:ascii="David" w:eastAsia="David" w:hAnsi="David" w:cs="David"/>
          <w:b/>
          <w:bCs/>
          <w:sz w:val="28"/>
          <w:szCs w:val="28"/>
        </w:rPr>
      </w:pPr>
      <w:r w:rsidRPr="00A90E84">
        <w:rPr>
          <w:rFonts w:ascii="David" w:eastAsia="David" w:hAnsi="David" w:cs="David" w:hint="cs"/>
          <w:b/>
          <w:bCs/>
          <w:color w:val="000000"/>
          <w:sz w:val="28"/>
          <w:szCs w:val="28"/>
          <w:rtl/>
        </w:rPr>
        <w:t xml:space="preserve">מחוז שיפוט </w:t>
      </w:r>
      <w:r w:rsidR="00726B6B" w:rsidRPr="00A90E84">
        <w:rPr>
          <w:rFonts w:ascii="David" w:eastAsia="David" w:hAnsi="David" w:cs="David" w:hint="cs"/>
          <w:b/>
          <w:bCs/>
          <w:color w:val="000000"/>
          <w:sz w:val="28"/>
          <w:szCs w:val="28"/>
          <w:rtl/>
        </w:rPr>
        <w:t xml:space="preserve">דרום </w:t>
      </w:r>
    </w:p>
    <w:p w14:paraId="21621EDF" w14:textId="6E7D5B63" w:rsidR="00BE71F2" w:rsidRPr="00A90E84" w:rsidRDefault="003149D5" w:rsidP="00202D6F">
      <w:pPr>
        <w:spacing w:before="120" w:after="120" w:line="360" w:lineRule="auto"/>
        <w:ind w:left="368" w:right="993" w:hanging="142"/>
        <w:jc w:val="both"/>
        <w:rPr>
          <w:rFonts w:ascii="David" w:eastAsia="David" w:hAnsi="David" w:cs="David"/>
          <w:bCs/>
          <w:sz w:val="28"/>
          <w:szCs w:val="28"/>
        </w:rPr>
      </w:pPr>
      <w:r w:rsidRPr="00A90E84">
        <w:rPr>
          <w:rFonts w:ascii="David" w:eastAsia="David" w:hAnsi="David" w:cs="David" w:hint="cs"/>
          <w:b/>
          <w:bCs/>
          <w:sz w:val="28"/>
          <w:szCs w:val="28"/>
          <w:rtl/>
        </w:rPr>
        <w:t xml:space="preserve">לפני </w:t>
      </w:r>
      <w:r w:rsidR="00394178" w:rsidRPr="00A90E84">
        <w:rPr>
          <w:rFonts w:ascii="David" w:eastAsia="David" w:hAnsi="David" w:cs="David" w:hint="cs"/>
          <w:b/>
          <w:bCs/>
          <w:sz w:val="28"/>
          <w:szCs w:val="28"/>
          <w:rtl/>
        </w:rPr>
        <w:t xml:space="preserve"> </w:t>
      </w:r>
      <w:r w:rsidRPr="00A90E84">
        <w:rPr>
          <w:rFonts w:ascii="David" w:eastAsia="David" w:hAnsi="David" w:cs="David" w:hint="cs"/>
          <w:b/>
          <w:bCs/>
          <w:sz w:val="28"/>
          <w:szCs w:val="28"/>
          <w:rtl/>
        </w:rPr>
        <w:t>ה</w:t>
      </w:r>
      <w:r w:rsidR="00726B6B" w:rsidRPr="00A90E84">
        <w:rPr>
          <w:rFonts w:ascii="David" w:eastAsia="David" w:hAnsi="David" w:cs="David" w:hint="cs"/>
          <w:b/>
          <w:bCs/>
          <w:sz w:val="28"/>
          <w:szCs w:val="28"/>
          <w:rtl/>
        </w:rPr>
        <w:t>שופטת</w:t>
      </w:r>
      <w:r w:rsidRPr="00A90E84">
        <w:rPr>
          <w:rFonts w:ascii="David" w:eastAsia="David" w:hAnsi="David" w:cs="David" w:hint="cs"/>
          <w:b/>
          <w:bCs/>
          <w:sz w:val="28"/>
          <w:szCs w:val="28"/>
          <w:rtl/>
        </w:rPr>
        <w:t>:</w:t>
      </w:r>
      <w:r w:rsidRPr="00A90E84">
        <w:rPr>
          <w:rFonts w:ascii="David" w:eastAsia="David" w:hAnsi="David" w:cs="David" w:hint="cs"/>
          <w:b/>
          <w:sz w:val="28"/>
          <w:szCs w:val="28"/>
          <w:rtl/>
        </w:rPr>
        <w:tab/>
      </w:r>
      <w:r w:rsidR="007532A2" w:rsidRPr="00A90E84">
        <w:rPr>
          <w:rFonts w:ascii="David" w:eastAsia="David" w:hAnsi="David" w:cs="David" w:hint="cs"/>
          <w:b/>
          <w:sz w:val="28"/>
          <w:szCs w:val="28"/>
          <w:rtl/>
        </w:rPr>
        <w:t xml:space="preserve">           </w:t>
      </w:r>
      <w:r w:rsidR="008C533F" w:rsidRPr="00A90E84">
        <w:rPr>
          <w:rFonts w:ascii="David" w:eastAsia="David" w:hAnsi="David" w:cs="David" w:hint="cs"/>
          <w:b/>
          <w:sz w:val="28"/>
          <w:szCs w:val="28"/>
          <w:rtl/>
        </w:rPr>
        <w:t xml:space="preserve">        </w:t>
      </w:r>
      <w:r w:rsidR="00726B6B" w:rsidRPr="00A90E84">
        <w:rPr>
          <w:rFonts w:ascii="David" w:eastAsia="David" w:hAnsi="David" w:cs="David" w:hint="cs"/>
          <w:bCs/>
          <w:sz w:val="28"/>
          <w:szCs w:val="28"/>
          <w:u w:val="single"/>
          <w:rtl/>
        </w:rPr>
        <w:t>רס"ן (במיל') נועה חקלאי</w:t>
      </w:r>
      <w:r w:rsidRPr="00A90E84">
        <w:rPr>
          <w:rFonts w:ascii="David" w:eastAsia="David" w:hAnsi="David" w:cs="David" w:hint="cs"/>
          <w:bCs/>
          <w:sz w:val="28"/>
          <w:szCs w:val="28"/>
          <w:rtl/>
        </w:rPr>
        <w:t xml:space="preserve">                 </w:t>
      </w:r>
    </w:p>
    <w:p w14:paraId="1F1FFC8F" w14:textId="77777777" w:rsidR="00BE71F2" w:rsidRPr="00A90E84" w:rsidRDefault="00BE71F2" w:rsidP="00202D6F">
      <w:pPr>
        <w:pStyle w:val="Heading3"/>
        <w:spacing w:line="360" w:lineRule="auto"/>
        <w:ind w:left="933" w:firstLine="360"/>
        <w:jc w:val="both"/>
        <w:rPr>
          <w:rFonts w:ascii="David" w:eastAsia="David" w:hAnsi="David" w:cs="David"/>
          <w:color w:val="000000"/>
          <w:sz w:val="28"/>
          <w:szCs w:val="28"/>
        </w:rPr>
      </w:pPr>
    </w:p>
    <w:p w14:paraId="43776E13" w14:textId="0AA99C05" w:rsidR="00BE71F2" w:rsidRPr="00A90E84" w:rsidRDefault="003149D5" w:rsidP="0075613F">
      <w:pPr>
        <w:pStyle w:val="Heading3"/>
        <w:spacing w:line="360" w:lineRule="auto"/>
        <w:ind w:left="368"/>
        <w:jc w:val="both"/>
        <w:rPr>
          <w:rFonts w:ascii="David" w:eastAsia="David" w:hAnsi="David" w:cs="David"/>
          <w:color w:val="000000"/>
          <w:sz w:val="28"/>
          <w:szCs w:val="28"/>
        </w:rPr>
      </w:pPr>
      <w:r w:rsidRPr="00A90E84">
        <w:rPr>
          <w:rFonts w:ascii="David" w:eastAsia="David" w:hAnsi="David" w:cs="David" w:hint="cs"/>
          <w:b/>
          <w:bCs/>
          <w:color w:val="000000"/>
          <w:sz w:val="28"/>
          <w:szCs w:val="28"/>
          <w:rtl/>
        </w:rPr>
        <w:t>בעניין:</w:t>
      </w:r>
      <w:r w:rsidR="00202D6F" w:rsidRPr="00A90E84">
        <w:rPr>
          <w:rFonts w:ascii="David" w:eastAsia="David" w:hAnsi="David" w:cs="David" w:hint="cs"/>
          <w:color w:val="000000"/>
          <w:sz w:val="28"/>
          <w:szCs w:val="28"/>
          <w:rtl/>
        </w:rPr>
        <w:t xml:space="preserve">    </w:t>
      </w:r>
      <w:r w:rsidR="00202D6F" w:rsidRPr="00A90E84">
        <w:rPr>
          <w:rFonts w:ascii="David" w:eastAsia="David" w:hAnsi="David" w:cs="David" w:hint="cs"/>
          <w:bCs/>
          <w:color w:val="000000"/>
          <w:sz w:val="28"/>
          <w:szCs w:val="28"/>
          <w:rtl/>
        </w:rPr>
        <w:t>התובע הצבאי</w:t>
      </w:r>
      <w:r w:rsidRPr="00A90E84">
        <w:rPr>
          <w:rFonts w:ascii="David" w:eastAsia="David" w:hAnsi="David" w:cs="David" w:hint="cs"/>
          <w:bCs/>
          <w:color w:val="000000"/>
          <w:sz w:val="28"/>
          <w:szCs w:val="28"/>
          <w:rtl/>
        </w:rPr>
        <w:tab/>
      </w:r>
      <w:r w:rsidR="00202D6F" w:rsidRPr="00A90E84">
        <w:rPr>
          <w:rFonts w:ascii="David" w:eastAsia="David" w:hAnsi="David" w:cs="David" w:hint="cs"/>
          <w:bCs/>
          <w:color w:val="000000"/>
          <w:sz w:val="28"/>
          <w:szCs w:val="28"/>
          <w:rtl/>
        </w:rPr>
        <w:t xml:space="preserve">    </w:t>
      </w:r>
      <w:r w:rsidR="0075613F">
        <w:rPr>
          <w:rFonts w:ascii="David" w:eastAsia="David" w:hAnsi="David" w:cs="David"/>
          <w:bCs/>
          <w:color w:val="000000"/>
          <w:sz w:val="28"/>
          <w:szCs w:val="28"/>
          <w:rtl/>
        </w:rPr>
        <w:tab/>
      </w:r>
      <w:r w:rsidR="0075613F">
        <w:rPr>
          <w:rFonts w:ascii="David" w:eastAsia="David" w:hAnsi="David" w:cs="David" w:hint="cs"/>
          <w:bCs/>
          <w:color w:val="000000"/>
          <w:sz w:val="28"/>
          <w:szCs w:val="28"/>
          <w:rtl/>
        </w:rPr>
        <w:t>(ע"י ב"כ, ס</w:t>
      </w:r>
      <w:r w:rsidR="00B714AD" w:rsidRPr="00A90E84">
        <w:rPr>
          <w:rFonts w:ascii="David" w:eastAsia="David" w:hAnsi="David" w:cs="David" w:hint="cs"/>
          <w:bCs/>
          <w:color w:val="000000"/>
          <w:sz w:val="28"/>
          <w:szCs w:val="28"/>
          <w:rtl/>
        </w:rPr>
        <w:t>גן קייט בזז וסרן רואי נחום</w:t>
      </w:r>
      <w:r w:rsidRPr="00A90E84">
        <w:rPr>
          <w:rFonts w:ascii="David" w:eastAsia="David" w:hAnsi="David" w:cs="David" w:hint="cs"/>
          <w:bCs/>
          <w:color w:val="000000"/>
          <w:sz w:val="28"/>
          <w:szCs w:val="28"/>
          <w:rtl/>
        </w:rPr>
        <w:t>)</w:t>
      </w:r>
    </w:p>
    <w:p w14:paraId="7A8C5AF8" w14:textId="504D79BB" w:rsidR="00BE71F2" w:rsidRPr="00A90E84" w:rsidRDefault="003149D5" w:rsidP="00202D6F">
      <w:pPr>
        <w:pStyle w:val="Heading1"/>
        <w:spacing w:line="360" w:lineRule="auto"/>
        <w:ind w:left="-341" w:firstLine="360"/>
        <w:jc w:val="center"/>
        <w:rPr>
          <w:rFonts w:ascii="David" w:eastAsia="David" w:hAnsi="David" w:cs="David"/>
          <w:bCs/>
          <w:color w:val="000000"/>
          <w:sz w:val="28"/>
          <w:szCs w:val="28"/>
          <w:u w:val="single"/>
        </w:rPr>
      </w:pPr>
      <w:r w:rsidRPr="00A90E84">
        <w:rPr>
          <w:rFonts w:ascii="David" w:eastAsia="David" w:hAnsi="David" w:cs="David" w:hint="cs"/>
          <w:bCs/>
          <w:color w:val="000000"/>
          <w:sz w:val="28"/>
          <w:szCs w:val="28"/>
          <w:u w:val="single"/>
          <w:rtl/>
        </w:rPr>
        <w:t>נגד</w:t>
      </w:r>
    </w:p>
    <w:p w14:paraId="6DD23135" w14:textId="66A06A3B" w:rsidR="0075613F" w:rsidRDefault="007A1F1A" w:rsidP="0075613F">
      <w:pPr>
        <w:pBdr>
          <w:top w:val="nil"/>
          <w:left w:val="nil"/>
          <w:bottom w:val="nil"/>
          <w:right w:val="nil"/>
          <w:between w:val="nil"/>
        </w:pBdr>
        <w:spacing w:line="360" w:lineRule="auto"/>
        <w:ind w:left="19"/>
        <w:jc w:val="both"/>
        <w:rPr>
          <w:rFonts w:ascii="David" w:eastAsia="David" w:hAnsi="David" w:cs="David"/>
          <w:bCs/>
          <w:color w:val="000000"/>
          <w:sz w:val="28"/>
          <w:szCs w:val="28"/>
          <w:rtl/>
        </w:rPr>
      </w:pPr>
      <w:r>
        <w:rPr>
          <w:rFonts w:ascii="David" w:eastAsia="David" w:hAnsi="David" w:cs="David" w:hint="cs"/>
          <w:bCs/>
          <w:color w:val="000000"/>
          <w:sz w:val="28"/>
          <w:szCs w:val="28"/>
          <w:rtl/>
        </w:rPr>
        <w:t>הנאש</w:t>
      </w:r>
      <w:r w:rsidR="0075613F">
        <w:rPr>
          <w:rFonts w:ascii="David" w:eastAsia="David" w:hAnsi="David" w:cs="David" w:hint="cs"/>
          <w:bCs/>
          <w:color w:val="000000"/>
          <w:sz w:val="28"/>
          <w:szCs w:val="28"/>
          <w:rtl/>
        </w:rPr>
        <w:t>מת</w:t>
      </w:r>
      <w:r>
        <w:rPr>
          <w:rFonts w:ascii="David" w:eastAsia="David" w:hAnsi="David" w:cs="David" w:hint="cs"/>
          <w:bCs/>
          <w:color w:val="000000"/>
          <w:sz w:val="28"/>
          <w:szCs w:val="28"/>
          <w:rtl/>
        </w:rPr>
        <w:t xml:space="preserve">:  </w:t>
      </w:r>
      <w:r>
        <w:rPr>
          <w:rFonts w:ascii="David" w:eastAsia="David" w:hAnsi="David" w:cs="David" w:hint="cs"/>
          <w:bCs/>
          <w:color w:val="000000"/>
          <w:sz w:val="28"/>
          <w:szCs w:val="28"/>
        </w:rPr>
        <w:t>X</w:t>
      </w:r>
      <w:r w:rsidR="00726B6B" w:rsidRPr="00A90E84">
        <w:rPr>
          <w:rFonts w:ascii="David" w:eastAsia="David" w:hAnsi="David" w:cs="David" w:hint="cs"/>
          <w:bCs/>
          <w:color w:val="000000"/>
          <w:sz w:val="28"/>
          <w:szCs w:val="28"/>
          <w:rtl/>
        </w:rPr>
        <w:t>/</w:t>
      </w:r>
      <w:r w:rsidR="00202D6F" w:rsidRPr="00A90E84">
        <w:rPr>
          <w:rFonts w:ascii="David" w:eastAsia="David" w:hAnsi="David" w:cs="David" w:hint="cs"/>
          <w:bCs/>
          <w:color w:val="000000"/>
          <w:sz w:val="28"/>
          <w:szCs w:val="28"/>
        </w:rPr>
        <w:t>XXX</w:t>
      </w:r>
      <w:r w:rsidR="00726B6B" w:rsidRPr="00A90E84">
        <w:rPr>
          <w:rFonts w:ascii="David" w:eastAsia="David" w:hAnsi="David" w:cs="David" w:hint="cs"/>
          <w:bCs/>
          <w:color w:val="000000"/>
          <w:sz w:val="28"/>
          <w:szCs w:val="28"/>
          <w:rtl/>
        </w:rPr>
        <w:t xml:space="preserve"> רס"ן ל</w:t>
      </w:r>
      <w:r w:rsidR="00202D6F" w:rsidRPr="00A90E84">
        <w:rPr>
          <w:rFonts w:ascii="David" w:eastAsia="David" w:hAnsi="David" w:cs="David" w:hint="cs"/>
          <w:bCs/>
          <w:color w:val="000000"/>
          <w:sz w:val="28"/>
          <w:szCs w:val="28"/>
          <w:rtl/>
        </w:rPr>
        <w:t>'</w:t>
      </w:r>
      <w:r w:rsidR="00726B6B" w:rsidRPr="00A90E84">
        <w:rPr>
          <w:rFonts w:ascii="David" w:eastAsia="David" w:hAnsi="David" w:cs="David" w:hint="cs"/>
          <w:bCs/>
          <w:color w:val="000000"/>
          <w:sz w:val="28"/>
          <w:szCs w:val="28"/>
          <w:rtl/>
        </w:rPr>
        <w:t xml:space="preserve"> ה</w:t>
      </w:r>
      <w:r w:rsidR="00202D6F" w:rsidRPr="00A90E84">
        <w:rPr>
          <w:rFonts w:ascii="David" w:eastAsia="David" w:hAnsi="David" w:cs="David" w:hint="cs"/>
          <w:bCs/>
          <w:color w:val="000000"/>
          <w:sz w:val="28"/>
          <w:szCs w:val="28"/>
          <w:rtl/>
        </w:rPr>
        <w:t>'</w:t>
      </w:r>
      <w:r w:rsidR="00726B6B" w:rsidRPr="00A90E84">
        <w:rPr>
          <w:rFonts w:ascii="David" w:eastAsia="David" w:hAnsi="David" w:cs="David" w:hint="cs"/>
          <w:bCs/>
          <w:color w:val="000000"/>
          <w:sz w:val="28"/>
          <w:szCs w:val="28"/>
          <w:rtl/>
        </w:rPr>
        <w:t xml:space="preserve"> מ</w:t>
      </w:r>
      <w:r w:rsidR="00202D6F" w:rsidRPr="00A90E84">
        <w:rPr>
          <w:rFonts w:ascii="David" w:eastAsia="David" w:hAnsi="David" w:cs="David" w:hint="cs"/>
          <w:bCs/>
          <w:color w:val="000000"/>
          <w:sz w:val="28"/>
          <w:szCs w:val="28"/>
          <w:rtl/>
        </w:rPr>
        <w:t xml:space="preserve">'   </w:t>
      </w:r>
      <w:r w:rsidR="00B714AD" w:rsidRPr="00A90E84">
        <w:rPr>
          <w:rFonts w:ascii="David" w:eastAsia="David" w:hAnsi="David" w:cs="David" w:hint="cs"/>
          <w:bCs/>
          <w:color w:val="000000"/>
          <w:sz w:val="28"/>
          <w:szCs w:val="28"/>
          <w:rtl/>
        </w:rPr>
        <w:t xml:space="preserve">  </w:t>
      </w:r>
      <w:r w:rsidR="008C533F" w:rsidRPr="00A90E84">
        <w:rPr>
          <w:rFonts w:ascii="David" w:eastAsia="David" w:hAnsi="David" w:cs="David" w:hint="cs"/>
          <w:bCs/>
          <w:color w:val="000000"/>
          <w:sz w:val="28"/>
          <w:szCs w:val="28"/>
          <w:rtl/>
        </w:rPr>
        <w:t xml:space="preserve">  </w:t>
      </w:r>
      <w:r w:rsidR="003149D5" w:rsidRPr="00A90E84">
        <w:rPr>
          <w:rFonts w:ascii="David" w:eastAsia="David" w:hAnsi="David" w:cs="David" w:hint="cs"/>
          <w:bCs/>
          <w:color w:val="000000"/>
          <w:sz w:val="28"/>
          <w:szCs w:val="28"/>
          <w:rtl/>
        </w:rPr>
        <w:t>(</w:t>
      </w:r>
      <w:r w:rsidR="0075613F">
        <w:rPr>
          <w:rFonts w:ascii="David" w:eastAsia="David" w:hAnsi="David" w:cs="David" w:hint="cs"/>
          <w:bCs/>
          <w:color w:val="000000"/>
          <w:sz w:val="28"/>
          <w:szCs w:val="28"/>
          <w:rtl/>
        </w:rPr>
        <w:t xml:space="preserve">ע"י ב"כ, </w:t>
      </w:r>
      <w:r w:rsidR="00B714AD" w:rsidRPr="00A90E84">
        <w:rPr>
          <w:rFonts w:ascii="David" w:eastAsia="David" w:hAnsi="David" w:cs="David" w:hint="cs"/>
          <w:bCs/>
          <w:color w:val="000000"/>
          <w:sz w:val="28"/>
          <w:szCs w:val="28"/>
          <w:rtl/>
        </w:rPr>
        <w:t>רס"ן דביר אופיר וקמ"ש (במיל')</w:t>
      </w:r>
    </w:p>
    <w:p w14:paraId="758AD70C" w14:textId="57B5A044" w:rsidR="00BE71F2" w:rsidRPr="00A90E84" w:rsidRDefault="00B714AD" w:rsidP="0075613F">
      <w:pPr>
        <w:pBdr>
          <w:top w:val="nil"/>
          <w:left w:val="nil"/>
          <w:bottom w:val="nil"/>
          <w:right w:val="nil"/>
          <w:between w:val="nil"/>
        </w:pBdr>
        <w:spacing w:line="360" w:lineRule="auto"/>
        <w:ind w:left="6499" w:firstLine="701"/>
        <w:jc w:val="both"/>
        <w:rPr>
          <w:rFonts w:ascii="David" w:eastAsia="David" w:hAnsi="David" w:cs="David"/>
          <w:bCs/>
          <w:color w:val="000000"/>
          <w:sz w:val="28"/>
          <w:szCs w:val="28"/>
          <w:rtl/>
        </w:rPr>
      </w:pPr>
      <w:r w:rsidRPr="00A90E84">
        <w:rPr>
          <w:rFonts w:ascii="David" w:eastAsia="David" w:hAnsi="David" w:cs="David" w:hint="cs"/>
          <w:bCs/>
          <w:color w:val="000000"/>
          <w:sz w:val="28"/>
          <w:szCs w:val="28"/>
          <w:rtl/>
        </w:rPr>
        <w:t>כפיר דור</w:t>
      </w:r>
      <w:r w:rsidR="003149D5" w:rsidRPr="00A90E84">
        <w:rPr>
          <w:rFonts w:ascii="David" w:eastAsia="David" w:hAnsi="David" w:cs="David" w:hint="cs"/>
          <w:bCs/>
          <w:color w:val="000000"/>
          <w:sz w:val="28"/>
          <w:szCs w:val="28"/>
          <w:rtl/>
        </w:rPr>
        <w:t>)</w:t>
      </w:r>
    </w:p>
    <w:p w14:paraId="43A404D5" w14:textId="065A3CF8" w:rsidR="008C533F" w:rsidRPr="00A90E84" w:rsidRDefault="008C533F" w:rsidP="008C533F">
      <w:pPr>
        <w:pBdr>
          <w:top w:val="nil"/>
          <w:left w:val="nil"/>
          <w:bottom w:val="nil"/>
          <w:right w:val="nil"/>
          <w:between w:val="nil"/>
        </w:pBdr>
        <w:ind w:left="1076" w:right="1418" w:firstLine="360"/>
        <w:jc w:val="both"/>
        <w:rPr>
          <w:rFonts w:ascii="David" w:eastAsia="David" w:hAnsi="David" w:cs="David"/>
          <w:bCs/>
          <w:color w:val="000000"/>
          <w:sz w:val="28"/>
          <w:szCs w:val="28"/>
          <w:rtl/>
        </w:rPr>
      </w:pPr>
    </w:p>
    <w:p w14:paraId="4EE1A48C" w14:textId="10ADFCF3" w:rsidR="008C533F" w:rsidRPr="00A90E84" w:rsidRDefault="008C533F" w:rsidP="008C533F">
      <w:pPr>
        <w:pBdr>
          <w:top w:val="nil"/>
          <w:left w:val="nil"/>
          <w:bottom w:val="nil"/>
          <w:right w:val="nil"/>
          <w:between w:val="nil"/>
        </w:pBdr>
        <w:ind w:left="933" w:hanging="424"/>
        <w:jc w:val="center"/>
        <w:rPr>
          <w:rFonts w:ascii="David" w:eastAsia="David" w:hAnsi="David" w:cs="David"/>
          <w:bCs/>
          <w:color w:val="000000"/>
          <w:sz w:val="28"/>
          <w:szCs w:val="28"/>
          <w:u w:val="single"/>
        </w:rPr>
      </w:pPr>
      <w:r w:rsidRPr="00A90E84">
        <w:rPr>
          <w:rFonts w:ascii="David" w:eastAsia="David" w:hAnsi="David" w:cs="David" w:hint="cs"/>
          <w:bCs/>
          <w:color w:val="000000"/>
          <w:sz w:val="28"/>
          <w:szCs w:val="28"/>
          <w:u w:val="single"/>
          <w:rtl/>
        </w:rPr>
        <w:t>הכרעת</w:t>
      </w:r>
      <w:r w:rsidR="00202D6F" w:rsidRPr="00A90E84">
        <w:rPr>
          <w:rFonts w:ascii="David" w:eastAsia="David" w:hAnsi="David" w:cs="David" w:hint="cs"/>
          <w:bCs/>
          <w:color w:val="000000"/>
          <w:sz w:val="28"/>
          <w:szCs w:val="28"/>
          <w:u w:val="single"/>
          <w:rtl/>
        </w:rPr>
        <w:t>-</w:t>
      </w:r>
      <w:r w:rsidRPr="00A90E84">
        <w:rPr>
          <w:rFonts w:ascii="David" w:eastAsia="David" w:hAnsi="David" w:cs="David" w:hint="cs"/>
          <w:bCs/>
          <w:color w:val="000000"/>
          <w:sz w:val="28"/>
          <w:szCs w:val="28"/>
          <w:u w:val="single"/>
          <w:rtl/>
        </w:rPr>
        <w:t>דין</w:t>
      </w:r>
    </w:p>
    <w:p w14:paraId="7A68DC91"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כנגד הנאשמת הוגש כתב אישום המייחס לה עבירות של נהיגה בקלות ראש ואי ציות לתמרורים, בניגוד לתקנות 21(ג), 22(א) ו-64(ה) לתקנות התעבורה תשכ"א – 1961.</w:t>
      </w:r>
    </w:p>
    <w:p w14:paraId="23E2B292" w14:textId="77777777" w:rsidR="00726B6B" w:rsidRPr="00A90E84" w:rsidRDefault="00726B6B" w:rsidP="00A51FCE">
      <w:pPr>
        <w:pStyle w:val="ListParagraph"/>
        <w:spacing w:line="360" w:lineRule="auto"/>
        <w:ind w:left="360"/>
        <w:jc w:val="both"/>
        <w:rPr>
          <w:rFonts w:ascii="David" w:hAnsi="David" w:cs="David"/>
          <w:sz w:val="28"/>
          <w:szCs w:val="28"/>
          <w:rtl/>
        </w:rPr>
      </w:pPr>
    </w:p>
    <w:p w14:paraId="4AE9434F"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(להוראות החיקוק צורף גם סעיף 38(2) לפקודת התעבורה, שהינו סעיף עונשי רלוונטי למקרה בו מורשע אדם בעבירה המפורטת בתוספת השנייה שגרמה לתאונת דרכים, שעה שלא יוחסו לנאשמת  עבירות המפורטות בתוספת השנייה לפקודת התעבורה).</w:t>
      </w:r>
    </w:p>
    <w:p w14:paraId="71C81758" w14:textId="77777777" w:rsidR="00726B6B" w:rsidRPr="00A90E84" w:rsidRDefault="00726B6B" w:rsidP="00A51FCE">
      <w:pPr>
        <w:pStyle w:val="ListParagraph"/>
        <w:spacing w:line="360" w:lineRule="auto"/>
        <w:ind w:left="360"/>
        <w:jc w:val="both"/>
        <w:rPr>
          <w:rFonts w:ascii="David" w:hAnsi="David" w:cs="David"/>
          <w:sz w:val="28"/>
          <w:szCs w:val="28"/>
          <w:rtl/>
        </w:rPr>
      </w:pPr>
    </w:p>
    <w:p w14:paraId="24348F85" w14:textId="21043E3F"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על פי עובדות כתב האישום, הנאשמת, בהיותה חיילת בצה"ל, נהגה ברכב צבאי ביום 13.4.2022 בכביש 57, בקלות ראש, בחוסר זהירות וללא תשומת לב מספקת לדרך ולתנאיה. הנאשמת לא צייתה להוראת תמרור 701, בכך שלא עצרה את רכבה ונכנסה לצומת מרומזר, כאשר ברמזור בכיוון נסיעתה דלק </w:t>
      </w:r>
      <w:r w:rsidR="00F1414C" w:rsidRPr="00A90E84">
        <w:rPr>
          <w:rFonts w:ascii="David" w:hAnsi="David" w:cs="David" w:hint="cs"/>
          <w:sz w:val="28"/>
          <w:szCs w:val="28"/>
          <w:rtl/>
        </w:rPr>
        <w:t>אור</w:t>
      </w:r>
      <w:r w:rsidRPr="00A90E84">
        <w:rPr>
          <w:rFonts w:ascii="David" w:hAnsi="David" w:cs="David" w:hint="cs"/>
          <w:sz w:val="28"/>
          <w:szCs w:val="28"/>
          <w:rtl/>
        </w:rPr>
        <w:t xml:space="preserve"> אדום. הנאשמת גרמה לתאונת דרכים שכתוצאה ממנה נחבלו הנאשמת והנהג המעורב, וניזוקו שני כלי הרכב המעורבים, והכל כמפורט בכתב האישום. </w:t>
      </w:r>
    </w:p>
    <w:p w14:paraId="0F72A13C" w14:textId="77777777" w:rsidR="00726B6B" w:rsidRPr="00A90E84" w:rsidRDefault="00726B6B" w:rsidP="00A51FCE">
      <w:pPr>
        <w:pStyle w:val="ListParagraph"/>
        <w:jc w:val="both"/>
        <w:rPr>
          <w:rFonts w:ascii="David" w:hAnsi="David" w:cs="David"/>
          <w:sz w:val="28"/>
          <w:szCs w:val="28"/>
          <w:rtl/>
        </w:rPr>
      </w:pPr>
    </w:p>
    <w:p w14:paraId="3BA02BF3"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lastRenderedPageBreak/>
        <w:t>במענה לכתב האישום, כפרה הנאשמת במיוחס לה. הנאשמת הודתה שנהגה ברכב, במקום ובזמן המתוארים בכתב האישום, הודתה בקרות התאונה ובתוצאות התאונה אך כפרה באחריותה לתאונה.</w:t>
      </w:r>
    </w:p>
    <w:p w14:paraId="0AC2E91D" w14:textId="77777777" w:rsidR="00726B6B" w:rsidRPr="00A90E84" w:rsidRDefault="00726B6B" w:rsidP="00A51FCE">
      <w:pPr>
        <w:pStyle w:val="ListParagraph"/>
        <w:jc w:val="both"/>
        <w:rPr>
          <w:rFonts w:ascii="David" w:hAnsi="David" w:cs="David"/>
          <w:sz w:val="28"/>
          <w:szCs w:val="28"/>
          <w:rtl/>
        </w:rPr>
      </w:pPr>
    </w:p>
    <w:p w14:paraId="7275BD39" w14:textId="57D11D7E"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מטעם המאשימה העידו הבוחן המשטרתי רס"ב </w:t>
      </w:r>
      <w:proofErr w:type="spellStart"/>
      <w:r w:rsidRPr="00A90E84">
        <w:rPr>
          <w:rFonts w:ascii="David" w:hAnsi="David" w:cs="David" w:hint="cs"/>
          <w:sz w:val="28"/>
          <w:szCs w:val="28"/>
          <w:rtl/>
        </w:rPr>
        <w:t>סלמאן</w:t>
      </w:r>
      <w:proofErr w:type="spellEnd"/>
      <w:r w:rsidRPr="00A90E84">
        <w:rPr>
          <w:rFonts w:ascii="David" w:hAnsi="David" w:cs="David" w:hint="cs"/>
          <w:sz w:val="28"/>
          <w:szCs w:val="28"/>
          <w:rtl/>
        </w:rPr>
        <w:t xml:space="preserve"> (להלן: "הבוחן"), הנהג המעורב סמ"ר </w:t>
      </w:r>
      <w:proofErr w:type="spellStart"/>
      <w:r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(להלן: "</w:t>
      </w:r>
      <w:r w:rsidR="00202D6F" w:rsidRPr="00A90E84">
        <w:rPr>
          <w:rFonts w:ascii="David" w:hAnsi="David" w:cs="David" w:hint="cs"/>
          <w:sz w:val="28"/>
          <w:szCs w:val="28"/>
          <w:rtl/>
        </w:rPr>
        <w:t>הנהג המעורב</w:t>
      </w:r>
      <w:r w:rsidRPr="00A90E84">
        <w:rPr>
          <w:rFonts w:ascii="David" w:hAnsi="David" w:cs="David" w:hint="cs"/>
          <w:sz w:val="28"/>
          <w:szCs w:val="28"/>
          <w:rtl/>
        </w:rPr>
        <w:t xml:space="preserve">") ושני עדי הראיה - מר </w:t>
      </w:r>
      <w:proofErr w:type="spellStart"/>
      <w:r w:rsidRPr="00A90E84">
        <w:rPr>
          <w:rFonts w:ascii="David" w:hAnsi="David" w:cs="David" w:hint="cs"/>
          <w:sz w:val="28"/>
          <w:szCs w:val="28"/>
          <w:rtl/>
        </w:rPr>
        <w:t>אמורסי</w:t>
      </w:r>
      <w:proofErr w:type="spellEnd"/>
      <w:r w:rsidRPr="00A90E84">
        <w:rPr>
          <w:rFonts w:ascii="David" w:hAnsi="David" w:cs="David" w:hint="cs"/>
          <w:sz w:val="28"/>
          <w:szCs w:val="28"/>
          <w:rtl/>
        </w:rPr>
        <w:t xml:space="preserve"> ומר גרנות, חברו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הנהג המעורב. כמו כן הוגשו מסמכים שונים.</w:t>
      </w:r>
    </w:p>
    <w:p w14:paraId="29E91CAF"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מטעם ההגנה העידה הנאשמת. </w:t>
      </w:r>
    </w:p>
    <w:p w14:paraId="6EFE2B7B" w14:textId="77777777" w:rsidR="00726B6B" w:rsidRPr="00A90E84" w:rsidRDefault="00726B6B" w:rsidP="00A51FCE">
      <w:pPr>
        <w:pStyle w:val="ListParagraph"/>
        <w:spacing w:line="360" w:lineRule="auto"/>
        <w:ind w:left="360"/>
        <w:jc w:val="both"/>
        <w:rPr>
          <w:rFonts w:ascii="David" w:hAnsi="David" w:cs="David"/>
          <w:sz w:val="28"/>
          <w:szCs w:val="28"/>
          <w:rtl/>
        </w:rPr>
      </w:pPr>
    </w:p>
    <w:p w14:paraId="27D6F995" w14:textId="2C8B5B1B"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המאשימה בסיכומיה ביקשה להרשיע את הנאשמת בעבירות המיוחסות לה בכתב האישום. לדבריה, אשמתה של הנאשמת הוכחה מעבר לכל ספק סביר, שלושה עדי תביעה מסרו כי הנהג המעורב,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הוא זה שחצה את הצומת בירוק. ועוד טענה המאשימה כי הוכח שהרמזורים היו תקינים ולא היה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ירוק משותף לנהג המעורב ולנאשמת, ועל כן מי שחצתה את הצומת ב</w:t>
      </w:r>
      <w:r w:rsidR="00F1414C" w:rsidRPr="00A90E84">
        <w:rPr>
          <w:rFonts w:ascii="David" w:hAnsi="David" w:cs="David" w:hint="cs"/>
          <w:sz w:val="28"/>
          <w:szCs w:val="28"/>
          <w:rtl/>
        </w:rPr>
        <w:t>אור</w:t>
      </w:r>
      <w:r w:rsidRPr="00A90E84">
        <w:rPr>
          <w:rFonts w:ascii="David" w:hAnsi="David" w:cs="David" w:hint="cs"/>
          <w:sz w:val="28"/>
          <w:szCs w:val="28"/>
          <w:rtl/>
        </w:rPr>
        <w:t xml:space="preserve"> אדום זו הנאשמת, ומכאן אחריותה לתאונה.</w:t>
      </w:r>
    </w:p>
    <w:p w14:paraId="7D31922E"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המאשימה סיפקה הסבר לגבי הפערים שנשמעו בעדויות עדי התביעה, וביקשה להעדיף את עדויות עדי התביעה על פני עדותה של הנאשמת. לדבריה, הנאשמת לא זכרה את האירוע בסמוך לאחר התאונה, וניתן לראות בדבריה לנהג המעורב בעת הפינוי באמבולנס, כראשית הודיה. </w:t>
      </w:r>
    </w:p>
    <w:p w14:paraId="71C1F2BB" w14:textId="77777777" w:rsidR="00726B6B" w:rsidRPr="00A90E84" w:rsidRDefault="00726B6B" w:rsidP="00A51FCE">
      <w:pPr>
        <w:pStyle w:val="ListParagraph"/>
        <w:spacing w:line="360" w:lineRule="auto"/>
        <w:ind w:left="360"/>
        <w:jc w:val="both"/>
        <w:rPr>
          <w:rFonts w:ascii="David" w:hAnsi="David" w:cs="David"/>
          <w:sz w:val="28"/>
          <w:szCs w:val="28"/>
          <w:rtl/>
        </w:rPr>
      </w:pPr>
    </w:p>
    <w:p w14:paraId="3889F23C" w14:textId="77483142"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המאשימה הסבירה את השתלשלות ההליך מרגע שהבוחן המליץ על סגירת התיק ועד להגשת כתב האישום, והפנתה לנהלים הנוגעים לסמכויות בכל הנוגע לסגירת תיקים ולהעמדה לדין </w:t>
      </w:r>
      <w:proofErr w:type="spellStart"/>
      <w:r w:rsidRPr="00A90E84">
        <w:rPr>
          <w:rFonts w:ascii="David" w:hAnsi="David" w:cs="David" w:hint="cs"/>
          <w:sz w:val="28"/>
          <w:szCs w:val="28"/>
          <w:rtl/>
        </w:rPr>
        <w:t>כשעסקינן</w:t>
      </w:r>
      <w:proofErr w:type="spellEnd"/>
      <w:r w:rsidRPr="00A90E84">
        <w:rPr>
          <w:rFonts w:ascii="David" w:hAnsi="David" w:cs="David" w:hint="cs"/>
          <w:sz w:val="28"/>
          <w:szCs w:val="28"/>
          <w:rtl/>
        </w:rPr>
        <w:t xml:space="preserve"> באנשי צבא. </w:t>
      </w:r>
      <w:r w:rsidR="00F1414C" w:rsidRPr="00A90E84">
        <w:rPr>
          <w:rFonts w:ascii="David" w:hAnsi="David" w:cs="David" w:hint="cs"/>
          <w:sz w:val="28"/>
          <w:szCs w:val="28"/>
          <w:rtl/>
        </w:rPr>
        <w:t>לאור</w:t>
      </w:r>
      <w:r w:rsidRPr="00A90E84">
        <w:rPr>
          <w:rFonts w:ascii="David" w:hAnsi="David" w:cs="David" w:hint="cs"/>
          <w:sz w:val="28"/>
          <w:szCs w:val="28"/>
          <w:rtl/>
        </w:rPr>
        <w:t xml:space="preserve"> כל האמור, ביקשה המאשימה להרשיע את הנאשמת. </w:t>
      </w:r>
    </w:p>
    <w:p w14:paraId="1F1EBCD8" w14:textId="77777777" w:rsidR="00726B6B" w:rsidRPr="00A90E84" w:rsidRDefault="00726B6B" w:rsidP="00A51FCE">
      <w:pPr>
        <w:pStyle w:val="ListParagraph"/>
        <w:spacing w:line="360" w:lineRule="auto"/>
        <w:ind w:left="360"/>
        <w:jc w:val="both"/>
        <w:rPr>
          <w:rFonts w:ascii="David" w:hAnsi="David" w:cs="David"/>
          <w:sz w:val="28"/>
          <w:szCs w:val="28"/>
          <w:rtl/>
        </w:rPr>
      </w:pPr>
    </w:p>
    <w:p w14:paraId="793F6429"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tl/>
        </w:rPr>
      </w:pPr>
      <w:r w:rsidRPr="00A90E84">
        <w:rPr>
          <w:rFonts w:ascii="David" w:hAnsi="David" w:cs="David" w:hint="cs"/>
          <w:sz w:val="28"/>
          <w:szCs w:val="28"/>
          <w:rtl/>
        </w:rPr>
        <w:t xml:space="preserve">ב"כ הנאשמת ביקש מבית המשפט לזכות את הנאשמת. לדבריו, תיק החקירה הוחרם על ידי צה"ל ממשטרת ישראל מבלי שהוחרמו כלל הראיות. חלק מהראיות לא קיים בתיק, כמו למשל סרטונים שהיו בתיק. לדבריו,  המאשימה ויתרה על אחת העדות ובכך הקימה עליה את החזקה שהראיות שנאספו על ידי אותה עדה, עומדות למאשימה לרועץ. </w:t>
      </w:r>
    </w:p>
    <w:p w14:paraId="0FF273DB" w14:textId="56F8C4EF"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ב"כ הנאשמת הפנה לכך שהבוחן העיד כי אינו יכול לקבוע מי מהנהגים עבר ב</w:t>
      </w:r>
      <w:r w:rsidR="00F1414C" w:rsidRPr="00A90E84">
        <w:rPr>
          <w:rFonts w:ascii="David" w:hAnsi="David" w:cs="David" w:hint="cs"/>
          <w:sz w:val="28"/>
          <w:szCs w:val="28"/>
          <w:rtl/>
        </w:rPr>
        <w:t>אור</w:t>
      </w:r>
      <w:r w:rsidRPr="00A90E84">
        <w:rPr>
          <w:rFonts w:ascii="David" w:hAnsi="David" w:cs="David" w:hint="cs"/>
          <w:sz w:val="28"/>
          <w:szCs w:val="28"/>
          <w:rtl/>
        </w:rPr>
        <w:t xml:space="preserve"> אדום, הבוחן אף העיד כי עדותו של עד הראייה,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אינה מתיישבת עם </w:t>
      </w:r>
      <w:r w:rsidRPr="00A90E84">
        <w:rPr>
          <w:rFonts w:ascii="David" w:hAnsi="David" w:cs="David" w:hint="cs"/>
          <w:sz w:val="28"/>
          <w:szCs w:val="28"/>
          <w:rtl/>
        </w:rPr>
        <w:lastRenderedPageBreak/>
        <w:t xml:space="preserve">עדותו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הנהג המעורב. ב"כ הנאשמת ציין כי העד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חברו הטוב של הנהג המעורב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העיד שלא ראה את הרמזורים בכיוון נסיעתו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וזאת בניגוד לאמרתו בחקירה</w:t>
      </w:r>
      <w:r w:rsidR="0075613F">
        <w:rPr>
          <w:rFonts w:ascii="David" w:hAnsi="David" w:cs="David" w:hint="cs"/>
          <w:sz w:val="28"/>
          <w:szCs w:val="28"/>
          <w:rtl/>
        </w:rPr>
        <w:t>,</w:t>
      </w:r>
      <w:r w:rsidRPr="00A90E84">
        <w:rPr>
          <w:rFonts w:ascii="David" w:hAnsi="David" w:cs="David" w:hint="cs"/>
          <w:sz w:val="28"/>
          <w:szCs w:val="28"/>
          <w:rtl/>
        </w:rPr>
        <w:t xml:space="preserve"> וכי המאשימה לא עימתה את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עם גרסתו בחקירה בעניין זה. לטענת ההגנה,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כלל לא היה במקום בעת האירוע שכן, נוכחותו במקום לא עלתה באף אחד מדוחות הפעולה שבתיק. </w:t>
      </w:r>
    </w:p>
    <w:p w14:paraId="63534EE1" w14:textId="698E5282"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ב"כ הנאשמת טען כי עדותו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היא עדות כבושה, וכי עדותו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לכשעצמה מייצרת ספק הן ביחס לכיווני הגעה והן ביחס לצבע </w:t>
      </w:r>
      <w:r w:rsidR="00F1414C" w:rsidRPr="00A90E84">
        <w:rPr>
          <w:rFonts w:ascii="David" w:hAnsi="David" w:cs="David" w:hint="cs"/>
          <w:sz w:val="28"/>
          <w:szCs w:val="28"/>
          <w:rtl/>
        </w:rPr>
        <w:t>האור</w:t>
      </w:r>
      <w:r w:rsidRPr="00A90E84">
        <w:rPr>
          <w:rFonts w:ascii="David" w:hAnsi="David" w:cs="David" w:hint="cs"/>
          <w:sz w:val="28"/>
          <w:szCs w:val="28"/>
          <w:rtl/>
        </w:rPr>
        <w:t xml:space="preserve"> שדלק ברמזור מכיוונם של כל הנוכחים במקום.</w:t>
      </w:r>
    </w:p>
    <w:p w14:paraId="0E060208" w14:textId="77777777" w:rsidR="00726B6B" w:rsidRPr="00A90E84" w:rsidRDefault="00726B6B" w:rsidP="00A51FCE">
      <w:pPr>
        <w:pStyle w:val="ListParagraph"/>
        <w:spacing w:line="360" w:lineRule="auto"/>
        <w:ind w:left="360"/>
        <w:jc w:val="both"/>
        <w:rPr>
          <w:rFonts w:ascii="David" w:hAnsi="David" w:cs="David"/>
          <w:sz w:val="28"/>
          <w:szCs w:val="28"/>
          <w:rtl/>
        </w:rPr>
      </w:pPr>
    </w:p>
    <w:p w14:paraId="17889CCA" w14:textId="5B655665"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ב"כ הנאשמת הציג לבית המשפט סרטונים המלמדים על תקלות ברמזורים כך שבשני כיוונים מנוגדים דלק </w:t>
      </w:r>
      <w:r w:rsidR="00F1414C" w:rsidRPr="00A90E84">
        <w:rPr>
          <w:rFonts w:ascii="David" w:hAnsi="David" w:cs="David" w:hint="cs"/>
          <w:sz w:val="28"/>
          <w:szCs w:val="28"/>
          <w:rtl/>
        </w:rPr>
        <w:t>אור</w:t>
      </w:r>
      <w:r w:rsidRPr="00A90E84">
        <w:rPr>
          <w:rFonts w:ascii="David" w:hAnsi="David" w:cs="David" w:hint="cs"/>
          <w:sz w:val="28"/>
          <w:szCs w:val="28"/>
          <w:rtl/>
        </w:rPr>
        <w:t xml:space="preserve"> ירוק, וטען כי אף עד לא ראה את צבע הרמזור בכיוון נסיעת הנאשמת ולכן, לא ניתן לשלול את האפשרות שבכיוון נסיעתה דלק </w:t>
      </w:r>
      <w:r w:rsidR="00F1414C" w:rsidRPr="00A90E84">
        <w:rPr>
          <w:rFonts w:ascii="David" w:hAnsi="David" w:cs="David" w:hint="cs"/>
          <w:sz w:val="28"/>
          <w:szCs w:val="28"/>
          <w:rtl/>
        </w:rPr>
        <w:t>אור</w:t>
      </w:r>
      <w:r w:rsidRPr="00A90E84">
        <w:rPr>
          <w:rFonts w:ascii="David" w:hAnsi="David" w:cs="David" w:hint="cs"/>
          <w:sz w:val="28"/>
          <w:szCs w:val="28"/>
          <w:rtl/>
        </w:rPr>
        <w:t xml:space="preserve"> ירוק.  </w:t>
      </w:r>
    </w:p>
    <w:p w14:paraId="6EF3A77A" w14:textId="77777777" w:rsidR="00726B6B" w:rsidRPr="00A90E84" w:rsidRDefault="00726B6B" w:rsidP="00A51FCE">
      <w:pPr>
        <w:pStyle w:val="ListParagraph"/>
        <w:spacing w:line="360" w:lineRule="auto"/>
        <w:ind w:left="360"/>
        <w:jc w:val="both"/>
        <w:rPr>
          <w:rFonts w:ascii="David" w:hAnsi="David" w:cs="David"/>
          <w:sz w:val="28"/>
          <w:szCs w:val="28"/>
          <w:rtl/>
        </w:rPr>
      </w:pPr>
    </w:p>
    <w:p w14:paraId="146CF912" w14:textId="32BE2FA2"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ב"כ הנאשמת טען כי בכתב האישום לא צוין שהרמזורים בצומת בו ארעה התאונה תקינים, כפי שנהוג בדרך כלל לרשום בכתבי האישום המייחסים עבירות של אי ציות </w:t>
      </w:r>
      <w:r w:rsidR="00F1414C" w:rsidRPr="00A90E84">
        <w:rPr>
          <w:rFonts w:ascii="David" w:hAnsi="David" w:cs="David" w:hint="cs"/>
          <w:sz w:val="28"/>
          <w:szCs w:val="28"/>
          <w:rtl/>
        </w:rPr>
        <w:t xml:space="preserve">לאור </w:t>
      </w:r>
      <w:r w:rsidRPr="00A90E84">
        <w:rPr>
          <w:rFonts w:ascii="David" w:hAnsi="David" w:cs="David" w:hint="cs"/>
          <w:sz w:val="28"/>
          <w:szCs w:val="28"/>
          <w:rtl/>
        </w:rPr>
        <w:t xml:space="preserve">אדם ברמזור. </w:t>
      </w:r>
    </w:p>
    <w:p w14:paraId="339BE3DC"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ב"כ הנאשמת הלין על כך שפתיחת התיק כנגד הנאשמת, לאחר שכבר הודיעו לה על סגירתו,  נעשתה שלא בהתאם להוראות הדין.</w:t>
      </w:r>
    </w:p>
    <w:p w14:paraId="7E812ADC"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לגבי הטופס בו דיווחה הנאשמת על התאונה (ת/12), ב"כ הנאשמת טען כי לא נרשם על גביו שניתן יהיה לעשות בו  שימוש במסגרת הליך משפטי, כפי שכיום נוהגים לרשום על טפסים אלה, ולכן אין לתת משקל לאמור בטופס הנ"ל. </w:t>
      </w:r>
    </w:p>
    <w:p w14:paraId="3C56461D" w14:textId="2DBC0435"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ב"כ הנאשמת ביקש ליתן אמון בגרסתה של הנאשמת לפיה נכנסה לצומת כשבכיוון נסיעתה דלק </w:t>
      </w:r>
      <w:r w:rsidR="00F1414C" w:rsidRPr="00A90E84">
        <w:rPr>
          <w:rFonts w:ascii="David" w:hAnsi="David" w:cs="David" w:hint="cs"/>
          <w:sz w:val="28"/>
          <w:szCs w:val="28"/>
          <w:rtl/>
        </w:rPr>
        <w:t xml:space="preserve">אור </w:t>
      </w:r>
      <w:r w:rsidRPr="00A90E84">
        <w:rPr>
          <w:rFonts w:ascii="David" w:hAnsi="David" w:cs="David" w:hint="cs"/>
          <w:sz w:val="28"/>
          <w:szCs w:val="28"/>
          <w:rtl/>
        </w:rPr>
        <w:t>ירוק.</w:t>
      </w:r>
    </w:p>
    <w:p w14:paraId="54CC9AAE" w14:textId="244D0BAB" w:rsidR="00726B6B" w:rsidRPr="00A90E84" w:rsidRDefault="0075613F" w:rsidP="00A51FCE">
      <w:pPr>
        <w:pStyle w:val="ListParagraph"/>
        <w:spacing w:line="360" w:lineRule="auto"/>
        <w:ind w:left="360"/>
        <w:jc w:val="both"/>
        <w:rPr>
          <w:rFonts w:ascii="David" w:hAnsi="David" w:cs="David"/>
          <w:sz w:val="28"/>
          <w:szCs w:val="28"/>
          <w:rtl/>
        </w:rPr>
      </w:pPr>
      <w:r>
        <w:rPr>
          <w:rFonts w:ascii="David" w:hAnsi="David" w:cs="David" w:hint="cs"/>
          <w:sz w:val="28"/>
          <w:szCs w:val="28"/>
          <w:rtl/>
        </w:rPr>
        <w:t>לאור כל</w:t>
      </w:r>
      <w:r w:rsidR="00726B6B" w:rsidRPr="00A90E84">
        <w:rPr>
          <w:rFonts w:ascii="David" w:hAnsi="David" w:cs="David" w:hint="cs"/>
          <w:sz w:val="28"/>
          <w:szCs w:val="28"/>
          <w:rtl/>
        </w:rPr>
        <w:t xml:space="preserve"> המפורט לעיל,  ביקש ב"כ הנאשמת לזכות את הנאשמת ולו מחמת הספק.</w:t>
      </w:r>
    </w:p>
    <w:p w14:paraId="4856DE60" w14:textId="77777777" w:rsidR="00726B6B" w:rsidRPr="00A90E84" w:rsidRDefault="00726B6B" w:rsidP="00A51FCE">
      <w:pPr>
        <w:pStyle w:val="ListParagraph"/>
        <w:spacing w:line="360" w:lineRule="auto"/>
        <w:ind w:left="360"/>
        <w:jc w:val="both"/>
        <w:rPr>
          <w:rFonts w:ascii="David" w:hAnsi="David" w:cs="David"/>
          <w:sz w:val="28"/>
          <w:szCs w:val="28"/>
          <w:rtl/>
        </w:rPr>
      </w:pPr>
    </w:p>
    <w:p w14:paraId="0FEF8E11" w14:textId="40BC1535" w:rsidR="00726B6B" w:rsidRDefault="00726B6B" w:rsidP="0075613F">
      <w:pPr>
        <w:spacing w:line="360" w:lineRule="auto"/>
        <w:jc w:val="both"/>
        <w:rPr>
          <w:rFonts w:ascii="David" w:hAnsi="David" w:cs="David"/>
          <w:b/>
          <w:bCs/>
          <w:sz w:val="28"/>
          <w:szCs w:val="28"/>
          <w:u w:val="single"/>
          <w:rtl/>
        </w:rPr>
      </w:pPr>
      <w:r w:rsidRPr="00A90E84">
        <w:rPr>
          <w:rFonts w:ascii="David" w:hAnsi="David" w:cs="David" w:hint="cs"/>
          <w:b/>
          <w:bCs/>
          <w:sz w:val="28"/>
          <w:szCs w:val="28"/>
          <w:u w:val="single"/>
          <w:rtl/>
        </w:rPr>
        <w:t>דיון והכרעה</w:t>
      </w:r>
    </w:p>
    <w:p w14:paraId="0A86790F" w14:textId="77777777" w:rsidR="0075613F" w:rsidRPr="00A90E84" w:rsidRDefault="0075613F" w:rsidP="0075613F">
      <w:pPr>
        <w:spacing w:line="360" w:lineRule="auto"/>
        <w:jc w:val="both"/>
        <w:rPr>
          <w:rFonts w:ascii="David" w:hAnsi="David" w:cs="David"/>
          <w:b/>
          <w:bCs/>
          <w:sz w:val="28"/>
          <w:szCs w:val="28"/>
          <w:u w:val="single"/>
          <w:rtl/>
        </w:rPr>
      </w:pPr>
    </w:p>
    <w:p w14:paraId="7429ED07" w14:textId="732EACD4" w:rsidR="00726B6B" w:rsidRPr="00A90E84" w:rsidRDefault="00726B6B" w:rsidP="00A51FCE">
      <w:pPr>
        <w:spacing w:line="360" w:lineRule="auto"/>
        <w:jc w:val="both"/>
        <w:rPr>
          <w:rFonts w:ascii="David" w:hAnsi="David" w:cs="David"/>
          <w:b/>
          <w:bCs/>
          <w:sz w:val="28"/>
          <w:szCs w:val="28"/>
          <w:u w:val="single"/>
          <w:rtl/>
        </w:rPr>
      </w:pPr>
      <w:r w:rsidRPr="00A90E84">
        <w:rPr>
          <w:rFonts w:ascii="David" w:hAnsi="David" w:cs="David" w:hint="cs"/>
          <w:b/>
          <w:bCs/>
          <w:sz w:val="28"/>
          <w:szCs w:val="28"/>
          <w:u w:val="single"/>
          <w:rtl/>
        </w:rPr>
        <w:t xml:space="preserve">הנאשמת היא שנכנסה לצומת </w:t>
      </w:r>
      <w:r w:rsidR="0075613F">
        <w:rPr>
          <w:rFonts w:ascii="David" w:hAnsi="David" w:cs="David" w:hint="cs"/>
          <w:b/>
          <w:bCs/>
          <w:sz w:val="28"/>
          <w:szCs w:val="28"/>
          <w:u w:val="single"/>
          <w:rtl/>
        </w:rPr>
        <w:t>באור</w:t>
      </w:r>
      <w:r w:rsidRPr="00A90E84">
        <w:rPr>
          <w:rFonts w:ascii="David" w:hAnsi="David" w:cs="David" w:hint="cs"/>
          <w:b/>
          <w:bCs/>
          <w:sz w:val="28"/>
          <w:szCs w:val="28"/>
          <w:u w:val="single"/>
          <w:rtl/>
        </w:rPr>
        <w:t xml:space="preserve"> אדום</w:t>
      </w:r>
    </w:p>
    <w:p w14:paraId="077710FE" w14:textId="58C12BC5"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lastRenderedPageBreak/>
        <w:t xml:space="preserve">הקביעה מי מבין הנהגים המעורבים בתאונה נכנס לצומת </w:t>
      </w:r>
      <w:r w:rsidR="00F1414C" w:rsidRPr="00A90E84">
        <w:rPr>
          <w:rFonts w:ascii="David" w:hAnsi="David" w:cs="David" w:hint="cs"/>
          <w:sz w:val="28"/>
          <w:szCs w:val="28"/>
          <w:rtl/>
        </w:rPr>
        <w:t>באור</w:t>
      </w:r>
      <w:r w:rsidRPr="00A90E84">
        <w:rPr>
          <w:rFonts w:ascii="David" w:hAnsi="David" w:cs="David" w:hint="cs"/>
          <w:sz w:val="28"/>
          <w:szCs w:val="28"/>
          <w:rtl/>
        </w:rPr>
        <w:t xml:space="preserve"> אדום, אינה מבוססת על עבודת הבוחנות בתיק, אלא על עדויות הנהגים המעורבים, וממצאי מהימנות.</w:t>
      </w:r>
    </w:p>
    <w:p w14:paraId="7DD3A607" w14:textId="77777777" w:rsidR="00726B6B" w:rsidRPr="00A90E84" w:rsidRDefault="00726B6B" w:rsidP="00A51FCE">
      <w:pPr>
        <w:pStyle w:val="ListParagraph"/>
        <w:spacing w:line="360" w:lineRule="auto"/>
        <w:ind w:left="360"/>
        <w:jc w:val="both"/>
        <w:rPr>
          <w:rFonts w:ascii="David" w:hAnsi="David" w:cs="David"/>
          <w:sz w:val="28"/>
          <w:szCs w:val="28"/>
          <w:rtl/>
        </w:rPr>
      </w:pPr>
    </w:p>
    <w:p w14:paraId="3B955EDE" w14:textId="091D7D5E"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הבוחן המליץ בדוח הבוחן (ת/4) על סגירת התיק, שכן לדבריו, הוא אינו יכול לקבוע מי מבין הנהגים עבר ב</w:t>
      </w:r>
      <w:r w:rsidR="00F1414C" w:rsidRPr="00A90E84">
        <w:rPr>
          <w:rFonts w:ascii="David" w:hAnsi="David" w:cs="David" w:hint="cs"/>
          <w:sz w:val="28"/>
          <w:szCs w:val="28"/>
          <w:rtl/>
        </w:rPr>
        <w:t xml:space="preserve">אור </w:t>
      </w:r>
      <w:r w:rsidRPr="00A90E84">
        <w:rPr>
          <w:rFonts w:ascii="David" w:hAnsi="David" w:cs="David" w:hint="cs"/>
          <w:sz w:val="28"/>
          <w:szCs w:val="28"/>
          <w:rtl/>
        </w:rPr>
        <w:t xml:space="preserve">אדום. הוא אף אישר את דבריו אלה בעדותו בבית המשפט (עמ' 2 ש' 30-31). הבוחן שלל את היתכנות הודעתו של עד הראיה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לגבי כיווני הנסיעה, שכן גרסתו שוללת את גרסת הנהג המעורב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(עמ' 2 ש' 24-26). כמו כן, ציין הבוחן כי העד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הוא חברו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ועל כן אינו עד ניטרלי (פרוטוקול מיום 6.12.2023 עמ' 2 ש' 15-21). בהינתן כל אלה, הבוחן ציין כי לא ניתן לקבוע מי מהנהגים עבר באדום (עמ' 3 ש' 12-14).</w:t>
      </w:r>
    </w:p>
    <w:p w14:paraId="6C653C18" w14:textId="77777777" w:rsidR="00726B6B" w:rsidRPr="00A90E84" w:rsidRDefault="00726B6B" w:rsidP="00A51FCE">
      <w:pPr>
        <w:pStyle w:val="ListParagraph"/>
        <w:jc w:val="both"/>
        <w:rPr>
          <w:rFonts w:ascii="David" w:hAnsi="David" w:cs="David"/>
          <w:sz w:val="28"/>
          <w:szCs w:val="28"/>
          <w:rtl/>
        </w:rPr>
      </w:pPr>
    </w:p>
    <w:p w14:paraId="02BF4F92" w14:textId="7FBF968B"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על אף המלצת הבוחן, בחרה המאשימה להעמיד את הנאשמת לדין, ובצדק, שכן לאחר שמיעת כלל עדי הראיה, שוכנעתי מעבר לכל ספק סביר כי הנאשמת היא שנכנסה לצומת כשבכיוון נסיעתה דלק </w:t>
      </w:r>
      <w:r w:rsidR="003B7959" w:rsidRPr="00A90E84">
        <w:rPr>
          <w:rFonts w:ascii="David" w:hAnsi="David" w:cs="David" w:hint="cs"/>
          <w:sz w:val="28"/>
          <w:szCs w:val="28"/>
          <w:rtl/>
        </w:rPr>
        <w:t xml:space="preserve">אור </w:t>
      </w:r>
      <w:r w:rsidRPr="00A90E84">
        <w:rPr>
          <w:rFonts w:ascii="David" w:hAnsi="David" w:cs="David" w:hint="cs"/>
          <w:sz w:val="28"/>
          <w:szCs w:val="28"/>
          <w:rtl/>
        </w:rPr>
        <w:t>אדום. מסקנתי מבוססת על כלל העדויות שהובאו בפני ועל ממצאי מהימנות כמפורט להלן.</w:t>
      </w:r>
    </w:p>
    <w:p w14:paraId="005C486B" w14:textId="77777777" w:rsidR="00726B6B" w:rsidRPr="00A90E84" w:rsidRDefault="00726B6B" w:rsidP="00A51FCE">
      <w:pPr>
        <w:pStyle w:val="ListParagraph"/>
        <w:jc w:val="both"/>
        <w:rPr>
          <w:rFonts w:ascii="David" w:hAnsi="David" w:cs="David"/>
          <w:sz w:val="28"/>
          <w:szCs w:val="28"/>
          <w:rtl/>
        </w:rPr>
      </w:pPr>
    </w:p>
    <w:p w14:paraId="6F52E313" w14:textId="77777777" w:rsidR="00726B6B" w:rsidRPr="00A90E84" w:rsidRDefault="00726B6B" w:rsidP="00A51FCE">
      <w:pPr>
        <w:pStyle w:val="ListParagraph"/>
        <w:jc w:val="both"/>
        <w:rPr>
          <w:rFonts w:ascii="David" w:hAnsi="David" w:cs="David"/>
          <w:sz w:val="28"/>
          <w:szCs w:val="28"/>
          <w:rtl/>
        </w:rPr>
      </w:pPr>
    </w:p>
    <w:p w14:paraId="59DE3533"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tl/>
        </w:rPr>
      </w:pPr>
      <w:r w:rsidRPr="00A90E84">
        <w:rPr>
          <w:rFonts w:ascii="David" w:hAnsi="David" w:cs="David" w:hint="cs"/>
          <w:sz w:val="28"/>
          <w:szCs w:val="28"/>
          <w:rtl/>
        </w:rPr>
        <w:t xml:space="preserve">אציין כי העובדה שהבוחן המליץ על סגירת התיק מחוסר ראיות מספיקות, אין בה כדי לחייב את יחידת התביעות, ובוודאי אין בה כדי למנוע מבית המשפט להתרשם מהעדויות שנשמעו בפניו, ליתן לכל אחת מהעדויות את המשקל המתאים ולקבוע ממצאים בין היתר, על סמך מהימנות ומשקל העדויות. </w:t>
      </w:r>
    </w:p>
    <w:p w14:paraId="3CABC55C" w14:textId="77777777" w:rsidR="00726B6B" w:rsidRPr="00A90E84" w:rsidRDefault="00726B6B" w:rsidP="00A51FCE">
      <w:pPr>
        <w:pStyle w:val="ListParagraph"/>
        <w:jc w:val="both"/>
        <w:rPr>
          <w:rFonts w:ascii="David" w:hAnsi="David" w:cs="David"/>
          <w:sz w:val="28"/>
          <w:szCs w:val="28"/>
          <w:rtl/>
        </w:rPr>
      </w:pPr>
    </w:p>
    <w:p w14:paraId="24BF407A" w14:textId="77777777" w:rsidR="00726B6B" w:rsidRPr="00A90E84" w:rsidRDefault="00726B6B" w:rsidP="00A51FCE">
      <w:pPr>
        <w:pStyle w:val="ListParagraph"/>
        <w:spacing w:line="360" w:lineRule="auto"/>
        <w:ind w:left="360"/>
        <w:jc w:val="both"/>
        <w:rPr>
          <w:rFonts w:ascii="David" w:hAnsi="David" w:cs="David"/>
          <w:sz w:val="28"/>
          <w:szCs w:val="28"/>
        </w:rPr>
      </w:pPr>
    </w:p>
    <w:p w14:paraId="58194AEE" w14:textId="1DCEC69E" w:rsidR="00726B6B" w:rsidRPr="00A90E84" w:rsidRDefault="00726B6B" w:rsidP="00A51FCE">
      <w:pPr>
        <w:pStyle w:val="ListParagraph"/>
        <w:numPr>
          <w:ilvl w:val="0"/>
          <w:numId w:val="4"/>
        </w:numPr>
        <w:spacing w:line="360" w:lineRule="auto"/>
        <w:ind w:left="360"/>
        <w:jc w:val="both"/>
        <w:rPr>
          <w:rFonts w:ascii="David" w:hAnsi="David" w:cs="David"/>
          <w:b/>
          <w:bCs/>
          <w:sz w:val="28"/>
          <w:szCs w:val="28"/>
          <w:u w:val="single"/>
        </w:rPr>
      </w:pPr>
      <w:r w:rsidRPr="00A90E84">
        <w:rPr>
          <w:rFonts w:ascii="David" w:hAnsi="David" w:cs="David" w:hint="cs"/>
          <w:b/>
          <w:bCs/>
          <w:sz w:val="28"/>
          <w:szCs w:val="28"/>
          <w:rtl/>
        </w:rPr>
        <w:t xml:space="preserve">עדותו של </w:t>
      </w:r>
      <w:r w:rsidR="00F1414C" w:rsidRPr="00A90E84">
        <w:rPr>
          <w:rFonts w:ascii="David" w:hAnsi="David" w:cs="David" w:hint="cs"/>
          <w:b/>
          <w:bCs/>
          <w:sz w:val="28"/>
          <w:szCs w:val="28"/>
          <w:rtl/>
        </w:rPr>
        <w:t xml:space="preserve">סמ"ר </w:t>
      </w:r>
      <w:proofErr w:type="spellStart"/>
      <w:r w:rsidR="00F1414C" w:rsidRPr="00A90E84">
        <w:rPr>
          <w:rFonts w:ascii="David" w:hAnsi="David" w:cs="David" w:hint="cs"/>
          <w:b/>
          <w:bCs/>
          <w:sz w:val="28"/>
          <w:szCs w:val="28"/>
          <w:rtl/>
        </w:rPr>
        <w:t>ווינשטיין</w:t>
      </w:r>
      <w:proofErr w:type="spellEnd"/>
      <w:r w:rsidRPr="00A90E84">
        <w:rPr>
          <w:rFonts w:ascii="David" w:hAnsi="David" w:cs="David" w:hint="cs"/>
          <w:b/>
          <w:bCs/>
          <w:sz w:val="28"/>
          <w:szCs w:val="28"/>
          <w:rtl/>
        </w:rPr>
        <w:t xml:space="preserve"> – הנהג המעורב:</w:t>
      </w:r>
    </w:p>
    <w:p w14:paraId="5D5C78A8" w14:textId="1B247905" w:rsidR="00726B6B" w:rsidRPr="00A90E84" w:rsidRDefault="00F1414C"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העיד כי עשה קניות בקניון בכפר יונה. אחרי שיצא מהקניון, נפגש עם </w:t>
      </w:r>
      <w:r w:rsidR="00BC3747" w:rsidRPr="00A90E84">
        <w:rPr>
          <w:rFonts w:ascii="David" w:hAnsi="David" w:cs="David" w:hint="cs"/>
          <w:sz w:val="28"/>
          <w:szCs w:val="28"/>
          <w:rtl/>
        </w:rPr>
        <w:t>מר גרנות</w:t>
      </w:r>
      <w:r w:rsidR="00726B6B" w:rsidRPr="00A90E84">
        <w:rPr>
          <w:rFonts w:ascii="David" w:hAnsi="David" w:cs="David" w:hint="cs"/>
          <w:sz w:val="28"/>
          <w:szCs w:val="28"/>
          <w:rtl/>
        </w:rPr>
        <w:t xml:space="preserve"> אשר עבד אצלו באותה תקופה, הם למדו יחד בתיכון והם מכירים אחד את השני מזה שנים. </w:t>
      </w: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היה צריך לתת כסף ל</w:t>
      </w:r>
      <w:r w:rsidR="00BC3747" w:rsidRPr="00A90E84">
        <w:rPr>
          <w:rFonts w:ascii="David" w:hAnsi="David" w:cs="David" w:hint="cs"/>
          <w:sz w:val="28"/>
          <w:szCs w:val="28"/>
          <w:rtl/>
        </w:rPr>
        <w:t>מר גרנות</w:t>
      </w:r>
      <w:r w:rsidR="00726B6B" w:rsidRPr="00A90E84">
        <w:rPr>
          <w:rFonts w:ascii="David" w:hAnsi="David" w:cs="David" w:hint="cs"/>
          <w:sz w:val="28"/>
          <w:szCs w:val="28"/>
          <w:rtl/>
        </w:rPr>
        <w:t xml:space="preserve">, ולכן הם היו בדרכם לכפר יונה כדי להגיע לכספומט של בנק הפועלים. </w:t>
      </w:r>
    </w:p>
    <w:p w14:paraId="3F8DA9F6" w14:textId="60A92B1D" w:rsidR="00726B6B" w:rsidRPr="00A90E84" w:rsidRDefault="00F1414C"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העיד כי הגיע עם רכבו לצומת, עמד עם רכבו ב</w:t>
      </w:r>
      <w:r w:rsidR="003B7959" w:rsidRPr="00A90E84">
        <w:rPr>
          <w:rFonts w:ascii="David" w:hAnsi="David" w:cs="David" w:hint="cs"/>
          <w:sz w:val="28"/>
          <w:szCs w:val="28"/>
          <w:rtl/>
        </w:rPr>
        <w:t xml:space="preserve">אור </w:t>
      </w:r>
      <w:r w:rsidR="00726B6B" w:rsidRPr="00A90E84">
        <w:rPr>
          <w:rFonts w:ascii="David" w:hAnsi="David" w:cs="David" w:hint="cs"/>
          <w:sz w:val="28"/>
          <w:szCs w:val="28"/>
          <w:rtl/>
        </w:rPr>
        <w:t>אדום, ראשון ברמזור, בנתיב האמצעי, קרי הימני מבין הנתיבים שפונים שמאלה, והמתין שיתחלף ה</w:t>
      </w:r>
      <w:r w:rsidR="003B7959" w:rsidRPr="00A90E84">
        <w:rPr>
          <w:rFonts w:ascii="David" w:hAnsi="David" w:cs="David" w:hint="cs"/>
          <w:sz w:val="28"/>
          <w:szCs w:val="28"/>
          <w:rtl/>
        </w:rPr>
        <w:t>אור</w:t>
      </w:r>
      <w:r w:rsidR="00726B6B" w:rsidRPr="00A90E84">
        <w:rPr>
          <w:rFonts w:ascii="David" w:hAnsi="David" w:cs="David" w:hint="cs"/>
          <w:sz w:val="28"/>
          <w:szCs w:val="28"/>
          <w:rtl/>
        </w:rPr>
        <w:t xml:space="preserve"> ברמזור ל</w:t>
      </w:r>
      <w:r w:rsidR="003B7959" w:rsidRPr="00A90E84">
        <w:rPr>
          <w:rFonts w:ascii="David" w:hAnsi="David" w:cs="David" w:hint="cs"/>
          <w:sz w:val="28"/>
          <w:szCs w:val="28"/>
          <w:rtl/>
        </w:rPr>
        <w:t>אור</w:t>
      </w:r>
      <w:r w:rsidR="00726B6B" w:rsidRPr="00A90E84">
        <w:rPr>
          <w:rFonts w:ascii="David" w:hAnsi="David" w:cs="David" w:hint="cs"/>
          <w:sz w:val="28"/>
          <w:szCs w:val="28"/>
          <w:rtl/>
        </w:rPr>
        <w:t xml:space="preserve"> ירוק. כשהתחלף הרמזור לירוק, הסתכל </w:t>
      </w: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ימינה ושמאלה והחל להיכנס לצומת, כשבכוונתו לנסוע ישר בצומת. </w:t>
      </w:r>
      <w:r w:rsidR="00726B6B" w:rsidRPr="00A90E84">
        <w:rPr>
          <w:rFonts w:ascii="David" w:hAnsi="David" w:cs="David" w:hint="cs"/>
          <w:sz w:val="28"/>
          <w:szCs w:val="28"/>
          <w:rtl/>
        </w:rPr>
        <w:lastRenderedPageBreak/>
        <w:t>להערכתו, הגיע למהירות של 30 קמ"ש ואז הרגיש שנכנס ברכבו "</w:t>
      </w:r>
      <w:r w:rsidR="00726B6B" w:rsidRPr="00A90E84">
        <w:rPr>
          <w:rFonts w:ascii="David" w:hAnsi="David" w:cs="David" w:hint="cs"/>
          <w:sz w:val="28"/>
          <w:szCs w:val="28"/>
        </w:rPr>
        <w:t>R.P.G.</w:t>
      </w:r>
      <w:r w:rsidR="00726B6B" w:rsidRPr="00A90E84">
        <w:rPr>
          <w:rFonts w:ascii="David" w:hAnsi="David" w:cs="David" w:hint="cs"/>
          <w:sz w:val="28"/>
          <w:szCs w:val="28"/>
          <w:rtl/>
        </w:rPr>
        <w:t xml:space="preserve">". רכבו הסתובב, הוא ניסה לכבות את המנוע אך המנוע לא נכבה, הוא ניסה לצאת מהרכב אך הדלת לא נפתחה, לכן פתח את החגורה ובעט בדלת כדי שתיפתח (עמ' 3 ש' 22-33). </w:t>
      </w:r>
    </w:p>
    <w:p w14:paraId="38BE0F8B" w14:textId="77777777" w:rsidR="00726B6B" w:rsidRPr="00A90E84" w:rsidRDefault="00726B6B" w:rsidP="00A51FCE">
      <w:pPr>
        <w:pStyle w:val="ListParagraph"/>
        <w:spacing w:line="360" w:lineRule="auto"/>
        <w:ind w:left="360"/>
        <w:jc w:val="both"/>
        <w:rPr>
          <w:rFonts w:ascii="David" w:hAnsi="David" w:cs="David"/>
          <w:sz w:val="28"/>
          <w:szCs w:val="28"/>
          <w:rtl/>
        </w:rPr>
      </w:pPr>
    </w:p>
    <w:p w14:paraId="6E6724C8" w14:textId="134031FC"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לדבריו,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חברו נסע כמה רכבים מאחוריו (עמ' 3 ש' 33-37). </w:t>
      </w:r>
    </w:p>
    <w:p w14:paraId="05FAEBF8" w14:textId="39339ADE" w:rsidR="00726B6B" w:rsidRPr="00A90E84" w:rsidRDefault="00F1414C"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העיד כי אחרי שיצא מרכבו, הבחין בנהגת של רכב </w:t>
      </w:r>
      <w:proofErr w:type="spellStart"/>
      <w:r w:rsidR="00726B6B" w:rsidRPr="00A90E84">
        <w:rPr>
          <w:rFonts w:ascii="David" w:hAnsi="David" w:cs="David" w:hint="cs"/>
          <w:sz w:val="28"/>
          <w:szCs w:val="28"/>
          <w:rtl/>
        </w:rPr>
        <w:t>יוניק</w:t>
      </w:r>
      <w:proofErr w:type="spellEnd"/>
      <w:r w:rsidR="00726B6B" w:rsidRPr="00A90E84">
        <w:rPr>
          <w:rFonts w:ascii="David" w:hAnsi="David" w:cs="David" w:hint="cs"/>
          <w:sz w:val="28"/>
          <w:szCs w:val="28"/>
          <w:rtl/>
        </w:rPr>
        <w:t xml:space="preserve"> שעצרה לסייע. למיטב ידיעתו נהגת </w:t>
      </w:r>
      <w:proofErr w:type="spellStart"/>
      <w:r w:rsidR="00726B6B" w:rsidRPr="00A90E84">
        <w:rPr>
          <w:rFonts w:ascii="David" w:hAnsi="David" w:cs="David" w:hint="cs"/>
          <w:sz w:val="28"/>
          <w:szCs w:val="28"/>
          <w:rtl/>
        </w:rPr>
        <w:t>היוניק</w:t>
      </w:r>
      <w:proofErr w:type="spellEnd"/>
      <w:r w:rsidR="00726B6B" w:rsidRPr="00A90E84">
        <w:rPr>
          <w:rFonts w:ascii="David" w:hAnsi="David" w:cs="David" w:hint="cs"/>
          <w:sz w:val="28"/>
          <w:szCs w:val="28"/>
          <w:rtl/>
        </w:rPr>
        <w:t xml:space="preserve"> פנתה שמאלה בצומת (עמ' 3 ש' 39-40). </w:t>
      </w:r>
    </w:p>
    <w:p w14:paraId="063B3E5F" w14:textId="77777777" w:rsidR="00726B6B" w:rsidRPr="00A90E84" w:rsidRDefault="00726B6B" w:rsidP="00A51FCE">
      <w:pPr>
        <w:pStyle w:val="ListParagraph"/>
        <w:spacing w:line="360" w:lineRule="auto"/>
        <w:ind w:left="360"/>
        <w:jc w:val="both"/>
        <w:rPr>
          <w:rFonts w:ascii="David" w:hAnsi="David" w:cs="David"/>
          <w:sz w:val="28"/>
          <w:szCs w:val="28"/>
          <w:rtl/>
        </w:rPr>
      </w:pPr>
    </w:p>
    <w:p w14:paraId="29D47B9C" w14:textId="3C67B320"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ב"כ הנאשמת הגיש את הודעתו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במשטרה (ס/2) לצורך הוכחת סתירות, אך לא מצאתי כל סתירה בין הודעתו במשטרה, אשר הייתה מאוד קצרה ותמציתית, לבין עדותו בבית המשפט, אשר הייתה מפורטת יותר.</w:t>
      </w:r>
    </w:p>
    <w:p w14:paraId="5796D2E2" w14:textId="77777777" w:rsidR="00726B6B" w:rsidRPr="00A90E84" w:rsidRDefault="00726B6B" w:rsidP="00A51FCE">
      <w:pPr>
        <w:pStyle w:val="ListParagraph"/>
        <w:spacing w:line="360" w:lineRule="auto"/>
        <w:ind w:left="360"/>
        <w:jc w:val="both"/>
        <w:rPr>
          <w:rFonts w:ascii="David" w:hAnsi="David" w:cs="David"/>
          <w:sz w:val="28"/>
          <w:szCs w:val="28"/>
          <w:rtl/>
        </w:rPr>
      </w:pPr>
    </w:p>
    <w:p w14:paraId="5024FF51" w14:textId="16F755A8"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לדברי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מכיוון הגעת הנאשמת, אשר הגיעה לצומת מימינו, ישנם  ארבעה נתיבים, אחד מיועד לפנייה שמאלה, שניים לנסיעה ישר, והנתיב הרביעי מיועד לפנייה ימינה לתוך כפר יונה. לדבריו, הנאשמת נסעה בנתיב הימני מבין השניים שממשיכים ישר, כאשר בשני הנתיבים משמאלה עמדו כלי רכב, אשר הסתירו מעיניו את הגעתה של הנאשמת (עמ' 4 ש' 10-17). </w:t>
      </w:r>
    </w:p>
    <w:p w14:paraId="3663B0C0" w14:textId="77777777" w:rsidR="00726B6B" w:rsidRPr="00A90E84" w:rsidRDefault="00726B6B" w:rsidP="00A51FCE">
      <w:pPr>
        <w:pStyle w:val="ListParagraph"/>
        <w:spacing w:line="360" w:lineRule="auto"/>
        <w:jc w:val="both"/>
        <w:rPr>
          <w:rFonts w:ascii="David" w:hAnsi="David" w:cs="David"/>
          <w:sz w:val="28"/>
          <w:szCs w:val="28"/>
          <w:rtl/>
        </w:rPr>
      </w:pPr>
    </w:p>
    <w:p w14:paraId="298085ED" w14:textId="0B333F3A" w:rsidR="00726B6B" w:rsidRPr="00A90E84" w:rsidRDefault="00F1414C" w:rsidP="00A51FCE">
      <w:pPr>
        <w:pStyle w:val="ListParagraph"/>
        <w:numPr>
          <w:ilvl w:val="0"/>
          <w:numId w:val="4"/>
        </w:numPr>
        <w:spacing w:line="360" w:lineRule="auto"/>
        <w:ind w:left="368"/>
        <w:jc w:val="both"/>
        <w:rPr>
          <w:rFonts w:ascii="David" w:hAnsi="David" w:cs="David"/>
          <w:sz w:val="28"/>
          <w:szCs w:val="28"/>
          <w:rtl/>
        </w:rPr>
      </w:pP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סיפר כי לאחר התאונה הוא והנאשמת פונו באותו אמבולנס לבית החולים. הנאשמת נראתה לו בחרדה, הסתכלה עליו ואמרה לו: "הייתי בטוחה שהרגתי אותך". הוא הרגיע אותה ואמר לה </w:t>
      </w:r>
      <w:proofErr w:type="spellStart"/>
      <w:r w:rsidR="00726B6B" w:rsidRPr="00A90E84">
        <w:rPr>
          <w:rFonts w:ascii="David" w:hAnsi="David" w:cs="David" w:hint="cs"/>
          <w:sz w:val="28"/>
          <w:szCs w:val="28"/>
          <w:rtl/>
        </w:rPr>
        <w:t>שהכל</w:t>
      </w:r>
      <w:proofErr w:type="spellEnd"/>
      <w:r w:rsidR="00726B6B" w:rsidRPr="00A90E84">
        <w:rPr>
          <w:rFonts w:ascii="David" w:hAnsi="David" w:cs="David" w:hint="cs"/>
          <w:sz w:val="28"/>
          <w:szCs w:val="28"/>
          <w:rtl/>
        </w:rPr>
        <w:t xml:space="preserve"> בסדר, שהוא בחיים, ושזה רק נזק לרכבים. הוא שאל אותה למה עברה </w:t>
      </w:r>
      <w:r w:rsidR="0075613F">
        <w:rPr>
          <w:rFonts w:ascii="David" w:hAnsi="David" w:cs="David" w:hint="cs"/>
          <w:sz w:val="28"/>
          <w:szCs w:val="28"/>
          <w:rtl/>
        </w:rPr>
        <w:t>באור אדום</w:t>
      </w:r>
      <w:r w:rsidR="00726B6B" w:rsidRPr="00A90E84">
        <w:rPr>
          <w:rFonts w:ascii="David" w:hAnsi="David" w:cs="David" w:hint="cs"/>
          <w:sz w:val="28"/>
          <w:szCs w:val="28"/>
          <w:rtl/>
        </w:rPr>
        <w:t xml:space="preserve">, והיא ענתה לו שהיא מכירה את הכבישים ומשרתת בבית ליד, היא התנצלה ואמרה שלא יודעת מה קרה לה (עמ' 3 ש' 49 – עמ' 4 ש' 6). </w:t>
      </w:r>
    </w:p>
    <w:p w14:paraId="429E9636" w14:textId="77777777" w:rsidR="00726B6B" w:rsidRPr="00A90E84" w:rsidRDefault="00726B6B" w:rsidP="00A51FCE">
      <w:pPr>
        <w:pStyle w:val="ListParagraph"/>
        <w:spacing w:line="360" w:lineRule="auto"/>
        <w:ind w:left="368"/>
        <w:jc w:val="both"/>
        <w:rPr>
          <w:rFonts w:ascii="David" w:hAnsi="David" w:cs="David"/>
          <w:sz w:val="28"/>
          <w:szCs w:val="28"/>
          <w:rtl/>
        </w:rPr>
      </w:pPr>
    </w:p>
    <w:p w14:paraId="58F56989" w14:textId="140F8C33" w:rsidR="00726B6B" w:rsidRPr="00A90E84" w:rsidRDefault="00726B6B"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 xml:space="preserve">יודגש, כי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לא נחקר כלל בחקירה נגדית על טענתו כי נכנס לצומת ב</w:t>
      </w:r>
      <w:r w:rsidR="003B7959" w:rsidRPr="00A90E84">
        <w:rPr>
          <w:rFonts w:ascii="David" w:hAnsi="David" w:cs="David" w:hint="cs"/>
          <w:sz w:val="28"/>
          <w:szCs w:val="28"/>
          <w:rtl/>
        </w:rPr>
        <w:t>אור</w:t>
      </w:r>
      <w:r w:rsidRPr="00A90E84">
        <w:rPr>
          <w:rFonts w:ascii="David" w:hAnsi="David" w:cs="David" w:hint="cs"/>
          <w:sz w:val="28"/>
          <w:szCs w:val="28"/>
          <w:rtl/>
        </w:rPr>
        <w:t xml:space="preserve"> ירוק, ואף לא נחקר בחקירה נגדית על עדותו בדבר תוכן השיחה שניהל עם הנאשמת באמבולנס. משכך, "בהעדר הסבר סביר אחר, ההנחה היא כי אין חולקים על דברי העד באותה סוגיה" (</w:t>
      </w:r>
      <w:hyperlink r:id="rId10" w:history="1">
        <w:r w:rsidRPr="00A90E84">
          <w:rPr>
            <w:rStyle w:val="Hyperlink"/>
            <w:rFonts w:ascii="David" w:hAnsi="David" w:cs="David" w:hint="cs"/>
            <w:sz w:val="28"/>
            <w:szCs w:val="28"/>
            <w:rtl/>
          </w:rPr>
          <w:t xml:space="preserve">ע"פ 4609/14 נתנאל </w:t>
        </w:r>
        <w:proofErr w:type="spellStart"/>
        <w:r w:rsidRPr="00A90E84">
          <w:rPr>
            <w:rStyle w:val="Hyperlink"/>
            <w:rFonts w:ascii="David" w:hAnsi="David" w:cs="David" w:hint="cs"/>
            <w:sz w:val="28"/>
            <w:szCs w:val="28"/>
            <w:rtl/>
          </w:rPr>
          <w:t>צורדקר</w:t>
        </w:r>
        <w:proofErr w:type="spellEnd"/>
        <w:r w:rsidRPr="00A90E84">
          <w:rPr>
            <w:rStyle w:val="Hyperlink"/>
            <w:rFonts w:ascii="David" w:hAnsi="David" w:cs="David" w:hint="cs"/>
            <w:sz w:val="28"/>
            <w:szCs w:val="28"/>
            <w:rtl/>
          </w:rPr>
          <w:t xml:space="preserve"> נ' מדינת ישראל</w:t>
        </w:r>
      </w:hyperlink>
      <w:r w:rsidRPr="00A90E84">
        <w:rPr>
          <w:rFonts w:ascii="David" w:hAnsi="David" w:cs="David" w:hint="cs"/>
          <w:sz w:val="28"/>
          <w:szCs w:val="28"/>
          <w:rtl/>
        </w:rPr>
        <w:t xml:space="preserve"> (1.3.15) פיסקה 19). </w:t>
      </w:r>
    </w:p>
    <w:p w14:paraId="59DE9764" w14:textId="77777777" w:rsidR="00726B6B" w:rsidRPr="00A90E84" w:rsidRDefault="00726B6B" w:rsidP="00A51FCE">
      <w:pPr>
        <w:pStyle w:val="ListParagraph"/>
        <w:spacing w:line="360" w:lineRule="auto"/>
        <w:jc w:val="both"/>
        <w:rPr>
          <w:rFonts w:ascii="David" w:hAnsi="David" w:cs="David"/>
          <w:sz w:val="28"/>
          <w:szCs w:val="28"/>
          <w:rtl/>
        </w:rPr>
      </w:pPr>
    </w:p>
    <w:p w14:paraId="4B62C360" w14:textId="6E878F8D"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lastRenderedPageBreak/>
        <w:t xml:space="preserve">אני ערה לכך שבעדותו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בבית המשפט, מסר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גרסה הרבה יותר מפורטת מזו שנגבתה ממנו בעת חקירתו במשטרה (ס/2). עם זאת, מקובלים עלי דבריו, לפיהם הוא סיפר את הדברים גם בחקירה אך יכול שנרשמו רק עיקרי הדברים, אלו שרלוונטיים לאירוע, ושהחוקר כנראה העמיק פחות ביחס לעובדות אשר אינן בלב האירוע.</w:t>
      </w:r>
    </w:p>
    <w:p w14:paraId="26EE10DE" w14:textId="1315863F"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כך למשל, כש</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נשאל אם יש עדים לתאונה, הוא השיב שהעד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שהוא חבר שלו, נסע מאחוריו ושהם היו צריכים להגיע ביחד לכפר יונה, אך לא נרשם בהודעה כי מטרת הנסיעה הייתה להוציא כסף מהכספומט, נתון שכלל אינו רלוונטי לחקר התאונה.</w:t>
      </w:r>
    </w:p>
    <w:p w14:paraId="1609EA12" w14:textId="18460972"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עוד למשל, בעדותו בבית המשפט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תיאר את האופן שבו יצא מרכבו לאחר התאונה - שהדלת נתקעה, שהוא נאלץ לבעוט בה כדי לצאת, פרטים שגם הם אינם רלוונטיים לחקר התאונה, ולא הופיעו בחקירתו במשטרה. </w:t>
      </w:r>
    </w:p>
    <w:p w14:paraId="15656AB7" w14:textId="5F8E64BE"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כך גם, אין בהודעתו (ס/2) אזכור של השיחה שניהל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עם הנאשמת בתוך האמבולנס, שיחה עליה העיד בבית המשפט, שיחה שאף אושרה על ידי הנאשמת. </w:t>
      </w:r>
    </w:p>
    <w:p w14:paraId="6EBBAE77" w14:textId="77777777" w:rsidR="00726B6B" w:rsidRPr="00A90E84" w:rsidRDefault="00726B6B" w:rsidP="00A51FCE">
      <w:pPr>
        <w:pStyle w:val="ListParagraph"/>
        <w:spacing w:line="360" w:lineRule="auto"/>
        <w:ind w:left="360"/>
        <w:jc w:val="both"/>
        <w:rPr>
          <w:rFonts w:ascii="David" w:hAnsi="David" w:cs="David"/>
          <w:sz w:val="28"/>
          <w:szCs w:val="28"/>
          <w:rtl/>
        </w:rPr>
      </w:pPr>
    </w:p>
    <w:p w14:paraId="31211014" w14:textId="60CEBD7F"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העובדה שההודעה שנגבתה מ</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(ס/2) היא קצרה ותמציתית, אין בה כדי ללמד כי הדברים עליהם העיד לא התרחשו.</w:t>
      </w:r>
    </w:p>
    <w:p w14:paraId="5C72AB0D" w14:textId="77777777" w:rsidR="00726B6B" w:rsidRPr="00A90E84" w:rsidRDefault="00726B6B" w:rsidP="00A51FCE">
      <w:pPr>
        <w:pStyle w:val="ListParagraph"/>
        <w:spacing w:line="360" w:lineRule="auto"/>
        <w:ind w:left="360"/>
        <w:jc w:val="both"/>
        <w:rPr>
          <w:rFonts w:ascii="David" w:hAnsi="David" w:cs="David"/>
          <w:sz w:val="28"/>
          <w:szCs w:val="28"/>
          <w:rtl/>
        </w:rPr>
      </w:pPr>
    </w:p>
    <w:p w14:paraId="3618FF1E" w14:textId="4465A552"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אין בידי לקבל את טענת ההגנה כי עדותו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בבית המשפט היא עדות כבושה.  כאמור, בעדותו בפני,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מסר את אותם אותה הגרסה שמסר גם בחקירתו במשטרה, הגם שבבית המשפט עדותו הייתה  מפורטת יותר. ביחס להודעה הקצרה שנגבתה ממנו בעת חקירתו.</w:t>
      </w:r>
    </w:p>
    <w:p w14:paraId="7800033A" w14:textId="77777777" w:rsidR="00726B6B" w:rsidRPr="00A90E84" w:rsidRDefault="00726B6B" w:rsidP="00A51FCE">
      <w:pPr>
        <w:pStyle w:val="ListParagraph"/>
        <w:spacing w:line="360" w:lineRule="auto"/>
        <w:ind w:left="360"/>
        <w:jc w:val="both"/>
        <w:rPr>
          <w:rFonts w:ascii="David" w:hAnsi="David" w:cs="David"/>
          <w:sz w:val="28"/>
          <w:szCs w:val="28"/>
        </w:rPr>
      </w:pPr>
    </w:p>
    <w:p w14:paraId="3388C667" w14:textId="12A22ED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עדותו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זכתה לאמוני המלא. עדותו לא זו בלבד שלא נסתרה בחקירתו הנגדית ולא זו בלבד שלא סתרה את הודעתו במשטרה, אלא עדותו קיבלה חיזוק מיתר העדויות שנשמעו, ועל כך ארחיב בהמשך. ניתן היה להתרשם שהעד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מעיד בצורה מדויקת, מקפיד לשמור על סדר האירועים ולדייק בדבריו. </w:t>
      </w:r>
    </w:p>
    <w:p w14:paraId="21301A7D" w14:textId="77777777" w:rsidR="00726B6B" w:rsidRPr="00A90E84" w:rsidRDefault="00726B6B" w:rsidP="00A51FCE">
      <w:pPr>
        <w:pStyle w:val="ListParagraph"/>
        <w:spacing w:line="360" w:lineRule="auto"/>
        <w:ind w:left="360"/>
        <w:jc w:val="both"/>
        <w:rPr>
          <w:rFonts w:ascii="David" w:hAnsi="David" w:cs="David"/>
          <w:sz w:val="28"/>
          <w:szCs w:val="28"/>
          <w:rtl/>
        </w:rPr>
      </w:pPr>
    </w:p>
    <w:p w14:paraId="4D74E24F" w14:textId="5651CF67" w:rsidR="00726B6B" w:rsidRPr="00A90E84" w:rsidRDefault="00726B6B" w:rsidP="00A51FCE">
      <w:pPr>
        <w:pStyle w:val="ListParagraph"/>
        <w:numPr>
          <w:ilvl w:val="0"/>
          <w:numId w:val="4"/>
        </w:numPr>
        <w:spacing w:line="360" w:lineRule="auto"/>
        <w:ind w:left="360"/>
        <w:jc w:val="both"/>
        <w:rPr>
          <w:rFonts w:ascii="David" w:hAnsi="David" w:cs="David"/>
          <w:b/>
          <w:bCs/>
          <w:sz w:val="28"/>
          <w:szCs w:val="28"/>
          <w:rtl/>
        </w:rPr>
      </w:pPr>
      <w:r w:rsidRPr="00A90E84">
        <w:rPr>
          <w:rFonts w:ascii="David" w:hAnsi="David" w:cs="David" w:hint="cs"/>
          <w:b/>
          <w:bCs/>
          <w:sz w:val="28"/>
          <w:szCs w:val="28"/>
          <w:rtl/>
        </w:rPr>
        <w:t xml:space="preserve">עדותו של עד הראיה </w:t>
      </w:r>
      <w:r w:rsidR="00BC3747" w:rsidRPr="00A90E84">
        <w:rPr>
          <w:rFonts w:ascii="David" w:hAnsi="David" w:cs="David" w:hint="cs"/>
          <w:b/>
          <w:bCs/>
          <w:sz w:val="28"/>
          <w:szCs w:val="28"/>
          <w:rtl/>
        </w:rPr>
        <w:t>מר גרנות</w:t>
      </w:r>
      <w:r w:rsidRPr="00A90E84">
        <w:rPr>
          <w:rFonts w:ascii="David" w:hAnsi="David" w:cs="David" w:hint="cs"/>
          <w:b/>
          <w:bCs/>
          <w:sz w:val="28"/>
          <w:szCs w:val="28"/>
          <w:rtl/>
        </w:rPr>
        <w:t xml:space="preserve"> – חברו של </w:t>
      </w:r>
      <w:r w:rsidR="00F1414C" w:rsidRPr="00A90E84">
        <w:rPr>
          <w:rFonts w:ascii="David" w:hAnsi="David" w:cs="David" w:hint="cs"/>
          <w:b/>
          <w:bCs/>
          <w:sz w:val="28"/>
          <w:szCs w:val="28"/>
          <w:rtl/>
        </w:rPr>
        <w:t xml:space="preserve">סמ"ר </w:t>
      </w:r>
      <w:proofErr w:type="spellStart"/>
      <w:r w:rsidR="00F1414C" w:rsidRPr="00A90E84">
        <w:rPr>
          <w:rFonts w:ascii="David" w:hAnsi="David" w:cs="David" w:hint="cs"/>
          <w:b/>
          <w:bCs/>
          <w:sz w:val="28"/>
          <w:szCs w:val="28"/>
          <w:rtl/>
        </w:rPr>
        <w:t>ווינשטיין</w:t>
      </w:r>
      <w:proofErr w:type="spellEnd"/>
    </w:p>
    <w:p w14:paraId="181AD3AF" w14:textId="040D81BF" w:rsidR="00726B6B" w:rsidRPr="00A90E84" w:rsidRDefault="00BC3747"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מר גרנות</w:t>
      </w:r>
      <w:r w:rsidR="00726B6B" w:rsidRPr="00A90E84">
        <w:rPr>
          <w:rFonts w:ascii="David" w:hAnsi="David" w:cs="David" w:hint="cs"/>
          <w:sz w:val="28"/>
          <w:szCs w:val="28"/>
          <w:rtl/>
        </w:rPr>
        <w:t xml:space="preserve"> העיד כי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יצא מהקניון לאחר שעשה קניות בסופר, הם תיאמו ביניהם שהוא בדיוק גם יצא, ושניהם  נסעו לכיוון כפר יונה (עמ' 2 ש' 5-</w:t>
      </w:r>
      <w:r w:rsidR="00726B6B" w:rsidRPr="00A90E84">
        <w:rPr>
          <w:rFonts w:ascii="David" w:hAnsi="David" w:cs="David" w:hint="cs"/>
          <w:sz w:val="28"/>
          <w:szCs w:val="28"/>
          <w:rtl/>
        </w:rPr>
        <w:lastRenderedPageBreak/>
        <w:t xml:space="preserve">6). </w:t>
      </w:r>
      <w:r w:rsidRPr="00A90E84">
        <w:rPr>
          <w:rFonts w:ascii="David" w:hAnsi="David" w:cs="David" w:hint="cs"/>
          <w:sz w:val="28"/>
          <w:szCs w:val="28"/>
          <w:rtl/>
        </w:rPr>
        <w:t>מר גרנות</w:t>
      </w:r>
      <w:r w:rsidR="00726B6B" w:rsidRPr="00A90E84">
        <w:rPr>
          <w:rFonts w:ascii="David" w:hAnsi="David" w:cs="David" w:hint="cs"/>
          <w:sz w:val="28"/>
          <w:szCs w:val="28"/>
          <w:rtl/>
        </w:rPr>
        <w:t xml:space="preserve"> נסע כמה רכבים מאחורי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נכנס לצומת וכש</w:t>
      </w:r>
      <w:r w:rsidRPr="00A90E84">
        <w:rPr>
          <w:rFonts w:ascii="David" w:hAnsi="David" w:cs="David" w:hint="cs"/>
          <w:sz w:val="28"/>
          <w:szCs w:val="28"/>
          <w:rtl/>
        </w:rPr>
        <w:t>מר גרנות</w:t>
      </w:r>
      <w:r w:rsidR="00726B6B" w:rsidRPr="00A90E84">
        <w:rPr>
          <w:rFonts w:ascii="David" w:hAnsi="David" w:cs="David" w:hint="cs"/>
          <w:sz w:val="28"/>
          <w:szCs w:val="28"/>
          <w:rtl/>
        </w:rPr>
        <w:t xml:space="preserve"> הגיע לצומת, הוא הבין שקרתה תאונה. </w:t>
      </w:r>
      <w:r w:rsidRPr="00A90E84">
        <w:rPr>
          <w:rFonts w:ascii="David" w:hAnsi="David" w:cs="David" w:hint="cs"/>
          <w:sz w:val="28"/>
          <w:szCs w:val="28"/>
          <w:rtl/>
        </w:rPr>
        <w:t>מר גרנות</w:t>
      </w:r>
      <w:r w:rsidR="00726B6B" w:rsidRPr="00A90E84">
        <w:rPr>
          <w:rFonts w:ascii="David" w:hAnsi="David" w:cs="David" w:hint="cs"/>
          <w:sz w:val="28"/>
          <w:szCs w:val="28"/>
          <w:rtl/>
        </w:rPr>
        <w:t xml:space="preserve"> תיאר כי טור המכוניות בו הוא נסע התקדם לעבר הצומת ואז קרתה התאונה. </w:t>
      </w:r>
      <w:r w:rsidRPr="00A90E84">
        <w:rPr>
          <w:rFonts w:ascii="David" w:hAnsi="David" w:cs="David" w:hint="cs"/>
          <w:sz w:val="28"/>
          <w:szCs w:val="28"/>
          <w:rtl/>
        </w:rPr>
        <w:t>מר גרנות</w:t>
      </w:r>
      <w:r w:rsidR="00726B6B" w:rsidRPr="00A90E84">
        <w:rPr>
          <w:rFonts w:ascii="David" w:hAnsi="David" w:cs="David" w:hint="cs"/>
          <w:sz w:val="28"/>
          <w:szCs w:val="28"/>
          <w:rtl/>
        </w:rPr>
        <w:t xml:space="preserve"> ציין כי הוא לא ראה את הרמזורים עצמם, אך ידע לומר בוודאות, ש</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נסע באותו כיוון נסיעה, מספר רכבים לפניו (פרוטוקול מיום 17.1.2024  עמ' 1 ש' 33-עמ' 2 ש' 3). </w:t>
      </w:r>
    </w:p>
    <w:p w14:paraId="58379207" w14:textId="77777777" w:rsidR="00726B6B" w:rsidRPr="00A90E84" w:rsidRDefault="00726B6B" w:rsidP="00A51FCE">
      <w:pPr>
        <w:pStyle w:val="ListParagraph"/>
        <w:spacing w:line="360" w:lineRule="auto"/>
        <w:ind w:left="360"/>
        <w:jc w:val="both"/>
        <w:rPr>
          <w:rFonts w:ascii="David" w:hAnsi="David" w:cs="David"/>
          <w:sz w:val="28"/>
          <w:szCs w:val="28"/>
          <w:rtl/>
        </w:rPr>
      </w:pPr>
    </w:p>
    <w:p w14:paraId="66E9EBE2" w14:textId="2414E76B"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עדותו של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יש בה כדי לחזק את המסקנה כי בכיוון נסיעתו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דלק </w:t>
      </w:r>
      <w:r w:rsidR="003B7959" w:rsidRPr="00A90E84">
        <w:rPr>
          <w:rFonts w:ascii="David" w:hAnsi="David" w:cs="David" w:hint="cs"/>
          <w:sz w:val="28"/>
          <w:szCs w:val="28"/>
          <w:rtl/>
        </w:rPr>
        <w:t>אור</w:t>
      </w:r>
      <w:r w:rsidRPr="00A90E84">
        <w:rPr>
          <w:rFonts w:ascii="David" w:hAnsi="David" w:cs="David" w:hint="cs"/>
          <w:sz w:val="28"/>
          <w:szCs w:val="28"/>
          <w:rtl/>
        </w:rPr>
        <w:t xml:space="preserve"> ירוק, שכן, למרות שהוא לא ראה את צבע הרמזור בכיוון נסיעתם, הוא אישר כי כל טור המכוניות בנתיב נסיעתו התחיל בנסיעה לעבר הצומת, כל המכוניות התקדמו, ולא רק 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w:t>
      </w:r>
    </w:p>
    <w:p w14:paraId="370B3909" w14:textId="77777777" w:rsidR="00726B6B" w:rsidRPr="00A90E84" w:rsidRDefault="00726B6B" w:rsidP="00A51FCE">
      <w:pPr>
        <w:pStyle w:val="ListParagraph"/>
        <w:spacing w:line="360" w:lineRule="auto"/>
        <w:ind w:left="360"/>
        <w:jc w:val="both"/>
        <w:rPr>
          <w:rFonts w:ascii="David" w:hAnsi="David" w:cs="David"/>
          <w:sz w:val="28"/>
          <w:szCs w:val="28"/>
          <w:rtl/>
        </w:rPr>
      </w:pPr>
    </w:p>
    <w:p w14:paraId="4497D261" w14:textId="56F075C6"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ב"כ הנאשמת בסיכומיו, טען כי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סתר את עצמו שכן, בעת חקירתו במשטרה סיפר באופן נחרץ שראה </w:t>
      </w:r>
      <w:r w:rsidR="003B7959" w:rsidRPr="00A90E84">
        <w:rPr>
          <w:rFonts w:ascii="David" w:hAnsi="David" w:cs="David" w:hint="cs"/>
          <w:sz w:val="28"/>
          <w:szCs w:val="28"/>
          <w:rtl/>
        </w:rPr>
        <w:t>אור</w:t>
      </w:r>
      <w:r w:rsidRPr="00A90E84">
        <w:rPr>
          <w:rFonts w:ascii="David" w:hAnsi="David" w:cs="David" w:hint="cs"/>
          <w:sz w:val="28"/>
          <w:szCs w:val="28"/>
          <w:rtl/>
        </w:rPr>
        <w:t xml:space="preserve"> ירוק ברמזור בכיוון נסיעתו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הודעתו של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במשטרה לא הוגשה לעיוני, לא על ידי המאשימה ולא על ידי ההגנה.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עצמו לא נשאל על כך לא בחקירתו הראשית ולא בחקירתו הנגדית. טענה זו של ב"כ הנאשמת עלתה לראשונה בסיכומי ההגנה, מבלי שהונחה התשתית הראייתית לכך, ועל כן, לא אוכל להתייחס לטענה זו בדבר הסתירה הנטענת. </w:t>
      </w:r>
    </w:p>
    <w:p w14:paraId="0F6EB15A" w14:textId="77777777" w:rsidR="00726B6B" w:rsidRPr="00A90E84" w:rsidRDefault="00726B6B" w:rsidP="00A51FCE">
      <w:pPr>
        <w:pStyle w:val="ListParagraph"/>
        <w:spacing w:line="360" w:lineRule="auto"/>
        <w:ind w:left="360"/>
        <w:jc w:val="both"/>
        <w:rPr>
          <w:rFonts w:ascii="David" w:hAnsi="David" w:cs="David"/>
          <w:sz w:val="28"/>
          <w:szCs w:val="28"/>
          <w:rtl/>
        </w:rPr>
      </w:pPr>
    </w:p>
    <w:p w14:paraId="24968291" w14:textId="07770C99" w:rsidR="00726B6B" w:rsidRPr="00A90E84" w:rsidRDefault="00726B6B" w:rsidP="00A51FCE">
      <w:pPr>
        <w:pStyle w:val="ListParagraph"/>
        <w:numPr>
          <w:ilvl w:val="0"/>
          <w:numId w:val="4"/>
        </w:numPr>
        <w:spacing w:line="360" w:lineRule="auto"/>
        <w:ind w:left="368"/>
        <w:jc w:val="both"/>
        <w:rPr>
          <w:rFonts w:ascii="David" w:hAnsi="David" w:cs="David"/>
          <w:b/>
          <w:bCs/>
          <w:sz w:val="28"/>
          <w:szCs w:val="28"/>
        </w:rPr>
      </w:pPr>
      <w:r w:rsidRPr="00A90E84">
        <w:rPr>
          <w:rFonts w:ascii="David" w:hAnsi="David" w:cs="David" w:hint="cs"/>
          <w:b/>
          <w:bCs/>
          <w:sz w:val="28"/>
          <w:szCs w:val="28"/>
          <w:rtl/>
        </w:rPr>
        <w:t xml:space="preserve">שאלת נוכחותו של </w:t>
      </w:r>
      <w:r w:rsidR="00BC3747" w:rsidRPr="00A90E84">
        <w:rPr>
          <w:rFonts w:ascii="David" w:hAnsi="David" w:cs="David" w:hint="cs"/>
          <w:b/>
          <w:bCs/>
          <w:sz w:val="28"/>
          <w:szCs w:val="28"/>
          <w:rtl/>
        </w:rPr>
        <w:t>מר גרנות</w:t>
      </w:r>
      <w:r w:rsidRPr="00A90E84">
        <w:rPr>
          <w:rFonts w:ascii="David" w:hAnsi="David" w:cs="David" w:hint="cs"/>
          <w:b/>
          <w:bCs/>
          <w:sz w:val="28"/>
          <w:szCs w:val="28"/>
          <w:rtl/>
        </w:rPr>
        <w:t xml:space="preserve"> בזירת התאונה</w:t>
      </w:r>
    </w:p>
    <w:p w14:paraId="3D1BC958" w14:textId="7A865B3C" w:rsidR="00726B6B" w:rsidRPr="00A90E84" w:rsidRDefault="00726B6B"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 xml:space="preserve">ב"כ הנאשמת טען כי העד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כלל לא נכח בזירת האירוע, זאת משום ששמו לא הוזכר בדוחות השוטרים שנכחו במקום. עוד טען ב"כ הנאשמת כי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ו</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לא נתנו כל הסבר לכך שהיה עליהם לנסוע יחדיו למקום אחר לאחר שנפגשו ביציאה מהקניון. </w:t>
      </w:r>
    </w:p>
    <w:p w14:paraId="6E08188C" w14:textId="77777777" w:rsidR="00726B6B" w:rsidRPr="00A90E84" w:rsidRDefault="00726B6B"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אין בידי לקבל טענות אלו.</w:t>
      </w:r>
    </w:p>
    <w:p w14:paraId="47A29C0F" w14:textId="7BB8D55E" w:rsidR="00726B6B" w:rsidRPr="00A90E84" w:rsidRDefault="00726B6B"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 xml:space="preserve">עדויותיהם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ו</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כי </w:t>
      </w:r>
      <w:r w:rsidR="00BC3747" w:rsidRPr="00A90E84">
        <w:rPr>
          <w:rFonts w:ascii="David" w:hAnsi="David" w:cs="David" w:hint="cs"/>
          <w:sz w:val="28"/>
          <w:szCs w:val="28"/>
          <w:rtl/>
        </w:rPr>
        <w:t>גרנות</w:t>
      </w:r>
      <w:r w:rsidRPr="00A90E84">
        <w:rPr>
          <w:rFonts w:ascii="David" w:hAnsi="David" w:cs="David" w:hint="cs"/>
          <w:sz w:val="28"/>
          <w:szCs w:val="28"/>
          <w:rtl/>
        </w:rPr>
        <w:t xml:space="preserve"> היה במקום בזמן התאונה ואף ההסבר המפורט שניתן לפגישתם במקום, זכו לאמוני המלא. </w:t>
      </w:r>
    </w:p>
    <w:p w14:paraId="4449C630" w14:textId="77777777" w:rsidR="00726B6B" w:rsidRPr="00A90E84" w:rsidRDefault="00726B6B" w:rsidP="00A51FCE">
      <w:pPr>
        <w:pStyle w:val="ListParagraph"/>
        <w:spacing w:line="360" w:lineRule="auto"/>
        <w:ind w:left="368"/>
        <w:jc w:val="both"/>
        <w:rPr>
          <w:rFonts w:ascii="David" w:hAnsi="David" w:cs="David"/>
          <w:sz w:val="28"/>
          <w:szCs w:val="28"/>
          <w:rtl/>
        </w:rPr>
      </w:pPr>
    </w:p>
    <w:p w14:paraId="5D44F800" w14:textId="31E37758"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כאמור, בחקירתו הנגדית כש</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נשאל מדוע לא סיפר על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בחקירה ועל מטרת הנסיעה, השיב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שסיפר במשטרה את אותם הפרטים שמסר בעדותו בבית המשפט, אך החוקר בחר לרשום בהודעה את מה שבחר.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אף ציין כי החוקר עצמו גם דיבר עם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(עמ' 4 ש' </w:t>
      </w:r>
      <w:r w:rsidRPr="00A90E84">
        <w:rPr>
          <w:rFonts w:ascii="David" w:hAnsi="David" w:cs="David" w:hint="cs"/>
          <w:sz w:val="28"/>
          <w:szCs w:val="28"/>
          <w:rtl/>
        </w:rPr>
        <w:lastRenderedPageBreak/>
        <w:t xml:space="preserve">28-31). יצוין כאמור, כי בהודעתו במשטרה (ס/2) כשנשאל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אם יש עד לתאונה, נרשמה תשובתו כי חברו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נסע מאחוריו וכי הוא היה צריך להגיע יחד </w:t>
      </w:r>
      <w:proofErr w:type="spellStart"/>
      <w:r w:rsidRPr="00A90E84">
        <w:rPr>
          <w:rFonts w:ascii="David" w:hAnsi="David" w:cs="David" w:hint="cs"/>
          <w:sz w:val="28"/>
          <w:szCs w:val="28"/>
          <w:rtl/>
        </w:rPr>
        <w:t>איתו</w:t>
      </w:r>
      <w:proofErr w:type="spellEnd"/>
      <w:r w:rsidRPr="00A90E84">
        <w:rPr>
          <w:rFonts w:ascii="David" w:hAnsi="David" w:cs="David" w:hint="cs"/>
          <w:sz w:val="28"/>
          <w:szCs w:val="28"/>
          <w:rtl/>
        </w:rPr>
        <w:t xml:space="preserve"> לכפר יונה, כך שעיקרי הדברים גם נאמרו וגם נרשמו.</w:t>
      </w:r>
    </w:p>
    <w:p w14:paraId="39EB0CAA" w14:textId="77777777" w:rsidR="00726B6B" w:rsidRPr="00A90E84" w:rsidRDefault="00726B6B" w:rsidP="00A51FCE">
      <w:pPr>
        <w:pStyle w:val="ListParagraph"/>
        <w:spacing w:line="360" w:lineRule="auto"/>
        <w:ind w:left="368"/>
        <w:jc w:val="both"/>
        <w:rPr>
          <w:rFonts w:ascii="David" w:hAnsi="David" w:cs="David"/>
          <w:b/>
          <w:bCs/>
          <w:sz w:val="28"/>
          <w:szCs w:val="28"/>
        </w:rPr>
      </w:pPr>
    </w:p>
    <w:p w14:paraId="0951A87B" w14:textId="7C41FB0A" w:rsidR="00726B6B" w:rsidRPr="00A90E84" w:rsidRDefault="00F1414C"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עמד על כך ש</w:t>
      </w:r>
      <w:r w:rsidR="00BC3747" w:rsidRPr="00A90E84">
        <w:rPr>
          <w:rFonts w:ascii="David" w:hAnsi="David" w:cs="David" w:hint="cs"/>
          <w:sz w:val="28"/>
          <w:szCs w:val="28"/>
          <w:rtl/>
        </w:rPr>
        <w:t>מר גרנות</w:t>
      </w:r>
      <w:r w:rsidR="00726B6B" w:rsidRPr="00A90E84">
        <w:rPr>
          <w:rFonts w:ascii="David" w:hAnsi="David" w:cs="David" w:hint="cs"/>
          <w:sz w:val="28"/>
          <w:szCs w:val="28"/>
          <w:rtl/>
        </w:rPr>
        <w:t xml:space="preserve"> היה בזירת התאונה, צילם את האירוע וסיפר על כך לשוטרים. </w:t>
      </w:r>
      <w:r w:rsidRPr="00A90E84">
        <w:rPr>
          <w:rFonts w:ascii="David" w:hAnsi="David" w:cs="David" w:hint="cs"/>
          <w:sz w:val="28"/>
          <w:szCs w:val="28"/>
          <w:rtl/>
        </w:rPr>
        <w:t xml:space="preserve">סמ"ר </w:t>
      </w:r>
      <w:proofErr w:type="spellStart"/>
      <w:r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אף העיד כי  </w:t>
      </w:r>
      <w:r w:rsidR="00BC3747" w:rsidRPr="00A90E84">
        <w:rPr>
          <w:rFonts w:ascii="David" w:hAnsi="David" w:cs="David" w:hint="cs"/>
          <w:sz w:val="28"/>
          <w:szCs w:val="28"/>
          <w:rtl/>
        </w:rPr>
        <w:t>מר גרנות</w:t>
      </w:r>
      <w:r w:rsidR="00726B6B" w:rsidRPr="00A90E84">
        <w:rPr>
          <w:rFonts w:ascii="David" w:hAnsi="David" w:cs="David" w:hint="cs"/>
          <w:sz w:val="28"/>
          <w:szCs w:val="28"/>
          <w:rtl/>
        </w:rPr>
        <w:t xml:space="preserve"> לקח את הקניות מרכבו לביתו, ולדבריו, מי שטוען ש</w:t>
      </w:r>
      <w:r w:rsidR="00BC3747" w:rsidRPr="00A90E84">
        <w:rPr>
          <w:rFonts w:ascii="David" w:hAnsi="David" w:cs="David" w:hint="cs"/>
          <w:sz w:val="28"/>
          <w:szCs w:val="28"/>
          <w:rtl/>
        </w:rPr>
        <w:t>מר גרנות</w:t>
      </w:r>
      <w:r w:rsidR="00726B6B" w:rsidRPr="00A90E84">
        <w:rPr>
          <w:rFonts w:ascii="David" w:hAnsi="David" w:cs="David" w:hint="cs"/>
          <w:sz w:val="28"/>
          <w:szCs w:val="28"/>
          <w:rtl/>
        </w:rPr>
        <w:t xml:space="preserve"> לא היה בזירה, טוען טענה שקרית (עמ' 4 ש' 40-50). </w:t>
      </w:r>
    </w:p>
    <w:p w14:paraId="1CB93E8B" w14:textId="77777777" w:rsidR="00726B6B" w:rsidRPr="00A90E84" w:rsidRDefault="00726B6B" w:rsidP="00A51FCE">
      <w:pPr>
        <w:pStyle w:val="ListParagraph"/>
        <w:spacing w:line="360" w:lineRule="auto"/>
        <w:ind w:left="360"/>
        <w:jc w:val="both"/>
        <w:rPr>
          <w:rFonts w:ascii="David" w:hAnsi="David" w:cs="David"/>
          <w:sz w:val="28"/>
          <w:szCs w:val="28"/>
        </w:rPr>
      </w:pPr>
    </w:p>
    <w:p w14:paraId="09A11565" w14:textId="22E94829" w:rsidR="00726B6B" w:rsidRPr="00A90E84" w:rsidRDefault="00BC3747"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מר גרנות</w:t>
      </w:r>
      <w:r w:rsidR="00726B6B" w:rsidRPr="00A90E84">
        <w:rPr>
          <w:rFonts w:ascii="David" w:hAnsi="David" w:cs="David" w:hint="cs"/>
          <w:sz w:val="28"/>
          <w:szCs w:val="28"/>
          <w:rtl/>
        </w:rPr>
        <w:t xml:space="preserve"> נחקר על ידי ההגנה על עצם נוכחותו במקום. </w:t>
      </w:r>
      <w:r w:rsidRPr="00A90E84">
        <w:rPr>
          <w:rFonts w:ascii="David" w:hAnsi="David" w:cs="David" w:hint="cs"/>
          <w:sz w:val="28"/>
          <w:szCs w:val="28"/>
          <w:rtl/>
        </w:rPr>
        <w:t>מר גרנות</w:t>
      </w:r>
      <w:r w:rsidR="00726B6B" w:rsidRPr="00A90E84">
        <w:rPr>
          <w:rFonts w:ascii="David" w:hAnsi="David" w:cs="David" w:hint="cs"/>
          <w:sz w:val="28"/>
          <w:szCs w:val="28"/>
          <w:rtl/>
        </w:rPr>
        <w:t xml:space="preserve"> אישר כי הוא חבר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וכי עבד </w:t>
      </w:r>
      <w:proofErr w:type="spellStart"/>
      <w:r w:rsidR="00726B6B" w:rsidRPr="00A90E84">
        <w:rPr>
          <w:rFonts w:ascii="David" w:hAnsi="David" w:cs="David" w:hint="cs"/>
          <w:sz w:val="28"/>
          <w:szCs w:val="28"/>
          <w:rtl/>
        </w:rPr>
        <w:t>איתו</w:t>
      </w:r>
      <w:proofErr w:type="spellEnd"/>
      <w:r w:rsidR="00726B6B" w:rsidRPr="00A90E84">
        <w:rPr>
          <w:rFonts w:ascii="David" w:hAnsi="David" w:cs="David" w:hint="cs"/>
          <w:sz w:val="28"/>
          <w:szCs w:val="28"/>
          <w:rtl/>
        </w:rPr>
        <w:t>. כשנשאל למה לא ציין זאת בעדות במשטרה, העיד כי אינו יודע, שאולי זה לא היה רלוונטי (עמ' 2 ש' 10-13). עדותו במשטרה לא הוגשה לעיוני, כך שלא יכולתי להתרשם מהדברים שנאמרו ומאלו שלא נאמרו.</w:t>
      </w:r>
    </w:p>
    <w:p w14:paraId="03BE6E54" w14:textId="77777777" w:rsidR="00726B6B" w:rsidRPr="00A90E84" w:rsidRDefault="00726B6B" w:rsidP="00A51FCE">
      <w:pPr>
        <w:pStyle w:val="ListParagraph"/>
        <w:spacing w:line="360" w:lineRule="auto"/>
        <w:ind w:left="360"/>
        <w:jc w:val="both"/>
        <w:rPr>
          <w:rFonts w:ascii="David" w:hAnsi="David" w:cs="David"/>
          <w:sz w:val="28"/>
          <w:szCs w:val="28"/>
          <w:rtl/>
        </w:rPr>
      </w:pPr>
    </w:p>
    <w:p w14:paraId="3B9B4D8E" w14:textId="51C3715C"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כש</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נשאל מדוע אף אחד מהשוטרים ואף אחד מהעדים לא ראה אותו במקום התאונה, השיב שראו אותו בבירור, שגם במצלמה של השוטר ראו אותו, שהוא החנה את רכבו במקום והגיע לצומת. </w:t>
      </w:r>
    </w:p>
    <w:p w14:paraId="4FFB0D89" w14:textId="1623D2D0" w:rsidR="00726B6B" w:rsidRPr="00A90E84" w:rsidRDefault="00BC3747"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מר גרנות</w:t>
      </w:r>
      <w:r w:rsidR="00726B6B" w:rsidRPr="00A90E84">
        <w:rPr>
          <w:rFonts w:ascii="David" w:hAnsi="David" w:cs="David" w:hint="cs"/>
          <w:sz w:val="28"/>
          <w:szCs w:val="28"/>
          <w:rtl/>
        </w:rPr>
        <w:t xml:space="preserve"> לא ידע להסביר מדוע השוטר לא הזכיר את שמו (עמ' 2 ש' 14-19). לדבריו, היו ל</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קניות באוטו, הוא לקח את הקניות לדירה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אסף את בת הזוג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00726B6B" w:rsidRPr="00A90E84">
        <w:rPr>
          <w:rFonts w:ascii="David" w:hAnsi="David" w:cs="David" w:hint="cs"/>
          <w:sz w:val="28"/>
          <w:szCs w:val="28"/>
          <w:rtl/>
        </w:rPr>
        <w:t xml:space="preserve"> ונסע איתה לבית החולים, הוא לא היה בזירה יותר מדי זמן (עמ' 2 ש' 21-22).</w:t>
      </w:r>
    </w:p>
    <w:p w14:paraId="6D432F83" w14:textId="77777777" w:rsidR="00726B6B" w:rsidRPr="00A90E84" w:rsidRDefault="00726B6B" w:rsidP="00A51FCE">
      <w:pPr>
        <w:pStyle w:val="ListParagraph"/>
        <w:spacing w:line="360" w:lineRule="auto"/>
        <w:ind w:left="360"/>
        <w:jc w:val="both"/>
        <w:rPr>
          <w:rFonts w:ascii="David" w:hAnsi="David" w:cs="David"/>
          <w:sz w:val="28"/>
          <w:szCs w:val="28"/>
          <w:rtl/>
        </w:rPr>
      </w:pPr>
    </w:p>
    <w:p w14:paraId="4582A043" w14:textId="10ACC5AD"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אם כן, ניתן להתרשם שגם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וגם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לא ניסו להסתיר את עצם היותם חברים ואת העובדה שעבדו יחדיו. שניהם נתנו אותו הסבר לסיבת המפגש במקום, ושניהם אף תיארו את אותן הפעולות שעשה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לאחר התאונה (הבאת הקניות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לביתו). עדויותיהם תומכות זו בזו, לא נסתרו בשום צורה, וזכו לאמוני המלא. לא מצאתי כל בסיס לטענת הקונספירציה של ההגנה לפיה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כלל לא היה במקום, והתייצב למסור עדות רק על מנת לחזק את גרסתו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w:t>
      </w:r>
    </w:p>
    <w:p w14:paraId="3F4B04EE" w14:textId="77777777" w:rsidR="00726B6B" w:rsidRPr="00A90E84" w:rsidRDefault="00726B6B" w:rsidP="00A51FCE">
      <w:pPr>
        <w:pStyle w:val="ListParagraph"/>
        <w:spacing w:line="360" w:lineRule="auto"/>
        <w:ind w:left="360"/>
        <w:jc w:val="both"/>
        <w:rPr>
          <w:rFonts w:ascii="David" w:hAnsi="David" w:cs="David"/>
          <w:sz w:val="28"/>
          <w:szCs w:val="28"/>
          <w:rtl/>
        </w:rPr>
      </w:pPr>
    </w:p>
    <w:p w14:paraId="3C08E917" w14:textId="7D313BB6"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ניתן להתרשם שעדותו של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כלל לא הייתה מגמתית. כש</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נשאל איפה היה הרכב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ביחס לצומת, לפני התאונה, הוא לא ידע </w:t>
      </w:r>
      <w:r w:rsidRPr="00A90E84">
        <w:rPr>
          <w:rFonts w:ascii="David" w:hAnsi="David" w:cs="David" w:hint="cs"/>
          <w:sz w:val="28"/>
          <w:szCs w:val="28"/>
          <w:rtl/>
        </w:rPr>
        <w:lastRenderedPageBreak/>
        <w:t xml:space="preserve">לומר בדיוק, אלא רק ידע לומר כי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היה כמה רכבים לפניו (עמ' 2 ש' 1-3).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אף לא העיד על צבע הרמזור שהיה בכיוון נסיעתם. אין בליבי צל צילו של ספק: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היה במקום התאונה בעת התרחשותה.</w:t>
      </w:r>
    </w:p>
    <w:p w14:paraId="3CE2EDE6" w14:textId="77777777" w:rsidR="00726B6B" w:rsidRPr="00A90E84" w:rsidRDefault="00726B6B" w:rsidP="00A51FCE">
      <w:pPr>
        <w:spacing w:line="360" w:lineRule="auto"/>
        <w:jc w:val="both"/>
        <w:rPr>
          <w:rFonts w:ascii="David" w:hAnsi="David" w:cs="David"/>
          <w:b/>
          <w:bCs/>
          <w:sz w:val="28"/>
          <w:szCs w:val="28"/>
          <w:u w:val="single"/>
          <w:rtl/>
        </w:rPr>
      </w:pPr>
    </w:p>
    <w:p w14:paraId="68CD6286" w14:textId="1EAAD83F" w:rsidR="00726B6B" w:rsidRPr="00A90E84" w:rsidRDefault="00726B6B" w:rsidP="00A51FCE">
      <w:pPr>
        <w:pStyle w:val="ListParagraph"/>
        <w:numPr>
          <w:ilvl w:val="0"/>
          <w:numId w:val="4"/>
        </w:numPr>
        <w:spacing w:line="360" w:lineRule="auto"/>
        <w:ind w:left="360"/>
        <w:jc w:val="both"/>
        <w:rPr>
          <w:rFonts w:ascii="David" w:hAnsi="David" w:cs="David"/>
          <w:b/>
          <w:bCs/>
          <w:sz w:val="28"/>
          <w:szCs w:val="28"/>
        </w:rPr>
      </w:pPr>
      <w:r w:rsidRPr="00A90E84">
        <w:rPr>
          <w:rFonts w:ascii="David" w:hAnsi="David" w:cs="David" w:hint="cs"/>
          <w:b/>
          <w:bCs/>
          <w:sz w:val="28"/>
          <w:szCs w:val="28"/>
          <w:rtl/>
        </w:rPr>
        <w:t xml:space="preserve">עדותו של עד הראיה </w:t>
      </w:r>
      <w:proofErr w:type="spellStart"/>
      <w:r w:rsidRPr="00A90E84">
        <w:rPr>
          <w:rFonts w:ascii="David" w:hAnsi="David" w:cs="David" w:hint="cs"/>
          <w:b/>
          <w:bCs/>
          <w:sz w:val="28"/>
          <w:szCs w:val="28"/>
          <w:rtl/>
        </w:rPr>
        <w:t>אמרוסי</w:t>
      </w:r>
      <w:proofErr w:type="spellEnd"/>
    </w:p>
    <w:p w14:paraId="2A49A3F2" w14:textId="684BC722"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העד </w:t>
      </w:r>
      <w:r w:rsidR="00BC3747" w:rsidRPr="00A90E84">
        <w:rPr>
          <w:rFonts w:ascii="David" w:hAnsi="David" w:cs="David" w:hint="cs"/>
          <w:sz w:val="28"/>
          <w:szCs w:val="28"/>
          <w:rtl/>
        </w:rPr>
        <w:t>מר</w:t>
      </w:r>
      <w:r w:rsidRPr="00A90E84">
        <w:rPr>
          <w:rFonts w:ascii="David" w:hAnsi="David" w:cs="David" w:hint="cs"/>
          <w:sz w:val="28"/>
          <w:szCs w:val="28"/>
          <w:rtl/>
        </w:rPr>
        <w:t xml:space="preserve"> </w:t>
      </w:r>
      <w:proofErr w:type="spellStart"/>
      <w:r w:rsidRPr="00A90E84">
        <w:rPr>
          <w:rFonts w:ascii="David" w:hAnsi="David" w:cs="David" w:hint="cs"/>
          <w:sz w:val="28"/>
          <w:szCs w:val="28"/>
          <w:rtl/>
        </w:rPr>
        <w:t>אמרוסי</w:t>
      </w:r>
      <w:proofErr w:type="spellEnd"/>
      <w:r w:rsidRPr="00A90E84">
        <w:rPr>
          <w:rFonts w:ascii="David" w:hAnsi="David" w:cs="David" w:hint="cs"/>
          <w:sz w:val="28"/>
          <w:szCs w:val="28"/>
          <w:rtl/>
        </w:rPr>
        <w:t xml:space="preserve"> העיד שהגיע לצומת מכיוון מזרח לכיוון מערב, מתנובות לכיוון כפר יונה (עמ' 5 ש' 22).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הגיע משמאלו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ממולה של הנאשמת. מכיוון הגעתו יש בצומת שלושה נתיבים, שניים ממזרח למערב ואחד ממזרח לדרום, לכיוון כפר יונה, שזה הנתיב בו הוא עמד עם רכבו. לפניו היה רכב מסחרי גדול, </w:t>
      </w:r>
      <w:proofErr w:type="spellStart"/>
      <w:r w:rsidRPr="00A90E84">
        <w:rPr>
          <w:rFonts w:ascii="David" w:hAnsi="David" w:cs="David" w:hint="cs"/>
          <w:sz w:val="28"/>
          <w:szCs w:val="28"/>
          <w:rtl/>
        </w:rPr>
        <w:t>דוקאטו</w:t>
      </w:r>
      <w:proofErr w:type="spellEnd"/>
      <w:r w:rsidRPr="00A90E84">
        <w:rPr>
          <w:rFonts w:ascii="David" w:hAnsi="David" w:cs="David" w:hint="cs"/>
          <w:sz w:val="28"/>
          <w:szCs w:val="28"/>
          <w:rtl/>
        </w:rPr>
        <w:t xml:space="preserve">.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העיד כי  התכוון לפנות שמאלה לתוך כפר יונה ובזמן שעמד ברמזור שמע "בום", והבחין  ברכב מסוג סיאט נכנס ברכב מזדה לבן (עמ' 5 ש' 17-19). לדבריו, הוא היה עם העיניים לכיוון הכביש וראה את ההתנגשות. בעדותו בבית המשפט העיד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כי הוא לא יודע לומר אם 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הגיע  מאותו הכיוון שממנו הוא הגיע, קרי - ממזרח, עמד לפני רכב </w:t>
      </w:r>
      <w:proofErr w:type="spellStart"/>
      <w:r w:rsidRPr="00A90E84">
        <w:rPr>
          <w:rFonts w:ascii="David" w:hAnsi="David" w:cs="David" w:hint="cs"/>
          <w:sz w:val="28"/>
          <w:szCs w:val="28"/>
          <w:rtl/>
        </w:rPr>
        <w:t>הדוקאטו</w:t>
      </w:r>
      <w:proofErr w:type="spellEnd"/>
      <w:r w:rsidRPr="00A90E84">
        <w:rPr>
          <w:rFonts w:ascii="David" w:hAnsi="David" w:cs="David" w:hint="cs"/>
          <w:sz w:val="28"/>
          <w:szCs w:val="28"/>
          <w:rtl/>
        </w:rPr>
        <w:t xml:space="preserve">, ופנה שמאלה, או שרכבו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הגיע מכיוון צפון לדרום (עמ' 5 ש' 31-32; עמ' 6 ש' 16), אך הוא  ידע לומר שרכבו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חלף על פניו מכיוון ימין לשמאל, מצפון לדרום (עמ' 6 ש' 18-19). </w:t>
      </w:r>
    </w:p>
    <w:p w14:paraId="662338A7" w14:textId="77777777" w:rsidR="00726B6B" w:rsidRPr="00A90E84" w:rsidRDefault="00726B6B" w:rsidP="00A51FCE">
      <w:pPr>
        <w:pStyle w:val="ListParagraph"/>
        <w:spacing w:line="360" w:lineRule="auto"/>
        <w:ind w:left="360"/>
        <w:jc w:val="both"/>
        <w:rPr>
          <w:rFonts w:ascii="David" w:hAnsi="David" w:cs="David"/>
          <w:sz w:val="28"/>
          <w:szCs w:val="28"/>
          <w:rtl/>
        </w:rPr>
      </w:pPr>
    </w:p>
    <w:p w14:paraId="70415248" w14:textId="619DD629" w:rsidR="00726B6B" w:rsidRPr="00A90E84" w:rsidRDefault="00726B6B" w:rsidP="00A51FCE">
      <w:pPr>
        <w:pStyle w:val="ListParagraph"/>
        <w:numPr>
          <w:ilvl w:val="0"/>
          <w:numId w:val="4"/>
        </w:numPr>
        <w:spacing w:line="360" w:lineRule="auto"/>
        <w:ind w:left="360"/>
        <w:jc w:val="both"/>
        <w:rPr>
          <w:rFonts w:ascii="David" w:hAnsi="David" w:cs="David"/>
          <w:sz w:val="28"/>
          <w:szCs w:val="28"/>
          <w:rtl/>
        </w:rPr>
      </w:pPr>
      <w:r w:rsidRPr="00A90E84">
        <w:rPr>
          <w:rFonts w:ascii="David" w:hAnsi="David" w:cs="David" w:hint="cs"/>
          <w:sz w:val="28"/>
          <w:szCs w:val="28"/>
          <w:rtl/>
        </w:rPr>
        <w:t xml:space="preserve">לדברי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בזמן שקרתה התאונה, חלף את 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רכב נוסף שהיה מאחורי 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 עוד ציין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כי מכיוון הגעתה של הנאשמת, קרי מכיוון מערב למזרח, מכוניות עמדו בכניסה לצומת כשבכיוונם דלק </w:t>
      </w:r>
      <w:r w:rsidR="003B7959" w:rsidRPr="00A90E84">
        <w:rPr>
          <w:rFonts w:ascii="David" w:hAnsi="David" w:cs="David" w:hint="cs"/>
          <w:sz w:val="28"/>
          <w:szCs w:val="28"/>
          <w:rtl/>
        </w:rPr>
        <w:t>אור</w:t>
      </w:r>
      <w:r w:rsidRPr="00A90E84">
        <w:rPr>
          <w:rFonts w:ascii="David" w:hAnsi="David" w:cs="David" w:hint="cs"/>
          <w:sz w:val="28"/>
          <w:szCs w:val="28"/>
          <w:rtl/>
        </w:rPr>
        <w:t xml:space="preserve"> אדום ברמזור (עמ' 5 ש' 22-36), אף שציין כי הוא לא ראה את צבע  הרמזור בכיוון נסיעת הנאשמת, שכן הרמזור היה עם הגב אליו (עמ' 6 ש' 26-31). </w:t>
      </w:r>
    </w:p>
    <w:p w14:paraId="14FE786A" w14:textId="77777777" w:rsidR="00726B6B" w:rsidRPr="00A90E84" w:rsidRDefault="00726B6B" w:rsidP="00A51FCE">
      <w:pPr>
        <w:pStyle w:val="ListParagraph"/>
        <w:spacing w:line="360" w:lineRule="auto"/>
        <w:ind w:left="360"/>
        <w:jc w:val="both"/>
        <w:rPr>
          <w:rFonts w:ascii="David" w:hAnsi="David" w:cs="David"/>
          <w:sz w:val="28"/>
          <w:szCs w:val="28"/>
          <w:rtl/>
        </w:rPr>
      </w:pPr>
    </w:p>
    <w:p w14:paraId="015E2F7C" w14:textId="1DC74F42"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בחקירתו הנגדית, כשב"כ הנאשמת הקריא ל</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את הודעתו במשטרה (ס/1), שם מסר שרכבו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(רכב המזדה) עמד לפניו וכשהתחלף ה</w:t>
      </w:r>
      <w:r w:rsidR="003B7959" w:rsidRPr="00A90E84">
        <w:rPr>
          <w:rFonts w:ascii="David" w:hAnsi="David" w:cs="David" w:hint="cs"/>
          <w:sz w:val="28"/>
          <w:szCs w:val="28"/>
          <w:rtl/>
        </w:rPr>
        <w:t>אור</w:t>
      </w:r>
      <w:r w:rsidRPr="00A90E84">
        <w:rPr>
          <w:rFonts w:ascii="David" w:hAnsi="David" w:cs="David" w:hint="cs"/>
          <w:sz w:val="28"/>
          <w:szCs w:val="28"/>
          <w:rtl/>
        </w:rPr>
        <w:t xml:space="preserve"> ברמזור מאדום לירוק, הם התחילו לפנות שמאלה, הוא השיב - שזה לא נכון, שהוא עצמו לא היה בתנועה (עמ' 6 ש' 9-11). </w:t>
      </w:r>
    </w:p>
    <w:p w14:paraId="15506BA3" w14:textId="79BB9D4B"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כשהוטחו בו הסתירות השיב באופן נחרץ - "עזוב מה הוא רשם. אני יודע מה אני אומר. אני זוכר. גם אם מהשינה תעיר אותי אני זוכר את זה".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זכר </w:t>
      </w:r>
      <w:r w:rsidRPr="00A90E84">
        <w:rPr>
          <w:rFonts w:ascii="David" w:hAnsi="David" w:cs="David" w:hint="cs"/>
          <w:sz w:val="28"/>
          <w:szCs w:val="28"/>
          <w:rtl/>
        </w:rPr>
        <w:lastRenderedPageBreak/>
        <w:t xml:space="preserve">שההגה ברכבה של הנאשמת רעד אחרי התאונה, הוא זכר את דגם הרכב שלה (עמ' 6 ש' 22-25). </w:t>
      </w:r>
    </w:p>
    <w:p w14:paraId="493DF98C" w14:textId="77777777" w:rsidR="00726B6B" w:rsidRPr="00A90E84" w:rsidRDefault="00726B6B" w:rsidP="00A51FCE">
      <w:pPr>
        <w:pStyle w:val="ListParagraph"/>
        <w:spacing w:line="360" w:lineRule="auto"/>
        <w:ind w:left="360"/>
        <w:jc w:val="both"/>
        <w:rPr>
          <w:rFonts w:ascii="David" w:hAnsi="David" w:cs="David"/>
          <w:sz w:val="28"/>
          <w:szCs w:val="28"/>
          <w:rtl/>
        </w:rPr>
      </w:pPr>
    </w:p>
    <w:p w14:paraId="699B5114" w14:textId="45CF0754" w:rsidR="00726B6B" w:rsidRPr="00A90E84" w:rsidRDefault="00BC3747"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מר </w:t>
      </w:r>
      <w:proofErr w:type="spellStart"/>
      <w:r w:rsidRPr="00A90E84">
        <w:rPr>
          <w:rFonts w:ascii="David" w:hAnsi="David" w:cs="David" w:hint="cs"/>
          <w:sz w:val="28"/>
          <w:szCs w:val="28"/>
          <w:rtl/>
        </w:rPr>
        <w:t>אמורסי</w:t>
      </w:r>
      <w:proofErr w:type="spellEnd"/>
      <w:r w:rsidR="00726B6B" w:rsidRPr="00A90E84">
        <w:rPr>
          <w:rFonts w:ascii="David" w:hAnsi="David" w:cs="David" w:hint="cs"/>
          <w:sz w:val="28"/>
          <w:szCs w:val="28"/>
          <w:rtl/>
        </w:rPr>
        <w:t xml:space="preserve"> אישר שלא ראה את צבע ה</w:t>
      </w:r>
      <w:r w:rsidR="003B7959" w:rsidRPr="00A90E84">
        <w:rPr>
          <w:rFonts w:ascii="David" w:hAnsi="David" w:cs="David" w:hint="cs"/>
          <w:sz w:val="28"/>
          <w:szCs w:val="28"/>
          <w:rtl/>
        </w:rPr>
        <w:t>אור</w:t>
      </w:r>
      <w:r w:rsidR="00726B6B" w:rsidRPr="00A90E84">
        <w:rPr>
          <w:rFonts w:ascii="David" w:hAnsi="David" w:cs="David" w:hint="cs"/>
          <w:sz w:val="28"/>
          <w:szCs w:val="28"/>
          <w:rtl/>
        </w:rPr>
        <w:t xml:space="preserve"> ברמזור בכיוון נסיעתו שלו , וציין כי בכל זמן התאונה רכבו היה בעמידה. </w:t>
      </w:r>
    </w:p>
    <w:p w14:paraId="06824CED" w14:textId="3C2C545A"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כשנשאל מדוע טען שהנאשמת עברה ב</w:t>
      </w:r>
      <w:r w:rsidR="003B7959" w:rsidRPr="00A90E84">
        <w:rPr>
          <w:rFonts w:ascii="David" w:hAnsi="David" w:cs="David" w:hint="cs"/>
          <w:sz w:val="28"/>
          <w:szCs w:val="28"/>
          <w:rtl/>
        </w:rPr>
        <w:t>אור</w:t>
      </w:r>
      <w:r w:rsidRPr="00A90E84">
        <w:rPr>
          <w:rFonts w:ascii="David" w:hAnsi="David" w:cs="David" w:hint="cs"/>
          <w:sz w:val="28"/>
          <w:szCs w:val="28"/>
          <w:rtl/>
        </w:rPr>
        <w:t xml:space="preserve"> אדום אם לא ראה את צבע ה</w:t>
      </w:r>
      <w:r w:rsidR="003B7959" w:rsidRPr="00A90E84">
        <w:rPr>
          <w:rFonts w:ascii="David" w:hAnsi="David" w:cs="David" w:hint="cs"/>
          <w:sz w:val="28"/>
          <w:szCs w:val="28"/>
          <w:rtl/>
        </w:rPr>
        <w:t>אור</w:t>
      </w:r>
      <w:r w:rsidRPr="00A90E84">
        <w:rPr>
          <w:rFonts w:ascii="David" w:hAnsi="David" w:cs="David" w:hint="cs"/>
          <w:sz w:val="28"/>
          <w:szCs w:val="28"/>
          <w:rtl/>
        </w:rPr>
        <w:t xml:space="preserve"> ברמזור  בכיוון נסיעתה, השיב - כי מהכיוון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נסעו שני רכבים, ומהכיוון של הנאשמת כל כלי הרכב היו בעצירה (עמ' 6 ש' 33-35).</w:t>
      </w:r>
    </w:p>
    <w:p w14:paraId="4FCDDFB6" w14:textId="77777777" w:rsidR="00726B6B" w:rsidRPr="00A90E84" w:rsidRDefault="00726B6B" w:rsidP="00A51FCE">
      <w:pPr>
        <w:pStyle w:val="ListParagraph"/>
        <w:spacing w:line="360" w:lineRule="auto"/>
        <w:ind w:left="360"/>
        <w:jc w:val="both"/>
        <w:rPr>
          <w:rFonts w:ascii="David" w:hAnsi="David" w:cs="David"/>
          <w:sz w:val="28"/>
          <w:szCs w:val="28"/>
          <w:rtl/>
        </w:rPr>
      </w:pPr>
    </w:p>
    <w:p w14:paraId="280C2B20" w14:textId="767D3A03"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לבקשת ב"כ הנאשמת הודעתו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הוגשה לצורך הוכחת סתירות (ס/1).  התרשמתי כי הודעתו של העד במשטרה קצרצרה, אינה מדויקת ובוודאי שאינה ממצה.</w:t>
      </w:r>
    </w:p>
    <w:p w14:paraId="75DF3494" w14:textId="7F460296"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בהודעתו (ס/1) ציין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שעמד ברמזור בנתיב לפנייה שמאלה מכביש 57 לתוך כפר יונה. עוד ציין שלפניו עמד רכב מזדה וכשהרמזור התחלף מאדום לירוק, הם התחילו את הפנייה שמאלה. הוא ציין שבינו לבין המזדה עמד עוד רכב מסחרי גדול. לדבריו, רכב המזדה פנה שמאלה, ובדיוק הגיע רכב מצד שמאל  מכיוון כללי נתניה לכיוון מזרח, אשר נכנס לצומת ב</w:t>
      </w:r>
      <w:r w:rsidR="003B7959" w:rsidRPr="00A90E84">
        <w:rPr>
          <w:rFonts w:ascii="David" w:hAnsi="David" w:cs="David" w:hint="cs"/>
          <w:sz w:val="28"/>
          <w:szCs w:val="28"/>
          <w:rtl/>
        </w:rPr>
        <w:t>אור</w:t>
      </w:r>
      <w:r w:rsidRPr="00A90E84">
        <w:rPr>
          <w:rFonts w:ascii="David" w:hAnsi="David" w:cs="David" w:hint="cs"/>
          <w:sz w:val="28"/>
          <w:szCs w:val="28"/>
          <w:rtl/>
        </w:rPr>
        <w:t xml:space="preserve"> אדום ושני כלי הרכב התנגשו. </w:t>
      </w:r>
    </w:p>
    <w:p w14:paraId="0EF0F653" w14:textId="77777777"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העד אישר שאינו מכיר איש מהמעורבים, וכשנשאל האם ראה את הרמזור בכיוון נסיעתו, הוא השיב שהוא ראה, שהיה להם רמזור ירוק והם בדיוק החלו בנסיעה. </w:t>
      </w:r>
    </w:p>
    <w:p w14:paraId="4D2678A3" w14:textId="77777777" w:rsidR="00726B6B" w:rsidRPr="00A90E84" w:rsidRDefault="00726B6B" w:rsidP="00A51FCE">
      <w:pPr>
        <w:pStyle w:val="ListParagraph"/>
        <w:jc w:val="both"/>
        <w:rPr>
          <w:rFonts w:ascii="David" w:hAnsi="David" w:cs="David"/>
          <w:sz w:val="28"/>
          <w:szCs w:val="28"/>
          <w:rtl/>
        </w:rPr>
      </w:pPr>
    </w:p>
    <w:p w14:paraId="57EEDEAE" w14:textId="7ECC5D54"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אני ערה לסתירות שבין הודעתו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במשטרה (ס/1) לבין עדותו בבית המשפט. כך למשל, בהודעתו טען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שהוא ו</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הגיעו מאותו כיוון נסיעה וכי הרמזור בכיוונם התחלף לירוק והוא החל בנסיעה, בעוד בבית המשפט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העיד שהוא לא יודע בוודאות אם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הגיע מאותו נתיב בו הוא עמד או ש</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הגיע מימינו, מצפון לדרום, ואף עמד על כך שהוא עצמו לא החל בנסיעה וכלל לא ראה את צבע הרמזור בכיוון נסיעתו. </w:t>
      </w:r>
    </w:p>
    <w:p w14:paraId="01E18E69" w14:textId="77777777" w:rsidR="00726B6B" w:rsidRPr="00A90E84" w:rsidRDefault="00726B6B" w:rsidP="00A51FCE">
      <w:pPr>
        <w:pStyle w:val="ListParagraph"/>
        <w:spacing w:line="360" w:lineRule="auto"/>
        <w:ind w:left="360"/>
        <w:jc w:val="both"/>
        <w:rPr>
          <w:rFonts w:ascii="David" w:hAnsi="David" w:cs="David"/>
          <w:sz w:val="28"/>
          <w:szCs w:val="28"/>
          <w:rtl/>
        </w:rPr>
      </w:pPr>
    </w:p>
    <w:p w14:paraId="4520F36A" w14:textId="163D982D"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למרות הסתירות בין דבריו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בהודעתו (ס/1) לבין עדותו בבית המשפט, אין מדובר בעד בעל עניין, הוא אינו מכיר איש מהמעורבים, אין לו כל אינטרס לשקר ולא התרשמתי כי הוא משקר. </w:t>
      </w:r>
    </w:p>
    <w:p w14:paraId="1C26F5DD" w14:textId="10BF143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lastRenderedPageBreak/>
        <w:t xml:space="preserve">ברור ששתי גרסאותיו השונות אינן מתיישבות זו עם זו, ויחד עם זאת מקובלת עלי גרסתו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כפי  שנמסרה בעדותו בבית המשפט, במסגרתה גם ניתן הסבר לכך שהעד לא ראה את כיוון הגעתו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ויכול וזה גרם לחלק מהטעות בהודעה הראשונית שמסר.</w:t>
      </w:r>
    </w:p>
    <w:p w14:paraId="1DB2ED4A" w14:textId="33AA2C0F"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אני ערה לטיעוני ההגנה בסיכומיה כי עדותו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היא - "הספק הנטוע בתוך תיק החקירה" (פרוטוקול מיום 17.1.24 עמ' 14 ש' 3). </w:t>
      </w:r>
    </w:p>
    <w:p w14:paraId="7445E6BA" w14:textId="3E581D83"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עדותו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היא אכן בעייתית, ואילו עדותו  זו הייתה עדות יחידה כנגד הנאשמת, לא ניתן היה לבסס עליה לבדה הרשעה, בפרט ל</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הסתירות בעניינים שהם בלב המחלוקת. אולם לא כך הם פני הדברים -, עדות זו אינה הראיה היחידה שבתיק זה והיא מצטרפת למכלול הראיות האחרות שקיימות בתיק זה.</w:t>
      </w:r>
    </w:p>
    <w:p w14:paraId="38B16C46" w14:textId="77777777" w:rsidR="00726B6B" w:rsidRPr="00A90E84" w:rsidRDefault="00726B6B" w:rsidP="00A51FCE">
      <w:pPr>
        <w:pStyle w:val="ListParagraph"/>
        <w:spacing w:line="360" w:lineRule="auto"/>
        <w:ind w:left="360"/>
        <w:jc w:val="both"/>
        <w:rPr>
          <w:rFonts w:ascii="David" w:hAnsi="David" w:cs="David"/>
          <w:sz w:val="28"/>
          <w:szCs w:val="28"/>
          <w:rtl/>
        </w:rPr>
      </w:pPr>
    </w:p>
    <w:p w14:paraId="09939944" w14:textId="760643CB"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חשוב להדגיש כי בעדותו בבית המשפט העיד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בצורה נחרצת, וחזר על כך פעמיים, כי היו עוד מכוניות שהגיעו מכיוון נסיעת הנאשמת ומכוניות אלו היה בעצירה ולא נכנסו לצומת.</w:t>
      </w:r>
    </w:p>
    <w:p w14:paraId="7E6B8564" w14:textId="32A53CC0" w:rsidR="00726B6B" w:rsidRPr="00A90E84" w:rsidRDefault="00BC3747"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 xml:space="preserve">מר </w:t>
      </w:r>
      <w:proofErr w:type="spellStart"/>
      <w:r w:rsidRPr="00A90E84">
        <w:rPr>
          <w:rFonts w:ascii="David" w:hAnsi="David" w:cs="David" w:hint="cs"/>
          <w:sz w:val="28"/>
          <w:szCs w:val="28"/>
          <w:rtl/>
        </w:rPr>
        <w:t>אמורסי</w:t>
      </w:r>
      <w:proofErr w:type="spellEnd"/>
      <w:r w:rsidR="00726B6B" w:rsidRPr="00A90E84">
        <w:rPr>
          <w:rFonts w:ascii="David" w:hAnsi="David" w:cs="David" w:hint="cs"/>
          <w:sz w:val="28"/>
          <w:szCs w:val="28"/>
          <w:rtl/>
        </w:rPr>
        <w:t xml:space="preserve"> לא נחקר על דבריו אלו בחקירה נגדית, ועל כן, ההנחה היא שנתון זה אינו במחלוקת (</w:t>
      </w:r>
      <w:hyperlink r:id="rId11" w:history="1">
        <w:r w:rsidR="00726B6B" w:rsidRPr="00A90E84">
          <w:rPr>
            <w:rStyle w:val="Hyperlink"/>
            <w:rFonts w:ascii="David" w:hAnsi="David" w:cs="David" w:hint="cs"/>
            <w:sz w:val="28"/>
            <w:szCs w:val="28"/>
            <w:rtl/>
          </w:rPr>
          <w:t xml:space="preserve">ע"פ 4609/14 נתנאל </w:t>
        </w:r>
        <w:proofErr w:type="spellStart"/>
        <w:r w:rsidR="00726B6B" w:rsidRPr="00A90E84">
          <w:rPr>
            <w:rStyle w:val="Hyperlink"/>
            <w:rFonts w:ascii="David" w:hAnsi="David" w:cs="David" w:hint="cs"/>
            <w:sz w:val="28"/>
            <w:szCs w:val="28"/>
            <w:rtl/>
          </w:rPr>
          <w:t>צורדקר</w:t>
        </w:r>
        <w:proofErr w:type="spellEnd"/>
        <w:r w:rsidR="00726B6B" w:rsidRPr="00A90E84">
          <w:rPr>
            <w:rStyle w:val="Hyperlink"/>
            <w:rFonts w:ascii="David" w:hAnsi="David" w:cs="David" w:hint="cs"/>
            <w:sz w:val="28"/>
            <w:szCs w:val="28"/>
            <w:rtl/>
          </w:rPr>
          <w:t xml:space="preserve"> נ' מדינת ישראל</w:t>
        </w:r>
      </w:hyperlink>
      <w:r w:rsidR="00726B6B" w:rsidRPr="00A90E84">
        <w:rPr>
          <w:rFonts w:ascii="David" w:hAnsi="David" w:cs="David" w:hint="cs"/>
          <w:sz w:val="28"/>
          <w:szCs w:val="28"/>
          <w:rtl/>
        </w:rPr>
        <w:t xml:space="preserve"> (1.3.15) פיסקה 19).</w:t>
      </w:r>
    </w:p>
    <w:p w14:paraId="7DE9364D" w14:textId="77777777" w:rsidR="00726B6B" w:rsidRPr="00A90E84" w:rsidRDefault="00726B6B" w:rsidP="00A51FCE">
      <w:pPr>
        <w:pStyle w:val="ListParagraph"/>
        <w:spacing w:line="360" w:lineRule="auto"/>
        <w:ind w:left="360"/>
        <w:jc w:val="both"/>
        <w:rPr>
          <w:rFonts w:ascii="David" w:hAnsi="David" w:cs="David"/>
          <w:sz w:val="28"/>
          <w:szCs w:val="28"/>
          <w:rtl/>
        </w:rPr>
      </w:pPr>
    </w:p>
    <w:p w14:paraId="76D5143E" w14:textId="2C08ED5E"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נתון זה, לא רק שמחזק את המסקנה כי למכוניות הללו שהגיעו מהכיוון ממנה הגיעה הנאשמת דלק </w:t>
      </w:r>
      <w:r w:rsidR="003B7959" w:rsidRPr="00A90E84">
        <w:rPr>
          <w:rFonts w:ascii="David" w:hAnsi="David" w:cs="David" w:hint="cs"/>
          <w:sz w:val="28"/>
          <w:szCs w:val="28"/>
          <w:rtl/>
        </w:rPr>
        <w:t>אור</w:t>
      </w:r>
      <w:r w:rsidRPr="00A90E84">
        <w:rPr>
          <w:rFonts w:ascii="David" w:hAnsi="David" w:cs="David" w:hint="cs"/>
          <w:sz w:val="28"/>
          <w:szCs w:val="28"/>
          <w:rtl/>
        </w:rPr>
        <w:t xml:space="preserve"> אדום ברמזור, אלא הוא מחזק גם את עדותו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אשר הסביר כי לא הבחין בכניסת הנאשמת אל הצומת, שכן, מכיוון הגעתה היו מכוניות בשני הנתיבים משמאלה שהמתינו בכניסה לצומת ב</w:t>
      </w:r>
      <w:r w:rsidR="003B7959" w:rsidRPr="00A90E84">
        <w:rPr>
          <w:rFonts w:ascii="David" w:hAnsi="David" w:cs="David" w:hint="cs"/>
          <w:sz w:val="28"/>
          <w:szCs w:val="28"/>
          <w:rtl/>
        </w:rPr>
        <w:t>אור</w:t>
      </w:r>
      <w:r w:rsidRPr="00A90E84">
        <w:rPr>
          <w:rFonts w:ascii="David" w:hAnsi="David" w:cs="David" w:hint="cs"/>
          <w:sz w:val="28"/>
          <w:szCs w:val="28"/>
          <w:rtl/>
        </w:rPr>
        <w:t xml:space="preserve"> אדום, והסתירו את הגעתה. </w:t>
      </w:r>
    </w:p>
    <w:p w14:paraId="67767A7E" w14:textId="77777777" w:rsidR="00726B6B" w:rsidRPr="00A90E84" w:rsidRDefault="00726B6B" w:rsidP="00A51FCE">
      <w:pPr>
        <w:pStyle w:val="ListParagraph"/>
        <w:spacing w:line="360" w:lineRule="auto"/>
        <w:ind w:left="360"/>
        <w:jc w:val="both"/>
        <w:rPr>
          <w:rFonts w:ascii="David" w:hAnsi="David" w:cs="David"/>
          <w:sz w:val="28"/>
          <w:szCs w:val="28"/>
          <w:rtl/>
        </w:rPr>
      </w:pPr>
    </w:p>
    <w:p w14:paraId="47462A3C" w14:textId="7D5AA5C3"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אם כן, והגם שלא ברור ל</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אם 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עמד שתי מכוניות לפניו באותו נתיב, או שהגיע מימינו,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מאשר כי רכבו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חלף על פני רכבו שלו מימין לשמאל, והוא מאשר שביחד עם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נכנס רכב נוסף לצומת מאותו כיוון נסיעה. מנגד, הוא מאשר כי היו מכוניות נוספות בכיוון הגעת הנאשמת כאשר מכוניות אלו עמדו בכניסה לצומת ולא החלו בנסיעה. </w:t>
      </w:r>
    </w:p>
    <w:p w14:paraId="69CF204D" w14:textId="77777777" w:rsidR="00726B6B" w:rsidRPr="00A90E84" w:rsidRDefault="00726B6B" w:rsidP="00A51FCE">
      <w:pPr>
        <w:pStyle w:val="ListParagraph"/>
        <w:spacing w:line="360" w:lineRule="auto"/>
        <w:ind w:left="360"/>
        <w:jc w:val="both"/>
        <w:rPr>
          <w:rFonts w:ascii="David" w:hAnsi="David" w:cs="David"/>
          <w:sz w:val="28"/>
          <w:szCs w:val="28"/>
          <w:rtl/>
        </w:rPr>
      </w:pPr>
    </w:p>
    <w:p w14:paraId="4A172860" w14:textId="319CFCF1" w:rsidR="00726B6B" w:rsidRPr="00A90E84" w:rsidRDefault="00726B6B" w:rsidP="00A51FCE">
      <w:pPr>
        <w:pStyle w:val="ListParagraph"/>
        <w:numPr>
          <w:ilvl w:val="0"/>
          <w:numId w:val="4"/>
        </w:numPr>
        <w:spacing w:line="360" w:lineRule="auto"/>
        <w:ind w:left="360"/>
        <w:jc w:val="both"/>
        <w:rPr>
          <w:rFonts w:ascii="David" w:hAnsi="David" w:cs="David"/>
          <w:sz w:val="28"/>
          <w:szCs w:val="28"/>
          <w:rtl/>
        </w:rPr>
      </w:pPr>
      <w:r w:rsidRPr="00A90E84">
        <w:rPr>
          <w:rFonts w:ascii="David" w:hAnsi="David" w:cs="David" w:hint="cs"/>
          <w:sz w:val="28"/>
          <w:szCs w:val="28"/>
          <w:rtl/>
        </w:rPr>
        <w:t xml:space="preserve">הבוחן כאמור שלל את עדותו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רק משום שבעדותו במשטרה מסר את כיוון הגעת הנהג המעורב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באופן שגוי, אלא שבעדותו בבית </w:t>
      </w:r>
      <w:r w:rsidRPr="00A90E84">
        <w:rPr>
          <w:rFonts w:ascii="David" w:hAnsi="David" w:cs="David" w:hint="cs"/>
          <w:sz w:val="28"/>
          <w:szCs w:val="28"/>
          <w:rtl/>
        </w:rPr>
        <w:lastRenderedPageBreak/>
        <w:t xml:space="preserve">המשפט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עמד על כך נחרצות כי הוא עצמו היה בעצירה מלאה וכי אינו יודע בוודאות את הכיוון ממנו הגיע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לצומת. לא מצאתי כי בשוני הנטען בגרסתו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יש כדי לקעקע את אמינותו, או כדי לשלול את כל הנתונים שמסר בהודעתו. </w:t>
      </w:r>
    </w:p>
    <w:p w14:paraId="7574D51F"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גרסתו של עד אינה חייבת להיות מקשה אחת. </w:t>
      </w:r>
    </w:p>
    <w:p w14:paraId="1E20F5D5"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בעניין זה מצאתי להפנות </w:t>
      </w:r>
      <w:proofErr w:type="spellStart"/>
      <w:r w:rsidRPr="00A90E84">
        <w:rPr>
          <w:rFonts w:ascii="David" w:hAnsi="David" w:cs="David" w:hint="cs"/>
          <w:sz w:val="28"/>
          <w:szCs w:val="28"/>
          <w:rtl/>
        </w:rPr>
        <w:t>ל</w:t>
      </w:r>
      <w:hyperlink r:id="rId12" w:history="1">
        <w:r w:rsidRPr="00A90E84">
          <w:rPr>
            <w:rFonts w:ascii="David" w:hAnsi="David" w:cs="David" w:hint="cs"/>
            <w:sz w:val="28"/>
            <w:szCs w:val="28"/>
            <w:rtl/>
          </w:rPr>
          <w:t>ע"פ</w:t>
        </w:r>
        <w:proofErr w:type="spellEnd"/>
        <w:r w:rsidRPr="00A90E84">
          <w:rPr>
            <w:rFonts w:ascii="David" w:hAnsi="David" w:cs="David" w:hint="cs"/>
            <w:sz w:val="28"/>
            <w:szCs w:val="28"/>
            <w:rtl/>
          </w:rPr>
          <w:t xml:space="preserve"> (עליון) 7477/08 </w:t>
        </w:r>
        <w:r w:rsidRPr="00A90E84">
          <w:rPr>
            <w:rFonts w:ascii="David" w:hAnsi="David" w:cs="David" w:hint="cs"/>
            <w:b/>
            <w:bCs/>
            <w:sz w:val="28"/>
            <w:szCs w:val="28"/>
            <w:rtl/>
          </w:rPr>
          <w:t>איתן גץ נ' מדינת ישראל</w:t>
        </w:r>
        <w:r w:rsidRPr="00A90E84">
          <w:rPr>
            <w:rFonts w:ascii="David" w:hAnsi="David" w:cs="David" w:hint="cs"/>
            <w:sz w:val="28"/>
            <w:szCs w:val="28"/>
            <w:rtl/>
          </w:rPr>
          <w:t> (14.11.2011)‏</w:t>
        </w:r>
      </w:hyperlink>
      <w:r w:rsidRPr="00A90E84">
        <w:rPr>
          <w:rFonts w:ascii="David" w:hAnsi="David" w:cs="David" w:hint="cs"/>
          <w:sz w:val="28"/>
          <w:szCs w:val="28"/>
          <w:rtl/>
        </w:rPr>
        <w:t>‏:</w:t>
      </w:r>
    </w:p>
    <w:p w14:paraId="7183B1AF" w14:textId="77777777" w:rsidR="00726B6B" w:rsidRPr="00A90E84" w:rsidRDefault="00726B6B" w:rsidP="00A51FCE">
      <w:pPr>
        <w:pStyle w:val="ListParagraph"/>
        <w:spacing w:line="360" w:lineRule="auto"/>
        <w:ind w:left="360"/>
        <w:jc w:val="both"/>
        <w:rPr>
          <w:rFonts w:ascii="David" w:hAnsi="David" w:cs="David"/>
          <w:sz w:val="28"/>
          <w:szCs w:val="28"/>
          <w:rtl/>
        </w:rPr>
      </w:pPr>
    </w:p>
    <w:p w14:paraId="64448773" w14:textId="77777777" w:rsidR="00726B6B" w:rsidRPr="00A90E84" w:rsidRDefault="00726B6B" w:rsidP="00A51FCE">
      <w:pPr>
        <w:pStyle w:val="ListParagraph"/>
        <w:spacing w:line="360" w:lineRule="auto"/>
        <w:ind w:left="1076" w:right="993"/>
        <w:jc w:val="both"/>
        <w:rPr>
          <w:rFonts w:ascii="David" w:hAnsi="David" w:cs="David"/>
          <w:sz w:val="28"/>
          <w:szCs w:val="28"/>
          <w:rtl/>
        </w:rPr>
      </w:pPr>
      <w:r w:rsidRPr="00A90E84">
        <w:rPr>
          <w:rFonts w:ascii="David" w:hAnsi="David" w:cs="David" w:hint="cs"/>
          <w:sz w:val="28"/>
          <w:szCs w:val="28"/>
          <w:rtl/>
        </w:rPr>
        <w:t xml:space="preserve">"גילויה של סתירה או של אמירה מסוימת, שאין בה אמת או אין בה דיוק, אינו חייב להוליך תמיד בהכרח לדחייתה של העדות כולה. סתירות או שינויים מסוימים בעדותו של עד מדינה אינם מונעים בהכרח מבית המשפט ליתן אמון בגרסה זו אם נוכח כי בחינה כוללת של הגרסה יחד עם כלל הראיות והנסיבות מלמדת כי גרסתו אמת. </w:t>
      </w:r>
    </w:p>
    <w:p w14:paraId="340D30CD" w14:textId="77777777" w:rsidR="00726B6B" w:rsidRPr="00A90E84" w:rsidRDefault="00726B6B" w:rsidP="00A51FCE">
      <w:pPr>
        <w:pStyle w:val="ListParagraph"/>
        <w:spacing w:line="360" w:lineRule="auto"/>
        <w:ind w:left="1076" w:right="993" w:firstLine="360"/>
        <w:jc w:val="both"/>
        <w:rPr>
          <w:rFonts w:ascii="David" w:hAnsi="David" w:cs="David"/>
          <w:sz w:val="28"/>
          <w:szCs w:val="28"/>
          <w:rtl/>
        </w:rPr>
      </w:pPr>
      <w:r w:rsidRPr="00A90E84">
        <w:rPr>
          <w:rFonts w:ascii="David" w:hAnsi="David" w:cs="David" w:hint="cs"/>
          <w:sz w:val="28"/>
          <w:szCs w:val="28"/>
          <w:rtl/>
        </w:rPr>
        <w:t>...</w:t>
      </w:r>
    </w:p>
    <w:p w14:paraId="79160322" w14:textId="77777777" w:rsidR="00726B6B" w:rsidRPr="00A90E84" w:rsidRDefault="00726B6B" w:rsidP="00A51FCE">
      <w:pPr>
        <w:pStyle w:val="ListParagraph"/>
        <w:spacing w:line="360" w:lineRule="auto"/>
        <w:ind w:left="1076" w:right="993"/>
        <w:jc w:val="both"/>
        <w:rPr>
          <w:rFonts w:ascii="David" w:hAnsi="David" w:cs="David"/>
          <w:sz w:val="28"/>
          <w:szCs w:val="28"/>
          <w:rtl/>
        </w:rPr>
      </w:pPr>
      <w:r w:rsidRPr="00A90E84">
        <w:rPr>
          <w:rFonts w:ascii="David" w:hAnsi="David" w:cs="David" w:hint="cs"/>
          <w:sz w:val="28"/>
          <w:szCs w:val="28"/>
          <w:rtl/>
        </w:rPr>
        <w:t xml:space="preserve">גרסתו של עד אינה חייבת להוות מיקשה אחת, בלתי ניתנת להפרדה, ככל שהדברים אמורים </w:t>
      </w:r>
      <w:proofErr w:type="spellStart"/>
      <w:r w:rsidRPr="00A90E84">
        <w:rPr>
          <w:rFonts w:ascii="David" w:hAnsi="David" w:cs="David" w:hint="cs"/>
          <w:sz w:val="28"/>
          <w:szCs w:val="28"/>
          <w:rtl/>
        </w:rPr>
        <w:t>באמיתותה</w:t>
      </w:r>
      <w:proofErr w:type="spellEnd"/>
      <w:r w:rsidRPr="00A90E84">
        <w:rPr>
          <w:rFonts w:ascii="David" w:hAnsi="David" w:cs="David" w:hint="cs"/>
          <w:sz w:val="28"/>
          <w:szCs w:val="28"/>
          <w:rtl/>
        </w:rPr>
        <w:t xml:space="preserve">. ייתכן שיימצא כי בחלקה של העדות ניתן ליתן אמון ובחלקה האחר לאו, מטעמים שונים. </w:t>
      </w:r>
    </w:p>
    <w:p w14:paraId="5C83274F" w14:textId="18654077" w:rsidR="00726B6B" w:rsidRPr="00A90E84" w:rsidRDefault="00726B6B" w:rsidP="00A51FCE">
      <w:pPr>
        <w:spacing w:line="360" w:lineRule="auto"/>
        <w:ind w:left="360" w:right="993"/>
        <w:jc w:val="both"/>
        <w:rPr>
          <w:rFonts w:ascii="David" w:hAnsi="David" w:cs="David"/>
          <w:sz w:val="28"/>
          <w:szCs w:val="28"/>
          <w:rtl/>
        </w:rPr>
      </w:pPr>
      <w:r w:rsidRPr="00A90E84">
        <w:rPr>
          <w:rFonts w:ascii="David" w:hAnsi="David" w:cs="David" w:hint="cs"/>
          <w:sz w:val="28"/>
          <w:szCs w:val="28"/>
          <w:rtl/>
        </w:rPr>
        <w:t xml:space="preserve">ביחס למרבית השאלות הרלוונטיות למחלוקת שבפני, עדותו של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xml:space="preserve"> ניתנת לאמון.</w:t>
      </w:r>
    </w:p>
    <w:p w14:paraId="2E87FA8F" w14:textId="77777777"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למעשה, מרבית הנתונים שמסר יש בהם כדי לחזק את עדויות עדי התביעה, ואין אף נתון שיש בו כדי לחזק את גרסת הנאשמת. </w:t>
      </w:r>
    </w:p>
    <w:p w14:paraId="31A41944" w14:textId="77777777" w:rsidR="00726B6B" w:rsidRPr="00A90E84" w:rsidRDefault="00726B6B" w:rsidP="00A51FCE">
      <w:pPr>
        <w:spacing w:line="360" w:lineRule="auto"/>
        <w:jc w:val="both"/>
        <w:rPr>
          <w:rFonts w:ascii="David" w:hAnsi="David" w:cs="David"/>
          <w:sz w:val="28"/>
          <w:szCs w:val="28"/>
          <w:rtl/>
        </w:rPr>
      </w:pPr>
    </w:p>
    <w:p w14:paraId="2280093E"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b/>
          <w:bCs/>
          <w:sz w:val="28"/>
          <w:szCs w:val="28"/>
          <w:rtl/>
        </w:rPr>
        <w:t>גרסת הנאשמת</w:t>
      </w:r>
      <w:r w:rsidRPr="00A90E84">
        <w:rPr>
          <w:rFonts w:ascii="David" w:hAnsi="David" w:cs="David" w:hint="cs"/>
          <w:sz w:val="28"/>
          <w:szCs w:val="28"/>
          <w:rtl/>
        </w:rPr>
        <w:t>:</w:t>
      </w:r>
    </w:p>
    <w:p w14:paraId="24EF5B47" w14:textId="6D5D0704"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הנאשמת העידה כי נכנסה לצומת ב</w:t>
      </w:r>
      <w:r w:rsidR="003B7959" w:rsidRPr="00A90E84">
        <w:rPr>
          <w:rFonts w:ascii="David" w:hAnsi="David" w:cs="David" w:hint="cs"/>
          <w:sz w:val="28"/>
          <w:szCs w:val="28"/>
          <w:rtl/>
        </w:rPr>
        <w:t>אור</w:t>
      </w:r>
      <w:r w:rsidRPr="00A90E84">
        <w:rPr>
          <w:rFonts w:ascii="David" w:hAnsi="David" w:cs="David" w:hint="cs"/>
          <w:sz w:val="28"/>
          <w:szCs w:val="28"/>
          <w:rtl/>
        </w:rPr>
        <w:t xml:space="preserve"> ירוק, רכב פגע בה, היא פונתה באמבולנס לבית החולים ושוחררה לאחר מספר בדיקות. </w:t>
      </w:r>
    </w:p>
    <w:p w14:paraId="0D8D7EC6" w14:textId="377A31D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הנאשמת נשאלה על ידי בא כוחה מדוע בחקירה במשטרה לא זכרה בוודאות את צבע ה</w:t>
      </w:r>
      <w:r w:rsidR="003B7959" w:rsidRPr="00A90E84">
        <w:rPr>
          <w:rFonts w:ascii="David" w:hAnsi="David" w:cs="David" w:hint="cs"/>
          <w:sz w:val="28"/>
          <w:szCs w:val="28"/>
          <w:rtl/>
        </w:rPr>
        <w:t>אור</w:t>
      </w:r>
      <w:r w:rsidRPr="00A90E84">
        <w:rPr>
          <w:rFonts w:ascii="David" w:hAnsi="David" w:cs="David" w:hint="cs"/>
          <w:sz w:val="28"/>
          <w:szCs w:val="28"/>
          <w:rtl/>
        </w:rPr>
        <w:t xml:space="preserve"> שהופיע ברמזור בכיוון נסיעתה וכיצד היום יודעת לומר שחצתה הצומת ב</w:t>
      </w:r>
      <w:r w:rsidR="003B7959" w:rsidRPr="00A90E84">
        <w:rPr>
          <w:rFonts w:ascii="David" w:hAnsi="David" w:cs="David" w:hint="cs"/>
          <w:sz w:val="28"/>
          <w:szCs w:val="28"/>
          <w:rtl/>
        </w:rPr>
        <w:t>אור</w:t>
      </w:r>
      <w:r w:rsidRPr="00A90E84">
        <w:rPr>
          <w:rFonts w:ascii="David" w:hAnsi="David" w:cs="David" w:hint="cs"/>
          <w:sz w:val="28"/>
          <w:szCs w:val="28"/>
          <w:rtl/>
        </w:rPr>
        <w:t xml:space="preserve"> ירוק,  והשיבה - שהחקירה הייתה יום אחרי התאונה, היא הייתה </w:t>
      </w:r>
      <w:r w:rsidRPr="00A90E84">
        <w:rPr>
          <w:rFonts w:ascii="David" w:hAnsi="David" w:cs="David" w:hint="cs"/>
          <w:sz w:val="28"/>
          <w:szCs w:val="28"/>
          <w:rtl/>
        </w:rPr>
        <w:lastRenderedPageBreak/>
        <w:t>מבולבלת, אך היום, אחרי שהתאוששה מהתאונה, ציינה כי היא יודעת לומר בוודאות  שעברה ב</w:t>
      </w:r>
      <w:r w:rsidR="003B7959" w:rsidRPr="00A90E84">
        <w:rPr>
          <w:rFonts w:ascii="David" w:hAnsi="David" w:cs="David" w:hint="cs"/>
          <w:sz w:val="28"/>
          <w:szCs w:val="28"/>
          <w:rtl/>
        </w:rPr>
        <w:t xml:space="preserve">אור </w:t>
      </w:r>
      <w:r w:rsidRPr="00A90E84">
        <w:rPr>
          <w:rFonts w:ascii="David" w:hAnsi="David" w:cs="David" w:hint="cs"/>
          <w:sz w:val="28"/>
          <w:szCs w:val="28"/>
          <w:rtl/>
        </w:rPr>
        <w:t xml:space="preserve">ירוק (עמ' 3 ש' 18-21). </w:t>
      </w:r>
    </w:p>
    <w:p w14:paraId="08452C74"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כשנשאלה מדוע לא עדכנה את המשטרה אחרי שנזכרה שעברה בירוק, השיבה - שהחוקר אמר לה עוד באותו היום שהתיק ייסגר ועל כן, זה לא היה נראה לה רלוונטי לעדכן. לדבריה, חודשיים לאחר האירוע עדכנו אותה שהתיק נסגר (עמ' 3 ש' 22-30). ההודעה על סגירת התיק הוגשה לעיוני (ס/3). </w:t>
      </w:r>
    </w:p>
    <w:p w14:paraId="60C70C4B" w14:textId="77777777" w:rsidR="00726B6B" w:rsidRPr="00A90E84" w:rsidRDefault="00726B6B" w:rsidP="00A51FCE">
      <w:pPr>
        <w:pStyle w:val="ListParagraph"/>
        <w:spacing w:line="360" w:lineRule="auto"/>
        <w:ind w:left="360"/>
        <w:jc w:val="both"/>
        <w:rPr>
          <w:rFonts w:ascii="David" w:hAnsi="David" w:cs="David"/>
          <w:sz w:val="28"/>
          <w:szCs w:val="28"/>
          <w:rtl/>
        </w:rPr>
      </w:pPr>
    </w:p>
    <w:p w14:paraId="4F2F9540"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בחקירתה הנגדית אישרה הנאשמת שבמשטרה היא מסרה שהיא לא זוכרת מה היה, אבל ציינה שעברה בירוק. היא אישרה שבהודעתה ניסתה להיזכר ברגע התאונה והיא לא זכרה מה היה (פרוטוקול מיום 17.1.2024 עמ' 5 ש' 23-31).</w:t>
      </w:r>
    </w:p>
    <w:p w14:paraId="6F7DA9B0" w14:textId="77777777" w:rsidR="00726B6B" w:rsidRPr="00A90E84" w:rsidRDefault="00726B6B" w:rsidP="00A51FCE">
      <w:pPr>
        <w:pStyle w:val="ListParagraph"/>
        <w:spacing w:line="360" w:lineRule="auto"/>
        <w:ind w:left="360"/>
        <w:jc w:val="both"/>
        <w:rPr>
          <w:rFonts w:ascii="David" w:hAnsi="David" w:cs="David"/>
          <w:sz w:val="28"/>
          <w:szCs w:val="28"/>
          <w:rtl/>
        </w:rPr>
      </w:pPr>
    </w:p>
    <w:p w14:paraId="42E3C54A" w14:textId="45D5AE7A"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הנאשמת הסבירה שאמרה שנסעה ב</w:t>
      </w:r>
      <w:r w:rsidR="003B7959" w:rsidRPr="00A90E84">
        <w:rPr>
          <w:rFonts w:ascii="David" w:hAnsi="David" w:cs="David" w:hint="cs"/>
          <w:sz w:val="28"/>
          <w:szCs w:val="28"/>
          <w:rtl/>
        </w:rPr>
        <w:t>אור</w:t>
      </w:r>
      <w:r w:rsidRPr="00A90E84">
        <w:rPr>
          <w:rFonts w:ascii="David" w:hAnsi="David" w:cs="David" w:hint="cs"/>
          <w:sz w:val="28"/>
          <w:szCs w:val="28"/>
          <w:rtl/>
        </w:rPr>
        <w:t xml:space="preserve"> ירוק, ושהתהיות לגבי צבע ה</w:t>
      </w:r>
      <w:r w:rsidR="003B7959" w:rsidRPr="00A90E84">
        <w:rPr>
          <w:rFonts w:ascii="David" w:hAnsi="David" w:cs="David" w:hint="cs"/>
          <w:sz w:val="28"/>
          <w:szCs w:val="28"/>
          <w:rtl/>
        </w:rPr>
        <w:t>אור</w:t>
      </w:r>
      <w:r w:rsidRPr="00A90E84">
        <w:rPr>
          <w:rFonts w:ascii="David" w:hAnsi="David" w:cs="David" w:hint="cs"/>
          <w:sz w:val="28"/>
          <w:szCs w:val="28"/>
          <w:rtl/>
        </w:rPr>
        <w:t xml:space="preserve"> שהופיע ברמזור הן ממקום של בלבול, שכן הייתה מבולבלת אחרי התאונה (עמ' 6  ש' 14-19). </w:t>
      </w:r>
    </w:p>
    <w:p w14:paraId="37148791" w14:textId="77777777" w:rsidR="00726B6B" w:rsidRPr="00A90E84" w:rsidRDefault="00726B6B" w:rsidP="00A51FCE">
      <w:pPr>
        <w:pStyle w:val="ListParagraph"/>
        <w:spacing w:line="360" w:lineRule="auto"/>
        <w:ind w:left="360"/>
        <w:jc w:val="both"/>
        <w:rPr>
          <w:rFonts w:ascii="David" w:hAnsi="David" w:cs="David"/>
          <w:sz w:val="28"/>
          <w:szCs w:val="28"/>
          <w:rtl/>
        </w:rPr>
      </w:pPr>
    </w:p>
    <w:p w14:paraId="29A19DCB" w14:textId="7AA1A5F9"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הנאשמת ידעה לאשר באופן נחרץ כי לא נרדמה בעת התאונה וגם לא דיברה בטלפון, אך ביחס לטענה שעברה ב</w:t>
      </w:r>
      <w:r w:rsidR="003B7959" w:rsidRPr="00A90E84">
        <w:rPr>
          <w:rFonts w:ascii="David" w:hAnsi="David" w:cs="David" w:hint="cs"/>
          <w:sz w:val="28"/>
          <w:szCs w:val="28"/>
          <w:rtl/>
        </w:rPr>
        <w:t>אור</w:t>
      </w:r>
      <w:r w:rsidRPr="00A90E84">
        <w:rPr>
          <w:rFonts w:ascii="David" w:hAnsi="David" w:cs="David" w:hint="cs"/>
          <w:sz w:val="28"/>
          <w:szCs w:val="28"/>
          <w:rtl/>
        </w:rPr>
        <w:t xml:space="preserve"> אדום היא אמרה שהיא מופתעת, אך לא שללה בנחרצות כפי ששללה את האפשרויות האחרות שהוצגו בפניה ( עמ' 6 ש' 25-37). </w:t>
      </w:r>
    </w:p>
    <w:p w14:paraId="382F3F9A" w14:textId="77777777" w:rsidR="00726B6B" w:rsidRPr="00A90E84" w:rsidRDefault="00726B6B" w:rsidP="00A51FCE">
      <w:pPr>
        <w:spacing w:line="360" w:lineRule="auto"/>
        <w:jc w:val="both"/>
        <w:rPr>
          <w:rFonts w:ascii="David" w:hAnsi="David" w:cs="David"/>
          <w:sz w:val="28"/>
          <w:szCs w:val="28"/>
          <w:rtl/>
        </w:rPr>
      </w:pPr>
    </w:p>
    <w:p w14:paraId="07A7BC08" w14:textId="2BC447B4"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הנאשמת אישרה כי נסעה באמבולנס עם הנהג המעורב,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וכי בשיחתם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אמר לה שהיא עברה ב</w:t>
      </w:r>
      <w:r w:rsidR="003B7959" w:rsidRPr="00A90E84">
        <w:rPr>
          <w:rFonts w:ascii="David" w:hAnsi="David" w:cs="David" w:hint="cs"/>
          <w:sz w:val="28"/>
          <w:szCs w:val="28"/>
          <w:rtl/>
        </w:rPr>
        <w:t>אור</w:t>
      </w:r>
      <w:r w:rsidRPr="00A90E84">
        <w:rPr>
          <w:rFonts w:ascii="David" w:hAnsi="David" w:cs="David" w:hint="cs"/>
          <w:sz w:val="28"/>
          <w:szCs w:val="28"/>
          <w:rtl/>
        </w:rPr>
        <w:t xml:space="preserve"> אדום (עמ' 7 ש' 1-4). </w:t>
      </w:r>
    </w:p>
    <w:p w14:paraId="48E54484"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הנאשמת אישרה שלמחרת התאונה מילאה טופס דיווח על התאונה (ת/12). </w:t>
      </w:r>
    </w:p>
    <w:p w14:paraId="1E824BFB" w14:textId="1E0C955C"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הנאשמת נשאלה הכיצד לא זכרה בעת מילוי הטופס את תגובתו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לאופן קרות התאונה, (כאשר באמבולנס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אמר לה שהיא עברה באדום),  הנאשמת לא ענתה  לשאלה שנשאלה, אך השיבה שבשיחה באמבולנס הייתה עסוקה בכך ששניהם בסדר (עמ' 7 ש' 10-13). </w:t>
      </w:r>
    </w:p>
    <w:p w14:paraId="07A98F5D" w14:textId="558FB69F"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הנאשמת הכחישה שהתנצלה בפני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והכחישה שאמרה לו כי פחדה שהיא הרגה אותו (עמ' 7 ש' 18-19). כאמור,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כלל לא נחקר בחקירה נגדית על תוכן השיחה כפי שהוצגה על ידו, על כל המשתמע מכך</w:t>
      </w:r>
    </w:p>
    <w:p w14:paraId="0EED9896" w14:textId="77777777" w:rsidR="00726B6B" w:rsidRPr="00A90E84" w:rsidRDefault="00726B6B" w:rsidP="00A51FCE">
      <w:pPr>
        <w:pStyle w:val="ListParagraph"/>
        <w:jc w:val="both"/>
        <w:rPr>
          <w:rFonts w:ascii="David" w:hAnsi="David" w:cs="David"/>
          <w:sz w:val="28"/>
          <w:szCs w:val="28"/>
          <w:rtl/>
        </w:rPr>
      </w:pPr>
    </w:p>
    <w:p w14:paraId="4C037601" w14:textId="77777777" w:rsidR="00726B6B" w:rsidRPr="00A90E84" w:rsidRDefault="00726B6B" w:rsidP="00A51FCE">
      <w:pPr>
        <w:pStyle w:val="ListParagraph"/>
        <w:spacing w:line="360" w:lineRule="auto"/>
        <w:ind w:left="360"/>
        <w:jc w:val="both"/>
        <w:rPr>
          <w:rFonts w:ascii="David" w:hAnsi="David" w:cs="David"/>
          <w:sz w:val="28"/>
          <w:szCs w:val="28"/>
          <w:rtl/>
        </w:rPr>
      </w:pPr>
    </w:p>
    <w:p w14:paraId="3BD2D117"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lastRenderedPageBreak/>
        <w:t xml:space="preserve">הנאשמת העידה שלא זכור לה שבכיוון נסיעתה עמדו עוד כלי רכב. </w:t>
      </w:r>
    </w:p>
    <w:p w14:paraId="21AC3932" w14:textId="77777777" w:rsidR="00726B6B" w:rsidRPr="00A90E84" w:rsidRDefault="00726B6B" w:rsidP="00A51FCE">
      <w:pPr>
        <w:pStyle w:val="ListParagraph"/>
        <w:spacing w:line="360" w:lineRule="auto"/>
        <w:ind w:left="360"/>
        <w:jc w:val="both"/>
        <w:rPr>
          <w:rFonts w:ascii="David" w:hAnsi="David" w:cs="David"/>
          <w:sz w:val="28"/>
          <w:szCs w:val="28"/>
          <w:rtl/>
        </w:rPr>
      </w:pPr>
    </w:p>
    <w:p w14:paraId="671B04D5" w14:textId="3A3621A2"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הנאשמת עמדה על כך שבעת כניסתה לצומת, לא דלק ברמזור בכיוון נסיעתה </w:t>
      </w:r>
      <w:r w:rsidR="00A90E84" w:rsidRPr="00A90E84">
        <w:rPr>
          <w:rFonts w:ascii="David" w:hAnsi="David" w:cs="David" w:hint="cs"/>
          <w:sz w:val="28"/>
          <w:szCs w:val="28"/>
          <w:rtl/>
        </w:rPr>
        <w:t>אור</w:t>
      </w:r>
      <w:r w:rsidRPr="00A90E84">
        <w:rPr>
          <w:rFonts w:ascii="David" w:hAnsi="David" w:cs="David" w:hint="cs"/>
          <w:sz w:val="28"/>
          <w:szCs w:val="28"/>
          <w:rtl/>
        </w:rPr>
        <w:t xml:space="preserve"> אדום.</w:t>
      </w:r>
    </w:p>
    <w:p w14:paraId="076F6995" w14:textId="77777777" w:rsidR="00726B6B" w:rsidRPr="00015E43" w:rsidRDefault="00726B6B" w:rsidP="00A51FCE">
      <w:pPr>
        <w:jc w:val="both"/>
        <w:rPr>
          <w:rFonts w:ascii="David" w:hAnsi="David" w:cs="David"/>
          <w:sz w:val="28"/>
          <w:szCs w:val="28"/>
          <w:rtl/>
        </w:rPr>
      </w:pPr>
    </w:p>
    <w:p w14:paraId="58321E84"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tl/>
        </w:rPr>
      </w:pPr>
      <w:r w:rsidRPr="00A90E84">
        <w:rPr>
          <w:rFonts w:ascii="David" w:hAnsi="David" w:cs="David" w:hint="cs"/>
          <w:sz w:val="28"/>
          <w:szCs w:val="28"/>
          <w:rtl/>
        </w:rPr>
        <w:t xml:space="preserve">עדותה של הנאשמת לא עוררה אצלי אמון רב. </w:t>
      </w:r>
    </w:p>
    <w:p w14:paraId="15C9A04C" w14:textId="77777777" w:rsidR="00726B6B" w:rsidRPr="00A90E84" w:rsidRDefault="00726B6B" w:rsidP="00A51FCE">
      <w:pPr>
        <w:pStyle w:val="ListParagraph"/>
        <w:spacing w:line="360" w:lineRule="auto"/>
        <w:ind w:left="360"/>
        <w:jc w:val="both"/>
        <w:rPr>
          <w:rFonts w:ascii="David" w:hAnsi="David" w:cs="David"/>
          <w:sz w:val="28"/>
          <w:szCs w:val="28"/>
          <w:rtl/>
        </w:rPr>
      </w:pPr>
    </w:p>
    <w:p w14:paraId="73173E20"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כבר במפגש הראשוני של הנאשמת עם השוטרת במקום התאונה בעודה ישובה בתוך רכבה, מסרה הנאשמת לשוטרת שתחקרה אותה שהיא לא יודעת מה קרה. נתון זה נלמד מדוח תובנות מצלמת הגוף (ת/9) אשר הוגש בהסכמה, הגם שהסרטון לא הוגש ולדברי ב"כ הנאשמת הסרטון אף לא הומצא לו ולא נמצא בתיק החקירה. </w:t>
      </w:r>
    </w:p>
    <w:p w14:paraId="5DB74C82" w14:textId="77777777" w:rsidR="00726B6B" w:rsidRPr="00A90E84" w:rsidRDefault="00726B6B" w:rsidP="00A51FCE">
      <w:pPr>
        <w:pStyle w:val="ListParagraph"/>
        <w:spacing w:line="360" w:lineRule="auto"/>
        <w:ind w:left="360"/>
        <w:jc w:val="both"/>
        <w:rPr>
          <w:rFonts w:ascii="David" w:hAnsi="David" w:cs="David"/>
          <w:sz w:val="28"/>
          <w:szCs w:val="28"/>
          <w:rtl/>
        </w:rPr>
      </w:pPr>
    </w:p>
    <w:p w14:paraId="5BFEECDE" w14:textId="4360AB0F"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הנאשמת כבר בהודעתה במשטרה מסרה גרסה מבולבלת ולא נחרצת. היא לא זעקה את חפותה בהזדמנות הראשונה כפי שיכולה הייתה לעשות. זאת ועוד, במפגש הראשוני של הנאשמת עם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באמבולנס, כשנשאלה למה עברה באדום, גם אז לא הכחישה שנכנסה לצומת ב</w:t>
      </w:r>
      <w:r w:rsidR="00A90E84" w:rsidRPr="00A90E84">
        <w:rPr>
          <w:rFonts w:ascii="David" w:hAnsi="David" w:cs="David" w:hint="cs"/>
          <w:sz w:val="28"/>
          <w:szCs w:val="28"/>
          <w:rtl/>
        </w:rPr>
        <w:t>אור</w:t>
      </w:r>
      <w:r w:rsidRPr="00A90E84">
        <w:rPr>
          <w:rFonts w:ascii="David" w:hAnsi="David" w:cs="David" w:hint="cs"/>
          <w:sz w:val="28"/>
          <w:szCs w:val="28"/>
          <w:rtl/>
        </w:rPr>
        <w:t xml:space="preserve"> אדום. </w:t>
      </w:r>
    </w:p>
    <w:p w14:paraId="5DD1F217" w14:textId="77777777" w:rsidR="00726B6B" w:rsidRPr="00A90E84" w:rsidRDefault="00726B6B" w:rsidP="00A51FCE">
      <w:pPr>
        <w:pStyle w:val="ListParagraph"/>
        <w:spacing w:line="360" w:lineRule="auto"/>
        <w:ind w:left="360"/>
        <w:jc w:val="both"/>
        <w:rPr>
          <w:rFonts w:ascii="David" w:hAnsi="David" w:cs="David"/>
          <w:sz w:val="28"/>
          <w:szCs w:val="28"/>
          <w:rtl/>
        </w:rPr>
      </w:pPr>
    </w:p>
    <w:p w14:paraId="5A413658" w14:textId="098BA83F"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למחרת התאונה, הנאשמת מילאה טופס (ת/12) ובמשבצת בה נדרשה לפרט כיצד אירעה התאונה, ציינה כי היא לא זוכרת איך התרחשה, וזאת לאחר </w:t>
      </w:r>
      <w:proofErr w:type="spellStart"/>
      <w:r w:rsidRPr="00A90E84">
        <w:rPr>
          <w:rFonts w:ascii="David" w:hAnsi="David" w:cs="David" w:hint="cs"/>
          <w:sz w:val="28"/>
          <w:szCs w:val="28"/>
          <w:rtl/>
        </w:rPr>
        <w:t>שהודע</w:t>
      </w:r>
      <w:proofErr w:type="spellEnd"/>
      <w:r w:rsidRPr="00A90E84">
        <w:rPr>
          <w:rFonts w:ascii="David" w:hAnsi="David" w:cs="David" w:hint="cs"/>
          <w:sz w:val="28"/>
          <w:szCs w:val="28"/>
          <w:rtl/>
        </w:rPr>
        <w:t xml:space="preserve"> לה על זכותה שלא למסור פרטים העלולים להפלילה. הנאשמת אף ציינה שאיזה זוכרת את תגובת הצד השני להתרחשות התאונה, למרות שבאמבולנס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הטיח בפניה שהיא נסעה ב</w:t>
      </w:r>
      <w:r w:rsidR="00A90E84" w:rsidRPr="00A90E84">
        <w:rPr>
          <w:rFonts w:ascii="David" w:hAnsi="David" w:cs="David" w:hint="cs"/>
          <w:sz w:val="28"/>
          <w:szCs w:val="28"/>
          <w:rtl/>
        </w:rPr>
        <w:t>אור</w:t>
      </w:r>
      <w:r w:rsidRPr="00A90E84">
        <w:rPr>
          <w:rFonts w:ascii="David" w:hAnsi="David" w:cs="David" w:hint="cs"/>
          <w:sz w:val="28"/>
          <w:szCs w:val="28"/>
          <w:rtl/>
        </w:rPr>
        <w:t xml:space="preserve"> אדום. כשנשאלה מה לדעתה הגורמים לתאונה, ענתה בטופס שהיא לא זוכרת. </w:t>
      </w:r>
    </w:p>
    <w:p w14:paraId="12CEAD95" w14:textId="77777777" w:rsidR="00726B6B" w:rsidRPr="00A90E84" w:rsidRDefault="00726B6B" w:rsidP="00A51FCE">
      <w:pPr>
        <w:pStyle w:val="ListParagraph"/>
        <w:spacing w:line="360" w:lineRule="auto"/>
        <w:ind w:left="360"/>
        <w:jc w:val="both"/>
        <w:rPr>
          <w:rFonts w:ascii="David" w:hAnsi="David" w:cs="David"/>
          <w:sz w:val="28"/>
          <w:szCs w:val="28"/>
          <w:rtl/>
        </w:rPr>
      </w:pPr>
    </w:p>
    <w:p w14:paraId="1DE5D7EA"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אני ערה לטענת ב"כ הנאשמת, כי על גבי הטופס (ת/12) לא נרשם כי ניתן יהיה לעשות בו שימוש במסגרת הליך פלילי (וכי כיום הערה זו כן רשומה בטפסים), עם זאת, לא מצאתי שהעדרה של הערה זו יש בה כדי לפגום בערכו הראייתי של הטופס ובמשקל שיש לתת לו, בפרט שהנאשמת הוזהרה במפורש על גבי הטופס כי באפשרותה לא למסור פרטים מפלילים. </w:t>
      </w:r>
    </w:p>
    <w:p w14:paraId="1598FAFC" w14:textId="77777777" w:rsidR="00726B6B" w:rsidRPr="00A90E84" w:rsidRDefault="00726B6B" w:rsidP="00A51FCE">
      <w:pPr>
        <w:pStyle w:val="ListParagraph"/>
        <w:spacing w:line="360" w:lineRule="auto"/>
        <w:ind w:left="360"/>
        <w:jc w:val="both"/>
        <w:rPr>
          <w:rFonts w:ascii="David" w:hAnsi="David" w:cs="David"/>
          <w:sz w:val="28"/>
          <w:szCs w:val="28"/>
          <w:rtl/>
        </w:rPr>
      </w:pPr>
    </w:p>
    <w:p w14:paraId="28E15A42"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lastRenderedPageBreak/>
        <w:t xml:space="preserve">בכל אחד מהמפגשים הללו וכן בטפסים שמילאה הנאשמת, הייתה לה ההזדמנות לזעוק את חפותה, אולם היא לא עשתה כן. </w:t>
      </w:r>
    </w:p>
    <w:p w14:paraId="68505F1B" w14:textId="77777777" w:rsidR="00726B6B" w:rsidRPr="00A90E84" w:rsidRDefault="00726B6B" w:rsidP="00A51FCE">
      <w:pPr>
        <w:pStyle w:val="ListParagraph"/>
        <w:spacing w:line="360" w:lineRule="auto"/>
        <w:ind w:left="360"/>
        <w:jc w:val="both"/>
        <w:rPr>
          <w:rFonts w:ascii="David" w:hAnsi="David" w:cs="David"/>
          <w:sz w:val="28"/>
          <w:szCs w:val="28"/>
          <w:rtl/>
        </w:rPr>
      </w:pPr>
    </w:p>
    <w:p w14:paraId="6E5D736F" w14:textId="2C01CAE9"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בהודעתה במשטרה, הנאשמת כאמור, מסרה גרסה מבולבלת. תחילה טענה שאינה זוכרת מה קרה (ת/3 ש' 6), ובהמשך (ש' 20) טענה כי היא תמיד נוסעת על פי חוק, ולכן אמרה  שנסעה בירוק. כשנשאלה בהמשך אם היא עברה באדום, ענתה: "לא שידוע לי" (ת/3 ש' 36). כשנשאלה אם יש רמזורים נפרדים לישר ולשמאלה, השיבה שאינה זוכרת. כשנשאלה אם יכול להיות שהיא התבלבלה בין הרמזורים, השיבה - "יכול להיות" (ת/3 ש' 40). בהמשך שנשאלה מה הסיבה שעברה באדום והשיבה - "אני לא יודעת שעברתי ב</w:t>
      </w:r>
      <w:r w:rsidR="00A90E84" w:rsidRPr="00A90E84">
        <w:rPr>
          <w:rFonts w:ascii="David" w:hAnsi="David" w:cs="David" w:hint="cs"/>
          <w:sz w:val="28"/>
          <w:szCs w:val="28"/>
          <w:rtl/>
        </w:rPr>
        <w:t>אור</w:t>
      </w:r>
      <w:r w:rsidRPr="00A90E84">
        <w:rPr>
          <w:rFonts w:ascii="David" w:hAnsi="David" w:cs="David" w:hint="cs"/>
          <w:sz w:val="28"/>
          <w:szCs w:val="28"/>
          <w:rtl/>
        </w:rPr>
        <w:t xml:space="preserve"> אדום, אני לא זוכרת מה היה שם" (ת/3 ש' 58). </w:t>
      </w:r>
    </w:p>
    <w:p w14:paraId="1222675B" w14:textId="77777777" w:rsidR="00726B6B" w:rsidRPr="00A90E84" w:rsidRDefault="00726B6B" w:rsidP="00A51FCE">
      <w:pPr>
        <w:pStyle w:val="ListParagraph"/>
        <w:jc w:val="both"/>
        <w:rPr>
          <w:rFonts w:ascii="David" w:hAnsi="David" w:cs="David"/>
          <w:sz w:val="28"/>
          <w:szCs w:val="28"/>
          <w:rtl/>
        </w:rPr>
      </w:pPr>
    </w:p>
    <w:p w14:paraId="4CE3D59D" w14:textId="23472C55" w:rsidR="00726B6B" w:rsidRPr="00A90E84" w:rsidRDefault="00726B6B" w:rsidP="00A51FCE">
      <w:pPr>
        <w:pStyle w:val="ListParagraph"/>
        <w:numPr>
          <w:ilvl w:val="0"/>
          <w:numId w:val="4"/>
        </w:numPr>
        <w:spacing w:line="360" w:lineRule="auto"/>
        <w:ind w:left="360"/>
        <w:jc w:val="both"/>
        <w:rPr>
          <w:rFonts w:ascii="David" w:hAnsi="David" w:cs="David"/>
          <w:sz w:val="28"/>
          <w:szCs w:val="28"/>
          <w:rtl/>
        </w:rPr>
      </w:pPr>
      <w:r w:rsidRPr="00A90E84">
        <w:rPr>
          <w:rFonts w:ascii="David" w:hAnsi="David" w:cs="David" w:hint="cs"/>
          <w:sz w:val="28"/>
          <w:szCs w:val="28"/>
          <w:rtl/>
        </w:rPr>
        <w:t>אני מעדיפה את הודעת הנאשמת במשטרה, לפיה, היא לא זוכרת מה קרה, יכול להיות שהיא התבלבלה והיא מניחה שנסעה ב</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כי היא נהגת שומרת חוק..</w:t>
      </w:r>
    </w:p>
    <w:p w14:paraId="5B86D3C8" w14:textId="77777777" w:rsidR="00726B6B" w:rsidRPr="00A90E84" w:rsidRDefault="00726B6B" w:rsidP="00A51FCE">
      <w:pPr>
        <w:pStyle w:val="ListParagraph"/>
        <w:spacing w:line="360" w:lineRule="auto"/>
        <w:ind w:left="360"/>
        <w:jc w:val="both"/>
        <w:rPr>
          <w:rFonts w:ascii="David" w:hAnsi="David" w:cs="David"/>
          <w:sz w:val="28"/>
          <w:szCs w:val="28"/>
          <w:rtl/>
        </w:rPr>
      </w:pPr>
    </w:p>
    <w:p w14:paraId="5E778123" w14:textId="4D5E24D5"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גרסתה כפי שנמסרה בעדותה בבית המשפט, כי זוכרת באופן ודאי ונחרץ  שנסעה ב</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לא זכתה לאמוני כלל. כאמור הודעתה (ת/3) לא נגבתה בזירת התאונה, אלא למחרת. כך גם הטופס (ת/12) מולא על יד הנאשמת למחרת התאונה, וגם שם עדיין היא "לא זכרה" איך התרחשה התאונה ומה היה הגורם לה. </w:t>
      </w:r>
    </w:p>
    <w:p w14:paraId="29A2019E" w14:textId="77777777" w:rsidR="00726B6B" w:rsidRPr="00A90E84" w:rsidRDefault="00726B6B" w:rsidP="00A51FCE">
      <w:pPr>
        <w:pStyle w:val="ListParagraph"/>
        <w:spacing w:line="360" w:lineRule="auto"/>
        <w:ind w:left="360"/>
        <w:jc w:val="both"/>
        <w:rPr>
          <w:rFonts w:ascii="David" w:hAnsi="David" w:cs="David"/>
          <w:sz w:val="28"/>
          <w:szCs w:val="28"/>
          <w:rtl/>
        </w:rPr>
      </w:pPr>
    </w:p>
    <w:p w14:paraId="4724E570" w14:textId="48569CB1"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נוכח האמור, לאחר שמצאתי ליתן אמון מלא בעדותו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בשים לב שעדותו נתמכת הן בעדותו של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חברו, והן בעדותו של העד הניטרלי, </w:t>
      </w:r>
      <w:r w:rsidR="00BC3747" w:rsidRPr="00A90E84">
        <w:rPr>
          <w:rFonts w:ascii="David" w:hAnsi="David" w:cs="David" w:hint="cs"/>
          <w:sz w:val="28"/>
          <w:szCs w:val="28"/>
          <w:rtl/>
        </w:rPr>
        <w:t xml:space="preserve">מר </w:t>
      </w:r>
      <w:proofErr w:type="spellStart"/>
      <w:r w:rsidR="00BC3747" w:rsidRPr="00A90E84">
        <w:rPr>
          <w:rFonts w:ascii="David" w:hAnsi="David" w:cs="David" w:hint="cs"/>
          <w:sz w:val="28"/>
          <w:szCs w:val="28"/>
          <w:rtl/>
        </w:rPr>
        <w:t>אמורסי</w:t>
      </w:r>
      <w:proofErr w:type="spellEnd"/>
      <w:r w:rsidRPr="00A90E84">
        <w:rPr>
          <w:rFonts w:ascii="David" w:hAnsi="David" w:cs="David" w:hint="cs"/>
          <w:sz w:val="28"/>
          <w:szCs w:val="28"/>
          <w:rtl/>
        </w:rPr>
        <w:t>, ובשים לב לעדותה של הנאשמת אשר לא זכתה לאמוני, ואשר במועד האירוע הייתה מבולבלת ולא שללה את האפשרות שנכנס לצומת ב</w:t>
      </w:r>
      <w:r w:rsidR="00A90E84" w:rsidRPr="00A90E84">
        <w:rPr>
          <w:rFonts w:ascii="David" w:hAnsi="David" w:cs="David" w:hint="cs"/>
          <w:sz w:val="28"/>
          <w:szCs w:val="28"/>
          <w:rtl/>
        </w:rPr>
        <w:t>אור</w:t>
      </w:r>
      <w:r w:rsidRPr="00A90E84">
        <w:rPr>
          <w:rFonts w:ascii="David" w:hAnsi="David" w:cs="David" w:hint="cs"/>
          <w:sz w:val="28"/>
          <w:szCs w:val="28"/>
          <w:rtl/>
        </w:rPr>
        <w:t xml:space="preserve"> אדום, שוכנעתי מעבר לכל ספק, כי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נכנס לצומת ב</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וכי הנאשמת היא זו שנכנסה ב</w:t>
      </w:r>
      <w:r w:rsidR="00A90E84" w:rsidRPr="00A90E84">
        <w:rPr>
          <w:rFonts w:ascii="David" w:hAnsi="David" w:cs="David" w:hint="cs"/>
          <w:sz w:val="28"/>
          <w:szCs w:val="28"/>
          <w:rtl/>
        </w:rPr>
        <w:t>אור</w:t>
      </w:r>
      <w:r w:rsidRPr="00A90E84">
        <w:rPr>
          <w:rFonts w:ascii="David" w:hAnsi="David" w:cs="David" w:hint="cs"/>
          <w:sz w:val="28"/>
          <w:szCs w:val="28"/>
          <w:rtl/>
        </w:rPr>
        <w:t xml:space="preserve"> אדום. </w:t>
      </w:r>
    </w:p>
    <w:p w14:paraId="6D82C7C3" w14:textId="77777777" w:rsidR="00726B6B" w:rsidRPr="00A90E84" w:rsidRDefault="00726B6B" w:rsidP="00A51FCE">
      <w:pPr>
        <w:spacing w:line="360" w:lineRule="auto"/>
        <w:jc w:val="both"/>
        <w:rPr>
          <w:rFonts w:ascii="David" w:hAnsi="David" w:cs="David"/>
          <w:b/>
          <w:bCs/>
          <w:sz w:val="28"/>
          <w:szCs w:val="28"/>
          <w:u w:val="single"/>
          <w:rtl/>
        </w:rPr>
      </w:pPr>
    </w:p>
    <w:p w14:paraId="4D366805" w14:textId="77777777" w:rsidR="00726B6B" w:rsidRPr="00A90E84" w:rsidRDefault="00726B6B" w:rsidP="00A51FCE">
      <w:pPr>
        <w:spacing w:line="360" w:lineRule="auto"/>
        <w:jc w:val="both"/>
        <w:rPr>
          <w:rFonts w:ascii="David" w:hAnsi="David" w:cs="David"/>
          <w:b/>
          <w:bCs/>
          <w:sz w:val="28"/>
          <w:szCs w:val="28"/>
          <w:u w:val="single"/>
          <w:rtl/>
        </w:rPr>
      </w:pPr>
      <w:r w:rsidRPr="00A90E84">
        <w:rPr>
          <w:rFonts w:ascii="David" w:hAnsi="David" w:cs="David" w:hint="cs"/>
          <w:b/>
          <w:bCs/>
          <w:sz w:val="28"/>
          <w:szCs w:val="28"/>
          <w:u w:val="single"/>
          <w:rtl/>
        </w:rPr>
        <w:t>הוכחת תקינות הרמזורים</w:t>
      </w:r>
    </w:p>
    <w:p w14:paraId="3B415C1D" w14:textId="7F7B1AB1"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הבוחן שמואל בדק את הרמזורים במקום, ומצא אותם תקינים בכל הכיוונים (סעיף 13 בדוח הבוחן ת/4). הוא אף בדק את תוכנית הרמזורים (ת/7), וקבע כי אין </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משותף לשני הנהגים המעורבים (ת/4 סעיף 12).</w:t>
      </w:r>
    </w:p>
    <w:p w14:paraId="55778546" w14:textId="77777777" w:rsidR="00726B6B" w:rsidRPr="00A90E84" w:rsidRDefault="00726B6B" w:rsidP="00A51FCE">
      <w:pPr>
        <w:pStyle w:val="ListParagraph"/>
        <w:spacing w:line="360" w:lineRule="auto"/>
        <w:ind w:left="360"/>
        <w:jc w:val="both"/>
        <w:rPr>
          <w:rFonts w:ascii="David" w:hAnsi="David" w:cs="David"/>
          <w:sz w:val="28"/>
          <w:szCs w:val="28"/>
          <w:rtl/>
        </w:rPr>
      </w:pPr>
    </w:p>
    <w:p w14:paraId="6540A5DE" w14:textId="77777777"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ב"כ הנאשמת לא חלק על מסקנותיו של הבוחן. </w:t>
      </w:r>
    </w:p>
    <w:p w14:paraId="7C2834E0" w14:textId="77777777" w:rsidR="00726B6B" w:rsidRPr="00A90E84" w:rsidRDefault="00726B6B" w:rsidP="00A51FCE">
      <w:pPr>
        <w:pStyle w:val="ListParagraph"/>
        <w:jc w:val="both"/>
        <w:rPr>
          <w:rFonts w:ascii="David" w:hAnsi="David" w:cs="David"/>
          <w:sz w:val="28"/>
          <w:szCs w:val="28"/>
          <w:rtl/>
        </w:rPr>
      </w:pPr>
    </w:p>
    <w:p w14:paraId="2D815F8D" w14:textId="77777777"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די בכך כדי להוכיח את תקינות הרמזורים. </w:t>
      </w:r>
    </w:p>
    <w:p w14:paraId="573B6688" w14:textId="77777777" w:rsidR="00726B6B" w:rsidRPr="00A90E84" w:rsidRDefault="00726B6B" w:rsidP="00A51FCE">
      <w:pPr>
        <w:pStyle w:val="ListParagraph"/>
        <w:jc w:val="both"/>
        <w:rPr>
          <w:rFonts w:ascii="David" w:hAnsi="David" w:cs="David"/>
          <w:sz w:val="28"/>
          <w:szCs w:val="28"/>
          <w:rtl/>
        </w:rPr>
      </w:pPr>
    </w:p>
    <w:p w14:paraId="1CD96618" w14:textId="5A851A48"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מעבר לכך, גם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בהודעתו במשטרה (ס/2) ציין שהרמזורים היו תקינים. גם הנאשמת נשאלה מפורשות אם הרמזורים היו תקינים, והשיבה: "לא ראיתי משהו לא תקין" (ת/3 ש' 18).</w:t>
      </w:r>
    </w:p>
    <w:p w14:paraId="5B2E75C4" w14:textId="77777777" w:rsidR="00726B6B" w:rsidRPr="00A90E84" w:rsidRDefault="00726B6B" w:rsidP="00A51FCE">
      <w:pPr>
        <w:pStyle w:val="ListParagraph"/>
        <w:jc w:val="both"/>
        <w:rPr>
          <w:rFonts w:ascii="David" w:hAnsi="David" w:cs="David"/>
          <w:sz w:val="28"/>
          <w:szCs w:val="28"/>
          <w:rtl/>
        </w:rPr>
      </w:pPr>
    </w:p>
    <w:p w14:paraId="2068D23F"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אמנם לא הוגש מסמך שנערך בידי מי שאמון על תחזוקת הרמזורים המלמד על העדר תקלות במועד הרלוונטי, אך מסמך שכזה אינו הכרחי לצורך תקינות הרמזורים. </w:t>
      </w:r>
    </w:p>
    <w:p w14:paraId="70567FE5" w14:textId="77777777" w:rsidR="00726B6B" w:rsidRPr="00A90E84" w:rsidRDefault="00726B6B" w:rsidP="00A51FCE">
      <w:pPr>
        <w:pStyle w:val="ListParagraph"/>
        <w:spacing w:line="360" w:lineRule="auto"/>
        <w:ind w:left="360"/>
        <w:jc w:val="both"/>
        <w:rPr>
          <w:rFonts w:ascii="David" w:hAnsi="David" w:cs="David"/>
          <w:color w:val="FF0000"/>
          <w:sz w:val="28"/>
          <w:szCs w:val="28"/>
        </w:rPr>
      </w:pPr>
    </w:p>
    <w:p w14:paraId="41755932" w14:textId="33595FB8" w:rsidR="00726B6B" w:rsidRPr="00A90E84" w:rsidRDefault="00726B6B" w:rsidP="00A51FCE">
      <w:pPr>
        <w:pStyle w:val="ListParagraph"/>
        <w:spacing w:after="0" w:line="360" w:lineRule="auto"/>
        <w:ind w:left="368"/>
        <w:jc w:val="both"/>
        <w:rPr>
          <w:rFonts w:ascii="David" w:hAnsi="David" w:cs="David"/>
          <w:sz w:val="28"/>
          <w:szCs w:val="28"/>
          <w:rtl/>
        </w:rPr>
      </w:pPr>
      <w:r w:rsidRPr="00A90E84">
        <w:rPr>
          <w:rFonts w:ascii="David" w:hAnsi="David" w:cs="David" w:hint="cs"/>
          <w:sz w:val="28"/>
          <w:szCs w:val="28"/>
          <w:rtl/>
        </w:rPr>
        <w:t xml:space="preserve">ראו: </w:t>
      </w:r>
      <w:hyperlink r:id="rId13" w:history="1">
        <w:proofErr w:type="spellStart"/>
        <w:r w:rsidRPr="00A90E84">
          <w:rPr>
            <w:rStyle w:val="Hyperlink"/>
            <w:rFonts w:ascii="David" w:hAnsi="David" w:cs="David" w:hint="cs"/>
            <w:sz w:val="28"/>
            <w:szCs w:val="28"/>
            <w:rtl/>
          </w:rPr>
          <w:t>רע"פ</w:t>
        </w:r>
        <w:proofErr w:type="spellEnd"/>
        <w:r w:rsidRPr="00A90E84">
          <w:rPr>
            <w:rStyle w:val="Hyperlink"/>
            <w:rFonts w:ascii="David" w:hAnsi="David" w:cs="David" w:hint="cs"/>
            <w:sz w:val="28"/>
            <w:szCs w:val="28"/>
            <w:rtl/>
          </w:rPr>
          <w:t xml:space="preserve"> 3065/19 </w:t>
        </w:r>
        <w:r w:rsidRPr="00A90E84">
          <w:rPr>
            <w:rStyle w:val="Hyperlink"/>
            <w:rFonts w:ascii="David" w:hAnsi="David" w:cs="David" w:hint="cs"/>
            <w:b/>
            <w:bCs/>
            <w:sz w:val="28"/>
            <w:szCs w:val="28"/>
            <w:rtl/>
          </w:rPr>
          <w:t>אהרון אסלן נגד מדינת ישראל</w:t>
        </w:r>
      </w:hyperlink>
      <w:r w:rsidRPr="00A90E84">
        <w:rPr>
          <w:rFonts w:ascii="David" w:hAnsi="David" w:cs="David" w:hint="cs"/>
          <w:sz w:val="28"/>
          <w:szCs w:val="28"/>
          <w:rtl/>
        </w:rPr>
        <w:t xml:space="preserve"> (17.06.19): בית משפט לתעבורה הרשיע את המבקש, לאחר שמיעת ראיות, על אף העדרו של עד אשר ראה את המבקש נוהג בניגוד ל</w:t>
      </w:r>
      <w:r w:rsidR="00A90E84" w:rsidRPr="00A90E84">
        <w:rPr>
          <w:rFonts w:ascii="David" w:hAnsi="David" w:cs="David" w:hint="cs"/>
          <w:sz w:val="28"/>
          <w:szCs w:val="28"/>
          <w:rtl/>
        </w:rPr>
        <w:t>אור</w:t>
      </w:r>
      <w:r w:rsidRPr="00A90E84">
        <w:rPr>
          <w:rFonts w:ascii="David" w:hAnsi="David" w:cs="David" w:hint="cs"/>
          <w:sz w:val="28"/>
          <w:szCs w:val="28"/>
          <w:rtl/>
        </w:rPr>
        <w:t xml:space="preserve"> האדום, ועל אף העדר ראיות לאי רישום תקלות במערכת הרמזורים, וקבע כי הוכחה תקינות מערכת הרמזורים. הערעור בבית המשפט המחוזי נדחה. בקשת רשות ערעור נדחתה.</w:t>
      </w:r>
    </w:p>
    <w:p w14:paraId="4DEBA74F" w14:textId="77777777" w:rsidR="00726B6B" w:rsidRPr="00A90E84" w:rsidRDefault="00726B6B" w:rsidP="00A51FCE">
      <w:pPr>
        <w:pStyle w:val="ListParagraph"/>
        <w:spacing w:line="360" w:lineRule="auto"/>
        <w:ind w:left="368"/>
        <w:jc w:val="both"/>
        <w:rPr>
          <w:rFonts w:ascii="David" w:hAnsi="David" w:cs="David"/>
          <w:sz w:val="28"/>
          <w:szCs w:val="28"/>
          <w:rtl/>
        </w:rPr>
      </w:pPr>
    </w:p>
    <w:p w14:paraId="647E5ADD" w14:textId="77777777" w:rsidR="00726B6B" w:rsidRPr="00A90E84" w:rsidRDefault="00726B6B"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 xml:space="preserve">ראו גם: </w:t>
      </w:r>
      <w:hyperlink r:id="rId14" w:history="1">
        <w:proofErr w:type="spellStart"/>
        <w:r w:rsidRPr="00A90E84">
          <w:rPr>
            <w:rStyle w:val="Hyperlink"/>
            <w:rFonts w:ascii="David" w:hAnsi="David" w:cs="David" w:hint="cs"/>
            <w:sz w:val="28"/>
            <w:szCs w:val="28"/>
            <w:rtl/>
          </w:rPr>
          <w:t>עפ"ת</w:t>
        </w:r>
        <w:proofErr w:type="spellEnd"/>
        <w:r w:rsidRPr="00A90E84">
          <w:rPr>
            <w:rStyle w:val="Hyperlink"/>
            <w:rFonts w:ascii="David" w:hAnsi="David" w:cs="David" w:hint="cs"/>
            <w:sz w:val="28"/>
            <w:szCs w:val="28"/>
            <w:rtl/>
          </w:rPr>
          <w:t xml:space="preserve"> (מחוזי חיפה) 44164-06-16 </w:t>
        </w:r>
      </w:hyperlink>
      <w:r w:rsidRPr="00A90E84">
        <w:rPr>
          <w:rFonts w:ascii="David" w:hAnsi="David" w:cs="David" w:hint="cs"/>
          <w:sz w:val="28"/>
          <w:szCs w:val="28"/>
          <w:u w:val="single"/>
          <w:rtl/>
        </w:rPr>
        <w:t xml:space="preserve"> </w:t>
      </w:r>
      <w:r w:rsidRPr="00A90E84">
        <w:rPr>
          <w:rFonts w:ascii="David" w:hAnsi="David" w:cs="David" w:hint="cs"/>
          <w:b/>
          <w:bCs/>
          <w:sz w:val="28"/>
          <w:szCs w:val="28"/>
          <w:u w:val="single"/>
          <w:rtl/>
        </w:rPr>
        <w:t xml:space="preserve">מדינת ישראל נ' </w:t>
      </w:r>
      <w:proofErr w:type="spellStart"/>
      <w:r w:rsidRPr="00A90E84">
        <w:rPr>
          <w:rFonts w:ascii="David" w:hAnsi="David" w:cs="David" w:hint="cs"/>
          <w:b/>
          <w:bCs/>
          <w:sz w:val="28"/>
          <w:szCs w:val="28"/>
          <w:u w:val="single"/>
          <w:rtl/>
        </w:rPr>
        <w:t>אחסאן</w:t>
      </w:r>
      <w:proofErr w:type="spellEnd"/>
      <w:r w:rsidRPr="00A90E84">
        <w:rPr>
          <w:rFonts w:ascii="David" w:hAnsi="David" w:cs="David" w:hint="cs"/>
          <w:b/>
          <w:bCs/>
          <w:sz w:val="28"/>
          <w:szCs w:val="28"/>
          <w:u w:val="single"/>
          <w:rtl/>
        </w:rPr>
        <w:t xml:space="preserve"> </w:t>
      </w:r>
      <w:proofErr w:type="spellStart"/>
      <w:r w:rsidRPr="00A90E84">
        <w:rPr>
          <w:rFonts w:ascii="David" w:hAnsi="David" w:cs="David" w:hint="cs"/>
          <w:b/>
          <w:bCs/>
          <w:sz w:val="28"/>
          <w:szCs w:val="28"/>
          <w:u w:val="single"/>
          <w:rtl/>
        </w:rPr>
        <w:t>עראבי</w:t>
      </w:r>
      <w:proofErr w:type="spellEnd"/>
      <w:r w:rsidRPr="00A90E84">
        <w:rPr>
          <w:rFonts w:ascii="David" w:hAnsi="David" w:cs="David" w:hint="cs"/>
          <w:sz w:val="28"/>
          <w:szCs w:val="28"/>
          <w:rtl/>
        </w:rPr>
        <w:t xml:space="preserve"> (28.07.16).</w:t>
      </w:r>
    </w:p>
    <w:p w14:paraId="5E70AFF8" w14:textId="77777777" w:rsidR="00726B6B" w:rsidRPr="00A90E84" w:rsidRDefault="00726B6B" w:rsidP="00A51FCE">
      <w:pPr>
        <w:pStyle w:val="ListParagraph"/>
        <w:spacing w:line="360" w:lineRule="auto"/>
        <w:ind w:left="368"/>
        <w:jc w:val="both"/>
        <w:rPr>
          <w:rFonts w:ascii="David" w:hAnsi="David" w:cs="David"/>
          <w:sz w:val="28"/>
          <w:szCs w:val="28"/>
          <w:rtl/>
        </w:rPr>
      </w:pPr>
    </w:p>
    <w:p w14:paraId="241B9536" w14:textId="194EAFC2"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ב"כ הנאשמת הציג סרטונים שתיעדו צמתים אחרים, בזמנים אחרים, עם תקלות ברמזורים באופן שבשני כיוונים סותרים דלק </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באותה עת.  לטענתו, משאין כל עדות לפיה בכיוון נסיעת הנאשמת דלק </w:t>
      </w:r>
      <w:r w:rsidR="00A90E84" w:rsidRPr="00A90E84">
        <w:rPr>
          <w:rFonts w:ascii="David" w:hAnsi="David" w:cs="David" w:hint="cs"/>
          <w:sz w:val="28"/>
          <w:szCs w:val="28"/>
          <w:rtl/>
        </w:rPr>
        <w:t>אור</w:t>
      </w:r>
      <w:r w:rsidRPr="00A90E84">
        <w:rPr>
          <w:rFonts w:ascii="David" w:hAnsi="David" w:cs="David" w:hint="cs"/>
          <w:sz w:val="28"/>
          <w:szCs w:val="28"/>
          <w:rtl/>
        </w:rPr>
        <w:t xml:space="preserve"> אדום ברמזור, לא ניתן לשלול את האפשרות שבשל תקלה דלק </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בכיוון נסיעת הנאשמת ובו בזמן דלק גם </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בכיוון הגעת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הנהג המעורב. </w:t>
      </w:r>
    </w:p>
    <w:p w14:paraId="51380378" w14:textId="77777777" w:rsidR="00726B6B" w:rsidRPr="00A90E84" w:rsidRDefault="00726B6B" w:rsidP="00A51FCE">
      <w:pPr>
        <w:pStyle w:val="ListParagraph"/>
        <w:jc w:val="both"/>
        <w:rPr>
          <w:rFonts w:ascii="David" w:hAnsi="David" w:cs="David"/>
          <w:sz w:val="28"/>
          <w:szCs w:val="28"/>
          <w:rtl/>
        </w:rPr>
      </w:pPr>
    </w:p>
    <w:p w14:paraId="6CE9FE0A" w14:textId="37E348C8"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ביחס לטענה זו אדגיש כי גם אם בתי</w:t>
      </w:r>
      <w:r w:rsidR="00A90E84" w:rsidRPr="00A90E84">
        <w:rPr>
          <w:rFonts w:ascii="David" w:hAnsi="David" w:cs="David" w:hint="cs"/>
          <w:sz w:val="28"/>
          <w:szCs w:val="28"/>
          <w:rtl/>
        </w:rPr>
        <w:t>אור</w:t>
      </w:r>
      <w:r w:rsidRPr="00A90E84">
        <w:rPr>
          <w:rFonts w:ascii="David" w:hAnsi="David" w:cs="David" w:hint="cs"/>
          <w:sz w:val="28"/>
          <w:szCs w:val="28"/>
          <w:rtl/>
        </w:rPr>
        <w:t xml:space="preserve">יה יכולה להתרחש תקלה שכזו, לא הוצגה בדל ראיה לכך שבמקרה שבפניי, התרחשה התקלה כאמור. </w:t>
      </w:r>
    </w:p>
    <w:p w14:paraId="67C3B19A" w14:textId="77777777" w:rsidR="00726B6B" w:rsidRPr="00A90E84" w:rsidRDefault="00726B6B" w:rsidP="00A51FCE">
      <w:pPr>
        <w:pStyle w:val="ListParagraph"/>
        <w:jc w:val="both"/>
        <w:rPr>
          <w:rFonts w:ascii="David" w:hAnsi="David" w:cs="David"/>
          <w:sz w:val="28"/>
          <w:szCs w:val="28"/>
          <w:rtl/>
        </w:rPr>
      </w:pPr>
    </w:p>
    <w:p w14:paraId="59815768" w14:textId="77777777" w:rsidR="00726B6B" w:rsidRPr="00A90E84" w:rsidRDefault="00726B6B" w:rsidP="00A51FCE">
      <w:pPr>
        <w:pStyle w:val="ListParagraph"/>
        <w:spacing w:line="360" w:lineRule="auto"/>
        <w:ind w:left="360"/>
        <w:jc w:val="both"/>
        <w:rPr>
          <w:rFonts w:ascii="David" w:hAnsi="David" w:cs="David"/>
          <w:sz w:val="28"/>
          <w:szCs w:val="28"/>
        </w:rPr>
      </w:pPr>
    </w:p>
    <w:p w14:paraId="5203114A" w14:textId="77777777" w:rsidR="00726B6B" w:rsidRPr="00A90E84" w:rsidRDefault="00726B6B"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 xml:space="preserve">בעניין זה אין לי אלא להפנות לדברי בית המשפט המחוזי </w:t>
      </w:r>
      <w:proofErr w:type="spellStart"/>
      <w:r w:rsidRPr="00A90E84">
        <w:rPr>
          <w:rFonts w:ascii="David" w:hAnsi="David" w:cs="David" w:hint="cs"/>
          <w:sz w:val="28"/>
          <w:szCs w:val="28"/>
          <w:rtl/>
        </w:rPr>
        <w:t>ב</w:t>
      </w:r>
      <w:hyperlink r:id="rId15" w:history="1">
        <w:r w:rsidRPr="00A90E84">
          <w:rPr>
            <w:rStyle w:val="Hyperlink"/>
            <w:rFonts w:ascii="David" w:hAnsi="David" w:cs="David" w:hint="cs"/>
            <w:sz w:val="28"/>
            <w:szCs w:val="28"/>
            <w:rtl/>
          </w:rPr>
          <w:t>עפ"ת</w:t>
        </w:r>
        <w:proofErr w:type="spellEnd"/>
        <w:r w:rsidRPr="00A90E84">
          <w:rPr>
            <w:rStyle w:val="Hyperlink"/>
            <w:rFonts w:ascii="David" w:hAnsi="David" w:cs="David" w:hint="cs"/>
            <w:sz w:val="28"/>
            <w:szCs w:val="28"/>
            <w:rtl/>
          </w:rPr>
          <w:t xml:space="preserve"> (מחוזי חיפה) 442050-04-16</w:t>
        </w:r>
      </w:hyperlink>
      <w:r w:rsidRPr="00A90E84">
        <w:rPr>
          <w:rFonts w:ascii="David" w:hAnsi="David" w:cs="David" w:hint="cs"/>
          <w:sz w:val="28"/>
          <w:szCs w:val="28"/>
          <w:rtl/>
        </w:rPr>
        <w:t xml:space="preserve"> </w:t>
      </w:r>
      <w:r w:rsidRPr="00A90E84">
        <w:rPr>
          <w:rFonts w:ascii="David" w:hAnsi="David" w:cs="David" w:hint="cs"/>
          <w:b/>
          <w:bCs/>
          <w:sz w:val="28"/>
          <w:szCs w:val="28"/>
          <w:rtl/>
        </w:rPr>
        <w:t>לובנה שיכה נ'</w:t>
      </w:r>
      <w:r w:rsidRPr="00A90E84">
        <w:rPr>
          <w:rFonts w:ascii="David" w:hAnsi="David" w:cs="David" w:hint="cs"/>
          <w:sz w:val="28"/>
          <w:szCs w:val="28"/>
          <w:rtl/>
        </w:rPr>
        <w:t xml:space="preserve"> </w:t>
      </w:r>
      <w:r w:rsidRPr="00A90E84">
        <w:rPr>
          <w:rFonts w:ascii="David" w:hAnsi="David" w:cs="David" w:hint="cs"/>
          <w:b/>
          <w:bCs/>
          <w:sz w:val="28"/>
          <w:szCs w:val="28"/>
          <w:rtl/>
        </w:rPr>
        <w:t>מדינת ישראל</w:t>
      </w:r>
      <w:r w:rsidRPr="00A90E84">
        <w:rPr>
          <w:rFonts w:ascii="David" w:hAnsi="David" w:cs="David" w:hint="cs"/>
          <w:sz w:val="28"/>
          <w:szCs w:val="28"/>
          <w:rtl/>
        </w:rPr>
        <w:t xml:space="preserve"> (05.06.16):</w:t>
      </w:r>
    </w:p>
    <w:p w14:paraId="5ABB1BEC" w14:textId="399575E6" w:rsidR="00726B6B" w:rsidRPr="00A90E84" w:rsidRDefault="00726B6B" w:rsidP="00A51FCE">
      <w:pPr>
        <w:pStyle w:val="ListParagraph"/>
        <w:spacing w:line="360" w:lineRule="auto"/>
        <w:ind w:left="1218" w:right="709"/>
        <w:jc w:val="both"/>
        <w:rPr>
          <w:rFonts w:ascii="David" w:hAnsi="David" w:cs="David"/>
          <w:sz w:val="28"/>
          <w:szCs w:val="28"/>
          <w:rtl/>
        </w:rPr>
      </w:pPr>
      <w:r w:rsidRPr="00A90E84">
        <w:rPr>
          <w:rFonts w:ascii="David" w:hAnsi="David" w:cs="David" w:hint="cs"/>
          <w:sz w:val="28"/>
          <w:szCs w:val="28"/>
          <w:rtl/>
        </w:rPr>
        <w:lastRenderedPageBreak/>
        <w:t>"</w:t>
      </w:r>
      <w:r w:rsidRPr="00A90E84">
        <w:rPr>
          <w:rFonts w:ascii="David" w:hAnsi="David" w:cs="David" w:hint="cs"/>
          <w:b/>
          <w:bCs/>
          <w:sz w:val="28"/>
          <w:szCs w:val="28"/>
          <w:rtl/>
        </w:rPr>
        <w:t xml:space="preserve">אין בידי לקבל את טענת המערערת כי </w:t>
      </w:r>
      <w:proofErr w:type="spellStart"/>
      <w:r w:rsidRPr="00A90E84">
        <w:rPr>
          <w:rFonts w:ascii="David" w:hAnsi="David" w:cs="David" w:hint="cs"/>
          <w:b/>
          <w:bCs/>
          <w:sz w:val="28"/>
          <w:szCs w:val="28"/>
          <w:rtl/>
        </w:rPr>
        <w:t>משלא</w:t>
      </w:r>
      <w:proofErr w:type="spellEnd"/>
      <w:r w:rsidRPr="00A90E84">
        <w:rPr>
          <w:rFonts w:ascii="David" w:hAnsi="David" w:cs="David" w:hint="cs"/>
          <w:b/>
          <w:bCs/>
          <w:sz w:val="28"/>
          <w:szCs w:val="28"/>
          <w:rtl/>
        </w:rPr>
        <w:t xml:space="preserve"> הוצגה תכנית הרמזורים בצומת שבו מדובר, נשמט הבסיס מתחת להרשעתה. תכנית הרמזורים הינה ראיה אחת משלל ראיות שניתן היה להציג על מנת להוכיח את עובדות כתב האישום</w:t>
      </w:r>
      <w:r w:rsidRPr="00A90E84">
        <w:rPr>
          <w:rFonts w:ascii="David" w:hAnsi="David" w:cs="David" w:hint="cs"/>
          <w:sz w:val="28"/>
          <w:szCs w:val="28"/>
          <w:rtl/>
        </w:rPr>
        <w:t xml:space="preserve">. במקרה זה הגיע בוחן התנועה לזירת האירוע פחות ממחצית השעה לאחר התאונה, בדק את הרמזורים וראה כי הם פועלים בצורה תקינה. </w:t>
      </w:r>
      <w:r w:rsidRPr="00A90E84">
        <w:rPr>
          <w:rFonts w:ascii="David" w:hAnsi="David" w:cs="David" w:hint="cs"/>
          <w:b/>
          <w:bCs/>
          <w:sz w:val="28"/>
          <w:szCs w:val="28"/>
          <w:rtl/>
        </w:rPr>
        <w:t xml:space="preserve">הטענה כי ייתכן </w:t>
      </w:r>
      <w:proofErr w:type="spellStart"/>
      <w:r w:rsidRPr="00A90E84">
        <w:rPr>
          <w:rFonts w:ascii="David" w:hAnsi="David" w:cs="David" w:hint="cs"/>
          <w:b/>
          <w:bCs/>
          <w:sz w:val="28"/>
          <w:szCs w:val="28"/>
          <w:rtl/>
        </w:rPr>
        <w:t>והיתה</w:t>
      </w:r>
      <w:proofErr w:type="spellEnd"/>
      <w:r w:rsidRPr="00A90E84">
        <w:rPr>
          <w:rFonts w:ascii="David" w:hAnsi="David" w:cs="David" w:hint="cs"/>
          <w:b/>
          <w:bCs/>
          <w:sz w:val="28"/>
          <w:szCs w:val="28"/>
          <w:rtl/>
        </w:rPr>
        <w:t xml:space="preserve"> תקלה ברמזורים, במועד אירוע התאונה, באופן שבשני הרמזורים שהיו בכיוון נסיעתם של שני הנהגים המעורבים דלק </w:t>
      </w:r>
      <w:r w:rsidR="00A90E84" w:rsidRPr="00A90E84">
        <w:rPr>
          <w:rFonts w:ascii="David" w:hAnsi="David" w:cs="David" w:hint="cs"/>
          <w:b/>
          <w:bCs/>
          <w:sz w:val="28"/>
          <w:szCs w:val="28"/>
          <w:rtl/>
        </w:rPr>
        <w:t>אור</w:t>
      </w:r>
      <w:r w:rsidRPr="00A90E84">
        <w:rPr>
          <w:rFonts w:ascii="David" w:hAnsi="David" w:cs="David" w:hint="cs"/>
          <w:b/>
          <w:bCs/>
          <w:sz w:val="28"/>
          <w:szCs w:val="28"/>
          <w:rtl/>
        </w:rPr>
        <w:t xml:space="preserve"> ירוק בו זמנית, וכי תקלה זו תוקנה מעצמה, הינה טענה ספקולטיבית שלא הוצגה ולו ראשית ראיה על מנת להוכיחה</w:t>
      </w:r>
      <w:r w:rsidRPr="00A90E84">
        <w:rPr>
          <w:rFonts w:ascii="David" w:hAnsi="David" w:cs="David" w:hint="cs"/>
          <w:sz w:val="28"/>
          <w:szCs w:val="28"/>
          <w:rtl/>
        </w:rPr>
        <w:t xml:space="preserve">. אילו סבר ב"כ המערערת כי זה המצב, פתוחה בפניו </w:t>
      </w:r>
      <w:proofErr w:type="spellStart"/>
      <w:r w:rsidRPr="00A90E84">
        <w:rPr>
          <w:rFonts w:ascii="David" w:hAnsi="David" w:cs="David" w:hint="cs"/>
          <w:sz w:val="28"/>
          <w:szCs w:val="28"/>
          <w:rtl/>
        </w:rPr>
        <w:t>היתה</w:t>
      </w:r>
      <w:proofErr w:type="spellEnd"/>
      <w:r w:rsidRPr="00A90E84">
        <w:rPr>
          <w:rFonts w:ascii="David" w:hAnsi="David" w:cs="David" w:hint="cs"/>
          <w:sz w:val="28"/>
          <w:szCs w:val="28"/>
          <w:rtl/>
        </w:rPr>
        <w:t xml:space="preserve"> הדרך להזמין את תכנית הרמזורים ולאושש את טענת ההגנה שבפיו."</w:t>
      </w:r>
    </w:p>
    <w:p w14:paraId="572B16FB" w14:textId="77777777" w:rsidR="00726B6B" w:rsidRPr="00A90E84" w:rsidRDefault="00726B6B" w:rsidP="00A51FCE">
      <w:pPr>
        <w:pStyle w:val="ListParagraph"/>
        <w:spacing w:line="360" w:lineRule="auto"/>
        <w:ind w:left="368"/>
        <w:jc w:val="both"/>
        <w:rPr>
          <w:rFonts w:ascii="David" w:hAnsi="David" w:cs="David"/>
          <w:sz w:val="28"/>
          <w:szCs w:val="28"/>
          <w:rtl/>
        </w:rPr>
      </w:pPr>
    </w:p>
    <w:p w14:paraId="2B1D8AC1" w14:textId="77777777" w:rsidR="00726B6B" w:rsidRPr="00A90E84" w:rsidRDefault="00726B6B" w:rsidP="00A51FCE">
      <w:pPr>
        <w:pStyle w:val="ListParagraph"/>
        <w:numPr>
          <w:ilvl w:val="0"/>
          <w:numId w:val="4"/>
        </w:numPr>
        <w:spacing w:line="360" w:lineRule="auto"/>
        <w:ind w:left="368"/>
        <w:jc w:val="both"/>
        <w:rPr>
          <w:rFonts w:ascii="David" w:hAnsi="David" w:cs="David"/>
          <w:sz w:val="28"/>
          <w:szCs w:val="28"/>
        </w:rPr>
      </w:pPr>
      <w:r w:rsidRPr="00A90E84">
        <w:rPr>
          <w:rFonts w:ascii="David" w:hAnsi="David" w:cs="David" w:hint="cs"/>
          <w:sz w:val="28"/>
          <w:szCs w:val="28"/>
          <w:rtl/>
        </w:rPr>
        <w:t xml:space="preserve">מיותר לציין כי קיימת חזקה עובדתית בדבר תקינות מערכת הרמזורים. ראו: </w:t>
      </w:r>
      <w:hyperlink r:id="rId16" w:history="1">
        <w:r w:rsidRPr="00A90E84">
          <w:rPr>
            <w:rStyle w:val="Hyperlink"/>
            <w:rFonts w:ascii="David" w:hAnsi="David" w:cs="David" w:hint="cs"/>
            <w:sz w:val="28"/>
            <w:szCs w:val="28"/>
            <w:rtl/>
          </w:rPr>
          <w:t>ע"פ 287/13</w:t>
        </w:r>
      </w:hyperlink>
      <w:r w:rsidRPr="00A90E84">
        <w:rPr>
          <w:rFonts w:ascii="David" w:hAnsi="David" w:cs="David" w:hint="cs"/>
          <w:sz w:val="28"/>
          <w:szCs w:val="28"/>
          <w:rtl/>
        </w:rPr>
        <w:t xml:space="preserve"> </w:t>
      </w:r>
      <w:r w:rsidRPr="00A90E84">
        <w:rPr>
          <w:rFonts w:ascii="David" w:hAnsi="David" w:cs="David" w:hint="cs"/>
          <w:b/>
          <w:bCs/>
          <w:sz w:val="28"/>
          <w:szCs w:val="28"/>
          <w:rtl/>
        </w:rPr>
        <w:t xml:space="preserve">פלונית נ' מדינת ישראל </w:t>
      </w:r>
      <w:r w:rsidRPr="00A90E84">
        <w:rPr>
          <w:rFonts w:ascii="David" w:hAnsi="David" w:cs="David" w:hint="cs"/>
          <w:sz w:val="28"/>
          <w:szCs w:val="28"/>
          <w:rtl/>
        </w:rPr>
        <w:t>(16.06.13).</w:t>
      </w:r>
    </w:p>
    <w:p w14:paraId="2760D359" w14:textId="77777777" w:rsidR="00726B6B" w:rsidRPr="00A90E84" w:rsidRDefault="00726B6B" w:rsidP="00A51FCE">
      <w:pPr>
        <w:pStyle w:val="ListParagraph"/>
        <w:spacing w:line="360" w:lineRule="auto"/>
        <w:ind w:left="368"/>
        <w:jc w:val="both"/>
        <w:rPr>
          <w:rFonts w:ascii="David" w:hAnsi="David" w:cs="David"/>
          <w:sz w:val="28"/>
          <w:szCs w:val="28"/>
          <w:rtl/>
        </w:rPr>
      </w:pPr>
    </w:p>
    <w:p w14:paraId="4898D0E0" w14:textId="77777777" w:rsidR="00726B6B" w:rsidRPr="00A90E84" w:rsidRDefault="00726B6B" w:rsidP="00A51FCE">
      <w:pPr>
        <w:pStyle w:val="ListParagraph"/>
        <w:spacing w:line="360" w:lineRule="auto"/>
        <w:ind w:left="368"/>
        <w:jc w:val="both"/>
        <w:rPr>
          <w:rFonts w:ascii="David" w:hAnsi="David" w:cs="David"/>
          <w:sz w:val="28"/>
          <w:szCs w:val="28"/>
          <w:rtl/>
        </w:rPr>
      </w:pPr>
      <w:r w:rsidRPr="00A90E84">
        <w:rPr>
          <w:rFonts w:ascii="David" w:hAnsi="David" w:cs="David" w:hint="cs"/>
          <w:sz w:val="28"/>
          <w:szCs w:val="28"/>
          <w:rtl/>
        </w:rPr>
        <w:t xml:space="preserve">ראו גם: </w:t>
      </w:r>
      <w:hyperlink r:id="rId17" w:history="1">
        <w:r w:rsidRPr="00A90E84">
          <w:rPr>
            <w:rStyle w:val="Hyperlink"/>
            <w:rFonts w:ascii="David" w:hAnsi="David" w:cs="David" w:hint="cs"/>
            <w:sz w:val="28"/>
            <w:szCs w:val="28"/>
            <w:rtl/>
          </w:rPr>
          <w:t>ת"פ (מחוזי תל אביב)  42915-05-10</w:t>
        </w:r>
      </w:hyperlink>
      <w:r w:rsidRPr="00A90E84">
        <w:rPr>
          <w:rFonts w:ascii="David" w:hAnsi="David" w:cs="David" w:hint="cs"/>
          <w:sz w:val="28"/>
          <w:szCs w:val="28"/>
          <w:rtl/>
        </w:rPr>
        <w:t xml:space="preserve"> </w:t>
      </w:r>
      <w:r w:rsidRPr="00A90E84">
        <w:rPr>
          <w:rFonts w:ascii="David" w:hAnsi="David" w:cs="David" w:hint="cs"/>
          <w:b/>
          <w:bCs/>
          <w:sz w:val="28"/>
          <w:szCs w:val="28"/>
          <w:rtl/>
        </w:rPr>
        <w:t xml:space="preserve">מדינת ישראל נ' </w:t>
      </w:r>
      <w:proofErr w:type="spellStart"/>
      <w:r w:rsidRPr="00A90E84">
        <w:rPr>
          <w:rFonts w:ascii="David" w:hAnsi="David" w:cs="David" w:hint="cs"/>
          <w:b/>
          <w:bCs/>
          <w:sz w:val="28"/>
          <w:szCs w:val="28"/>
          <w:rtl/>
        </w:rPr>
        <w:t>וינשטיין</w:t>
      </w:r>
      <w:proofErr w:type="spellEnd"/>
      <w:r w:rsidRPr="00A90E84">
        <w:rPr>
          <w:rFonts w:ascii="David" w:hAnsi="David" w:cs="David" w:hint="cs"/>
          <w:b/>
          <w:bCs/>
          <w:sz w:val="28"/>
          <w:szCs w:val="28"/>
          <w:rtl/>
        </w:rPr>
        <w:t xml:space="preserve"> </w:t>
      </w:r>
      <w:r w:rsidRPr="00A90E84">
        <w:rPr>
          <w:rFonts w:ascii="David" w:hAnsi="David" w:cs="David" w:hint="cs"/>
          <w:sz w:val="28"/>
          <w:szCs w:val="28"/>
          <w:rtl/>
        </w:rPr>
        <w:t xml:space="preserve">(23.08.12) (אשר אושר </w:t>
      </w:r>
      <w:r w:rsidRPr="00A90E84">
        <w:rPr>
          <w:rFonts w:ascii="David" w:hAnsi="David" w:cs="David" w:hint="cs"/>
          <w:b/>
          <w:bCs/>
          <w:sz w:val="28"/>
          <w:szCs w:val="28"/>
          <w:u w:val="single"/>
          <w:rtl/>
        </w:rPr>
        <w:t>בעניין פלונית</w:t>
      </w:r>
      <w:r w:rsidRPr="00A90E84">
        <w:rPr>
          <w:rFonts w:ascii="David" w:hAnsi="David" w:cs="David" w:hint="cs"/>
          <w:sz w:val="28"/>
          <w:szCs w:val="28"/>
          <w:rtl/>
        </w:rPr>
        <w:t xml:space="preserve"> לעיל):</w:t>
      </w:r>
    </w:p>
    <w:p w14:paraId="29920F85" w14:textId="77777777" w:rsidR="00726B6B" w:rsidRPr="00A90E84" w:rsidRDefault="00726B6B" w:rsidP="00A51FCE">
      <w:pPr>
        <w:pStyle w:val="Quote"/>
        <w:ind w:left="1218" w:right="709"/>
        <w:rPr>
          <w:rFonts w:ascii="David" w:hAnsi="David"/>
          <w:b/>
          <w:bCs/>
          <w:sz w:val="28"/>
          <w:szCs w:val="28"/>
        </w:rPr>
      </w:pPr>
      <w:r w:rsidRPr="00A90E84">
        <w:rPr>
          <w:rFonts w:ascii="David" w:hAnsi="David" w:hint="cs"/>
          <w:sz w:val="28"/>
          <w:szCs w:val="28"/>
          <w:rtl/>
        </w:rPr>
        <w:t xml:space="preserve">"מערכות הרמזורים המנוהלות על ידי מערכת שליטה ובקרה מרכזית פועלות משך שנים. אין זו מערכת מדידה (בהבדל מממל"ז או ממא"ל). זו מערכת שעון אלקטרונית. </w:t>
      </w:r>
      <w:r w:rsidRPr="00A90E84">
        <w:rPr>
          <w:rFonts w:ascii="David" w:hAnsi="David" w:hint="cs"/>
          <w:b/>
          <w:bCs/>
          <w:sz w:val="28"/>
          <w:szCs w:val="28"/>
          <w:rtl/>
        </w:rPr>
        <w:t>הניסיון הנצבר (שמגולם גם בעובדה שלא הועלו עד הנה טענות ביחס לאמינות מערכות אלה) מקים חזקה עובדתית בדבר תקינותה. הטיעון מפי הסנגור בענייננו הוא טיעון בעלמא שאיננו מהווה אפילו ראשית ראיה לסטייה אפשרית במערך התפעול של הרמזורים בצומת".</w:t>
      </w:r>
    </w:p>
    <w:p w14:paraId="636A3B9A" w14:textId="77777777" w:rsidR="00726B6B" w:rsidRPr="00A90E84" w:rsidRDefault="00726B6B" w:rsidP="00A51FCE">
      <w:pPr>
        <w:pStyle w:val="ListParagraph"/>
        <w:numPr>
          <w:ilvl w:val="0"/>
          <w:numId w:val="4"/>
        </w:numPr>
        <w:spacing w:before="240" w:after="240" w:line="360" w:lineRule="auto"/>
        <w:ind w:left="368"/>
        <w:jc w:val="both"/>
        <w:rPr>
          <w:rFonts w:ascii="David" w:hAnsi="David" w:cs="David"/>
          <w:sz w:val="28"/>
          <w:szCs w:val="28"/>
        </w:rPr>
      </w:pPr>
      <w:r w:rsidRPr="00A90E84">
        <w:rPr>
          <w:rFonts w:ascii="David" w:hAnsi="David" w:cs="David" w:hint="cs"/>
          <w:sz w:val="28"/>
          <w:szCs w:val="28"/>
          <w:rtl/>
        </w:rPr>
        <w:t>הנאשמת כלל לא טענה לתקלה אפשרית ברמזורים, ובהודעתה אף ציינה, כאמור, שלא נראה לה שהם לא היו תקינים.</w:t>
      </w:r>
    </w:p>
    <w:p w14:paraId="7D7D7E6C" w14:textId="77777777" w:rsidR="00726B6B" w:rsidRPr="00A90E84" w:rsidRDefault="00726B6B" w:rsidP="00A51FCE">
      <w:pPr>
        <w:pStyle w:val="ListParagraph"/>
        <w:spacing w:before="240" w:after="240" w:line="360" w:lineRule="auto"/>
        <w:ind w:left="368"/>
        <w:jc w:val="both"/>
        <w:rPr>
          <w:rFonts w:ascii="David" w:hAnsi="David" w:cs="David"/>
          <w:sz w:val="28"/>
          <w:szCs w:val="28"/>
        </w:rPr>
      </w:pPr>
    </w:p>
    <w:p w14:paraId="526802A0" w14:textId="5668E844" w:rsidR="00726B6B" w:rsidRPr="00A90E84" w:rsidRDefault="00726B6B" w:rsidP="00A51FCE">
      <w:pPr>
        <w:pStyle w:val="ListParagraph"/>
        <w:numPr>
          <w:ilvl w:val="0"/>
          <w:numId w:val="4"/>
        </w:numPr>
        <w:spacing w:before="240" w:after="240" w:line="360" w:lineRule="auto"/>
        <w:ind w:left="360"/>
        <w:jc w:val="both"/>
        <w:rPr>
          <w:rFonts w:ascii="David" w:hAnsi="David" w:cs="David"/>
          <w:sz w:val="28"/>
          <w:szCs w:val="28"/>
        </w:rPr>
      </w:pPr>
      <w:r w:rsidRPr="00A90E84">
        <w:rPr>
          <w:rFonts w:ascii="David" w:hAnsi="David" w:cs="David" w:hint="cs"/>
          <w:sz w:val="28"/>
          <w:szCs w:val="28"/>
          <w:rtl/>
        </w:rPr>
        <w:t xml:space="preserve">לפיכך, בשים לב לכך שתוכנית הרמזורים הוגשה בהסכמה וההגנה לא חלקה על מסקנות הבוחן, , בשים לב לדברי הנאשמת בחקירתה כמו גם להודעתו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ביחס לתקינות הרמזורים, ובשים לא שהנאשמת לא הביאה בדל ראיה </w:t>
      </w:r>
      <w:r w:rsidRPr="00A90E84">
        <w:rPr>
          <w:rFonts w:ascii="David" w:hAnsi="David" w:cs="David" w:hint="cs"/>
          <w:sz w:val="28"/>
          <w:szCs w:val="28"/>
          <w:rtl/>
        </w:rPr>
        <w:lastRenderedPageBreak/>
        <w:t xml:space="preserve">ביחס לתקלה קונקרטית אפשרית (להבדיל מסרטונים שאינם קשורים לצומת המדובר)  מצאתי כי הנאשמת לא עמדה בנטל הרובץ לפתחה לסתור את החזקה העובדתית בדבר תקינות מערכת הרמזורים, ובוודאי שלא עמדה בנטל להוכחת תקלה ספציפית של </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"צולב". </w:t>
      </w:r>
    </w:p>
    <w:p w14:paraId="7B3984AB" w14:textId="77777777" w:rsidR="00726B6B" w:rsidRPr="00A90E84" w:rsidRDefault="00726B6B" w:rsidP="00A51FCE">
      <w:pPr>
        <w:spacing w:line="360" w:lineRule="auto"/>
        <w:jc w:val="both"/>
        <w:rPr>
          <w:rFonts w:ascii="David" w:hAnsi="David" w:cs="David"/>
          <w:b/>
          <w:bCs/>
          <w:sz w:val="28"/>
          <w:szCs w:val="28"/>
          <w:u w:val="single"/>
          <w:rtl/>
        </w:rPr>
      </w:pPr>
    </w:p>
    <w:p w14:paraId="68A39E70" w14:textId="77777777" w:rsidR="00726B6B" w:rsidRPr="00A90E84" w:rsidRDefault="00726B6B" w:rsidP="00A51FCE">
      <w:pPr>
        <w:spacing w:line="360" w:lineRule="auto"/>
        <w:jc w:val="both"/>
        <w:rPr>
          <w:rFonts w:ascii="David" w:hAnsi="David" w:cs="David"/>
          <w:b/>
          <w:bCs/>
          <w:sz w:val="28"/>
          <w:szCs w:val="28"/>
          <w:u w:val="single"/>
          <w:rtl/>
        </w:rPr>
      </w:pPr>
      <w:r w:rsidRPr="00A90E84">
        <w:rPr>
          <w:rFonts w:ascii="David" w:hAnsi="David" w:cs="David" w:hint="cs"/>
          <w:b/>
          <w:bCs/>
          <w:sz w:val="28"/>
          <w:szCs w:val="28"/>
          <w:u w:val="single"/>
          <w:rtl/>
        </w:rPr>
        <w:t>סגירת תיק החקירה כנגד הנאשמת</w:t>
      </w:r>
    </w:p>
    <w:p w14:paraId="68021483"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כאמור, ביום 5.7.2022 נשלחה לנאשמת הודעה על החלטה שלא להעמידה לדין, והודע לה כי  התיק נגדה נסגר משום שלא נמצאו ראיות מספיקות להעמידה לדין. </w:t>
      </w:r>
    </w:p>
    <w:p w14:paraId="32D9E006" w14:textId="3DC60E6D"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מי שהורה על סגירת התיק הוא איש משטרה, קצין הבוחנים פקד אמיר. </w:t>
      </w:r>
    </w:p>
    <w:p w14:paraId="6B741860" w14:textId="77777777" w:rsidR="00726B6B" w:rsidRPr="00A90E84" w:rsidRDefault="00726B6B" w:rsidP="00A51FCE">
      <w:pPr>
        <w:pStyle w:val="ListParagraph"/>
        <w:spacing w:line="360" w:lineRule="auto"/>
        <w:ind w:left="360"/>
        <w:jc w:val="both"/>
        <w:rPr>
          <w:rFonts w:ascii="David" w:hAnsi="David" w:cs="David"/>
          <w:sz w:val="28"/>
          <w:szCs w:val="28"/>
        </w:rPr>
      </w:pPr>
    </w:p>
    <w:p w14:paraId="5FD7FEAE"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ההגנה הלינה על כך שלמרות שהודיעו לנאשמת על סגירת התיק, התיק נפתח, ובסופו של יום הוגש נגדה כתב אישום. ההגנה טענה כי עסקינן בהתנהלות לקויה שמצדיקה ביטול האישום כנגד הנאשמת.</w:t>
      </w:r>
    </w:p>
    <w:p w14:paraId="7C5230F3" w14:textId="77777777" w:rsidR="00726B6B" w:rsidRPr="00A90E84" w:rsidRDefault="00726B6B" w:rsidP="00A51FCE">
      <w:pPr>
        <w:pStyle w:val="ListParagraph"/>
        <w:jc w:val="both"/>
        <w:rPr>
          <w:rFonts w:ascii="David" w:hAnsi="David" w:cs="David"/>
          <w:sz w:val="28"/>
          <w:szCs w:val="28"/>
          <w:rtl/>
        </w:rPr>
      </w:pPr>
    </w:p>
    <w:p w14:paraId="782CCF03"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אין בידי לקבל טענה זו. </w:t>
      </w:r>
    </w:p>
    <w:p w14:paraId="6A0EA64A" w14:textId="77777777" w:rsidR="00726B6B" w:rsidRPr="00A90E84" w:rsidRDefault="00726B6B" w:rsidP="00A51FCE">
      <w:pPr>
        <w:pStyle w:val="ListParagraph"/>
        <w:spacing w:line="360" w:lineRule="auto"/>
        <w:ind w:left="360"/>
        <w:jc w:val="both"/>
        <w:rPr>
          <w:rFonts w:ascii="David" w:hAnsi="David" w:cs="David"/>
          <w:sz w:val="28"/>
          <w:szCs w:val="28"/>
          <w:rtl/>
        </w:rPr>
      </w:pPr>
    </w:p>
    <w:p w14:paraId="4F0E5CFE"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אמנם נפל פגם בהתנהלות היחידה החוקרת, אך הפגם מתבטא דווקא בשלב בו הוחלט על סגירת התיק, ולא בשלב בו הוחלט על העמדת הנאשמת לדין. אין בפגם האמור  כדי להצדיק את ביטול האישום.</w:t>
      </w:r>
    </w:p>
    <w:p w14:paraId="75125CA1" w14:textId="77777777" w:rsidR="00726B6B" w:rsidRPr="00A90E84" w:rsidRDefault="00726B6B" w:rsidP="00A51FCE">
      <w:pPr>
        <w:pStyle w:val="ListParagraph"/>
        <w:spacing w:line="360" w:lineRule="auto"/>
        <w:ind w:left="360"/>
        <w:jc w:val="both"/>
        <w:rPr>
          <w:rFonts w:ascii="David" w:hAnsi="David" w:cs="David"/>
          <w:sz w:val="28"/>
          <w:szCs w:val="28"/>
          <w:rtl/>
        </w:rPr>
      </w:pPr>
    </w:p>
    <w:p w14:paraId="5C787CF4" w14:textId="77777777" w:rsidR="00726B6B" w:rsidRPr="00A90E84" w:rsidRDefault="00726B6B" w:rsidP="00A51FCE">
      <w:pPr>
        <w:pStyle w:val="ListParagraph"/>
        <w:numPr>
          <w:ilvl w:val="0"/>
          <w:numId w:val="4"/>
        </w:numPr>
        <w:spacing w:line="360" w:lineRule="auto"/>
        <w:ind w:left="368"/>
        <w:jc w:val="both"/>
        <w:rPr>
          <w:rFonts w:ascii="David" w:hAnsi="David" w:cs="David"/>
          <w:sz w:val="28"/>
          <w:szCs w:val="28"/>
          <w:rtl/>
        </w:rPr>
      </w:pPr>
      <w:r w:rsidRPr="00A90E84">
        <w:rPr>
          <w:rFonts w:ascii="David" w:hAnsi="David" w:cs="David" w:hint="cs"/>
          <w:sz w:val="28"/>
          <w:szCs w:val="28"/>
          <w:rtl/>
        </w:rPr>
        <w:t>הפגם התבטא בכך שתיק החקירה נסגר כנגד הנאשמת, על ידי קצין המשטרה, על אף שהוא לא היה מוסמך לסגור את תיק החקירה נגדה.</w:t>
      </w:r>
    </w:p>
    <w:p w14:paraId="155E8F35" w14:textId="77777777" w:rsidR="00726B6B" w:rsidRPr="00A90E84" w:rsidRDefault="00726B6B" w:rsidP="00A51FCE">
      <w:pPr>
        <w:pStyle w:val="ListParagraph"/>
        <w:spacing w:line="360" w:lineRule="auto"/>
        <w:ind w:left="360"/>
        <w:jc w:val="both"/>
        <w:rPr>
          <w:rFonts w:ascii="David" w:hAnsi="David" w:cs="David"/>
          <w:sz w:val="28"/>
          <w:szCs w:val="28"/>
          <w:rtl/>
        </w:rPr>
      </w:pPr>
    </w:p>
    <w:p w14:paraId="67A8B3AD"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על פי סעיפים 3(ח)(1),(2),(3),(7) בפקודת המטה הארצי: "טיפול בתאונת דרכים, שמעורבים בה כלי רכב צבאיים או אנשי צבא" שמספרה 13.03.06, בתאונה בה מעורב איש צבא, גם אם התאונה נגרמה רק באשמתו של איש הצבא, גם אם התאונה נגרמה רק באשמת הנהג האחר, גם אם שני הנהגים אשמים וגם אם לא נתגלתה אשמה כנגד אף אחד מהנהגים, ההחלטה על העמדה לדין של איש הצבא או על סגירת התיק נגדו היא בסמכותו של  הקמצ"ר, ולא בסמכות של קצין חקירות משטרתי.</w:t>
      </w:r>
    </w:p>
    <w:p w14:paraId="4E01E25E" w14:textId="77777777" w:rsidR="00726B6B" w:rsidRPr="00A90E84" w:rsidRDefault="00726B6B" w:rsidP="00A51FCE">
      <w:pPr>
        <w:pStyle w:val="ListParagraph"/>
        <w:spacing w:line="360" w:lineRule="auto"/>
        <w:ind w:left="360"/>
        <w:jc w:val="both"/>
        <w:rPr>
          <w:rFonts w:ascii="David" w:hAnsi="David" w:cs="David"/>
          <w:sz w:val="28"/>
          <w:szCs w:val="28"/>
          <w:rtl/>
        </w:rPr>
      </w:pPr>
    </w:p>
    <w:p w14:paraId="395606EB"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lastRenderedPageBreak/>
        <w:t>זאת ועוד, גם אם תיק החקירה היה נסגר על ידי הקמצ"ר, לא יהיה בכך כדי למנוע מיחידת התביעות לשנות את ההחלטה ולהעמיד את הנאשמת לדין.</w:t>
      </w:r>
    </w:p>
    <w:p w14:paraId="345425E3" w14:textId="77777777" w:rsidR="00726B6B" w:rsidRPr="00A90E84" w:rsidRDefault="00726B6B" w:rsidP="00A51FCE">
      <w:pPr>
        <w:pStyle w:val="ListParagraph"/>
        <w:spacing w:line="360" w:lineRule="auto"/>
        <w:ind w:left="360"/>
        <w:jc w:val="both"/>
        <w:rPr>
          <w:rFonts w:ascii="David" w:hAnsi="David" w:cs="David"/>
          <w:sz w:val="28"/>
          <w:szCs w:val="28"/>
        </w:rPr>
      </w:pPr>
    </w:p>
    <w:p w14:paraId="1B3E3801" w14:textId="77777777"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בעניין זה אפנה ל</w:t>
      </w:r>
      <w:hyperlink r:id="rId18" w:history="1">
        <w:r w:rsidRPr="00A90E84">
          <w:rPr>
            <w:rStyle w:val="Hyperlink"/>
            <w:rFonts w:ascii="David" w:hAnsi="David" w:cs="David" w:hint="cs"/>
            <w:sz w:val="28"/>
            <w:szCs w:val="28"/>
            <w:rtl/>
          </w:rPr>
          <w:t>בג"ץ 844/86 איתן דותן נ' היועץ המשפטי לממשלה</w:t>
        </w:r>
      </w:hyperlink>
      <w:r w:rsidRPr="00A90E84">
        <w:rPr>
          <w:rFonts w:ascii="David" w:hAnsi="David" w:cs="David" w:hint="cs"/>
          <w:sz w:val="28"/>
          <w:szCs w:val="28"/>
          <w:rtl/>
        </w:rPr>
        <w:t xml:space="preserve"> (10.6.87): </w:t>
      </w:r>
    </w:p>
    <w:p w14:paraId="3CF73D3B" w14:textId="77777777" w:rsidR="00726B6B" w:rsidRPr="00A90E84" w:rsidRDefault="00726B6B" w:rsidP="00A51FCE">
      <w:pPr>
        <w:pStyle w:val="ListParagraph"/>
        <w:tabs>
          <w:tab w:val="left" w:pos="288"/>
          <w:tab w:val="left" w:pos="432"/>
          <w:tab w:val="left" w:pos="576"/>
          <w:tab w:val="left" w:pos="720"/>
          <w:tab w:val="left" w:pos="1440"/>
          <w:tab w:val="left" w:pos="3456"/>
          <w:tab w:val="left" w:pos="7488"/>
        </w:tabs>
        <w:autoSpaceDE w:val="0"/>
        <w:autoSpaceDN w:val="0"/>
        <w:adjustRightInd w:val="0"/>
        <w:spacing w:after="80" w:line="260" w:lineRule="exact"/>
        <w:ind w:left="793" w:right="567"/>
        <w:jc w:val="both"/>
        <w:rPr>
          <w:rFonts w:ascii="David" w:hAnsi="David" w:cs="David"/>
          <w:sz w:val="28"/>
          <w:szCs w:val="28"/>
          <w:rtl/>
        </w:rPr>
      </w:pPr>
      <w:r w:rsidRPr="00A90E84">
        <w:rPr>
          <w:rFonts w:ascii="David" w:hAnsi="David" w:cs="David" w:hint="cs"/>
          <w:sz w:val="28"/>
          <w:szCs w:val="28"/>
          <w:rtl/>
        </w:rPr>
        <w:t xml:space="preserve">"המסקנה, כאילו מנוע גורם תביעתי מהסקת המסקנות המשפטיות הענייניות בדבר הגשת כתב-אישום או בדבר ביטולו, וזאת משום שגורם אחר, הכפוף לו, החליט כבר אחרת, איננה מתקבלת על הדעת ונוגדת בעליל את האינטרס הציבורי של אכיפת החוק והשלטתו. כפי שאין למי שחשוד בביצוע עבירה זכות מוקנית לכך שהתיק לא ייפתח מחדש, אם יתגלו עובדות חדשות (בכפיפות למה שנאמר, למשל, בסעיף </w:t>
      </w:r>
      <w:hyperlink r:id="rId19" w:history="1">
        <w:r w:rsidRPr="00A90E84">
          <w:rPr>
            <w:rFonts w:ascii="David" w:hAnsi="David" w:cs="David" w:hint="cs"/>
            <w:color w:val="0000FF"/>
            <w:sz w:val="28"/>
            <w:szCs w:val="28"/>
            <w:u w:val="single"/>
          </w:rPr>
          <w:t>232</w:t>
        </w:r>
      </w:hyperlink>
      <w:r w:rsidRPr="00A90E84">
        <w:rPr>
          <w:rFonts w:ascii="David" w:hAnsi="David" w:cs="David" w:hint="cs"/>
          <w:sz w:val="28"/>
          <w:szCs w:val="28"/>
          <w:rtl/>
        </w:rPr>
        <w:t xml:space="preserve"> לחוק סדר הדין), כך גם אין לו זכות מוקנית לכך שתיקו לא ייבדק מחדש מבחינת האינטרס הציבורי, ובלבד שהדבר ייעשה על-ידי הגורם המוסמך לכך, בין זה שעשה כן מעיקרו ובין דרג ממונה, תוך בדיקה הוגנת ועניינית."</w:t>
      </w:r>
    </w:p>
    <w:p w14:paraId="73F4C31E" w14:textId="77777777" w:rsidR="00726B6B" w:rsidRPr="00A90E84" w:rsidRDefault="00726B6B" w:rsidP="00A51FCE">
      <w:pPr>
        <w:pStyle w:val="ListParagraph"/>
        <w:tabs>
          <w:tab w:val="left" w:pos="288"/>
          <w:tab w:val="left" w:pos="432"/>
          <w:tab w:val="left" w:pos="576"/>
          <w:tab w:val="left" w:pos="720"/>
          <w:tab w:val="left" w:pos="1440"/>
          <w:tab w:val="left" w:pos="3456"/>
          <w:tab w:val="left" w:pos="7488"/>
        </w:tabs>
        <w:autoSpaceDE w:val="0"/>
        <w:autoSpaceDN w:val="0"/>
        <w:adjustRightInd w:val="0"/>
        <w:spacing w:after="80" w:line="260" w:lineRule="exact"/>
        <w:ind w:left="793" w:right="567"/>
        <w:jc w:val="both"/>
        <w:rPr>
          <w:rFonts w:ascii="David" w:hAnsi="David" w:cs="David"/>
          <w:sz w:val="28"/>
          <w:szCs w:val="28"/>
          <w:rtl/>
        </w:rPr>
      </w:pPr>
    </w:p>
    <w:p w14:paraId="0FEE4911" w14:textId="77777777"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 xml:space="preserve">ראו גם: </w:t>
      </w:r>
      <w:proofErr w:type="spellStart"/>
      <w:r w:rsidRPr="00A90E84">
        <w:rPr>
          <w:rFonts w:ascii="David" w:hAnsi="David" w:cs="David" w:hint="cs"/>
          <w:sz w:val="28"/>
          <w:szCs w:val="28"/>
          <w:rtl/>
        </w:rPr>
        <w:t>רע"פ</w:t>
      </w:r>
      <w:proofErr w:type="spellEnd"/>
      <w:r w:rsidRPr="00A90E84">
        <w:rPr>
          <w:rFonts w:ascii="David" w:hAnsi="David" w:cs="David" w:hint="cs"/>
          <w:sz w:val="28"/>
          <w:szCs w:val="28"/>
          <w:rtl/>
        </w:rPr>
        <w:t xml:space="preserve"> 1884/19 יצחק לולו </w:t>
      </w:r>
      <w:proofErr w:type="spellStart"/>
      <w:r w:rsidRPr="00A90E84">
        <w:rPr>
          <w:rFonts w:ascii="David" w:hAnsi="David" w:cs="David" w:hint="cs"/>
          <w:sz w:val="28"/>
          <w:szCs w:val="28"/>
          <w:rtl/>
        </w:rPr>
        <w:t>שמריז</w:t>
      </w:r>
      <w:proofErr w:type="spellEnd"/>
      <w:r w:rsidRPr="00A90E84">
        <w:rPr>
          <w:rFonts w:ascii="David" w:hAnsi="David" w:cs="David" w:hint="cs"/>
          <w:sz w:val="28"/>
          <w:szCs w:val="28"/>
          <w:rtl/>
        </w:rPr>
        <w:t xml:space="preserve"> נ' מדינת ישראל (14.3.19).</w:t>
      </w:r>
    </w:p>
    <w:p w14:paraId="4375CBB2" w14:textId="77777777" w:rsidR="00726B6B" w:rsidRPr="00A90E84" w:rsidRDefault="00726B6B" w:rsidP="00A51FCE">
      <w:pPr>
        <w:pStyle w:val="ListParagraph"/>
        <w:spacing w:line="360" w:lineRule="auto"/>
        <w:ind w:left="360"/>
        <w:jc w:val="both"/>
        <w:rPr>
          <w:rFonts w:ascii="David" w:hAnsi="David" w:cs="David"/>
          <w:sz w:val="28"/>
          <w:szCs w:val="28"/>
        </w:rPr>
      </w:pPr>
    </w:p>
    <w:p w14:paraId="19144030" w14:textId="77777777" w:rsidR="00726B6B" w:rsidRPr="00A90E84" w:rsidRDefault="00726B6B" w:rsidP="00A51FCE">
      <w:pPr>
        <w:pStyle w:val="ListParagraph"/>
        <w:spacing w:line="360" w:lineRule="auto"/>
        <w:ind w:left="360"/>
        <w:jc w:val="both"/>
        <w:rPr>
          <w:rFonts w:ascii="David" w:hAnsi="David" w:cs="David"/>
          <w:sz w:val="28"/>
          <w:szCs w:val="28"/>
          <w:rtl/>
        </w:rPr>
      </w:pPr>
    </w:p>
    <w:p w14:paraId="38EF20B8" w14:textId="72243EC4"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אני ערה לטענת ההגנה בסיכומיה, כי קצין הבוחנים אמיר, אשר הורה על סגירת התיק כנגד הנאשמת, אוחז גם בהסמכת תובע וכי לפי סעיפים 64 ו- 65 </w:t>
      </w:r>
      <w:proofErr w:type="spellStart"/>
      <w:r w:rsidRPr="00A90E84">
        <w:rPr>
          <w:rFonts w:ascii="David" w:hAnsi="David" w:cs="David" w:hint="cs"/>
          <w:sz w:val="28"/>
          <w:szCs w:val="28"/>
          <w:rtl/>
        </w:rPr>
        <w:t>לחסד"פ</w:t>
      </w:r>
      <w:proofErr w:type="spellEnd"/>
      <w:r w:rsidRPr="00A90E84">
        <w:rPr>
          <w:rFonts w:ascii="David" w:hAnsi="David" w:cs="David" w:hint="cs"/>
          <w:sz w:val="28"/>
          <w:szCs w:val="28"/>
          <w:rtl/>
        </w:rPr>
        <w:t xml:space="preserve">, פתיחת תיק שנסגר על ידי תובע, צריכה להיעשות על ידי תובע בכיר יותר. </w:t>
      </w:r>
    </w:p>
    <w:p w14:paraId="48C6FDEC" w14:textId="7388D6DE"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ראשית, אציין כי לא הוכח בפני שקצין הבוחנים אמיר הוא תובע, וכי בעת סגירת התיק פעל בכובעו כתובע. </w:t>
      </w:r>
    </w:p>
    <w:p w14:paraId="150820BA"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שנית, סעיפים 64 ו- 65 </w:t>
      </w:r>
      <w:proofErr w:type="spellStart"/>
      <w:r w:rsidRPr="00A90E84">
        <w:rPr>
          <w:rFonts w:ascii="David" w:hAnsi="David" w:cs="David" w:hint="cs"/>
          <w:sz w:val="28"/>
          <w:szCs w:val="28"/>
          <w:rtl/>
        </w:rPr>
        <w:t>לחסד"פ</w:t>
      </w:r>
      <w:proofErr w:type="spellEnd"/>
      <w:r w:rsidRPr="00A90E84">
        <w:rPr>
          <w:rFonts w:ascii="David" w:hAnsi="David" w:cs="David" w:hint="cs"/>
          <w:sz w:val="28"/>
          <w:szCs w:val="28"/>
          <w:rtl/>
        </w:rPr>
        <w:t>, אליהם הפנה ב"כ הנאשמת, הם סעיפים רלוונטיים לטיפול בערר שהוגש על ידי מתלונן, הם אינם רלוונטיים לסוגיה שבפני (בפרשה שבפני המתלונן כלל לא הגיש ערר).</w:t>
      </w:r>
    </w:p>
    <w:p w14:paraId="73DC38D0" w14:textId="77777777" w:rsidR="00726B6B" w:rsidRPr="00A90E84" w:rsidRDefault="00726B6B" w:rsidP="00A51FCE">
      <w:pPr>
        <w:pStyle w:val="ListParagraph"/>
        <w:spacing w:line="360" w:lineRule="auto"/>
        <w:ind w:left="360"/>
        <w:jc w:val="both"/>
        <w:rPr>
          <w:rFonts w:ascii="David" w:hAnsi="David" w:cs="David"/>
          <w:sz w:val="28"/>
          <w:szCs w:val="28"/>
          <w:rtl/>
        </w:rPr>
      </w:pPr>
    </w:p>
    <w:p w14:paraId="627C7B12"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סמכותה של התביעה לפתוח תיק שנסגר, אינה מותנית בכך שהמתלונן יגיש ערר. ראו בעניין זה  </w:t>
      </w:r>
      <w:hyperlink r:id="rId20" w:history="1">
        <w:r w:rsidRPr="00A90E84">
          <w:rPr>
            <w:rStyle w:val="Hyperlink"/>
            <w:rFonts w:ascii="David" w:hAnsi="David" w:cs="David" w:hint="cs"/>
            <w:sz w:val="28"/>
            <w:szCs w:val="28"/>
            <w:rtl/>
          </w:rPr>
          <w:t>בג"ץ 844/86 איתן דותן נ' היועץ המשפטי לממשלה</w:t>
        </w:r>
      </w:hyperlink>
      <w:r w:rsidRPr="00A90E84">
        <w:rPr>
          <w:rFonts w:ascii="David" w:hAnsi="David" w:cs="David" w:hint="cs"/>
          <w:sz w:val="28"/>
          <w:szCs w:val="28"/>
          <w:rtl/>
        </w:rPr>
        <w:t xml:space="preserve"> (10.6.87);   </w:t>
      </w:r>
      <w:hyperlink r:id="rId21" w:history="1">
        <w:r w:rsidRPr="00A90E84">
          <w:rPr>
            <w:rStyle w:val="Hyperlink"/>
            <w:rFonts w:ascii="David" w:hAnsi="David" w:cs="David" w:hint="cs"/>
            <w:sz w:val="28"/>
            <w:szCs w:val="28"/>
            <w:rtl/>
          </w:rPr>
          <w:t>ע"פ 1551/15 עבדאללה שולי נ' מדינת ישראל</w:t>
        </w:r>
      </w:hyperlink>
      <w:r w:rsidRPr="00A90E84">
        <w:rPr>
          <w:rFonts w:ascii="David" w:hAnsi="David" w:cs="David" w:hint="cs"/>
          <w:sz w:val="28"/>
          <w:szCs w:val="28"/>
          <w:rtl/>
        </w:rPr>
        <w:t xml:space="preserve"> (6.9.16).</w:t>
      </w:r>
    </w:p>
    <w:p w14:paraId="5C8A56F3" w14:textId="77777777" w:rsidR="00726B6B" w:rsidRPr="00A90E84" w:rsidRDefault="00726B6B" w:rsidP="00A51FCE">
      <w:pPr>
        <w:pStyle w:val="ListParagraph"/>
        <w:spacing w:line="360" w:lineRule="auto"/>
        <w:ind w:left="360"/>
        <w:jc w:val="both"/>
        <w:rPr>
          <w:rFonts w:ascii="David" w:hAnsi="David" w:cs="David"/>
          <w:sz w:val="28"/>
          <w:szCs w:val="28"/>
          <w:rtl/>
        </w:rPr>
      </w:pPr>
    </w:p>
    <w:p w14:paraId="42369A52" w14:textId="77777777" w:rsidR="00726B6B" w:rsidRPr="00A90E84" w:rsidRDefault="00726B6B" w:rsidP="00A51FCE">
      <w:pPr>
        <w:pStyle w:val="ListParagraph"/>
        <w:spacing w:line="360" w:lineRule="auto"/>
        <w:ind w:left="360"/>
        <w:jc w:val="both"/>
        <w:rPr>
          <w:rFonts w:ascii="David" w:hAnsi="David" w:cs="David"/>
          <w:sz w:val="28"/>
          <w:szCs w:val="28"/>
          <w:rtl/>
        </w:rPr>
      </w:pPr>
      <w:r w:rsidRPr="00A90E84">
        <w:rPr>
          <w:rFonts w:ascii="David" w:hAnsi="David" w:cs="David" w:hint="cs"/>
          <w:sz w:val="28"/>
          <w:szCs w:val="28"/>
          <w:rtl/>
        </w:rPr>
        <w:t xml:space="preserve">וראו גם סעיף 15 לחוק הפרשנות </w:t>
      </w:r>
      <w:proofErr w:type="spellStart"/>
      <w:r w:rsidRPr="00A90E84">
        <w:rPr>
          <w:rFonts w:ascii="David" w:hAnsi="David" w:cs="David" w:hint="cs"/>
          <w:sz w:val="28"/>
          <w:szCs w:val="28"/>
          <w:rtl/>
        </w:rPr>
        <w:t>התשמ"א</w:t>
      </w:r>
      <w:proofErr w:type="spellEnd"/>
      <w:r w:rsidRPr="00A90E84">
        <w:rPr>
          <w:rFonts w:ascii="David" w:hAnsi="David" w:cs="David" w:hint="cs"/>
          <w:sz w:val="28"/>
          <w:szCs w:val="28"/>
          <w:rtl/>
        </w:rPr>
        <w:t xml:space="preserve"> 1981: "הסמכה להתקין תקנות או ליתר הוראות </w:t>
      </w:r>
      <w:proofErr w:type="spellStart"/>
      <w:r w:rsidRPr="00A90E84">
        <w:rPr>
          <w:rFonts w:ascii="David" w:hAnsi="David" w:cs="David" w:hint="cs"/>
          <w:sz w:val="28"/>
          <w:szCs w:val="28"/>
          <w:rtl/>
        </w:rPr>
        <w:t>מינהל</w:t>
      </w:r>
      <w:proofErr w:type="spellEnd"/>
      <w:r w:rsidRPr="00A90E84">
        <w:rPr>
          <w:rFonts w:ascii="David" w:hAnsi="David" w:cs="David" w:hint="cs"/>
          <w:sz w:val="28"/>
          <w:szCs w:val="28"/>
          <w:rtl/>
        </w:rPr>
        <w:t xml:space="preserve"> – משמעה גם הסמכה לתקנן, לשנותן, להתלותן או לבטלן בדרך שהותקנו התקנות או ניתנה ההוראה".</w:t>
      </w:r>
    </w:p>
    <w:p w14:paraId="43CB00CC" w14:textId="77777777" w:rsidR="00726B6B" w:rsidRPr="00A90E84" w:rsidRDefault="00726B6B" w:rsidP="00A51FCE">
      <w:pPr>
        <w:pStyle w:val="ListParagraph"/>
        <w:spacing w:line="360" w:lineRule="auto"/>
        <w:ind w:left="360"/>
        <w:jc w:val="both"/>
        <w:rPr>
          <w:rFonts w:ascii="David" w:hAnsi="David" w:cs="David"/>
          <w:sz w:val="28"/>
          <w:szCs w:val="28"/>
        </w:rPr>
      </w:pPr>
    </w:p>
    <w:p w14:paraId="5DEA771C"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עוד אציין, כי הסמכות לשנות את ההחלטה ולהעמיד לדין לאחר שכבר הוחלט על סגירת התיק, אינה מותנית בכך שתהיה התפתחות ראייתית בתיק החקירה. אני </w:t>
      </w:r>
      <w:r w:rsidRPr="00A90E84">
        <w:rPr>
          <w:rFonts w:ascii="David" w:hAnsi="David" w:cs="David" w:hint="cs"/>
          <w:sz w:val="28"/>
          <w:szCs w:val="28"/>
          <w:rtl/>
        </w:rPr>
        <w:lastRenderedPageBreak/>
        <w:t xml:space="preserve">ערה לטענת ב"כ המאשימה, כי בעניינה של הנאשמת, לאחר שהתיק הועבר לקמצ"ר, התווספה לחומר החקירה ראיה נוספת שלא הייתה בידי המשטרה, והכוונה לטופס ההודעה על התאונה (ת/12), ראיה שהיה בה כדי לחזק את התשתית הראייתית כנגד הנאשמת. מנגד, כפי שציין ב"כ הנאשמת, המסמך (ת/12) נוצר יום למחרת התאונה, בעוד התיק נסגר כחודשיים לאחר מכן, ועל כן הראיה הנ"ל אמורה הייתה להיות בידי היחידה החוקרת בטרם הוחלט על סגירת התיק. </w:t>
      </w:r>
    </w:p>
    <w:p w14:paraId="06E867AF" w14:textId="77777777" w:rsidR="00726B6B" w:rsidRPr="00A90E84" w:rsidRDefault="00726B6B" w:rsidP="00A51FCE">
      <w:pPr>
        <w:pStyle w:val="ListParagraph"/>
        <w:spacing w:line="360" w:lineRule="auto"/>
        <w:ind w:left="360"/>
        <w:jc w:val="both"/>
        <w:rPr>
          <w:rFonts w:ascii="David" w:hAnsi="David" w:cs="David"/>
          <w:sz w:val="28"/>
          <w:szCs w:val="28"/>
        </w:rPr>
      </w:pPr>
    </w:p>
    <w:p w14:paraId="1CDE5761"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כפי שציינתי לעיל, ההחלטה על סגירת התיק נעשתה שלא בסמכות, ועל כן אינה תקינה.  הודעת הסגירה אף לא הייתה מתועדת בתיק החקירה (כך לטענת ההגנה). יש גם מקום לביקורת שהשמיעה ההגנה, שלאחר שהוחלט על פתיחת התיק מחדש, היה מקום לידע את הנאשמת בדבר החלטה זו. עם זאת, אין בהתנהלות המפורטת משום פגם המצדיק את ביטול האישום. </w:t>
      </w:r>
    </w:p>
    <w:p w14:paraId="18CADD90" w14:textId="77777777" w:rsidR="00726B6B" w:rsidRPr="00A90E84" w:rsidRDefault="00726B6B" w:rsidP="00A51FCE">
      <w:pPr>
        <w:pStyle w:val="ListParagraph"/>
        <w:jc w:val="both"/>
        <w:rPr>
          <w:rFonts w:ascii="David" w:hAnsi="David" w:cs="David"/>
          <w:sz w:val="28"/>
          <w:szCs w:val="28"/>
          <w:rtl/>
        </w:rPr>
      </w:pPr>
    </w:p>
    <w:p w14:paraId="39A28F11" w14:textId="4071BDE0"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למעלה מן הצורך אציין, שכמובן לא זקפתי לחובתה של הנאשמת את העובדה שלא חזרה והתייצבה במשטרה לאחר "שנזכרה" שעברה ב</w:t>
      </w:r>
      <w:r w:rsidR="00A90E84" w:rsidRPr="00A90E84">
        <w:rPr>
          <w:rFonts w:ascii="David" w:hAnsi="David" w:cs="David" w:hint="cs"/>
          <w:sz w:val="28"/>
          <w:szCs w:val="28"/>
          <w:rtl/>
        </w:rPr>
        <w:t>אור</w:t>
      </w:r>
      <w:r w:rsidRPr="00A90E84">
        <w:rPr>
          <w:rFonts w:ascii="David" w:hAnsi="David" w:cs="David" w:hint="cs"/>
          <w:sz w:val="28"/>
          <w:szCs w:val="28"/>
          <w:rtl/>
        </w:rPr>
        <w:t xml:space="preserve"> ירוק, זאת משום שהניחה שמדובר בתיק שנסגר, ועל פי דבריה, גם בעת שנחקרה, נמסר לה שהתיק ייסגר, הגם שנסגר רק כמעט שלושה חודשים לאחר מועד האירוע. </w:t>
      </w:r>
    </w:p>
    <w:p w14:paraId="2C574A08" w14:textId="77777777" w:rsidR="00726B6B" w:rsidRPr="00A90E84" w:rsidRDefault="00726B6B" w:rsidP="00A51FCE">
      <w:pPr>
        <w:pStyle w:val="ListParagraph"/>
        <w:jc w:val="both"/>
        <w:rPr>
          <w:rFonts w:ascii="David" w:hAnsi="David" w:cs="David"/>
          <w:sz w:val="28"/>
          <w:szCs w:val="28"/>
          <w:rtl/>
        </w:rPr>
      </w:pPr>
    </w:p>
    <w:p w14:paraId="2BBFD9FE" w14:textId="77777777" w:rsidR="00726B6B" w:rsidRPr="00A90E84" w:rsidRDefault="00726B6B" w:rsidP="00A51FCE">
      <w:pPr>
        <w:spacing w:line="360" w:lineRule="auto"/>
        <w:jc w:val="both"/>
        <w:rPr>
          <w:rFonts w:ascii="David" w:hAnsi="David" w:cs="David"/>
          <w:b/>
          <w:bCs/>
          <w:sz w:val="28"/>
          <w:szCs w:val="28"/>
          <w:u w:val="single"/>
        </w:rPr>
      </w:pPr>
      <w:r w:rsidRPr="00A90E84">
        <w:rPr>
          <w:rFonts w:ascii="David" w:hAnsi="David" w:cs="David" w:hint="cs"/>
          <w:b/>
          <w:bCs/>
          <w:sz w:val="28"/>
          <w:szCs w:val="28"/>
          <w:u w:val="single"/>
          <w:rtl/>
        </w:rPr>
        <w:t>מחדלי חקירה</w:t>
      </w:r>
    </w:p>
    <w:p w14:paraId="7A1AAAE1"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ב"כ הנאשמת ביקש לזכות את הנאשמת, בין היתר, בשל מחדלי החקירה הרבים. למרבית הטיעונים שהועלו התייחסתי לעיל. אתייחס להלן לשתי נקודות נוספות שנטענו:</w:t>
      </w:r>
    </w:p>
    <w:p w14:paraId="6C1A701F" w14:textId="3CED14B0" w:rsidR="00726B6B" w:rsidRPr="00A90E84" w:rsidRDefault="00726B6B" w:rsidP="00A51FCE">
      <w:pPr>
        <w:pStyle w:val="ListParagraph"/>
        <w:numPr>
          <w:ilvl w:val="0"/>
          <w:numId w:val="5"/>
        </w:numPr>
        <w:spacing w:line="360" w:lineRule="auto"/>
        <w:ind w:left="651"/>
        <w:jc w:val="both"/>
        <w:rPr>
          <w:rFonts w:ascii="David" w:hAnsi="David" w:cs="David"/>
          <w:sz w:val="28"/>
          <w:szCs w:val="28"/>
        </w:rPr>
      </w:pPr>
      <w:r w:rsidRPr="00A90E84">
        <w:rPr>
          <w:rFonts w:ascii="David" w:hAnsi="David" w:cs="David" w:hint="cs"/>
          <w:sz w:val="28"/>
          <w:szCs w:val="28"/>
          <w:rtl/>
        </w:rPr>
        <w:t>כפי שציין ב"כ הנאשמת, בעת שחומר החקירה היה בידי המשטרה, היה בתיק סרטון ממצלמת הגוף של השוטרת. הסרטון לא בנמצא. עם זאת, הבוחן צפה בסרטון ורשם דו</w:t>
      </w:r>
      <w:r w:rsidR="00015E43">
        <w:rPr>
          <w:rFonts w:ascii="David" w:hAnsi="David" w:cs="David" w:hint="cs"/>
          <w:sz w:val="28"/>
          <w:szCs w:val="28"/>
          <w:rtl/>
        </w:rPr>
        <w:t>"</w:t>
      </w:r>
      <w:r w:rsidRPr="00A90E84">
        <w:rPr>
          <w:rFonts w:ascii="David" w:hAnsi="David" w:cs="David" w:hint="cs"/>
          <w:sz w:val="28"/>
          <w:szCs w:val="28"/>
          <w:rtl/>
        </w:rPr>
        <w:t xml:space="preserve">ח תובנות (ת/9), במסגרתו מתאר את אשר עולה מהסרטון. זאת ועוד, הבוחן ציין שהבחין במקום ברכב נוסף ואף רשם את פרטיו (ת/10).  הסרטון לא תיעד את רגע התאונה עצמו, אלא רק את ההתרחשות במקום לאחר מכן. </w:t>
      </w:r>
    </w:p>
    <w:p w14:paraId="4D4C552A" w14:textId="77777777" w:rsidR="00726B6B" w:rsidRPr="00A90E84" w:rsidRDefault="00726B6B" w:rsidP="00A51FCE">
      <w:pPr>
        <w:pStyle w:val="ListParagraph"/>
        <w:spacing w:line="360" w:lineRule="auto"/>
        <w:ind w:left="651"/>
        <w:jc w:val="both"/>
        <w:rPr>
          <w:rFonts w:ascii="David" w:hAnsi="David" w:cs="David"/>
          <w:sz w:val="28"/>
          <w:szCs w:val="28"/>
        </w:rPr>
      </w:pPr>
      <w:r w:rsidRPr="00A90E84">
        <w:rPr>
          <w:rFonts w:ascii="David" w:hAnsi="David" w:cs="David" w:hint="cs"/>
          <w:sz w:val="28"/>
          <w:szCs w:val="28"/>
          <w:rtl/>
        </w:rPr>
        <w:t xml:space="preserve">אין בעצם אובדנו של הסרטון בנסיבות שבפני, כדי לפגוע בהגנת הנאשמת, בוודאי שלא פגיעה של ממש, בשים לב כאמור לדוח התובנות אשר מתעד את </w:t>
      </w:r>
      <w:r w:rsidRPr="00A90E84">
        <w:rPr>
          <w:rFonts w:ascii="David" w:hAnsi="David" w:cs="David" w:hint="cs"/>
          <w:sz w:val="28"/>
          <w:szCs w:val="28"/>
          <w:rtl/>
        </w:rPr>
        <w:lastRenderedPageBreak/>
        <w:t xml:space="preserve">עיקרי הקיים בסרטון, לרבות רישום פרטי הרכב הנוסף שנמצא במקום (רכב </w:t>
      </w:r>
      <w:proofErr w:type="spellStart"/>
      <w:r w:rsidRPr="00A90E84">
        <w:rPr>
          <w:rFonts w:ascii="David" w:hAnsi="David" w:cs="David" w:hint="cs"/>
          <w:sz w:val="28"/>
          <w:szCs w:val="28"/>
          <w:rtl/>
        </w:rPr>
        <w:t>היוניק</w:t>
      </w:r>
      <w:proofErr w:type="spellEnd"/>
      <w:r w:rsidRPr="00A90E84">
        <w:rPr>
          <w:rFonts w:ascii="David" w:hAnsi="David" w:cs="David" w:hint="cs"/>
          <w:sz w:val="28"/>
          <w:szCs w:val="28"/>
          <w:rtl/>
        </w:rPr>
        <w:t>).</w:t>
      </w:r>
    </w:p>
    <w:p w14:paraId="046C0880" w14:textId="2074D83E" w:rsidR="00726B6B" w:rsidRPr="00A90E84" w:rsidRDefault="00726B6B" w:rsidP="00A51FCE">
      <w:pPr>
        <w:pStyle w:val="ListParagraph"/>
        <w:spacing w:line="360" w:lineRule="auto"/>
        <w:ind w:left="651"/>
        <w:jc w:val="both"/>
        <w:rPr>
          <w:rFonts w:ascii="David" w:hAnsi="David" w:cs="David"/>
          <w:sz w:val="28"/>
          <w:szCs w:val="28"/>
        </w:rPr>
      </w:pPr>
      <w:r w:rsidRPr="00A90E84">
        <w:rPr>
          <w:rFonts w:ascii="David" w:hAnsi="David" w:cs="David" w:hint="cs"/>
          <w:sz w:val="28"/>
          <w:szCs w:val="28"/>
          <w:rtl/>
        </w:rPr>
        <w:t xml:space="preserve">יכול ומצפיה בסרטון ניתן היה להבחין בנוכחות של </w:t>
      </w:r>
      <w:r w:rsidR="00BC3747" w:rsidRPr="00A90E84">
        <w:rPr>
          <w:rFonts w:ascii="David" w:hAnsi="David" w:cs="David" w:hint="cs"/>
          <w:sz w:val="28"/>
          <w:szCs w:val="28"/>
          <w:rtl/>
        </w:rPr>
        <w:t>מר גרנות</w:t>
      </w:r>
      <w:r w:rsidRPr="00A90E84">
        <w:rPr>
          <w:rFonts w:ascii="David" w:hAnsi="David" w:cs="David" w:hint="cs"/>
          <w:sz w:val="28"/>
          <w:szCs w:val="28"/>
          <w:rtl/>
        </w:rPr>
        <w:t xml:space="preserve"> במקום, נתון זה היה יכול לחזק את ראיות המאשימה, אך בוודאי שלא לפגוע בראיות ההגנה.</w:t>
      </w:r>
    </w:p>
    <w:p w14:paraId="3F8EBA9E" w14:textId="77777777" w:rsidR="00726B6B" w:rsidRPr="00A90E84" w:rsidRDefault="00726B6B" w:rsidP="00A51FCE">
      <w:pPr>
        <w:pStyle w:val="ListParagraph"/>
        <w:spacing w:line="360" w:lineRule="auto"/>
        <w:ind w:left="651"/>
        <w:jc w:val="both"/>
        <w:rPr>
          <w:rFonts w:ascii="David" w:hAnsi="David" w:cs="David"/>
          <w:sz w:val="28"/>
          <w:szCs w:val="28"/>
          <w:rtl/>
        </w:rPr>
      </w:pPr>
      <w:r w:rsidRPr="00A90E84">
        <w:rPr>
          <w:rFonts w:ascii="David" w:hAnsi="David" w:cs="David" w:hint="cs"/>
          <w:sz w:val="28"/>
          <w:szCs w:val="28"/>
          <w:rtl/>
        </w:rPr>
        <w:t xml:space="preserve">לא מצאתי כי אובדנו של הסרטון בנסיבות המתוארות, יש בו כדי להביא לזיכויה של הנאשמת. </w:t>
      </w:r>
    </w:p>
    <w:p w14:paraId="619A0801" w14:textId="77777777" w:rsidR="00726B6B" w:rsidRPr="00A90E84" w:rsidRDefault="00726B6B" w:rsidP="00A51FCE">
      <w:pPr>
        <w:pStyle w:val="ListParagraph"/>
        <w:spacing w:line="360" w:lineRule="auto"/>
        <w:ind w:left="651"/>
        <w:jc w:val="both"/>
        <w:rPr>
          <w:rFonts w:ascii="David" w:hAnsi="David" w:cs="David"/>
          <w:sz w:val="28"/>
          <w:szCs w:val="28"/>
        </w:rPr>
      </w:pPr>
    </w:p>
    <w:p w14:paraId="6D31E893" w14:textId="668E2299" w:rsidR="00726B6B" w:rsidRPr="00A90E84" w:rsidRDefault="00726B6B" w:rsidP="00A51FCE">
      <w:pPr>
        <w:pStyle w:val="ListParagraph"/>
        <w:numPr>
          <w:ilvl w:val="0"/>
          <w:numId w:val="5"/>
        </w:numPr>
        <w:spacing w:line="360" w:lineRule="auto"/>
        <w:ind w:left="651"/>
        <w:jc w:val="both"/>
        <w:rPr>
          <w:rFonts w:ascii="David" w:hAnsi="David" w:cs="David"/>
          <w:sz w:val="28"/>
          <w:szCs w:val="28"/>
        </w:rPr>
      </w:pPr>
      <w:r w:rsidRPr="00A90E84">
        <w:rPr>
          <w:rFonts w:ascii="David" w:hAnsi="David" w:cs="David" w:hint="cs"/>
          <w:sz w:val="28"/>
          <w:szCs w:val="28"/>
          <w:rtl/>
        </w:rPr>
        <w:t xml:space="preserve">המאשימה ויתרה על העדתה של השוטרת ימיני. לדברי המאשימה, השוטרת נמצאת שעות רבות בפעילות ועלה קושי לתאם איתה הגעה לדיון.  מדוח התובנות (ת/9) אשר הוגש בהסכמה, ניתן ללמוד שהשוטרת ימיני אשר לא הייתה בעצמה עדה לתאונה, תחקרה את הנהגת המעורבת, את נהג המזדה ואף לקחה פרטים של עד ראיה. בנסיבות אלו, לא מצאתי כי ניתן לזקוף את הוויתור של המאשימה על זימונה לעדות, לחובת המאשימה. </w:t>
      </w:r>
    </w:p>
    <w:p w14:paraId="2EB443EB" w14:textId="77777777" w:rsidR="00726B6B" w:rsidRPr="00A90E84" w:rsidRDefault="00726B6B" w:rsidP="00A51FCE">
      <w:pPr>
        <w:pStyle w:val="ListParagraph"/>
        <w:spacing w:line="360" w:lineRule="auto"/>
        <w:ind w:left="651"/>
        <w:jc w:val="both"/>
        <w:rPr>
          <w:rFonts w:ascii="David" w:hAnsi="David" w:cs="David"/>
          <w:sz w:val="28"/>
          <w:szCs w:val="28"/>
          <w:rtl/>
        </w:rPr>
      </w:pPr>
      <w:r w:rsidRPr="00A90E84">
        <w:rPr>
          <w:rFonts w:ascii="David" w:hAnsi="David" w:cs="David" w:hint="cs"/>
          <w:sz w:val="28"/>
          <w:szCs w:val="28"/>
          <w:rtl/>
        </w:rPr>
        <w:t>דוח הפעולה שערכה נמצא בתיק החקירה. יש להניח כי אם עדותה הייתה יכולה לסייע להגנה, הייתה ההגנה מזמנת אותה כעדה מטעמה, או מבקשת להגיש את הדוח שערכה.</w:t>
      </w:r>
    </w:p>
    <w:p w14:paraId="549E533B" w14:textId="77777777" w:rsidR="00726B6B" w:rsidRPr="00A90E84" w:rsidRDefault="00726B6B" w:rsidP="00A51FCE">
      <w:pPr>
        <w:pStyle w:val="ListParagraph"/>
        <w:spacing w:line="360" w:lineRule="auto"/>
        <w:ind w:left="360"/>
        <w:jc w:val="both"/>
        <w:rPr>
          <w:rFonts w:ascii="David" w:hAnsi="David" w:cs="David"/>
          <w:sz w:val="28"/>
          <w:szCs w:val="28"/>
          <w:rtl/>
        </w:rPr>
      </w:pPr>
    </w:p>
    <w:p w14:paraId="58EBD580" w14:textId="1D277211" w:rsidR="00726B6B" w:rsidRPr="00A90E84" w:rsidRDefault="00726B6B" w:rsidP="00A51FCE">
      <w:pPr>
        <w:pStyle w:val="ListParagraph"/>
        <w:numPr>
          <w:ilvl w:val="0"/>
          <w:numId w:val="4"/>
        </w:numPr>
        <w:spacing w:line="360" w:lineRule="auto"/>
        <w:ind w:left="360"/>
        <w:jc w:val="both"/>
        <w:rPr>
          <w:rFonts w:ascii="David" w:hAnsi="David" w:cs="David"/>
          <w:sz w:val="28"/>
          <w:szCs w:val="28"/>
          <w:rtl/>
        </w:rPr>
      </w:pPr>
      <w:r w:rsidRPr="00A90E84">
        <w:rPr>
          <w:rFonts w:ascii="David" w:hAnsi="David" w:cs="David" w:hint="cs"/>
          <w:sz w:val="28"/>
          <w:szCs w:val="28"/>
          <w:rtl/>
        </w:rPr>
        <w:t xml:space="preserve">אציין כי לטעמי היה מקום לגבות הודעה מסודרת גם מנהגת רכב </w:t>
      </w:r>
      <w:proofErr w:type="spellStart"/>
      <w:r w:rsidRPr="00A90E84">
        <w:rPr>
          <w:rFonts w:ascii="David" w:hAnsi="David" w:cs="David" w:hint="cs"/>
          <w:sz w:val="28"/>
          <w:szCs w:val="28"/>
          <w:rtl/>
        </w:rPr>
        <w:t>היוניק</w:t>
      </w:r>
      <w:proofErr w:type="spellEnd"/>
      <w:r w:rsidRPr="00A90E84">
        <w:rPr>
          <w:rFonts w:ascii="David" w:hAnsi="David" w:cs="David" w:hint="cs"/>
          <w:sz w:val="28"/>
          <w:szCs w:val="28"/>
          <w:rtl/>
        </w:rPr>
        <w:t xml:space="preserve"> שהוזכרה בהודעתו של </w:t>
      </w:r>
      <w:r w:rsidR="00F1414C" w:rsidRPr="00A90E84">
        <w:rPr>
          <w:rFonts w:ascii="David" w:hAnsi="David" w:cs="David" w:hint="cs"/>
          <w:sz w:val="28"/>
          <w:szCs w:val="28"/>
          <w:rtl/>
        </w:rPr>
        <w:t xml:space="preserve">סמ"ר </w:t>
      </w:r>
      <w:proofErr w:type="spellStart"/>
      <w:r w:rsidR="00F1414C" w:rsidRPr="00A90E84">
        <w:rPr>
          <w:rFonts w:ascii="David" w:hAnsi="David" w:cs="David" w:hint="cs"/>
          <w:sz w:val="28"/>
          <w:szCs w:val="28"/>
          <w:rtl/>
        </w:rPr>
        <w:t>ווינשטיין</w:t>
      </w:r>
      <w:proofErr w:type="spellEnd"/>
      <w:r w:rsidRPr="00A90E84">
        <w:rPr>
          <w:rFonts w:ascii="David" w:hAnsi="David" w:cs="David" w:hint="cs"/>
          <w:sz w:val="28"/>
          <w:szCs w:val="28"/>
          <w:rtl/>
        </w:rPr>
        <w:t xml:space="preserve"> ובמסמכים שערך הבוחן (ת/9-ת/11. יכול והיה בעדותה לשפוך </w:t>
      </w:r>
      <w:r w:rsidR="00A90E84" w:rsidRPr="00A90E84">
        <w:rPr>
          <w:rFonts w:ascii="David" w:hAnsi="David" w:cs="David" w:hint="cs"/>
          <w:sz w:val="28"/>
          <w:szCs w:val="28"/>
          <w:rtl/>
        </w:rPr>
        <w:t>אור</w:t>
      </w:r>
      <w:r w:rsidRPr="00A90E84">
        <w:rPr>
          <w:rFonts w:ascii="David" w:hAnsi="David" w:cs="David" w:hint="cs"/>
          <w:sz w:val="28"/>
          <w:szCs w:val="28"/>
          <w:rtl/>
        </w:rPr>
        <w:t xml:space="preserve"> על מצב הרמזורים בצומת בעת התאונה. משעניין זה לא עלה בטיעוני הצדדים לא מצאתי להרחיב. </w:t>
      </w:r>
    </w:p>
    <w:p w14:paraId="6A6A6BE2" w14:textId="77777777" w:rsidR="00726B6B" w:rsidRPr="00A90E84" w:rsidRDefault="00726B6B" w:rsidP="00A51FCE">
      <w:pPr>
        <w:pStyle w:val="ListParagraph"/>
        <w:spacing w:line="360" w:lineRule="auto"/>
        <w:ind w:left="360"/>
        <w:jc w:val="both"/>
        <w:rPr>
          <w:rFonts w:ascii="David" w:hAnsi="David" w:cs="David"/>
          <w:sz w:val="28"/>
          <w:szCs w:val="28"/>
          <w:rtl/>
        </w:rPr>
      </w:pPr>
      <w:proofErr w:type="spellStart"/>
      <w:r w:rsidRPr="00A90E84">
        <w:rPr>
          <w:rFonts w:ascii="David" w:hAnsi="David" w:cs="David" w:hint="cs"/>
          <w:sz w:val="28"/>
          <w:szCs w:val="28"/>
          <w:rtl/>
        </w:rPr>
        <w:t>משלא</w:t>
      </w:r>
      <w:proofErr w:type="spellEnd"/>
      <w:r w:rsidRPr="00A90E84">
        <w:rPr>
          <w:rFonts w:ascii="David" w:hAnsi="David" w:cs="David" w:hint="cs"/>
          <w:sz w:val="28"/>
          <w:szCs w:val="28"/>
          <w:rtl/>
        </w:rPr>
        <w:t xml:space="preserve"> מסרה עדות, ועל שהמזכר המתעד את השיחה איתה הוגש בהסכמה, לא מצאתי ליתן משקל לדברים שנרשמו מפיה. </w:t>
      </w:r>
    </w:p>
    <w:p w14:paraId="0FB9BBE2" w14:textId="77777777" w:rsidR="00726B6B" w:rsidRPr="00A90E84" w:rsidRDefault="00726B6B" w:rsidP="00A51FCE">
      <w:pPr>
        <w:pStyle w:val="ListParagraph"/>
        <w:spacing w:line="360" w:lineRule="auto"/>
        <w:ind w:left="360"/>
        <w:jc w:val="both"/>
        <w:rPr>
          <w:rFonts w:ascii="David" w:hAnsi="David" w:cs="David"/>
          <w:sz w:val="28"/>
          <w:szCs w:val="28"/>
          <w:rtl/>
        </w:rPr>
      </w:pPr>
    </w:p>
    <w:p w14:paraId="63698D77" w14:textId="77777777"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 xml:space="preserve">גם אם יש מחדלי חקירה, וגם אם ניתן היה לאסוף ראיות נוספות, הרי שהובאו ראיות מספקות להוכחת אשמתה של הנאשמת. </w:t>
      </w:r>
    </w:p>
    <w:p w14:paraId="6364E931" w14:textId="77777777" w:rsidR="00726B6B" w:rsidRPr="00A90E84" w:rsidRDefault="00726B6B" w:rsidP="00A51FCE">
      <w:pPr>
        <w:pStyle w:val="ListParagraph"/>
        <w:spacing w:line="360" w:lineRule="auto"/>
        <w:ind w:left="360"/>
        <w:jc w:val="both"/>
        <w:rPr>
          <w:rFonts w:ascii="David" w:hAnsi="David" w:cs="David"/>
          <w:sz w:val="28"/>
          <w:szCs w:val="28"/>
        </w:rPr>
      </w:pPr>
    </w:p>
    <w:p w14:paraId="3152EA46" w14:textId="47795751" w:rsidR="00726B6B" w:rsidRPr="00A90E84" w:rsidRDefault="00726B6B" w:rsidP="00A51FCE">
      <w:pPr>
        <w:pStyle w:val="ListParagraph"/>
        <w:numPr>
          <w:ilvl w:val="0"/>
          <w:numId w:val="4"/>
        </w:numPr>
        <w:spacing w:line="360" w:lineRule="auto"/>
        <w:ind w:left="360"/>
        <w:jc w:val="both"/>
        <w:rPr>
          <w:rFonts w:ascii="David" w:hAnsi="David" w:cs="David"/>
          <w:sz w:val="28"/>
          <w:szCs w:val="28"/>
        </w:rPr>
      </w:pPr>
      <w:r w:rsidRPr="00A90E84">
        <w:rPr>
          <w:rFonts w:ascii="David" w:hAnsi="David" w:cs="David" w:hint="cs"/>
          <w:sz w:val="28"/>
          <w:szCs w:val="28"/>
          <w:rtl/>
        </w:rPr>
        <w:t>מכל האמור לעיל, שוכנעתי מעבר לכל ספק סביר שהנאשמת היא שנכנסה לצומת ב</w:t>
      </w:r>
      <w:r w:rsidR="00A90E84" w:rsidRPr="00A90E84">
        <w:rPr>
          <w:rFonts w:ascii="David" w:hAnsi="David" w:cs="David" w:hint="cs"/>
          <w:sz w:val="28"/>
          <w:szCs w:val="28"/>
          <w:rtl/>
        </w:rPr>
        <w:t>אור</w:t>
      </w:r>
      <w:r w:rsidRPr="00A90E84">
        <w:rPr>
          <w:rFonts w:ascii="David" w:hAnsi="David" w:cs="David" w:hint="cs"/>
          <w:sz w:val="28"/>
          <w:szCs w:val="28"/>
          <w:rtl/>
        </w:rPr>
        <w:t xml:space="preserve"> אדום, ועל כן, היא אחראית לקרות התאונה על תוצאותיה. </w:t>
      </w:r>
    </w:p>
    <w:p w14:paraId="54F2415E" w14:textId="77777777" w:rsidR="00726B6B" w:rsidRPr="00A90E84" w:rsidRDefault="00726B6B" w:rsidP="00A51FCE">
      <w:pPr>
        <w:pStyle w:val="ListParagraph"/>
        <w:spacing w:line="360" w:lineRule="auto"/>
        <w:ind w:left="360"/>
        <w:jc w:val="both"/>
        <w:rPr>
          <w:rFonts w:ascii="David" w:hAnsi="David" w:cs="David"/>
          <w:sz w:val="28"/>
          <w:szCs w:val="28"/>
        </w:rPr>
      </w:pPr>
    </w:p>
    <w:p w14:paraId="6CC286FE" w14:textId="00A0D9DC" w:rsidR="00726B6B" w:rsidRPr="00A90E84" w:rsidRDefault="00726B6B" w:rsidP="00A51FCE">
      <w:pPr>
        <w:pStyle w:val="ListParagraph"/>
        <w:spacing w:line="360" w:lineRule="auto"/>
        <w:ind w:left="360"/>
        <w:jc w:val="both"/>
        <w:rPr>
          <w:rFonts w:ascii="David" w:hAnsi="David" w:cs="David"/>
          <w:sz w:val="28"/>
          <w:szCs w:val="28"/>
        </w:rPr>
      </w:pPr>
      <w:r w:rsidRPr="00A90E84">
        <w:rPr>
          <w:rFonts w:ascii="David" w:hAnsi="David" w:cs="David" w:hint="cs"/>
          <w:sz w:val="28"/>
          <w:szCs w:val="28"/>
          <w:rtl/>
        </w:rPr>
        <w:t>ל</w:t>
      </w:r>
      <w:r w:rsidR="00A90E84" w:rsidRPr="00A90E84">
        <w:rPr>
          <w:rFonts w:ascii="David" w:hAnsi="David" w:cs="David" w:hint="cs"/>
          <w:sz w:val="28"/>
          <w:szCs w:val="28"/>
          <w:rtl/>
        </w:rPr>
        <w:t>אור</w:t>
      </w:r>
      <w:r w:rsidRPr="00A90E84">
        <w:rPr>
          <w:rFonts w:ascii="David" w:hAnsi="David" w:cs="David" w:hint="cs"/>
          <w:sz w:val="28"/>
          <w:szCs w:val="28"/>
          <w:rtl/>
        </w:rPr>
        <w:t xml:space="preserve"> כל המפורט, אני מרשיעה את הנאשמת בעבירות המיוחסות לה בכתב האישום. </w:t>
      </w:r>
    </w:p>
    <w:p w14:paraId="0AE68316" w14:textId="77777777" w:rsidR="00BE71F2" w:rsidRPr="00A90E84" w:rsidRDefault="003149D5" w:rsidP="008C533F">
      <w:pPr>
        <w:pBdr>
          <w:top w:val="nil"/>
          <w:left w:val="nil"/>
          <w:bottom w:val="nil"/>
          <w:right w:val="nil"/>
          <w:between w:val="nil"/>
        </w:pBdr>
        <w:spacing w:after="120" w:line="360" w:lineRule="auto"/>
        <w:ind w:left="1218" w:right="1440"/>
        <w:jc w:val="both"/>
        <w:rPr>
          <w:rFonts w:ascii="David" w:eastAsia="David" w:hAnsi="David" w:cs="David"/>
          <w:color w:val="000000"/>
          <w:sz w:val="28"/>
          <w:szCs w:val="28"/>
        </w:rPr>
      </w:pPr>
      <w:r w:rsidRPr="00A90E84">
        <w:rPr>
          <w:rFonts w:ascii="David" w:eastAsia="David" w:hAnsi="David" w:cs="David" w:hint="cs"/>
          <w:color w:val="000000"/>
          <w:sz w:val="28"/>
          <w:szCs w:val="28"/>
        </w:rPr>
        <w:lastRenderedPageBreak/>
        <w:t xml:space="preserve"> </w:t>
      </w:r>
    </w:p>
    <w:p w14:paraId="0F697564" w14:textId="77777777" w:rsidR="008C533F" w:rsidRPr="00A90E84" w:rsidRDefault="003149D5" w:rsidP="008C533F">
      <w:pPr>
        <w:numPr>
          <w:ilvl w:val="0"/>
          <w:numId w:val="1"/>
        </w:numPr>
        <w:pBdr>
          <w:top w:val="nil"/>
          <w:left w:val="nil"/>
          <w:bottom w:val="nil"/>
          <w:right w:val="nil"/>
          <w:between w:val="nil"/>
        </w:pBdr>
        <w:spacing w:after="0" w:line="360" w:lineRule="auto"/>
        <w:ind w:left="368" w:firstLine="69"/>
        <w:rPr>
          <w:rFonts w:ascii="David" w:hAnsi="David" w:cs="David"/>
          <w:bCs/>
          <w:color w:val="000000"/>
          <w:sz w:val="28"/>
          <w:szCs w:val="28"/>
        </w:rPr>
      </w:pPr>
      <w:r w:rsidRPr="00A90E84">
        <w:rPr>
          <w:rFonts w:ascii="David" w:hAnsi="David" w:cs="David" w:hint="cs"/>
          <w:bCs/>
          <w:color w:val="000000"/>
          <w:sz w:val="28"/>
          <w:szCs w:val="28"/>
          <w:rtl/>
        </w:rPr>
        <w:t xml:space="preserve">זכות ערעור כחוק. </w:t>
      </w:r>
    </w:p>
    <w:p w14:paraId="4841C070" w14:textId="46C85B75" w:rsidR="00BE71F2" w:rsidRPr="00A90E84" w:rsidRDefault="003149D5" w:rsidP="008C533F">
      <w:pPr>
        <w:numPr>
          <w:ilvl w:val="0"/>
          <w:numId w:val="1"/>
        </w:numPr>
        <w:pBdr>
          <w:top w:val="nil"/>
          <w:left w:val="nil"/>
          <w:bottom w:val="nil"/>
          <w:right w:val="nil"/>
          <w:between w:val="nil"/>
        </w:pBdr>
        <w:spacing w:after="0" w:line="360" w:lineRule="auto"/>
        <w:ind w:left="368" w:firstLine="69"/>
        <w:rPr>
          <w:rFonts w:ascii="David" w:hAnsi="David" w:cs="David"/>
          <w:bCs/>
          <w:color w:val="000000"/>
          <w:sz w:val="28"/>
          <w:szCs w:val="28"/>
        </w:rPr>
      </w:pPr>
      <w:r w:rsidRPr="00A90E84">
        <w:rPr>
          <w:rFonts w:ascii="David" w:hAnsi="David" w:cs="David" w:hint="cs"/>
          <w:bCs/>
          <w:color w:val="000000"/>
          <w:sz w:val="28"/>
          <w:szCs w:val="28"/>
          <w:rtl/>
        </w:rPr>
        <w:t xml:space="preserve">ניתנה והודעה היום, </w:t>
      </w:r>
      <w:r w:rsidR="00726B6B" w:rsidRPr="00A90E84">
        <w:rPr>
          <w:rFonts w:ascii="David" w:hAnsi="David" w:cs="David" w:hint="cs"/>
          <w:bCs/>
          <w:color w:val="000000"/>
          <w:sz w:val="28"/>
          <w:szCs w:val="28"/>
          <w:rtl/>
        </w:rPr>
        <w:t>29</w:t>
      </w:r>
      <w:r w:rsidRPr="00A90E84">
        <w:rPr>
          <w:rFonts w:ascii="David" w:hAnsi="David" w:cs="David" w:hint="cs"/>
          <w:bCs/>
          <w:color w:val="000000"/>
          <w:sz w:val="28"/>
          <w:szCs w:val="28"/>
          <w:rtl/>
        </w:rPr>
        <w:t>.</w:t>
      </w:r>
      <w:r w:rsidR="00726B6B" w:rsidRPr="00A90E84">
        <w:rPr>
          <w:rFonts w:ascii="David" w:hAnsi="David" w:cs="David" w:hint="cs"/>
          <w:bCs/>
          <w:color w:val="000000"/>
          <w:sz w:val="28"/>
          <w:szCs w:val="28"/>
          <w:rtl/>
        </w:rPr>
        <w:t>02</w:t>
      </w:r>
      <w:r w:rsidRPr="00A90E84">
        <w:rPr>
          <w:rFonts w:ascii="David" w:hAnsi="David" w:cs="David" w:hint="cs"/>
          <w:bCs/>
          <w:color w:val="000000"/>
          <w:sz w:val="28"/>
          <w:szCs w:val="28"/>
          <w:rtl/>
        </w:rPr>
        <w:t>.202</w:t>
      </w:r>
      <w:r w:rsidR="00726B6B" w:rsidRPr="00A90E84">
        <w:rPr>
          <w:rFonts w:ascii="David" w:hAnsi="David" w:cs="David" w:hint="cs"/>
          <w:bCs/>
          <w:color w:val="000000"/>
          <w:sz w:val="28"/>
          <w:szCs w:val="28"/>
          <w:rtl/>
        </w:rPr>
        <w:t>4</w:t>
      </w:r>
      <w:r w:rsidRPr="00A90E84">
        <w:rPr>
          <w:rFonts w:ascii="David" w:hAnsi="David" w:cs="David" w:hint="cs"/>
          <w:bCs/>
          <w:color w:val="000000"/>
          <w:sz w:val="28"/>
          <w:szCs w:val="28"/>
          <w:rtl/>
        </w:rPr>
        <w:t xml:space="preserve">, </w:t>
      </w:r>
      <w:r w:rsidR="00726B6B" w:rsidRPr="00A90E84">
        <w:rPr>
          <w:rFonts w:ascii="David" w:hAnsi="David" w:cs="David" w:hint="cs"/>
          <w:bCs/>
          <w:color w:val="000000"/>
          <w:sz w:val="28"/>
          <w:szCs w:val="28"/>
          <w:rtl/>
        </w:rPr>
        <w:t>כ' באדר תשפ"ד</w:t>
      </w:r>
      <w:r w:rsidRPr="00A90E84">
        <w:rPr>
          <w:rFonts w:ascii="David" w:hAnsi="David" w:cs="David" w:hint="cs"/>
          <w:bCs/>
          <w:color w:val="000000"/>
          <w:sz w:val="28"/>
          <w:szCs w:val="28"/>
          <w:rtl/>
        </w:rPr>
        <w:t>, בפומבי ובמעמד הצדדים.</w:t>
      </w:r>
    </w:p>
    <w:p w14:paraId="1D8069F2" w14:textId="77777777" w:rsidR="00BE71F2" w:rsidRPr="00A90E84" w:rsidRDefault="00BE71F2" w:rsidP="00A51FCE">
      <w:pPr>
        <w:widowControl w:val="0"/>
        <w:pBdr>
          <w:top w:val="nil"/>
          <w:left w:val="nil"/>
          <w:bottom w:val="nil"/>
          <w:right w:val="nil"/>
          <w:between w:val="nil"/>
        </w:pBdr>
        <w:spacing w:after="0" w:line="360" w:lineRule="auto"/>
        <w:ind w:left="1352"/>
        <w:jc w:val="both"/>
        <w:rPr>
          <w:rFonts w:ascii="David" w:hAnsi="David" w:cs="David"/>
          <w:bCs/>
          <w:color w:val="000000"/>
          <w:sz w:val="28"/>
          <w:szCs w:val="28"/>
          <w:u w:val="single"/>
        </w:rPr>
      </w:pPr>
    </w:p>
    <w:p w14:paraId="626D39E9" w14:textId="5E4C5DFD" w:rsidR="00BE71F2" w:rsidRPr="00A90E84" w:rsidRDefault="00726B6B" w:rsidP="008C533F">
      <w:pPr>
        <w:pBdr>
          <w:top w:val="nil"/>
          <w:left w:val="nil"/>
          <w:bottom w:val="nil"/>
          <w:right w:val="nil"/>
          <w:between w:val="nil"/>
        </w:pBdr>
        <w:tabs>
          <w:tab w:val="left" w:pos="567"/>
        </w:tabs>
        <w:spacing w:after="0"/>
        <w:ind w:left="84"/>
        <w:jc w:val="center"/>
        <w:rPr>
          <w:rFonts w:ascii="David" w:eastAsia="David" w:hAnsi="David" w:cs="David"/>
          <w:bCs/>
          <w:color w:val="000000"/>
          <w:sz w:val="28"/>
          <w:szCs w:val="28"/>
          <w:rtl/>
        </w:rPr>
      </w:pPr>
      <w:r w:rsidRPr="00A90E84">
        <w:rPr>
          <w:rFonts w:ascii="David" w:eastAsia="David" w:hAnsi="David" w:cs="David" w:hint="cs"/>
          <w:bCs/>
          <w:color w:val="000000"/>
          <w:sz w:val="28"/>
          <w:szCs w:val="28"/>
          <w:rtl/>
        </w:rPr>
        <w:t>________________</w:t>
      </w:r>
    </w:p>
    <w:p w14:paraId="32BE9C56" w14:textId="4409F6F7" w:rsidR="00726B6B" w:rsidRPr="00A90E84" w:rsidRDefault="00726B6B" w:rsidP="008C533F">
      <w:pPr>
        <w:pBdr>
          <w:top w:val="nil"/>
          <w:left w:val="nil"/>
          <w:bottom w:val="nil"/>
          <w:right w:val="nil"/>
          <w:between w:val="nil"/>
        </w:pBdr>
        <w:tabs>
          <w:tab w:val="left" w:pos="567"/>
        </w:tabs>
        <w:spacing w:after="0"/>
        <w:ind w:left="84"/>
        <w:jc w:val="center"/>
        <w:rPr>
          <w:rFonts w:ascii="David" w:hAnsi="David" w:cs="David"/>
          <w:bCs/>
          <w:color w:val="000000"/>
          <w:sz w:val="28"/>
          <w:szCs w:val="28"/>
          <w:rtl/>
        </w:rPr>
      </w:pPr>
      <w:r w:rsidRPr="00A90E84">
        <w:rPr>
          <w:rFonts w:ascii="David" w:hAnsi="David" w:cs="David" w:hint="cs"/>
          <w:bCs/>
          <w:color w:val="000000"/>
          <w:sz w:val="28"/>
          <w:szCs w:val="28"/>
          <w:rtl/>
        </w:rPr>
        <w:t>שופטת</w:t>
      </w:r>
    </w:p>
    <w:p w14:paraId="4D54387F" w14:textId="33084704" w:rsidR="00A90E84" w:rsidRPr="00A90E84" w:rsidRDefault="00A90E84" w:rsidP="008C533F">
      <w:pPr>
        <w:pBdr>
          <w:top w:val="nil"/>
          <w:left w:val="nil"/>
          <w:bottom w:val="nil"/>
          <w:right w:val="nil"/>
          <w:between w:val="nil"/>
        </w:pBdr>
        <w:tabs>
          <w:tab w:val="left" w:pos="567"/>
        </w:tabs>
        <w:spacing w:after="0"/>
        <w:ind w:left="84"/>
        <w:jc w:val="center"/>
        <w:rPr>
          <w:rFonts w:ascii="David" w:hAnsi="David" w:cs="David"/>
          <w:bCs/>
          <w:color w:val="000000"/>
          <w:sz w:val="28"/>
          <w:szCs w:val="28"/>
          <w:rtl/>
        </w:rPr>
      </w:pPr>
    </w:p>
    <w:p w14:paraId="5F9926FD" w14:textId="11799D24" w:rsidR="00A90E84" w:rsidRPr="00A90E84" w:rsidRDefault="00A90E84" w:rsidP="008C533F">
      <w:pPr>
        <w:pBdr>
          <w:top w:val="nil"/>
          <w:left w:val="nil"/>
          <w:bottom w:val="nil"/>
          <w:right w:val="nil"/>
          <w:between w:val="nil"/>
        </w:pBdr>
        <w:tabs>
          <w:tab w:val="left" w:pos="567"/>
        </w:tabs>
        <w:spacing w:after="0"/>
        <w:ind w:left="84"/>
        <w:jc w:val="center"/>
        <w:rPr>
          <w:rFonts w:ascii="David" w:hAnsi="David" w:cs="David"/>
          <w:bCs/>
          <w:color w:val="000000"/>
          <w:sz w:val="28"/>
          <w:szCs w:val="28"/>
          <w:rtl/>
        </w:rPr>
      </w:pPr>
    </w:p>
    <w:p w14:paraId="018E30C5" w14:textId="46F19C01" w:rsidR="00A90E84" w:rsidRPr="00A90E84" w:rsidRDefault="00A90E84" w:rsidP="008C533F">
      <w:pPr>
        <w:pBdr>
          <w:top w:val="nil"/>
          <w:left w:val="nil"/>
          <w:bottom w:val="nil"/>
          <w:right w:val="nil"/>
          <w:between w:val="nil"/>
        </w:pBdr>
        <w:tabs>
          <w:tab w:val="left" w:pos="567"/>
        </w:tabs>
        <w:spacing w:after="0"/>
        <w:ind w:left="84"/>
        <w:jc w:val="center"/>
        <w:rPr>
          <w:rFonts w:ascii="David" w:hAnsi="David" w:cs="David"/>
          <w:bCs/>
          <w:color w:val="000000"/>
          <w:sz w:val="28"/>
          <w:szCs w:val="28"/>
          <w:rtl/>
        </w:rPr>
      </w:pPr>
    </w:p>
    <w:p w14:paraId="55B87800" w14:textId="77777777" w:rsidR="00A90E84" w:rsidRPr="00A90E84" w:rsidRDefault="00A90E84" w:rsidP="00A90E84">
      <w:pPr>
        <w:spacing w:line="360" w:lineRule="auto"/>
        <w:rPr>
          <w:rFonts w:ascii="David" w:hAnsi="David" w:cs="David"/>
          <w:b/>
          <w:bCs/>
          <w:sz w:val="28"/>
          <w:szCs w:val="28"/>
          <w:rtl/>
        </w:rPr>
      </w:pPr>
      <w:bookmarkStart w:id="1" w:name="_Hlk157071921"/>
      <w:bookmarkStart w:id="2" w:name="_Hlk159928901"/>
      <w:bookmarkStart w:id="3" w:name="_Hlk157070798"/>
      <w:r w:rsidRPr="00A90E84">
        <w:rPr>
          <w:rFonts w:ascii="David" w:hAnsi="David" w:cs="David" w:hint="cs"/>
          <w:b/>
          <w:bCs/>
          <w:sz w:val="28"/>
          <w:szCs w:val="28"/>
          <w:rtl/>
        </w:rPr>
        <w:t>נערך על ידי: נ.פ.</w:t>
      </w:r>
    </w:p>
    <w:p w14:paraId="20E069C0" w14:textId="77777777" w:rsidR="00A90E84" w:rsidRPr="00A90E84" w:rsidRDefault="00A90E84" w:rsidP="00A90E84">
      <w:pPr>
        <w:spacing w:line="360" w:lineRule="auto"/>
        <w:rPr>
          <w:rFonts w:ascii="David" w:hAnsi="David" w:cs="David"/>
          <w:b/>
          <w:bCs/>
          <w:sz w:val="28"/>
          <w:szCs w:val="28"/>
          <w:rtl/>
        </w:rPr>
      </w:pPr>
      <w:r w:rsidRPr="00A90E84">
        <w:rPr>
          <w:rFonts w:ascii="David" w:hAnsi="David" w:cs="David" w:hint="cs"/>
          <w:b/>
          <w:bCs/>
          <w:sz w:val="28"/>
          <w:szCs w:val="28"/>
          <w:rtl/>
        </w:rPr>
        <w:t>בתאריך: 27.02.24</w:t>
      </w:r>
    </w:p>
    <w:p w14:paraId="5C45A4BE" w14:textId="77777777" w:rsidR="00A90E84" w:rsidRPr="00A90E84" w:rsidRDefault="00A90E84" w:rsidP="00A90E84">
      <w:pPr>
        <w:spacing w:line="360" w:lineRule="auto"/>
        <w:rPr>
          <w:rFonts w:ascii="David" w:hAnsi="David" w:cs="David"/>
          <w:b/>
          <w:bCs/>
          <w:sz w:val="28"/>
          <w:szCs w:val="28"/>
        </w:rPr>
      </w:pPr>
      <w:r w:rsidRPr="00A90E84">
        <w:rPr>
          <w:rFonts w:ascii="David" w:hAnsi="David" w:cs="David" w:hint="cs"/>
          <w:b/>
          <w:bCs/>
          <w:sz w:val="28"/>
          <w:szCs w:val="28"/>
          <w:rtl/>
        </w:rPr>
        <w:t>חתימת המגיה: סגן שיר בן-ארמון</w:t>
      </w:r>
      <w:bookmarkEnd w:id="1"/>
      <w:r w:rsidRPr="00A90E84">
        <w:rPr>
          <w:rFonts w:ascii="David" w:hAnsi="David" w:cs="David" w:hint="cs"/>
          <w:b/>
          <w:bCs/>
          <w:sz w:val="28"/>
          <w:szCs w:val="28"/>
          <w:u w:val="single"/>
          <w:rtl/>
        </w:rPr>
        <w:t xml:space="preserve"> </w:t>
      </w:r>
      <w:bookmarkEnd w:id="2"/>
    </w:p>
    <w:bookmarkEnd w:id="3"/>
    <w:p w14:paraId="3DFAB32C" w14:textId="77777777" w:rsidR="00A90E84" w:rsidRPr="00A90E84" w:rsidRDefault="00A90E84" w:rsidP="00A90E84">
      <w:pPr>
        <w:pBdr>
          <w:top w:val="nil"/>
          <w:left w:val="nil"/>
          <w:bottom w:val="nil"/>
          <w:right w:val="nil"/>
          <w:between w:val="nil"/>
        </w:pBdr>
        <w:tabs>
          <w:tab w:val="left" w:pos="567"/>
        </w:tabs>
        <w:spacing w:after="0"/>
        <w:ind w:left="84"/>
        <w:rPr>
          <w:rFonts w:ascii="David" w:hAnsi="David" w:cs="David"/>
          <w:bCs/>
          <w:color w:val="000000"/>
          <w:rtl/>
        </w:rPr>
      </w:pPr>
    </w:p>
    <w:p w14:paraId="1353870C" w14:textId="52993E7D" w:rsidR="00BE71F2" w:rsidRPr="00C82F9B" w:rsidRDefault="00BE71F2" w:rsidP="00A51FCE">
      <w:pPr>
        <w:pBdr>
          <w:top w:val="nil"/>
          <w:left w:val="nil"/>
          <w:bottom w:val="nil"/>
          <w:right w:val="nil"/>
          <w:between w:val="nil"/>
        </w:pBdr>
        <w:tabs>
          <w:tab w:val="left" w:pos="567"/>
        </w:tabs>
        <w:ind w:left="1352"/>
        <w:jc w:val="both"/>
        <w:rPr>
          <w:rFonts w:ascii="David" w:hAnsi="David" w:cs="David"/>
          <w:bCs/>
          <w:color w:val="000000"/>
        </w:rPr>
      </w:pPr>
    </w:p>
    <w:sectPr w:rsidR="00BE71F2" w:rsidRPr="00C82F9B" w:rsidSect="008C533F">
      <w:headerReference w:type="even" r:id="rId22"/>
      <w:headerReference w:type="default" r:id="rId23"/>
      <w:footerReference w:type="default" r:id="rId24"/>
      <w:headerReference w:type="first" r:id="rId25"/>
      <w:pgSz w:w="11906" w:h="16838"/>
      <w:pgMar w:top="1440" w:right="1800" w:bottom="1440" w:left="180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BA4F2" w14:textId="77777777" w:rsidR="005E49B6" w:rsidRDefault="005E49B6">
      <w:pPr>
        <w:spacing w:after="0" w:line="240" w:lineRule="auto"/>
      </w:pPr>
      <w:r>
        <w:separator/>
      </w:r>
    </w:p>
  </w:endnote>
  <w:endnote w:type="continuationSeparator" w:id="0">
    <w:p w14:paraId="790FA451" w14:textId="77777777" w:rsidR="005E49B6" w:rsidRDefault="005E4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E89E8" w14:textId="77777777" w:rsidR="00BE71F2" w:rsidRDefault="003149D5">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532A2">
      <w:rPr>
        <w:noProof/>
        <w:color w:val="000000"/>
        <w:rtl/>
      </w:rPr>
      <w:t>1</w:t>
    </w:r>
    <w:r>
      <w:rPr>
        <w:color w:val="000000"/>
      </w:rPr>
      <w:fldChar w:fldCharType="end"/>
    </w:r>
  </w:p>
  <w:p w14:paraId="231D8AAF" w14:textId="77777777" w:rsidR="00BE71F2" w:rsidRDefault="00BE71F2">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31227" w14:textId="77777777" w:rsidR="005E49B6" w:rsidRDefault="005E49B6">
      <w:pPr>
        <w:spacing w:after="0" w:line="240" w:lineRule="auto"/>
      </w:pPr>
      <w:r>
        <w:separator/>
      </w:r>
    </w:p>
  </w:footnote>
  <w:footnote w:type="continuationSeparator" w:id="0">
    <w:p w14:paraId="21684ABB" w14:textId="77777777" w:rsidR="005E49B6" w:rsidRDefault="005E4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A74A5" w14:textId="77777777" w:rsidR="00BE71F2" w:rsidRDefault="003149D5">
    <w:pPr>
      <w:pBdr>
        <w:top w:val="nil"/>
        <w:left w:val="nil"/>
        <w:bottom w:val="nil"/>
        <w:right w:val="nil"/>
        <w:between w:val="nil"/>
      </w:pBdr>
      <w:tabs>
        <w:tab w:val="center" w:pos="4153"/>
        <w:tab w:val="right" w:pos="8306"/>
      </w:tabs>
      <w:spacing w:after="0" w:line="240" w:lineRule="auto"/>
      <w:rPr>
        <w:color w:val="000000"/>
      </w:rPr>
    </w:pPr>
    <w:r>
      <w:rPr>
        <w:noProof/>
        <w:color w:val="000000"/>
      </w:rPr>
      <mc:AlternateContent>
        <mc:Choice Requires="wps">
          <w:drawing>
            <wp:anchor distT="0" distB="0" distL="0" distR="0" simplePos="0" relativeHeight="251659264" behindDoc="0" locked="0" layoutInCell="1" hidden="0" allowOverlap="1" wp14:anchorId="0BF852AD" wp14:editId="50887ABB">
              <wp:simplePos x="0" y="0"/>
              <wp:positionH relativeFrom="page">
                <wp:align>center</wp:align>
              </wp:positionH>
              <wp:positionV relativeFrom="page">
                <wp:align>top</wp:align>
              </wp:positionV>
              <wp:extent cx="443865" cy="443865"/>
              <wp:effectExtent l="0" t="0" r="6985" b="4445"/>
              <wp:wrapNone/>
              <wp:docPr id="3" name="תיבת טקסט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A0945A" w14:textId="77777777" w:rsidR="0044138C" w:rsidRPr="0044138C" w:rsidRDefault="003149D5" w:rsidP="0044138C">
                          <w:pPr>
                            <w:spacing w:after="0"/>
                            <w:rPr>
                              <w:noProof/>
                              <w:color w:val="000000"/>
                              <w:sz w:val="20"/>
                              <w:szCs w:val="20"/>
                            </w:rPr>
                          </w:pPr>
                          <w:r w:rsidRPr="0044138C">
                            <w:rPr>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F852AD" id="_x0000_t202" coordsize="21600,21600" o:spt="202" path="m,l,21600r21600,l21600,xe">
              <v:stroke joinstyle="miter"/>
              <v:path gradientshapeok="t" o:connecttype="rect"/>
            </v:shapetype>
            <v:shape id="תיבת טקסט 3" o:spid="_x0000_s1026" type="#_x0000_t202"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IDMgIAAEMEAAAOAAAAZHJzL2Uyb0RvYy54bWysU81u2zAMvg/YOwi6L3aatuiMOEXWIsOA&#10;oi2QDj0rshQbsERBUmJnb7Fbd9xpQF/IrzNKttOt22nYhaZImj8fP84vW1WTvbCuAp3T6SSlRGgO&#10;RaW3Of38sHp3QYnzTBesBi1yehCOXi7evpk3JhMnUEJdCEswiXZZY3Jaem+yJHG8FIq5CRih0SnB&#10;KubxabdJYVmD2VWdnKTpedKALYwFLpxD63XvpIuYX0rB/Z2UTnhS5xR781HaKDdBJos5y7aWmbLi&#10;QxvsH7pQrNJY9JjqmnlGdrb6I5WquAUH0k84qASkrLiIM+A00/TVNOuSGRFnQXCcOcLk/l9afru/&#10;t6QqcjqjRDOFK+qeu2/d1+6ZdE/dj+5790RmAabGuAyj1wbjffsBWlz3aHdoDNO30qrwxbkI+hHw&#10;wxFk0XrC0Xh6Ors4P6OEo2vQMXvy8rOxzn8UoEhQcmpxhxFatr9xvg8dQ0ItDauqruMea/2bAXMG&#10;SxI67zsMmm837TDOBooDTmOhp4UzfFVhzRvm/D2zyAMcALnt71DIGpqcwqBRUoL98jd7iMf1oJeS&#10;BnmVU43Ep6T+pHFtgYJRmb5Pz1J82dG8GRW9U1eAbJ3i4Rge1RDn61GVFtQjsn4ZCqGLaY7lcupH&#10;9cr3BMer4WK5jEHINsP8jV4bHlIHnAKID+0js2ZA2uOKbmEkHcteAd7Hhj+dWe48wh63ETDtgRyg&#10;RqbGfQ5XFU7h13eMern9xU8AAAD//wMAUEsDBBQABgAIAAAAIQDUHg1H2AAAAAMBAAAPAAAAZHJz&#10;L2Rvd25yZXYueG1sTI/NbsJADITvSLzDypV6g00qgUqaDUJIHLhR+nM2WZOEZu0ou0DK03fbHtqL&#10;R9ZYM5/z5eBadaHeN8IG0mkCirgU23Bl4PVlM3kE5QOyxVaYDHySh2UxHuWYWbnyM132oVIxhH2G&#10;BuoQukxrX9bk0E+lI47eUXqHIa59pW2P1xjuWv2QJHPtsOHYUGNH65rKj/3ZGWhmKwkpvW03p3eX&#10;SnrbbWe3nTH3d8PqCVSgIfwdwzd+RIciMh3kzNar1kB8JPzM6M0XC1CHX9VFrv+zF18AAAD//wMA&#10;UEsBAi0AFAAGAAgAAAAhALaDOJL+AAAA4QEAABMAAAAAAAAAAAAAAAAAAAAAAFtDb250ZW50X1R5&#10;cGVzXS54bWxQSwECLQAUAAYACAAAACEAOP0h/9YAAACUAQAACwAAAAAAAAAAAAAAAAAvAQAAX3Jl&#10;bHMvLnJlbHNQSwECLQAUAAYACAAAACEA0gGiAzICAABDBAAADgAAAAAAAAAAAAAAAAAuAgAAZHJz&#10;L2Uyb0RvYy54bWxQSwECLQAUAAYACAAAACEA1B4NR9gAAAADAQAADwAAAAAAAAAAAAAAAACMBAAA&#10;ZHJzL2Rvd25yZXYueG1sUEsFBgAAAAAEAAQA8wAAAJEFAAAAAA==&#10;" filled="f" stroked="f">
              <v:textbox style="mso-fit-shape-to-text:t" inset="0,15pt,0,0">
                <w:txbxContent>
                  <w:p w14:paraId="60A0945A" w14:textId="77777777" w:rsidR="0044138C" w:rsidRPr="0044138C" w:rsidRDefault="003149D5" w:rsidP="0044138C">
                    <w:pPr>
                      <w:spacing w:after="0"/>
                      <w:rPr>
                        <w:noProof/>
                        <w:color w:val="000000"/>
                        <w:sz w:val="20"/>
                        <w:szCs w:val="20"/>
                      </w:rPr>
                    </w:pPr>
                    <w:r w:rsidRPr="0044138C">
                      <w:rPr>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1ADC" w14:textId="1DA97B82" w:rsidR="00202D6F" w:rsidRPr="00202D6F" w:rsidRDefault="00202D6F" w:rsidP="00202D6F">
    <w:pPr>
      <w:pStyle w:val="Header"/>
      <w:jc w:val="center"/>
      <w:rPr>
        <w:rFonts w:ascii="David" w:hAnsi="David" w:cs="David"/>
        <w:sz w:val="24"/>
        <w:szCs w:val="24"/>
        <w:rtl/>
      </w:rPr>
    </w:pPr>
    <w:r w:rsidRPr="00202D6F">
      <w:rPr>
        <w:rFonts w:ascii="David" w:hAnsi="David" w:cs="David" w:hint="cs"/>
        <w:sz w:val="24"/>
        <w:szCs w:val="24"/>
        <w:rtl/>
      </w:rPr>
      <w:t>-בלמ"ס-</w:t>
    </w:r>
  </w:p>
  <w:p w14:paraId="09F3F3BC" w14:textId="2C9257C3" w:rsidR="00202D6F" w:rsidRPr="00202D6F" w:rsidRDefault="00202D6F" w:rsidP="00202D6F">
    <w:pPr>
      <w:pStyle w:val="Header"/>
      <w:jc w:val="right"/>
      <w:rPr>
        <w:rFonts w:ascii="David" w:hAnsi="David" w:cs="David"/>
        <w:sz w:val="24"/>
        <w:szCs w:val="24"/>
        <w:rtl/>
      </w:rPr>
    </w:pPr>
    <w:r w:rsidRPr="00202D6F">
      <w:rPr>
        <w:rFonts w:ascii="David" w:hAnsi="David" w:cs="David" w:hint="cs"/>
        <w:sz w:val="24"/>
        <w:szCs w:val="24"/>
        <w:rtl/>
      </w:rPr>
      <w:t>דרום (תעבורה) 6/23</w:t>
    </w:r>
  </w:p>
  <w:p w14:paraId="053D9C00" w14:textId="5247996C" w:rsidR="00202D6F" w:rsidRPr="00202D6F" w:rsidRDefault="00202D6F" w:rsidP="00202D6F">
    <w:pPr>
      <w:pStyle w:val="Header"/>
      <w:jc w:val="right"/>
      <w:rPr>
        <w:rFonts w:ascii="David" w:hAnsi="David" w:cs="David"/>
        <w:sz w:val="24"/>
        <w:szCs w:val="24"/>
      </w:rPr>
    </w:pPr>
    <w:r w:rsidRPr="00202D6F">
      <w:rPr>
        <w:rFonts w:ascii="David" w:hAnsi="David" w:cs="David" w:hint="cs"/>
        <w:sz w:val="24"/>
        <w:szCs w:val="24"/>
        <w:rtl/>
      </w:rPr>
      <w:t xml:space="preserve">התובע הצבאי נ' </w:t>
    </w:r>
    <w:r w:rsidR="007A1F1A">
      <w:rPr>
        <w:rFonts w:ascii="David" w:hAnsi="David" w:cs="David" w:hint="cs"/>
        <w:sz w:val="24"/>
        <w:szCs w:val="24"/>
      </w:rPr>
      <w:t>X</w:t>
    </w:r>
    <w:r w:rsidRPr="00202D6F">
      <w:rPr>
        <w:rFonts w:ascii="David" w:hAnsi="David" w:cs="David" w:hint="cs"/>
        <w:sz w:val="24"/>
        <w:szCs w:val="24"/>
        <w:rtl/>
      </w:rPr>
      <w:t>/</w:t>
    </w:r>
    <w:r w:rsidRPr="00202D6F">
      <w:rPr>
        <w:rFonts w:ascii="David" w:hAnsi="David" w:cs="David" w:hint="cs"/>
        <w:sz w:val="24"/>
        <w:szCs w:val="24"/>
      </w:rPr>
      <w:t>XXX</w:t>
    </w:r>
    <w:r w:rsidRPr="00202D6F">
      <w:rPr>
        <w:rFonts w:ascii="David" w:hAnsi="David" w:cs="David" w:hint="cs"/>
        <w:sz w:val="24"/>
        <w:szCs w:val="24"/>
        <w:rtl/>
      </w:rPr>
      <w:t xml:space="preserve"> רס"ן ל</w:t>
    </w:r>
    <w:r>
      <w:rPr>
        <w:rFonts w:ascii="David" w:hAnsi="David" w:cs="David" w:hint="cs"/>
        <w:sz w:val="24"/>
        <w:szCs w:val="24"/>
        <w:rtl/>
      </w:rPr>
      <w:t>'</w:t>
    </w:r>
    <w:r w:rsidRPr="00202D6F">
      <w:rPr>
        <w:rFonts w:ascii="David" w:hAnsi="David" w:cs="David" w:hint="cs"/>
        <w:sz w:val="24"/>
        <w:szCs w:val="24"/>
        <w:rtl/>
      </w:rPr>
      <w:t xml:space="preserve"> ה</w:t>
    </w:r>
    <w:r>
      <w:rPr>
        <w:rFonts w:ascii="David" w:hAnsi="David" w:cs="David" w:hint="cs"/>
        <w:sz w:val="24"/>
        <w:szCs w:val="24"/>
        <w:rtl/>
      </w:rPr>
      <w:t>'</w:t>
    </w:r>
    <w:r w:rsidRPr="00202D6F">
      <w:rPr>
        <w:rFonts w:ascii="David" w:hAnsi="David" w:cs="David" w:hint="cs"/>
        <w:sz w:val="24"/>
        <w:szCs w:val="24"/>
        <w:rtl/>
      </w:rPr>
      <w:t xml:space="preserve"> מ</w:t>
    </w:r>
    <w:r>
      <w:rPr>
        <w:rFonts w:ascii="David" w:hAnsi="David" w:cs="David" w:hint="cs"/>
        <w:sz w:val="24"/>
        <w:szCs w:val="24"/>
        <w:rtl/>
      </w:rPr>
      <w:t>'</w:t>
    </w:r>
  </w:p>
  <w:p w14:paraId="31895D22" w14:textId="77777777" w:rsidR="00202D6F" w:rsidRPr="00202D6F" w:rsidRDefault="00202D6F">
    <w:pPr>
      <w:pStyle w:val="Header"/>
      <w:rPr>
        <w:rFonts w:ascii="David" w:hAnsi="David" w:cs="David"/>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895B" w14:textId="77777777" w:rsidR="00BE71F2" w:rsidRDefault="003149D5">
    <w:pPr>
      <w:pBdr>
        <w:top w:val="nil"/>
        <w:left w:val="nil"/>
        <w:bottom w:val="nil"/>
        <w:right w:val="nil"/>
        <w:between w:val="nil"/>
      </w:pBdr>
      <w:tabs>
        <w:tab w:val="center" w:pos="4153"/>
        <w:tab w:val="right" w:pos="8306"/>
      </w:tabs>
      <w:spacing w:after="0" w:line="240" w:lineRule="auto"/>
      <w:rPr>
        <w:color w:val="000000"/>
      </w:rPr>
    </w:pPr>
    <w:r>
      <w:rPr>
        <w:noProof/>
        <w:color w:val="000000"/>
      </w:rPr>
      <mc:AlternateContent>
        <mc:Choice Requires="wps">
          <w:drawing>
            <wp:anchor distT="0" distB="0" distL="0" distR="0" simplePos="0" relativeHeight="251658240" behindDoc="0" locked="0" layoutInCell="1" hidden="0" allowOverlap="1" wp14:anchorId="1ED94781" wp14:editId="1098E51A">
              <wp:simplePos x="0" y="0"/>
              <wp:positionH relativeFrom="page">
                <wp:align>center</wp:align>
              </wp:positionH>
              <wp:positionV relativeFrom="page">
                <wp:align>top</wp:align>
              </wp:positionV>
              <wp:extent cx="443865" cy="443865"/>
              <wp:effectExtent l="0" t="0" r="6985" b="4445"/>
              <wp:wrapNone/>
              <wp:docPr id="2" name="תיבת טקסט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99C3A0" w14:textId="77777777" w:rsidR="0044138C" w:rsidRPr="0044138C" w:rsidRDefault="003149D5" w:rsidP="0044138C">
                          <w:pPr>
                            <w:spacing w:after="0"/>
                            <w:rPr>
                              <w:noProof/>
                              <w:color w:val="000000"/>
                              <w:sz w:val="20"/>
                              <w:szCs w:val="20"/>
                            </w:rPr>
                          </w:pPr>
                          <w:r w:rsidRPr="0044138C">
                            <w:rPr>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94781" id="_x0000_t202" coordsize="21600,21600" o:spt="202" path="m,l,21600r21600,l21600,xe">
              <v:stroke joinstyle="miter"/>
              <v:path gradientshapeok="t" o:connecttype="rect"/>
            </v:shapetype>
            <v:shape id="תיבת טקסט 2" o:spid="_x0000_s1027" type="#_x0000_t202"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FTZNQIAAEoEAAAOAAAAZHJzL2Uyb0RvYy54bWysVMFu2zAMvQ/YPwi6L3aytuiMOEXWIsOA&#10;oi2QDj0rshQbsERBUmJnf7Fbd9ypQH/IvzNKttOt22nYRaFI+pF8fMr8olU12QvrKtA5nU5SSoTm&#10;UFR6m9Mv96t355Q4z3TBatAipwfh6MXi7Zt5YzIxgxLqQliCINpljclp6b3JksTxUijmJmCExqAE&#10;q5jHq90mhWUNoqs6maXpWdKALYwFLpxD71UfpIuIL6Xg/lZKJzypc4q9+XjaeG7CmSzmLNtaZsqK&#10;D22wf+hCsUpj0SPUFfOM7Gz1B5SquAUH0k84qASkrLiIM+A00/TVNOuSGRFnQXKcOdLk/h8sv9nf&#10;WVIVOZ1RopnCFXXP3ffuW/dMusfuqfvRPZJZoKkxLsPstcF8336EFtc9+h06w/SttCr84lwE40j4&#10;4UiyaD3h6Dw5eX9+dkoJx9BgI3ry8rGxzn8SoEgwcmpxh5Fatr92vk8dU0ItDauqruMea/2bAzGD&#10;Jwmd9x0Gy7ebNg587H4DxQGHstCrwxm+qrD0NXP+jlmUA86BEve3eMgampzCYFFSgv36N3/Ixy1h&#10;lJIG5ZVTjfqnpP6scXtBidGYfkhPU7zZ0b0ZDb1Tl4CineL7MTyaIc/XoyktqAcU/zIUwhDTHMvl&#10;1I/mpe91jo+Hi+UyJqHoDPPXem14gA50BS7v2wdmzUC4x03dwKg9lr3ivc8NXzqz3HlkPy4lUNsT&#10;OTCOgo1rHR5XeBG/3mPWy1/A4icAAAD//wMAUEsDBBQABgAIAAAAIQDUHg1H2AAAAAMBAAAPAAAA&#10;ZHJzL2Rvd25yZXYueG1sTI/NbsJADITvSLzDypV6g00qgUqaDUJIHLhR+nM2WZOEZu0ou0DK03fb&#10;HtqLR9ZYM5/z5eBadaHeN8IG0mkCirgU23Bl4PVlM3kE5QOyxVaYDHySh2UxHuWYWbnyM132oVIx&#10;hH2GBuoQukxrX9bk0E+lI47eUXqHIa59pW2P1xjuWv2QJHPtsOHYUGNH65rKj/3ZGWhmKwkpvW03&#10;p3eXSnrbbWe3nTH3d8PqCVSgIfwdwzd+RIciMh3kzNar1kB8JPzM6M0XC1CHX9VFrv+zF18AAAD/&#10;/wMAUEsBAi0AFAAGAAgAAAAhALaDOJL+AAAA4QEAABMAAAAAAAAAAAAAAAAAAAAAAFtDb250ZW50&#10;X1R5cGVzXS54bWxQSwECLQAUAAYACAAAACEAOP0h/9YAAACUAQAACwAAAAAAAAAAAAAAAAAvAQAA&#10;X3JlbHMvLnJlbHNQSwECLQAUAAYACAAAACEAgyRU2TUCAABKBAAADgAAAAAAAAAAAAAAAAAuAgAA&#10;ZHJzL2Uyb0RvYy54bWxQSwECLQAUAAYACAAAACEA1B4NR9gAAAADAQAADwAAAAAAAAAAAAAAAACP&#10;BAAAZHJzL2Rvd25yZXYueG1sUEsFBgAAAAAEAAQA8wAAAJQFAAAAAA==&#10;" filled="f" stroked="f">
              <v:textbox style="mso-fit-shape-to-text:t" inset="0,15pt,0,0">
                <w:txbxContent>
                  <w:p w14:paraId="5499C3A0" w14:textId="77777777" w:rsidR="0044138C" w:rsidRPr="0044138C" w:rsidRDefault="003149D5" w:rsidP="0044138C">
                    <w:pPr>
                      <w:spacing w:after="0"/>
                      <w:rPr>
                        <w:noProof/>
                        <w:color w:val="000000"/>
                        <w:sz w:val="20"/>
                        <w:szCs w:val="20"/>
                      </w:rPr>
                    </w:pPr>
                    <w:r w:rsidRPr="0044138C">
                      <w:rPr>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337F2"/>
    <w:multiLevelType w:val="multilevel"/>
    <w:tmpl w:val="0AC8F934"/>
    <w:lvl w:ilvl="0">
      <w:start w:val="1"/>
      <w:numFmt w:val="decimal"/>
      <w:lvlText w:val="%1."/>
      <w:lvlJc w:val="left"/>
      <w:pPr>
        <w:ind w:left="1719" w:hanging="360"/>
      </w:pPr>
    </w:lvl>
    <w:lvl w:ilvl="1">
      <w:start w:val="1"/>
      <w:numFmt w:val="lowerLetter"/>
      <w:lvlText w:val="%2."/>
      <w:lvlJc w:val="left"/>
      <w:pPr>
        <w:ind w:left="2439" w:hanging="360"/>
      </w:pPr>
    </w:lvl>
    <w:lvl w:ilvl="2">
      <w:start w:val="1"/>
      <w:numFmt w:val="lowerRoman"/>
      <w:lvlText w:val="%3."/>
      <w:lvlJc w:val="right"/>
      <w:pPr>
        <w:ind w:left="3159" w:hanging="180"/>
      </w:pPr>
    </w:lvl>
    <w:lvl w:ilvl="3">
      <w:start w:val="1"/>
      <w:numFmt w:val="decimal"/>
      <w:lvlText w:val="%4."/>
      <w:lvlJc w:val="left"/>
      <w:pPr>
        <w:ind w:left="3879" w:hanging="360"/>
      </w:pPr>
    </w:lvl>
    <w:lvl w:ilvl="4">
      <w:start w:val="1"/>
      <w:numFmt w:val="lowerLetter"/>
      <w:lvlText w:val="%5."/>
      <w:lvlJc w:val="left"/>
      <w:pPr>
        <w:ind w:left="4599" w:hanging="360"/>
      </w:pPr>
    </w:lvl>
    <w:lvl w:ilvl="5">
      <w:start w:val="1"/>
      <w:numFmt w:val="lowerRoman"/>
      <w:lvlText w:val="%6."/>
      <w:lvlJc w:val="right"/>
      <w:pPr>
        <w:ind w:left="5319" w:hanging="180"/>
      </w:pPr>
    </w:lvl>
    <w:lvl w:ilvl="6">
      <w:start w:val="1"/>
      <w:numFmt w:val="decimal"/>
      <w:lvlText w:val="%7."/>
      <w:lvlJc w:val="left"/>
      <w:pPr>
        <w:ind w:left="6039" w:hanging="360"/>
      </w:pPr>
    </w:lvl>
    <w:lvl w:ilvl="7">
      <w:start w:val="1"/>
      <w:numFmt w:val="lowerLetter"/>
      <w:lvlText w:val="%8."/>
      <w:lvlJc w:val="left"/>
      <w:pPr>
        <w:ind w:left="6759" w:hanging="360"/>
      </w:pPr>
    </w:lvl>
    <w:lvl w:ilvl="8">
      <w:start w:val="1"/>
      <w:numFmt w:val="lowerRoman"/>
      <w:lvlText w:val="%9."/>
      <w:lvlJc w:val="right"/>
      <w:pPr>
        <w:ind w:left="7479" w:hanging="180"/>
      </w:pPr>
    </w:lvl>
  </w:abstractNum>
  <w:abstractNum w:abstractNumId="1" w15:restartNumberingAfterBreak="0">
    <w:nsid w:val="32273997"/>
    <w:multiLevelType w:val="hybridMultilevel"/>
    <w:tmpl w:val="5106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D138B6"/>
    <w:multiLevelType w:val="multilevel"/>
    <w:tmpl w:val="BDCCF584"/>
    <w:lvl w:ilvl="0">
      <w:start w:val="1"/>
      <w:numFmt w:val="decimal"/>
      <w:lvlText w:val="%1."/>
      <w:lvlJc w:val="left"/>
      <w:pPr>
        <w:ind w:left="1352" w:hanging="360"/>
      </w:pPr>
      <w:rPr>
        <w:rFonts w:ascii="David" w:eastAsia="David" w:hAnsi="David" w:cs="David"/>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671CF2"/>
    <w:multiLevelType w:val="hybridMultilevel"/>
    <w:tmpl w:val="4E86C28C"/>
    <w:lvl w:ilvl="0" w:tplc="0409000F">
      <w:start w:val="1"/>
      <w:numFmt w:val="decimal"/>
      <w:lvlText w:val="%1."/>
      <w:lvlJc w:val="left"/>
      <w:pPr>
        <w:ind w:left="418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22C61"/>
    <w:multiLevelType w:val="multilevel"/>
    <w:tmpl w:val="68248D2E"/>
    <w:lvl w:ilvl="0">
      <w:start w:val="1"/>
      <w:numFmt w:val="bullet"/>
      <w:lvlText w:val="●"/>
      <w:lvlJc w:val="left"/>
      <w:pPr>
        <w:ind w:left="643" w:hanging="360"/>
      </w:pPr>
      <w:rPr>
        <w:rFonts w:ascii="Noto Sans Symbols" w:eastAsia="Noto Sans Symbols" w:hAnsi="Noto Sans Symbols" w:cs="Noto Sans Symbols"/>
      </w:rPr>
    </w:lvl>
    <w:lvl w:ilvl="1">
      <w:start w:val="1"/>
      <w:numFmt w:val="bullet"/>
      <w:lvlText w:val="o"/>
      <w:lvlJc w:val="left"/>
      <w:pPr>
        <w:ind w:left="1363" w:hanging="360"/>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1F2"/>
    <w:rsid w:val="00015E43"/>
    <w:rsid w:val="000E6834"/>
    <w:rsid w:val="00115D28"/>
    <w:rsid w:val="001176A0"/>
    <w:rsid w:val="00120D73"/>
    <w:rsid w:val="00141AA1"/>
    <w:rsid w:val="00202D6F"/>
    <w:rsid w:val="002408D1"/>
    <w:rsid w:val="002B6A67"/>
    <w:rsid w:val="003149D5"/>
    <w:rsid w:val="00394178"/>
    <w:rsid w:val="003B7959"/>
    <w:rsid w:val="0045047F"/>
    <w:rsid w:val="005A31C7"/>
    <w:rsid w:val="005E49B6"/>
    <w:rsid w:val="00600659"/>
    <w:rsid w:val="006A20D9"/>
    <w:rsid w:val="006C10DC"/>
    <w:rsid w:val="00726B6B"/>
    <w:rsid w:val="007532A2"/>
    <w:rsid w:val="0075613F"/>
    <w:rsid w:val="007934EF"/>
    <w:rsid w:val="007A1F1A"/>
    <w:rsid w:val="007A2B69"/>
    <w:rsid w:val="00855F4F"/>
    <w:rsid w:val="008C533F"/>
    <w:rsid w:val="008D69D0"/>
    <w:rsid w:val="008E4A79"/>
    <w:rsid w:val="00A51FCE"/>
    <w:rsid w:val="00A81C7A"/>
    <w:rsid w:val="00A90E84"/>
    <w:rsid w:val="00A96048"/>
    <w:rsid w:val="00AD1918"/>
    <w:rsid w:val="00B136A2"/>
    <w:rsid w:val="00B714AD"/>
    <w:rsid w:val="00BC3747"/>
    <w:rsid w:val="00BE71F2"/>
    <w:rsid w:val="00C2720F"/>
    <w:rsid w:val="00C82F9B"/>
    <w:rsid w:val="00E751DB"/>
    <w:rsid w:val="00E76804"/>
    <w:rsid w:val="00EE3EB7"/>
    <w:rsid w:val="00F1414C"/>
    <w:rsid w:val="00F6107C"/>
    <w:rsid w:val="00F81C2D"/>
    <w:rsid w:val="00FA092A"/>
    <w:rsid w:val="00FB49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47351"/>
  <w15:docId w15:val="{6FDEC15A-C97A-4372-8D00-55C9A7FE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40" w:after="0"/>
      <w:outlineLvl w:val="1"/>
    </w:pPr>
    <w:rPr>
      <w:color w:val="2F5496"/>
      <w:sz w:val="26"/>
      <w:szCs w:val="26"/>
    </w:rPr>
  </w:style>
  <w:style w:type="paragraph" w:styleId="Heading3">
    <w:name w:val="heading 3"/>
    <w:basedOn w:val="Normal"/>
    <w:next w:val="Normal"/>
    <w:uiPriority w:val="9"/>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26B6B"/>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26B6B"/>
    <w:rPr>
      <w:color w:val="0000FF"/>
      <w:u w:val="single"/>
    </w:rPr>
  </w:style>
  <w:style w:type="paragraph" w:styleId="Quote">
    <w:name w:val="Quote"/>
    <w:basedOn w:val="Normal"/>
    <w:next w:val="Normal"/>
    <w:link w:val="QuoteChar"/>
    <w:uiPriority w:val="29"/>
    <w:qFormat/>
    <w:rsid w:val="00726B6B"/>
    <w:pPr>
      <w:spacing w:after="0" w:line="360" w:lineRule="auto"/>
      <w:ind w:left="1418" w:right="1418"/>
      <w:jc w:val="both"/>
    </w:pPr>
    <w:rPr>
      <w:rFonts w:ascii="Times New Roman" w:eastAsia="Times New Roman" w:hAnsi="Times New Roman" w:cs="David"/>
      <w:i/>
      <w:noProof/>
      <w:sz w:val="24"/>
      <w:szCs w:val="24"/>
    </w:rPr>
  </w:style>
  <w:style w:type="character" w:customStyle="1" w:styleId="QuoteChar">
    <w:name w:val="Quote Char"/>
    <w:basedOn w:val="DefaultParagraphFont"/>
    <w:link w:val="Quote"/>
    <w:uiPriority w:val="29"/>
    <w:rsid w:val="00726B6B"/>
    <w:rPr>
      <w:rFonts w:ascii="Times New Roman" w:eastAsia="Times New Roman" w:hAnsi="Times New Roman" w:cs="David"/>
      <w:i/>
      <w:noProof/>
      <w:sz w:val="24"/>
      <w:szCs w:val="24"/>
    </w:rPr>
  </w:style>
  <w:style w:type="paragraph" w:styleId="Header">
    <w:name w:val="header"/>
    <w:basedOn w:val="Normal"/>
    <w:link w:val="HeaderChar"/>
    <w:uiPriority w:val="99"/>
    <w:unhideWhenUsed/>
    <w:rsid w:val="00202D6F"/>
    <w:pPr>
      <w:tabs>
        <w:tab w:val="center" w:pos="4153"/>
        <w:tab w:val="right" w:pos="8306"/>
      </w:tabs>
      <w:spacing w:after="0" w:line="240" w:lineRule="auto"/>
    </w:pPr>
  </w:style>
  <w:style w:type="character" w:customStyle="1" w:styleId="HeaderChar">
    <w:name w:val="Header Char"/>
    <w:basedOn w:val="DefaultParagraphFont"/>
    <w:link w:val="Header"/>
    <w:uiPriority w:val="99"/>
    <w:rsid w:val="00202D6F"/>
  </w:style>
  <w:style w:type="paragraph" w:styleId="Footer">
    <w:name w:val="footer"/>
    <w:basedOn w:val="Normal"/>
    <w:link w:val="FooterChar"/>
    <w:uiPriority w:val="99"/>
    <w:unhideWhenUsed/>
    <w:rsid w:val="00202D6F"/>
    <w:pPr>
      <w:tabs>
        <w:tab w:val="center" w:pos="4153"/>
        <w:tab w:val="right" w:pos="8306"/>
      </w:tabs>
      <w:spacing w:after="0" w:line="240" w:lineRule="auto"/>
    </w:pPr>
  </w:style>
  <w:style w:type="character" w:customStyle="1" w:styleId="FooterChar">
    <w:name w:val="Footer Char"/>
    <w:basedOn w:val="DefaultParagraphFont"/>
    <w:link w:val="Footer"/>
    <w:uiPriority w:val="99"/>
    <w:rsid w:val="00202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vo.co.il/psika_html/elyon/19030650-Q03.htm" TargetMode="External"/><Relationship Id="rId18" Type="http://schemas.openxmlformats.org/officeDocument/2006/relationships/hyperlink" Target="https://www.nevo.co.il/psika_html/elyon/PADI-NX-3-219-L.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evo.co.il/psika_html/elyon/15015510-w02.htm" TargetMode="External"/><Relationship Id="rId7" Type="http://schemas.openxmlformats.org/officeDocument/2006/relationships/endnotes" Target="endnotes.xml"/><Relationship Id="rId12" Type="http://schemas.openxmlformats.org/officeDocument/2006/relationships/hyperlink" Target="https://www.nevo.co.il/psika_html/elyon/08074770-b10.htm" TargetMode="External"/><Relationship Id="rId17" Type="http://schemas.openxmlformats.org/officeDocument/2006/relationships/hyperlink" Target="https://www.nevo.co.il/psika_html/mechozi/ME-10-05-42915-219.ht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nevo.co.il/psika_html/elyon/13002870-a07.htm" TargetMode="External"/><Relationship Id="rId20" Type="http://schemas.openxmlformats.org/officeDocument/2006/relationships/hyperlink" Target="https://www.nevo.co.il/psika_html/elyon/PADI-NX-3-219-L.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vo.co.il/psika_html/elyon/14046090-l02.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evo.co.il/psika_html/mechozi/ME-16-04-42050-130.htm" TargetMode="External"/><Relationship Id="rId23" Type="http://schemas.openxmlformats.org/officeDocument/2006/relationships/header" Target="header2.xml"/><Relationship Id="rId10" Type="http://schemas.openxmlformats.org/officeDocument/2006/relationships/hyperlink" Target="https://www.nevo.co.il/psika_html/elyon/14046090-l02.htm" TargetMode="External"/><Relationship Id="rId19" Type="http://schemas.openxmlformats.org/officeDocument/2006/relationships/hyperlink" Target="http://www.nevo.co.il/law/74903/23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evo.co.il/psika_html/mechozi/ME-16-06-44164-971.htm"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7D0B7-E7DF-40E4-9994-55994FA9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22</Pages>
  <Words>5672</Words>
  <Characters>28364</Characters>
  <Application>Microsoft Office Word</Application>
  <DocSecurity>0</DocSecurity>
  <Lines>236</Lines>
  <Paragraphs>67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MOD</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יבד"ץ 205/בית דין צפון-ח"י/שופט/חיים בלילטי</dc:creator>
  <cp:lastModifiedBy>שיר מימון - יבד"ץ 205 / בית דין צפון / עוזרת משפטית</cp:lastModifiedBy>
  <cp:revision>4</cp:revision>
  <cp:lastPrinted>2022-12-18T08:33:00Z</cp:lastPrinted>
  <dcterms:created xsi:type="dcterms:W3CDTF">2024-02-29T12:03:00Z</dcterms:created>
  <dcterms:modified xsi:type="dcterms:W3CDTF">2024-03-10T09:36:00Z</dcterms:modified>
</cp:coreProperties>
</file>