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bidi/>
        <w:spacing w:before="0" w:after="0"/>
        <w:jc w:val="right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דרום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מחוזי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49/20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בלמ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</w:p>
    <w:p>
      <w:pPr>
        <w:bidi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after="0" w:line="360" w:lineRule="auto"/>
        <w:jc w:val="both"/>
        <w:rPr>
          <w:rFonts w:ascii="Tahoma" w:eastAsia="Tahoma" w:hAnsi="Tahoma" w:cs="Tahoma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38450" cy="828675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9403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בית הדין הצבאי המחוזי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מחוז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שיפוטי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דרום </w:t>
      </w:r>
    </w:p>
    <w:tbl>
      <w:tblPr>
        <w:bidiVisual/>
        <w:tblW w:w="85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28"/>
        <w:gridCol w:w="2773"/>
      </w:tblGrid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סא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ל רונן שור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</w:tr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 w:line="480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טובי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הארט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</w:tr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סרן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אוריה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זאבי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סרן סיון שפייזר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סמל י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עו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 עודד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סבוראי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ועו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 סיוון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האוזמן</w:t>
      </w:r>
      <w:r>
        <w:rPr>
          <w:rFonts w:ascii="Tahoma" w:eastAsia="Tahoma" w:hAnsi="Tahoma" w:cs="Tahoma"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הכרעת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 פי הודאתו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מורשע הנאשם בעבירה של שימוש בלתי חוקי בנשק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לפי סעיף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85 </w:t>
      </w:r>
      <w:r>
        <w:rPr>
          <w:rFonts w:ascii="David" w:eastAsia="David" w:hAnsi="David" w:cs="David"/>
          <w:sz w:val="28"/>
          <w:szCs w:val="28"/>
          <w:rtl/>
        </w:rPr>
        <w:t>רישה לחוק השיפוט הצבאי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התשט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-1955,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  </w:t>
      </w:r>
      <w:r>
        <w:rPr>
          <w:rFonts w:ascii="David" w:eastAsia="David" w:hAnsi="David" w:cs="David"/>
          <w:sz w:val="28"/>
          <w:szCs w:val="28"/>
          <w:rtl/>
        </w:rPr>
        <w:t>בהתאם לכתב האישום המתוקן ולפרטים הנוספים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ניתנה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א בסיון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ף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03/06/2020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והודעה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 xml:space="preserve">_____( - )_____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tbl>
      <w:tblPr>
        <w:bidiVisual/>
        <w:tblW w:w="852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28"/>
        <w:gridCol w:w="2773"/>
      </w:tblGrid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 w:line="480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סא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ל רונן שור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</w:tc>
      </w:tr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טובי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הארט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</w:tr>
      <w:tr>
        <w:tblPrEx>
          <w:tblW w:w="852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סרן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אוריה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זאבי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סרן סיון שפייזר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סמל י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עו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 סיוון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האוזמן</w:t>
      </w:r>
      <w:r>
        <w:rPr>
          <w:rFonts w:ascii="Tahoma" w:eastAsia="Tahoma" w:hAnsi="Tahoma" w:cs="Tahoma"/>
          <w:sz w:val="28"/>
          <w:szCs w:val="28"/>
          <w:rtl/>
        </w:rPr>
        <w:t>)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גזר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u w:val="single"/>
          <w:rtl/>
        </w:rPr>
        <w:t>רקע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before="0"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סמל </w:t>
      </w:r>
      <w:r>
        <w:rPr>
          <w:rFonts w:ascii="David" w:eastAsia="David" w:hAnsi="David" w:cs="David"/>
          <w:sz w:val="28"/>
          <w:szCs w:val="28"/>
          <w:rtl/>
        </w:rPr>
        <w:t>י</w:t>
      </w:r>
      <w:r>
        <w:rPr>
          <w:rFonts w:ascii="Calibri" w:eastAsia="Calibri" w:hAnsi="Calibri" w:cs="Calibri"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sz w:val="28"/>
          <w:szCs w:val="28"/>
          <w:rtl/>
        </w:rPr>
        <w:t>ס</w:t>
      </w:r>
      <w:r>
        <w:rPr>
          <w:rFonts w:ascii="Calibri" w:eastAsia="Calibri" w:hAnsi="Calibri" w:cs="Calibri"/>
          <w:sz w:val="28"/>
          <w:szCs w:val="28"/>
          <w:rtl/>
        </w:rPr>
        <w:t>'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הורשע על פי הודאתו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בעבירה של שימוש בלתי חוקי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כעולה מכתב האישום המתוקן ומן הפרטים הנוספים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בחודש דצמבר </w:t>
      </w:r>
      <w:r>
        <w:rPr>
          <w:rFonts w:ascii="Calibri" w:eastAsia="Calibri" w:hAnsi="Calibri" w:cs="Calibri"/>
          <w:sz w:val="28"/>
          <w:szCs w:val="28"/>
          <w:rtl/>
        </w:rPr>
        <w:t xml:space="preserve">2018 </w:t>
      </w:r>
      <w:r>
        <w:rPr>
          <w:rFonts w:ascii="David" w:eastAsia="David" w:hAnsi="David" w:cs="David"/>
          <w:sz w:val="28"/>
          <w:szCs w:val="28"/>
          <w:rtl/>
        </w:rPr>
        <w:t>עת יצא הנאשם לחופשה מיחידתו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נפגש עם שלושה אזרחים בשטח הסמוך לכפר </w:t>
      </w:r>
      <w:r>
        <w:rPr>
          <w:rFonts w:ascii="David" w:eastAsia="David" w:hAnsi="David" w:cs="David"/>
          <w:sz w:val="28"/>
          <w:szCs w:val="28"/>
          <w:rtl/>
        </w:rPr>
        <w:t>תייסיר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כשהוא מצויד בנשק צבאי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שתי מחסניות מלאות בקליעים ומטרת קרטון אותה הוציא מן היחידה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בשטח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העביר הנאשם את הנשק לכל אחד מהאזרחים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כשהוא טעון במחסנית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וכל אזרח דרך את הנשק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העבירו למצב 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בודדת</w:t>
      </w:r>
      <w:r>
        <w:rPr>
          <w:rFonts w:ascii="Calibri" w:eastAsia="Calibri" w:hAnsi="Calibri" w:cs="Calibri"/>
          <w:sz w:val="28"/>
          <w:szCs w:val="28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rtl/>
        </w:rPr>
        <w:t>והחל בירי לכיוון המטרה במרחקים משתנים של כמה עשרות מטרים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בסיום כל ירי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נצרו האזרחים את הנשק והעבירוהו לנאשם לצורך פריקתו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אז דרך הנאשם את הנשק והחל בירי לעבר המטרה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תוך שהוא מתקדם רגלית לכיוונה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סך </w:t>
      </w:r>
      <w:r>
        <w:rPr>
          <w:rFonts w:ascii="David" w:eastAsia="David" w:hAnsi="David" w:cs="David"/>
          <w:sz w:val="28"/>
          <w:szCs w:val="28"/>
          <w:rtl/>
        </w:rPr>
        <w:t>הכל</w:t>
      </w:r>
      <w:r>
        <w:rPr>
          <w:rFonts w:ascii="David" w:eastAsia="David" w:hAnsi="David" w:cs="David"/>
          <w:sz w:val="28"/>
          <w:szCs w:val="28"/>
          <w:rtl/>
        </w:rPr>
        <w:t xml:space="preserve"> נורו מהנשק על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ידי הנאשם והאזרחים מספר לא מועט של קליעים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יצוין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כי החקירה נפתחה בעקבות סרטון שנמצא במכשירו הסלולארי של חייל אחר 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כאשר מן התדפיס האישי עולה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שאינדיקציית מצ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 xml:space="preserve">ח נרשמה בחודש אוגוסט </w:t>
      </w:r>
      <w:r>
        <w:rPr>
          <w:rFonts w:ascii="Calibri" w:eastAsia="Calibri" w:hAnsi="Calibri" w:cs="Calibri"/>
          <w:sz w:val="28"/>
          <w:szCs w:val="28"/>
          <w:rtl/>
        </w:rPr>
        <w:t xml:space="preserve">2019).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הנאשם התגייס לשירות קרבי בגבעתי בחודש יולי </w:t>
      </w:r>
      <w:r>
        <w:rPr>
          <w:rFonts w:ascii="Calibri" w:eastAsia="Calibri" w:hAnsi="Calibri" w:cs="Calibri"/>
          <w:sz w:val="28"/>
          <w:szCs w:val="28"/>
          <w:rtl/>
        </w:rPr>
        <w:t xml:space="preserve">2017, </w:t>
      </w:r>
      <w:r>
        <w:rPr>
          <w:rFonts w:ascii="David" w:eastAsia="David" w:hAnsi="David" w:cs="David"/>
          <w:sz w:val="28"/>
          <w:szCs w:val="28"/>
          <w:rtl/>
        </w:rPr>
        <w:t>ועקב בעיה רפואית נמצא לא כשיר זמנית לשירות בין החודשים אוגוסט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 xml:space="preserve">אוקטובר </w:t>
      </w:r>
      <w:r>
        <w:rPr>
          <w:rFonts w:ascii="Calibri" w:eastAsia="Calibri" w:hAnsi="Calibri" w:cs="Calibri"/>
          <w:sz w:val="28"/>
          <w:szCs w:val="28"/>
          <w:rtl/>
        </w:rPr>
        <w:t xml:space="preserve">2018. </w:t>
      </w:r>
      <w:r>
        <w:rPr>
          <w:rFonts w:ascii="David" w:eastAsia="David" w:hAnsi="David" w:cs="David"/>
          <w:sz w:val="28"/>
          <w:szCs w:val="28"/>
          <w:rtl/>
        </w:rPr>
        <w:t xml:space="preserve">הוא סיים את שירות החובה בחודש מרץ </w:t>
      </w:r>
      <w:r>
        <w:rPr>
          <w:rFonts w:ascii="Calibri" w:eastAsia="Calibri" w:hAnsi="Calibri" w:cs="Calibri"/>
          <w:sz w:val="28"/>
          <w:szCs w:val="28"/>
          <w:rtl/>
        </w:rPr>
        <w:t xml:space="preserve">2020 </w:t>
      </w:r>
      <w:r>
        <w:rPr>
          <w:rFonts w:ascii="David" w:eastAsia="David" w:hAnsi="David" w:cs="David"/>
          <w:sz w:val="28"/>
          <w:szCs w:val="28"/>
          <w:rtl/>
        </w:rPr>
        <w:t xml:space="preserve">ולאחר כחודש של שירות קבע השתחרר משירות סדיר 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כאשר מדברי הצדדים עלה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כי כניסתו לשירות קבע לא אושרה על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ידי הגורמים הרלוונטיים</w:t>
      </w:r>
      <w:r>
        <w:rPr>
          <w:rFonts w:ascii="Calibri" w:eastAsia="Calibri" w:hAnsi="Calibri" w:cs="Calibri"/>
          <w:sz w:val="28"/>
          <w:szCs w:val="28"/>
          <w:rtl/>
        </w:rPr>
        <w:t xml:space="preserve">). </w:t>
      </w:r>
      <w:r>
        <w:rPr>
          <w:rFonts w:ascii="David" w:eastAsia="David" w:hAnsi="David" w:cs="David"/>
          <w:sz w:val="28"/>
          <w:szCs w:val="28"/>
          <w:rtl/>
        </w:rPr>
        <w:t>במהלך כל שירותו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לא היו לנאשם עבירות משמעת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מפקדיו של הנאשם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 xml:space="preserve">הן בראיות בכתב והן בעדות בבית הדין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גומרים עליו את ההלל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הם עמדו על רצונו העז של הנאשם לשוב לשירות צבאי לאחר שנפצע בעינו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היותו חייל מוכשר וערכי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חדור מוטיבציה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שקול ואחראי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כאשר האירוע נשוא כתב האישום אינו מאפיין את התנהגותו וערכיו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הם ציינו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כי הנאשם לקח אחריות מלאה על מעשיו והביע בפני החיילים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 xml:space="preserve">בבחינת שליחות שנטל על עצמו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חרטה עמוקה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תוך הפנמת משנה הזהירות הנדרשת בשימוש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גם ראיות נוספות מפי מחנכו וחניכיו בעבר העלו על נס את כישוריו של הנאשם ואישיותו החיובית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Calibri" w:eastAsia="Calibri" w:hAnsi="Calibri" w:cs="Calibri"/>
          <w:sz w:val="28"/>
          <w:szCs w:val="28"/>
          <w:rtl/>
        </w:rPr>
        <w:t xml:space="preserve"> 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 גולל בפני בית הדין את שירותו הצבאי מרובה התהפוכות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התעקשותו לשוב לשירות כלוחם והשלכות האירוע על טיב והמשך שירותו הצבאי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הנאשם </w:t>
      </w:r>
      <w:r>
        <w:rPr>
          <w:rFonts w:ascii="David" w:eastAsia="David" w:hAnsi="David" w:cs="David"/>
          <w:sz w:val="28"/>
          <w:szCs w:val="28"/>
          <w:rtl/>
        </w:rPr>
        <w:t>אישר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כי היה מודע לסיכון במעשיו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ועמד על ההשלכות הצפויות להורדתו בדרגה על תכנונו לעבוד בגופים ביטחוניים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הצדדים הגיעו להסכמה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כי על הנאשם יוטל עונש של מאסר מותנה ותשלום קנס בסך </w:t>
      </w:r>
      <w:r>
        <w:rPr>
          <w:rFonts w:ascii="Calibri" w:eastAsia="Calibri" w:hAnsi="Calibri" w:cs="Calibri"/>
          <w:sz w:val="28"/>
          <w:szCs w:val="28"/>
          <w:rtl/>
        </w:rPr>
        <w:t xml:space="preserve">5,000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או מאסר תמורתו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ונחלקו באשר לרכיב הדרגה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התביעה הצבאית ביקשה לכבד את הסדר הטיעון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נוכח חלוף הזמן ושחרורו של הנאשם משירות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ועתרה להוריד את הנאשם לדרגת טוראי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Calibri" w:eastAsia="Calibri" w:hAnsi="Calibri" w:cs="Calibri"/>
          <w:sz w:val="28"/>
          <w:szCs w:val="28"/>
          <w:rtl/>
        </w:rPr>
        <w:t xml:space="preserve">  </w:t>
      </w:r>
      <w:r>
        <w:rPr>
          <w:rFonts w:ascii="David" w:eastAsia="David" w:hAnsi="David" w:cs="David"/>
          <w:sz w:val="28"/>
          <w:szCs w:val="28"/>
          <w:rtl/>
        </w:rPr>
        <w:t>התביעה עמדה על הפגיעה בערך טוהר הנשק ועל הסיכון לחיי אדם הטמון במעשה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שבוצע לאחר שירות ממושך כלוחם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באירוע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 xml:space="preserve">אשר קדם לו תכנון מוקדם </w:t>
      </w:r>
      <w:r>
        <w:rPr>
          <w:rFonts w:ascii="Calibri" w:eastAsia="Calibri" w:hAnsi="Calibri" w:cs="Calibri"/>
          <w:sz w:val="28"/>
          <w:szCs w:val="28"/>
          <w:rtl/>
        </w:rPr>
        <w:t>–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נורו מספר לא מועט של קליעים גם על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ידי אזרחים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שאינם מוסמכים לשאת או לירות בנשק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Calibri" w:eastAsia="Calibri" w:hAnsi="Calibri" w:cs="Calibri"/>
          <w:sz w:val="28"/>
          <w:szCs w:val="28"/>
          <w:rtl/>
        </w:rPr>
        <w:t xml:space="preserve"> 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ההגנה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לעומתה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עתרה שלא לפגוע בדרגת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אף שההגנה לא חלקה על הפגיעה בערכי הצבא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הרי שלטעמה יש לתת משקל מכריע לחלוף הזמן ולעובדה כי הנאשם הוכיח את עצמו תוך הצטיינות כלוחם בשירות הצבאי והפקת לקחים מן האירוע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הפגיעה המרכזית הייתה בגדיעת תכניתו של הנאשם להמשך שירות משמעותי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לאחר שהתגבר על בעיה רפואית ונאבק לשוב ולתרום למדינה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דרגותיו של הנאשם הינן אות למסלול שעבר ויש מקום להעניק לו את הכבוד בנשיאת הדרגה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גם אם השפעתה על עתידו התעסוקתי עשויה להיות סובייקטיבית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לאור שאלות בית הדין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עתירתה החלופית של ההגנה היא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כי יושתו על הנאשם </w:t>
      </w:r>
      <w:r>
        <w:rPr>
          <w:rFonts w:ascii="Calibri" w:eastAsia="Calibri" w:hAnsi="Calibri" w:cs="Calibri"/>
          <w:sz w:val="28"/>
          <w:szCs w:val="28"/>
          <w:rtl/>
        </w:rPr>
        <w:t xml:space="preserve">14 </w:t>
      </w:r>
      <w:r>
        <w:rPr>
          <w:rFonts w:ascii="David" w:eastAsia="David" w:hAnsi="David" w:cs="David"/>
          <w:sz w:val="28"/>
          <w:szCs w:val="28"/>
          <w:rtl/>
        </w:rPr>
        <w:t>ימים של מאסר בפועל בדרך של עבודה צבאית על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מנת להימנע מפגיעה בדרגה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התביעה נותרה בעמדתה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אך הודיעה כי עתירה חלופית זו של ההגנה אינה מהווה הפרה של הסדר הטיעון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1"/>
        </w:numPr>
        <w:pBdr>
          <w:right w:val="none" w:sz="0" w:space="5" w:color="auto"/>
        </w:pBdr>
        <w:bidi/>
        <w:spacing w:after="0" w:line="360" w:lineRule="auto"/>
        <w:ind w:left="509" w:right="0" w:hanging="422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בדברו האחרון לקח הנאשם אחריות מלאה על המעשה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והתחייב להוות 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סמן ימני</w:t>
      </w:r>
      <w:r>
        <w:rPr>
          <w:rFonts w:ascii="Calibri" w:eastAsia="Calibri" w:hAnsi="Calibri" w:cs="Calibri"/>
          <w:sz w:val="28"/>
          <w:szCs w:val="28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rtl/>
        </w:rPr>
        <w:t>בנושא בעתיד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>
      <w:pPr>
        <w:bidi/>
        <w:spacing w:before="0" w:after="0" w:line="360" w:lineRule="auto"/>
        <w:ind w:left="509"/>
        <w:jc w:val="both"/>
        <w:rPr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ind w:left="509"/>
        <w:jc w:val="both"/>
        <w:rPr>
          <w:sz w:val="28"/>
          <w:szCs w:val="28"/>
          <w:rtl/>
        </w:rPr>
      </w:pPr>
      <w:r>
        <w:rPr>
          <w:rFonts w:ascii="Calibri" w:eastAsia="Calibri" w:hAnsi="Calibri" w:cs="Calibri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ind w:left="509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דיון והכרעה</w:t>
      </w:r>
    </w:p>
    <w:p>
      <w:pPr>
        <w:numPr>
          <w:ilvl w:val="0"/>
          <w:numId w:val="2"/>
        </w:numPr>
        <w:bidi/>
        <w:spacing w:before="0"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כלי נשק הינו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מעצם טיבו וטבעו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אמצעי מסוכן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המופקד בידי חיילי צה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ל למטרות הצבא בלבד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ואשר יש להימנע מכל שימוש בלתי מוסמך בו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מעבר לסיכון לשלום הגוף והבריאות של האוחזים בנשק והסובבים אותם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אין להתעלם מן הסיכון הגלום בעשיית שימוש לא מוסמך בנשק במציאות השוררת במקומותינו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מעבר לכך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במעשיו פגע הנאשם בערך טוהר הנשק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המונחל חדשות לבקרים לחיילי צה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ל בכלל וללוחמים בפרט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כפי שקבע לא אחת בית הדין </w:t>
      </w:r>
      <w:r>
        <w:rPr>
          <w:rFonts w:ascii="David" w:eastAsia="David" w:hAnsi="David" w:cs="David"/>
          <w:sz w:val="28"/>
          <w:szCs w:val="28"/>
          <w:rtl/>
        </w:rPr>
        <w:t>הצבאי לערעורים</w:t>
      </w:r>
      <w:r>
        <w:rPr>
          <w:rFonts w:ascii="Calibri" w:eastAsia="Calibri" w:hAnsi="Calibri" w:cs="Calibri"/>
          <w:sz w:val="28"/>
          <w:szCs w:val="28"/>
          <w:rtl/>
        </w:rPr>
        <w:t>, "</w:t>
      </w:r>
      <w:r>
        <w:rPr>
          <w:rFonts w:ascii="David" w:eastAsia="David" w:hAnsi="David" w:cs="David"/>
          <w:sz w:val="28"/>
          <w:szCs w:val="28"/>
          <w:rtl/>
        </w:rPr>
        <w:t>על כל חייל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ודאי על לוחם ותיק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הנושא דרגת רב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ט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לנהוג בריסון ובאופן מבוקר בעת שימוש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" </w:t>
      </w:r>
      <w:r>
        <w:rPr>
          <w:rFonts w:ascii="David" w:eastAsia="David" w:hAnsi="David" w:cs="David"/>
          <w:sz w:val="28"/>
          <w:szCs w:val="28"/>
          <w:rtl/>
        </w:rPr>
        <w:t xml:space="preserve">וכי קיים 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צורך להחמיר עם העושים שימוש פסול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נוכח פוטנציאל הסיכון הגלום בשימוש בלתי חוקי בו</w:t>
      </w:r>
      <w:r>
        <w:rPr>
          <w:rFonts w:ascii="Calibri" w:eastAsia="Calibri" w:hAnsi="Calibri" w:cs="Calibri"/>
          <w:sz w:val="28"/>
          <w:szCs w:val="28"/>
          <w:rtl/>
        </w:rPr>
        <w:t>" (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13/18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רב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 גרשו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(2018), </w:t>
      </w:r>
      <w:r>
        <w:rPr>
          <w:rFonts w:ascii="David" w:eastAsia="David" w:hAnsi="David" w:cs="David"/>
          <w:sz w:val="28"/>
          <w:szCs w:val="28"/>
          <w:rtl/>
        </w:rPr>
        <w:t xml:space="preserve">בפסקה </w:t>
      </w:r>
      <w:r>
        <w:rPr>
          <w:rFonts w:ascii="Calibri" w:eastAsia="Calibri" w:hAnsi="Calibri" w:cs="Calibri"/>
          <w:sz w:val="28"/>
          <w:szCs w:val="28"/>
          <w:rtl/>
        </w:rPr>
        <w:t>15).</w:t>
      </w:r>
      <w:r>
        <w:rPr>
          <w:rFonts w:ascii="Calibri" w:eastAsia="Calibri" w:hAnsi="Calibri" w:cs="Calibri"/>
          <w:sz w:val="28"/>
          <w:szCs w:val="28"/>
          <w:rtl/>
        </w:rPr>
        <w:t xml:space="preserve">  </w:t>
      </w:r>
    </w:p>
    <w:p>
      <w:pPr>
        <w:numPr>
          <w:ilvl w:val="0"/>
          <w:numId w:val="2"/>
        </w:numPr>
        <w:bidi/>
        <w:spacing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בבחינת נסיבות ביצוע העבירה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ראינו לציין </w:t>
      </w:r>
      <w:r>
        <w:rPr>
          <w:rFonts w:ascii="David" w:eastAsia="David" w:hAnsi="David" w:cs="David"/>
          <w:sz w:val="28"/>
          <w:szCs w:val="28"/>
          <w:rtl/>
        </w:rPr>
        <w:t>לחומרא</w:t>
      </w:r>
      <w:r>
        <w:rPr>
          <w:rFonts w:ascii="David" w:eastAsia="David" w:hAnsi="David" w:cs="David"/>
          <w:sz w:val="28"/>
          <w:szCs w:val="28"/>
          <w:rtl/>
        </w:rPr>
        <w:t xml:space="preserve"> את התכנון המוקדם במעשי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שהצטייד באמצעים לביצוע העבירה</w:t>
      </w:r>
      <w:r>
        <w:rPr>
          <w:rFonts w:ascii="Calibri" w:eastAsia="Calibri" w:hAnsi="Calibri" w:cs="Calibri"/>
          <w:sz w:val="28"/>
          <w:szCs w:val="28"/>
          <w:rtl/>
        </w:rPr>
        <w:t xml:space="preserve">; </w:t>
      </w:r>
      <w:r>
        <w:rPr>
          <w:rFonts w:ascii="David" w:eastAsia="David" w:hAnsi="David" w:cs="David"/>
          <w:sz w:val="28"/>
          <w:szCs w:val="28"/>
          <w:rtl/>
        </w:rPr>
        <w:t>ובעיקר את מעורבותם של שלושה אזרחים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שאינם מורשים לשאת נשק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ואשר ביצעו ירי אף שאינם מוסמכים לכך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קל וחומר בעת שהעבירה בוצעה בשטח פתוח ולא במקום מטווח מוסדר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כמו כן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בוצע ירי במספר לא מועט של קליעים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עניין המגביר את הסיכון הפוטנציאלי מן המעשים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מנגד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אין ראיה כי הירי בוצע בקרבת מבני מגורים או שגרם לנזק בפועל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לרכוש או לגוף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ואין מדובר בשימוש בנשק אשר בוצע לשם איום או למטרה פלילית אחרת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במסגרת בחינת מידת הפגיעה בערך החברתי שקלנו גם את העובדה כי מדובר באירוע נקודתי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אשר היווה כישלון חד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פעמי מצד הנאשם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>
      <w:pPr>
        <w:numPr>
          <w:ilvl w:val="0"/>
          <w:numId w:val="2"/>
        </w:numPr>
        <w:bidi/>
        <w:spacing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מדיניות הענישה הנוהגת תלויה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מטבע הדברים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בנסיבותיו הייחודיות של כל מקרה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נוכח המשרעת הקיימת בעבירה כגון דא 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ראו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לדוגמא</w:t>
      </w:r>
      <w:r>
        <w:rPr>
          <w:rFonts w:ascii="Calibri" w:eastAsia="Calibri" w:hAnsi="Calibri" w:cs="Calibri"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</w:rPr>
        <w:t xml:space="preserve">עניין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גרשו</w:t>
      </w:r>
      <w:r>
        <w:rPr>
          <w:rFonts w:ascii="David" w:eastAsia="David" w:hAnsi="David" w:cs="David"/>
          <w:sz w:val="28"/>
          <w:szCs w:val="28"/>
          <w:rtl/>
        </w:rPr>
        <w:t xml:space="preserve"> לעיל</w:t>
      </w:r>
      <w:r>
        <w:rPr>
          <w:rFonts w:ascii="Calibri" w:eastAsia="Calibri" w:hAnsi="Calibri" w:cs="Calibri"/>
          <w:sz w:val="28"/>
          <w:szCs w:val="28"/>
          <w:rtl/>
        </w:rPr>
        <w:t xml:space="preserve">;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49/16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רס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ל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'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רבאוי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(2016);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27/07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רב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 עדיה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(2007);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72/12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טור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חוג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'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יראת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(2012);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113/09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טור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שרוב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התובע הצבאי הראשי </w:t>
      </w:r>
      <w:r>
        <w:rPr>
          <w:rFonts w:ascii="Calibri" w:eastAsia="Calibri" w:hAnsi="Calibri" w:cs="Calibri"/>
          <w:sz w:val="28"/>
          <w:szCs w:val="28"/>
          <w:rtl/>
        </w:rPr>
        <w:t xml:space="preserve">(2009);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142/06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רב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ט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לבקוביץ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(2007), </w:t>
      </w: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Calibri" w:eastAsia="Calibri" w:hAnsi="Calibri" w:cs="Calibri"/>
          <w:sz w:val="28"/>
          <w:szCs w:val="28"/>
          <w:rtl/>
        </w:rPr>
        <w:t>/</w:t>
      </w:r>
      <w:r>
        <w:rPr>
          <w:rFonts w:ascii="Calibri" w:eastAsia="Calibri" w:hAnsi="Calibri" w:cs="Calibri"/>
          <w:sz w:val="28"/>
          <w:szCs w:val="28"/>
          <w:rtl/>
          <w:lang w:bidi="he-IL"/>
        </w:rPr>
        <w:t>145/01</w:t>
      </w:r>
      <w:r>
        <w:rPr>
          <w:rFonts w:ascii="Calibri" w:eastAsia="Calibri" w:hAnsi="Calibri" w:cs="Calibri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 הראשי 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רב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 מלכה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sz w:val="28"/>
          <w:szCs w:val="28"/>
          <w:rtl/>
        </w:rPr>
        <w:t xml:space="preserve">(2001)). </w:t>
      </w:r>
    </w:p>
    <w:p>
      <w:pPr>
        <w:numPr>
          <w:ilvl w:val="0"/>
          <w:numId w:val="2"/>
        </w:numPr>
        <w:bidi/>
        <w:spacing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לאחר שקילת מכלול נסיבות העניין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מצאנו כי מתחם העונש ההולם כולל עונש מאסר שאינו ממושך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אשר יכול שירוצה בעבודה צבאית וכן פגיעה בדרגה ומאסר מותנה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לצד זאת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בתמהיל העונש הכולל ניתן למצוא איזון בין הרכיבים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כך שהחמרה באחד תאפשר הקלה באחר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ובפרט כאשר נוסף לכך עונש קנס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לא מצאנו כי יש לסטות ממתחם העונש ההולם משיקולי שיקום או סיכון הציבור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>
      <w:pPr>
        <w:numPr>
          <w:ilvl w:val="0"/>
          <w:numId w:val="2"/>
        </w:numPr>
        <w:bidi/>
        <w:spacing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 נטל אחריות מלאה וכנה על מעשיו וחסך בזמן שיפוטי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הוא השלים שירות צבאי מלא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במסגרתו נפצע בעינו ונקבעה לו אי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כשירות רפואית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תוך הפגנת מוטיבציה רבה בכדי לשוב לשירות קרבי ותורם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מצאנו אף לתת משקל להערכה הרבה לה זוכה הנאשם ממפקדיו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כפי שהטעים בית הדין הצבאי לערעורים במקרה דומה</w:t>
      </w:r>
      <w:r>
        <w:rPr>
          <w:rFonts w:ascii="Calibri" w:eastAsia="Calibri" w:hAnsi="Calibri" w:cs="Calibri"/>
          <w:sz w:val="28"/>
          <w:szCs w:val="28"/>
          <w:rtl/>
        </w:rPr>
        <w:t>, "</w:t>
      </w:r>
      <w:r>
        <w:rPr>
          <w:rFonts w:ascii="David" w:eastAsia="David" w:hAnsi="David" w:cs="David"/>
          <w:sz w:val="28"/>
          <w:szCs w:val="28"/>
          <w:rtl/>
        </w:rPr>
        <w:t>תרומתו בשירות עד כה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תוך סיכון חיים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נזקפת לזכותו בצוק העתים וביום פקודה</w:t>
      </w:r>
      <w:r>
        <w:rPr>
          <w:rFonts w:ascii="Calibri" w:eastAsia="Calibri" w:hAnsi="Calibri" w:cs="Calibri"/>
          <w:sz w:val="28"/>
          <w:szCs w:val="28"/>
          <w:rtl/>
        </w:rPr>
        <w:t>" (</w:t>
      </w:r>
      <w:r>
        <w:rPr>
          <w:rFonts w:ascii="David" w:eastAsia="David" w:hAnsi="David" w:cs="David"/>
          <w:sz w:val="28"/>
          <w:szCs w:val="28"/>
          <w:rtl/>
        </w:rPr>
        <w:t xml:space="preserve">עניין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גרשו </w:t>
      </w:r>
      <w:r>
        <w:rPr>
          <w:rFonts w:ascii="David" w:eastAsia="David" w:hAnsi="David" w:cs="David"/>
          <w:sz w:val="28"/>
          <w:szCs w:val="28"/>
          <w:rtl/>
        </w:rPr>
        <w:t>לעיל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בפסקה </w:t>
      </w:r>
      <w:r>
        <w:rPr>
          <w:rFonts w:ascii="Calibri" w:eastAsia="Calibri" w:hAnsi="Calibri" w:cs="Calibri"/>
          <w:sz w:val="28"/>
          <w:szCs w:val="28"/>
          <w:rtl/>
        </w:rPr>
        <w:t xml:space="preserve">17). </w:t>
      </w:r>
      <w:r>
        <w:rPr>
          <w:rFonts w:ascii="David" w:eastAsia="David" w:hAnsi="David" w:cs="David"/>
          <w:sz w:val="28"/>
          <w:szCs w:val="28"/>
          <w:rtl/>
        </w:rPr>
        <w:t xml:space="preserve">נוכח האירוע </w:t>
      </w:r>
      <w:r>
        <w:rPr>
          <w:rFonts w:ascii="David" w:eastAsia="David" w:hAnsi="David" w:cs="David"/>
          <w:sz w:val="28"/>
          <w:szCs w:val="28"/>
          <w:rtl/>
        </w:rPr>
        <w:t>הפלילי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נקטע באיבו מסלול שירותו המתוכנן של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sz w:val="28"/>
          <w:szCs w:val="28"/>
          <w:rtl/>
        </w:rPr>
        <w:t>הוחלט על מניעת יציאתו לקורס קצינים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הוא לא זכה רשמית בדרגת סמ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ר ככל לוחם אחר והאפשרות כי ימשיך בשירות קבע נגדעה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התרשמנו כי מדובר בכישלון חד פעמי שאינו מאפיין את אורחותיו של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וכי בפרק הזמן המשמעותי שחלף מאז האירוע הפיק ממנו לקחים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כך שהקפיד עם עצמו ועם אחרים קלה כבחמורה בעיסוק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2"/>
        </w:numPr>
        <w:bidi/>
        <w:spacing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 רכש את דרגותיו בעמל רב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הן מהוות עבורו אות וסימן לדרך החתחתים שעבר בשירות ולא ניתן להתעלם מן המשמעות </w:t>
      </w:r>
      <w:r>
        <w:rPr>
          <w:rFonts w:ascii="David" w:eastAsia="David" w:hAnsi="David" w:cs="David"/>
          <w:sz w:val="28"/>
          <w:szCs w:val="28"/>
          <w:rtl/>
        </w:rPr>
        <w:t>העונשית</w:t>
      </w:r>
      <w:r>
        <w:rPr>
          <w:rFonts w:ascii="David" w:eastAsia="David" w:hAnsi="David" w:cs="David"/>
          <w:sz w:val="28"/>
          <w:szCs w:val="28"/>
          <w:rtl/>
        </w:rPr>
        <w:t xml:space="preserve"> העשויה להיות גלומה בפגיעה בדרגה</w:t>
      </w:r>
      <w:r>
        <w:rPr>
          <w:rFonts w:ascii="Calibri" w:eastAsia="Calibri" w:hAnsi="Calibri" w:cs="Calibri"/>
          <w:sz w:val="28"/>
          <w:szCs w:val="28"/>
          <w:rtl/>
        </w:rPr>
        <w:t xml:space="preserve">; </w:t>
      </w:r>
      <w:r>
        <w:rPr>
          <w:rFonts w:ascii="David" w:eastAsia="David" w:hAnsi="David" w:cs="David"/>
          <w:sz w:val="28"/>
          <w:szCs w:val="28"/>
          <w:rtl/>
        </w:rPr>
        <w:t>זאת גם בהעדר ראיה לפגיעה קונקרטית בעתידו התעסוקתי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הפוטנציאלי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של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כידוע הענישה היא לעולם אינדיבידואלית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בהתחשב בנסיבותיו האישיות הייחודיות של העושה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בנוסף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אין להתעלם מכך שבעקבות האירוע נפגעה דרגתו של הנאשם בפועל בכך שנמנע ממנו לעלות לדרגה הגבוהה מסמל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התרשמותנו הבלתי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אמצעית מן הנאשם ומכלול הנסיבות האישיות הייחודיות שפורטו לעיל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מוליכים אל עבר המסקנה כי ניתן לקבוע תמהיל ענישה מתון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שיאזן בין ענישה בדמות עונש של מאסר בפועל </w:t>
      </w:r>
      <w:r>
        <w:rPr>
          <w:rFonts w:ascii="Calibri" w:eastAsia="Calibri" w:hAnsi="Calibri" w:cs="Calibri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שירוצה בדרך של עבודה צבאית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כעתירתה חלופית של ההגנה</w:t>
      </w:r>
      <w:r>
        <w:rPr>
          <w:rFonts w:ascii="Calibri" w:eastAsia="Calibri" w:hAnsi="Calibri" w:cs="Calibri"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sz w:val="28"/>
          <w:szCs w:val="28"/>
          <w:rtl/>
        </w:rPr>
        <w:t>לבין הימנעות מפגיעה נוספת בדרגת הנאשם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numPr>
          <w:ilvl w:val="0"/>
          <w:numId w:val="2"/>
        </w:numPr>
        <w:bidi/>
        <w:spacing w:after="0" w:line="360" w:lineRule="auto"/>
        <w:ind w:left="509" w:right="0" w:hanging="450"/>
        <w:jc w:val="both"/>
        <w:rPr>
          <w:rFonts w:ascii="Calibri" w:eastAsia="Calibri" w:hAnsi="Calibri" w:cs="Calibri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סוף דבר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לאחר ששקלנו את מכלול נסיבות העניין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מצאנו להטיל על הנאשם את העונשים הבאים</w:t>
      </w:r>
      <w:r>
        <w:rPr>
          <w:rFonts w:ascii="Calibri" w:eastAsia="Calibri" w:hAnsi="Calibri" w:cs="Calibri"/>
          <w:sz w:val="28"/>
          <w:szCs w:val="28"/>
          <w:rtl/>
        </w:rPr>
        <w:t>:</w:t>
      </w:r>
    </w:p>
    <w:p>
      <w:pPr>
        <w:bidi/>
        <w:spacing w:before="0" w:after="0" w:line="360" w:lineRule="auto"/>
        <w:ind w:left="1101" w:hanging="45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א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  <w:rtl/>
        </w:rPr>
        <w:t xml:space="preserve">        </w:t>
      </w:r>
      <w:r>
        <w:rPr>
          <w:rFonts w:ascii="David" w:eastAsia="David" w:hAnsi="David" w:cs="David"/>
          <w:sz w:val="28"/>
          <w:szCs w:val="28"/>
          <w:rtl/>
        </w:rPr>
        <w:t xml:space="preserve">ארבעה עשר </w:t>
      </w:r>
      <w:r>
        <w:rPr>
          <w:rFonts w:ascii="Calibri" w:eastAsia="Calibri" w:hAnsi="Calibri" w:cs="Calibri"/>
          <w:sz w:val="28"/>
          <w:szCs w:val="28"/>
          <w:rtl/>
        </w:rPr>
        <w:t xml:space="preserve">(14) </w:t>
      </w:r>
      <w:r>
        <w:rPr>
          <w:rFonts w:ascii="David" w:eastAsia="David" w:hAnsi="David" w:cs="David"/>
          <w:sz w:val="28"/>
          <w:szCs w:val="28"/>
          <w:rtl/>
        </w:rPr>
        <w:t>ימי מאסר בפועל בדרך של עבודה צבאית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שירוצו בגדוד </w:t>
      </w:r>
      <w:r>
        <w:rPr>
          <w:rFonts w:ascii="Bahnschrift SemiBold SemiConden" w:eastAsia="Bahnschrift SemiBold SemiConden" w:hAnsi="Bahnschrift SemiBold SemiConden" w:cs="Bahnschrift SemiBold SemiConden"/>
          <w:sz w:val="28"/>
          <w:szCs w:val="28"/>
        </w:rPr>
        <w:t>XXX</w:t>
      </w:r>
      <w:r>
        <w:rPr>
          <w:rFonts w:ascii="Calibri" w:eastAsia="Calibri" w:hAnsi="Calibri" w:cs="Calibri"/>
          <w:sz w:val="28"/>
          <w:szCs w:val="28"/>
          <w:rtl/>
        </w:rPr>
        <w:t xml:space="preserve"> (</w:t>
      </w:r>
      <w:r>
        <w:rPr>
          <w:rFonts w:ascii="David" w:eastAsia="David" w:hAnsi="David" w:cs="David"/>
          <w:sz w:val="28"/>
          <w:szCs w:val="28"/>
          <w:rtl/>
        </w:rPr>
        <w:t>מחנה עופר</w:t>
      </w:r>
      <w:r>
        <w:rPr>
          <w:rFonts w:ascii="Calibri" w:eastAsia="Calibri" w:hAnsi="Calibri" w:cs="Calibri"/>
          <w:sz w:val="28"/>
          <w:szCs w:val="28"/>
          <w:rtl/>
        </w:rPr>
        <w:t xml:space="preserve">), </w:t>
      </w: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Calibri" w:eastAsia="Calibri" w:hAnsi="Calibri" w:cs="Calibri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פי התנאים הקבועים בחוות הדעת של רמ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 xml:space="preserve">ד שיקום </w:t>
      </w:r>
      <w:r>
        <w:rPr>
          <w:rFonts w:ascii="David" w:eastAsia="David" w:hAnsi="David" w:cs="David"/>
          <w:sz w:val="28"/>
          <w:szCs w:val="28"/>
          <w:rtl/>
        </w:rPr>
        <w:t>במקמצ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ר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הנאשם יתייצב לתחילת ריצוי העונש ביום </w:t>
      </w:r>
      <w:r>
        <w:rPr>
          <w:rFonts w:ascii="Calibri" w:eastAsia="Calibri" w:hAnsi="Calibri" w:cs="Calibri"/>
          <w:sz w:val="28"/>
          <w:szCs w:val="28"/>
          <w:rtl/>
        </w:rPr>
        <w:t xml:space="preserve">17.06.2020 </w:t>
      </w:r>
      <w:r>
        <w:rPr>
          <w:rFonts w:ascii="David" w:eastAsia="David" w:hAnsi="David" w:cs="David"/>
          <w:sz w:val="28"/>
          <w:szCs w:val="28"/>
          <w:rtl/>
        </w:rPr>
        <w:t>עד השעה</w:t>
      </w:r>
      <w:r>
        <w:rPr>
          <w:rFonts w:ascii="David" w:eastAsia="David" w:hAnsi="David" w:cs="David"/>
          <w:sz w:val="28"/>
          <w:szCs w:val="28"/>
          <w:rtl/>
        </w:rPr>
        <w:t xml:space="preserve">  </w:t>
      </w:r>
      <w:r>
        <w:rPr>
          <w:rFonts w:ascii="Calibri" w:eastAsia="Calibri" w:hAnsi="Calibri" w:cs="Calibri"/>
          <w:sz w:val="28"/>
          <w:szCs w:val="28"/>
          <w:rtl/>
        </w:rPr>
        <w:t xml:space="preserve">10:00 </w:t>
      </w:r>
      <w:r>
        <w:rPr>
          <w:rFonts w:ascii="David" w:eastAsia="David" w:hAnsi="David" w:cs="David"/>
          <w:sz w:val="28"/>
          <w:szCs w:val="28"/>
          <w:rtl/>
        </w:rPr>
        <w:t>במשרדה של רמ</w:t>
      </w:r>
      <w:r>
        <w:rPr>
          <w:rFonts w:ascii="Calibri" w:eastAsia="Calibri" w:hAnsi="Calibri" w:cs="Calibri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 שיקום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>
      <w:pPr>
        <w:bidi/>
        <w:spacing w:before="0" w:after="0" w:line="360" w:lineRule="auto"/>
        <w:ind w:left="1101" w:hanging="45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ב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  <w:rtl/>
        </w:rPr>
        <w:t xml:space="preserve">        </w:t>
      </w:r>
      <w:r>
        <w:rPr>
          <w:rFonts w:ascii="David" w:eastAsia="David" w:hAnsi="David" w:cs="David"/>
          <w:sz w:val="28"/>
          <w:szCs w:val="28"/>
          <w:rtl/>
        </w:rPr>
        <w:t xml:space="preserve">שישים </w:t>
      </w:r>
      <w:r>
        <w:rPr>
          <w:rFonts w:ascii="Calibri" w:eastAsia="Calibri" w:hAnsi="Calibri" w:cs="Calibri"/>
          <w:sz w:val="28"/>
          <w:szCs w:val="28"/>
          <w:rtl/>
        </w:rPr>
        <w:t xml:space="preserve">(60) </w:t>
      </w:r>
      <w:r>
        <w:rPr>
          <w:rFonts w:ascii="David" w:eastAsia="David" w:hAnsi="David" w:cs="David"/>
          <w:sz w:val="28"/>
          <w:szCs w:val="28"/>
          <w:rtl/>
        </w:rPr>
        <w:t>ימי מאסר על תנאי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למשך שנתיים </w:t>
      </w:r>
      <w:r>
        <w:rPr>
          <w:rFonts w:ascii="Calibri" w:eastAsia="Calibri" w:hAnsi="Calibri" w:cs="Calibri"/>
          <w:sz w:val="28"/>
          <w:szCs w:val="28"/>
          <w:rtl/>
        </w:rPr>
        <w:t xml:space="preserve">(2), </w:t>
      </w:r>
      <w:r>
        <w:rPr>
          <w:rFonts w:ascii="David" w:eastAsia="David" w:hAnsi="David" w:cs="David"/>
          <w:sz w:val="28"/>
          <w:szCs w:val="28"/>
          <w:rtl/>
        </w:rPr>
        <w:t>לבל יעבור עבירה שמהותה שימוש בלתי חוקי בנשק</w:t>
      </w:r>
      <w:r>
        <w:rPr>
          <w:rFonts w:ascii="Calibri" w:eastAsia="Calibri" w:hAnsi="Calibri" w:cs="Calibri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ind w:left="1101" w:hanging="45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ג</w:t>
      </w:r>
      <w:r>
        <w:rPr>
          <w:rFonts w:ascii="Calibri" w:eastAsia="Calibri" w:hAnsi="Calibri" w:cs="Calibri"/>
          <w:sz w:val="28"/>
          <w:szCs w:val="28"/>
          <w:rtl/>
        </w:rPr>
        <w:t>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  <w:rtl/>
        </w:rPr>
        <w:t xml:space="preserve">        </w:t>
      </w:r>
      <w:r>
        <w:rPr>
          <w:rFonts w:ascii="David" w:eastAsia="David" w:hAnsi="David" w:cs="David"/>
          <w:sz w:val="28"/>
          <w:szCs w:val="28"/>
          <w:rtl/>
        </w:rPr>
        <w:t xml:space="preserve">קנס בסך </w:t>
      </w:r>
      <w:r>
        <w:rPr>
          <w:rFonts w:ascii="Calibri" w:eastAsia="Calibri" w:hAnsi="Calibri" w:cs="Calibri"/>
          <w:sz w:val="28"/>
          <w:szCs w:val="28"/>
          <w:rtl/>
        </w:rPr>
        <w:t xml:space="preserve">5,000 ₪, </w:t>
      </w:r>
      <w:r>
        <w:rPr>
          <w:rFonts w:ascii="David" w:eastAsia="David" w:hAnsi="David" w:cs="David"/>
          <w:sz w:val="28"/>
          <w:szCs w:val="28"/>
          <w:rtl/>
        </w:rPr>
        <w:t xml:space="preserve">אשר ישולם בתשלום אחד עד ליום </w:t>
      </w:r>
      <w:r>
        <w:rPr>
          <w:rFonts w:ascii="Calibri" w:eastAsia="Calibri" w:hAnsi="Calibri" w:cs="Calibri"/>
          <w:sz w:val="28"/>
          <w:szCs w:val="28"/>
          <w:rtl/>
        </w:rPr>
        <w:t xml:space="preserve">01.07.20 </w:t>
      </w:r>
      <w:r>
        <w:rPr>
          <w:rFonts w:ascii="David" w:eastAsia="David" w:hAnsi="David" w:cs="David"/>
          <w:sz w:val="28"/>
          <w:szCs w:val="28"/>
          <w:rtl/>
        </w:rPr>
        <w:t xml:space="preserve">או ארבעה </w:t>
      </w:r>
      <w:r>
        <w:rPr>
          <w:rFonts w:ascii="Calibri" w:eastAsia="Calibri" w:hAnsi="Calibri" w:cs="Calibri"/>
          <w:sz w:val="28"/>
          <w:szCs w:val="28"/>
          <w:rtl/>
        </w:rPr>
        <w:t xml:space="preserve">(14) </w:t>
      </w:r>
      <w:r>
        <w:rPr>
          <w:rFonts w:ascii="David" w:eastAsia="David" w:hAnsi="David" w:cs="David"/>
          <w:sz w:val="28"/>
          <w:szCs w:val="28"/>
          <w:rtl/>
        </w:rPr>
        <w:t>ימי מאסר תמורתם</w:t>
      </w:r>
      <w:r>
        <w:rPr>
          <w:rFonts w:ascii="Calibri" w:eastAsia="Calibri" w:hAnsi="Calibri" w:cs="Calibri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בהתאם לשובר שיקבל ממזכירות בית הדין</w:t>
      </w:r>
      <w:r>
        <w:rPr>
          <w:rFonts w:ascii="Calibri" w:eastAsia="Calibri" w:hAnsi="Calibri" w:cs="Calibri"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זכות ערעור כחוק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ניתן והודע היום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 סיוון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התש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ף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rtl/>
          <w:lang w:bidi="he-IL"/>
        </w:rPr>
        <w:t>16</w:t>
      </w:r>
      <w:r>
        <w:rPr>
          <w:rFonts w:ascii="Calibri" w:eastAsia="Calibri" w:hAnsi="Calibri" w:cs="Calibri"/>
          <w:b/>
          <w:bCs/>
          <w:sz w:val="28"/>
          <w:szCs w:val="28"/>
          <w:rtl/>
          <w:lang w:bidi="he-IL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  <w:rtl/>
          <w:lang w:bidi="he-IL"/>
        </w:rPr>
        <w:t>6</w:t>
      </w:r>
      <w:r>
        <w:rPr>
          <w:rFonts w:ascii="Calibri" w:eastAsia="Calibri" w:hAnsi="Calibri" w:cs="Calibri"/>
          <w:b/>
          <w:bCs/>
          <w:sz w:val="28"/>
          <w:szCs w:val="28"/>
          <w:rtl/>
          <w:lang w:bidi="he-IL"/>
        </w:rPr>
        <w:t>/</w:t>
      </w:r>
      <w:r>
        <w:rPr>
          <w:rFonts w:ascii="Calibri" w:eastAsia="Calibri" w:hAnsi="Calibri" w:cs="Calibri"/>
          <w:b/>
          <w:bCs/>
          <w:sz w:val="28"/>
          <w:szCs w:val="28"/>
          <w:rtl/>
          <w:lang w:bidi="he-IL"/>
        </w:rPr>
        <w:t>20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בפומבי ובמעמד הצדדים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_____( - )_____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 xml:space="preserve">_____( - )_____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           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_____( - )_____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העתק נכון מן המקור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ליבי יעקובי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סרן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משפטית לנשיאת בית הדין</w:t>
      </w:r>
    </w:p>
    <w:p>
      <w:pPr>
        <w:bidi/>
        <w:spacing w:before="0" w:after="0" w:line="360" w:lineRule="auto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 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חתימת המגיה</w:t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ab/>
      </w:r>
      <w:r>
        <w:rPr>
          <w:rFonts w:ascii="David" w:eastAsia="David" w:hAnsi="David" w:cs="David"/>
          <w:sz w:val="28"/>
          <w:szCs w:val="28"/>
          <w:rtl/>
        </w:rPr>
        <w:t xml:space="preserve"> תאריך הדפסה</w:t>
      </w:r>
      <w:r>
        <w:rPr>
          <w:rFonts w:ascii="Tahoma" w:eastAsia="Tahoma" w:hAnsi="Tahoma" w:cs="Tahoma"/>
          <w:sz w:val="28"/>
          <w:szCs w:val="28"/>
          <w:rtl/>
        </w:rPr>
        <w:t>: 16.06.2020</w:t>
      </w:r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David" w:eastAsia="David" w:hAnsi="David" w:cs="David"/>
          <w:sz w:val="28"/>
          <w:szCs w:val="28"/>
          <w:rtl/>
        </w:rPr>
        <w:t>נערך על ידי א</w:t>
      </w:r>
      <w:r>
        <w:rPr>
          <w:rFonts w:ascii="Tahoma" w:eastAsia="Tahoma" w:hAnsi="Tahoma" w:cs="Tahoma"/>
          <w:sz w:val="28"/>
          <w:szCs w:val="28"/>
          <w:rtl/>
        </w:rPr>
        <w:t>.</w:t>
      </w:r>
      <w:r>
        <w:rPr>
          <w:rFonts w:ascii="David" w:eastAsia="David" w:hAnsi="David" w:cs="David"/>
          <w:sz w:val="28"/>
          <w:szCs w:val="28"/>
          <w:rtl/>
        </w:rPr>
        <w:t>ס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