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27E7" w14:textId="77777777" w:rsidR="00FE4600" w:rsidRPr="007D2440" w:rsidRDefault="00030986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צבא הגנה לישראל</w:t>
      </w:r>
    </w:p>
    <w:p w14:paraId="5CA485E0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2FCDF62" w14:textId="2CF805EC" w:rsidR="00FE460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תקנות ההגנה (שעת חירום), 1945</w:t>
      </w:r>
    </w:p>
    <w:p w14:paraId="0FFFAC71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6033747" w14:textId="3D9F2F59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צו בדבר הוראות בטחון [נוסח משולב] (יהודה והשומרון) (מס' 1651),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התש"ע-2009</w:t>
      </w:r>
    </w:p>
    <w:p w14:paraId="37304878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0AED338D" w14:textId="29A9333C" w:rsidR="007D2440" w:rsidRPr="00FE4600" w:rsidRDefault="009B3EBF" w:rsidP="007D2440">
      <w:pPr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צו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בדבר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סגירת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מקום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יהודה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ושומרון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)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משרדי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אלג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'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זירה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")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(</w:t>
      </w:r>
      <w:r w:rsidR="00FE4600"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הארכת תוקף</w:t>
      </w:r>
      <w:r w:rsidR="00CF3805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מס' </w:t>
      </w:r>
      <w:r w:rsidR="00642A21">
        <w:rPr>
          <w:rFonts w:ascii="David" w:hAnsi="David" w:cs="David" w:hint="cs"/>
          <w:b/>
          <w:bCs/>
          <w:sz w:val="32"/>
          <w:szCs w:val="32"/>
          <w:rtl/>
          <w:lang w:bidi="he-IL"/>
        </w:rPr>
        <w:t>3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)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,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התשפ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-202</w:t>
      </w:r>
      <w:r w:rsidR="00642A21">
        <w:rPr>
          <w:rFonts w:ascii="David" w:hAnsi="David" w:cs="David" w:hint="cs"/>
          <w:b/>
          <w:bCs/>
          <w:sz w:val="32"/>
          <w:szCs w:val="32"/>
          <w:rtl/>
          <w:lang w:bidi="he-IL"/>
        </w:rPr>
        <w:t>5</w:t>
      </w:r>
    </w:p>
    <w:p w14:paraId="7C218E2C" w14:textId="13F248DB" w:rsidR="00FE4600" w:rsidRDefault="00030986" w:rsidP="00FE4600">
      <w:pPr>
        <w:bidi/>
        <w:spacing w:after="240" w:line="276" w:lineRule="auto"/>
        <w:jc w:val="both"/>
        <w:rPr>
          <w:rFonts w:ascii="David" w:hAnsi="David" w:cs="David"/>
          <w:sz w:val="26"/>
          <w:szCs w:val="26"/>
          <w:rtl/>
          <w:lang w:bidi="he-IL"/>
        </w:rPr>
      </w:pPr>
      <w:r>
        <w:rPr>
          <w:rFonts w:ascii="David" w:hAnsi="David" w:cs="David"/>
          <w:sz w:val="26"/>
          <w:szCs w:val="26"/>
          <w:rtl/>
          <w:lang w:bidi="he-IL"/>
        </w:rPr>
        <w:t xml:space="preserve">בתוקף סמכותי כמפקד כוחות צה"ל באזור, ובהתאם לסמכויותיי על פי סעיף 319 לצו בדבר הוראות בטחון [נוסח משולב] (יהודה והשומרון) (מס' 1651), התש"ע-2009, ולתקנה 129 לתקנות ההגנה (שעת חירום), 1945, ויתר סמכויותיי על פי כל דין ותחיקת ביטחון, והואיל 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>והמקום משמש לפעילות הסתה ותמיכה בפעילות טרור</w:t>
      </w:r>
      <w:r>
        <w:rPr>
          <w:rFonts w:ascii="David" w:hAnsi="David" w:cs="David" w:hint="cs"/>
          <w:sz w:val="26"/>
          <w:szCs w:val="26"/>
          <w:rtl/>
          <w:lang w:bidi="he-IL"/>
        </w:rPr>
        <w:t xml:space="preserve">, </w:t>
      </w:r>
      <w:r>
        <w:rPr>
          <w:rFonts w:ascii="David" w:hAnsi="David" w:cs="David"/>
          <w:sz w:val="26"/>
          <w:szCs w:val="26"/>
          <w:rtl/>
          <w:lang w:bidi="he-IL"/>
        </w:rPr>
        <w:t>והנני סבור כי הדבר דרוש לשם קיום הממשל התקין והסדר הציבורי, ולשם ביטחון כוחות צה"ל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 xml:space="preserve"> ומדינת ישראל</w:t>
      </w:r>
      <w:r>
        <w:rPr>
          <w:rFonts w:ascii="David" w:hAnsi="David" w:cs="David"/>
          <w:sz w:val="26"/>
          <w:szCs w:val="26"/>
          <w:rtl/>
          <w:lang w:bidi="he-IL"/>
        </w:rPr>
        <w:t>, הנני מצווה בזאת לאמור:</w:t>
      </w:r>
    </w:p>
    <w:tbl>
      <w:tblPr>
        <w:tblStyle w:val="ae"/>
        <w:bidiVisual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6"/>
        <w:gridCol w:w="594"/>
        <w:gridCol w:w="18"/>
        <w:gridCol w:w="7192"/>
      </w:tblGrid>
      <w:tr w:rsidR="00030986" w14:paraId="6A0BA084" w14:textId="77777777" w:rsidTr="00F202FD">
        <w:trPr>
          <w:trHeight w:val="227"/>
        </w:trPr>
        <w:tc>
          <w:tcPr>
            <w:tcW w:w="828" w:type="dxa"/>
            <w:hideMark/>
          </w:tcPr>
          <w:p w14:paraId="1619953D" w14:textId="77777777" w:rsidR="00030986" w:rsidRDefault="00030986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הגדרות</w:t>
            </w:r>
          </w:p>
        </w:tc>
        <w:tc>
          <w:tcPr>
            <w:tcW w:w="396" w:type="dxa"/>
            <w:hideMark/>
          </w:tcPr>
          <w:p w14:paraId="6E7F052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1.</w:t>
            </w:r>
          </w:p>
        </w:tc>
        <w:tc>
          <w:tcPr>
            <w:tcW w:w="7804" w:type="dxa"/>
            <w:gridSpan w:val="3"/>
            <w:hideMark/>
          </w:tcPr>
          <w:p w14:paraId="19F5614B" w14:textId="77777777" w:rsidR="00030986" w:rsidRDefault="00030986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בצו זה:</w:t>
            </w:r>
          </w:p>
          <w:p w14:paraId="6455DAB0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75A22FAB" w14:textId="0AB18089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"המקום" –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 "אלג'זירה"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הממוק</w:t>
            </w:r>
            <w:r w:rsidR="00BB68EB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ברמאללה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נ.צ.</w:t>
            </w:r>
            <w:r w:rsidR="009D4A33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9D4A33" w:rsidRPr="009D4A33">
              <w:rPr>
                <w:rFonts w:ascii="David" w:hAnsi="David" w:cs="David"/>
                <w:sz w:val="26"/>
                <w:szCs w:val="26"/>
                <w:rtl/>
                <w:lang w:bidi="he-IL"/>
              </w:rPr>
              <w:t>35.203473/31.905481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9B3EBF" w14:paraId="1C8B5A1F" w14:textId="77777777" w:rsidTr="00F202FD">
        <w:trPr>
          <w:trHeight w:val="227"/>
        </w:trPr>
        <w:tc>
          <w:tcPr>
            <w:tcW w:w="828" w:type="dxa"/>
          </w:tcPr>
          <w:p w14:paraId="573307B7" w14:textId="77777777" w:rsidR="009B3EBF" w:rsidRDefault="009B3EBF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5BBBD9A3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50991A1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F49462D" w14:textId="77777777" w:rsidTr="00F202FD">
        <w:trPr>
          <w:trHeight w:val="227"/>
        </w:trPr>
        <w:tc>
          <w:tcPr>
            <w:tcW w:w="828" w:type="dxa"/>
            <w:vMerge w:val="restart"/>
          </w:tcPr>
          <w:p w14:paraId="0AC820C9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 xml:space="preserve">סגירת </w:t>
            </w:r>
          </w:p>
          <w:p w14:paraId="71883D5A" w14:textId="3A9E6CE0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המקום</w:t>
            </w:r>
          </w:p>
        </w:tc>
        <w:tc>
          <w:tcPr>
            <w:tcW w:w="396" w:type="dxa"/>
          </w:tcPr>
          <w:p w14:paraId="12A68D40" w14:textId="461F1E7C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2.</w:t>
            </w:r>
          </w:p>
        </w:tc>
        <w:tc>
          <w:tcPr>
            <w:tcW w:w="594" w:type="dxa"/>
          </w:tcPr>
          <w:p w14:paraId="44DA6041" w14:textId="540656A8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(א)</w:t>
            </w:r>
          </w:p>
        </w:tc>
        <w:tc>
          <w:tcPr>
            <w:tcW w:w="7210" w:type="dxa"/>
            <w:gridSpan w:val="2"/>
          </w:tcPr>
          <w:p w14:paraId="1A8584ED" w14:textId="0C320E21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הריני מורה בזאת כי המקום ייסגר לאלתר, ויוחזק סגור.</w:t>
            </w:r>
          </w:p>
        </w:tc>
      </w:tr>
      <w:tr w:rsidR="007D2440" w14:paraId="1B9027B7" w14:textId="77777777" w:rsidTr="00F202FD">
        <w:trPr>
          <w:trHeight w:val="227"/>
        </w:trPr>
        <w:tc>
          <w:tcPr>
            <w:tcW w:w="828" w:type="dxa"/>
            <w:vMerge/>
          </w:tcPr>
          <w:p w14:paraId="16C8AFA0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063E0E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06876A05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13FAE782" w14:textId="77777777" w:rsidR="007D2440" w:rsidRPr="009B3EBF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9B3EBF" w14:paraId="4131EA99" w14:textId="77777777" w:rsidTr="00F202FD">
        <w:trPr>
          <w:trHeight w:val="227"/>
        </w:trPr>
        <w:tc>
          <w:tcPr>
            <w:tcW w:w="828" w:type="dxa"/>
          </w:tcPr>
          <w:p w14:paraId="2CBE78D3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22E094D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5B278FDC" w14:textId="145ED2F4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(ב)</w:t>
            </w:r>
          </w:p>
        </w:tc>
        <w:tc>
          <w:tcPr>
            <w:tcW w:w="7210" w:type="dxa"/>
            <w:gridSpan w:val="2"/>
          </w:tcPr>
          <w:p w14:paraId="17C6D04D" w14:textId="3F911912" w:rsidR="009B3EBF" w:rsidRP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כל אדם המחזיק במקום יסגור את המקום לאלתר, יחדל מלנהלו ויחזיק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נ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ו סגור.</w:t>
            </w:r>
          </w:p>
        </w:tc>
      </w:tr>
      <w:tr w:rsidR="009B3EBF" w14:paraId="7EB59390" w14:textId="77777777" w:rsidTr="00F202FD">
        <w:trPr>
          <w:trHeight w:val="227"/>
        </w:trPr>
        <w:tc>
          <w:tcPr>
            <w:tcW w:w="828" w:type="dxa"/>
          </w:tcPr>
          <w:p w14:paraId="66B6BAF1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B2EAA49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18477A3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0928D665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4879A29F" w14:textId="77777777" w:rsidTr="00F202FD">
        <w:trPr>
          <w:trHeight w:val="227"/>
        </w:trPr>
        <w:tc>
          <w:tcPr>
            <w:tcW w:w="828" w:type="dxa"/>
            <w:hideMark/>
          </w:tcPr>
          <w:p w14:paraId="08D06CD1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מסירה</w:t>
            </w:r>
          </w:p>
        </w:tc>
        <w:tc>
          <w:tcPr>
            <w:tcW w:w="396" w:type="dxa"/>
            <w:hideMark/>
          </w:tcPr>
          <w:p w14:paraId="3EEB40CD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3.</w:t>
            </w:r>
          </w:p>
        </w:tc>
        <w:tc>
          <w:tcPr>
            <w:tcW w:w="7804" w:type="dxa"/>
            <w:gridSpan w:val="3"/>
            <w:hideMark/>
          </w:tcPr>
          <w:p w14:paraId="6221DF1F" w14:textId="56EB3A5D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העתקים מצו זה ימסרו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למחזיקים במקום. לא אותרו המחזיקים במקום, ייתלה הצו במקום בולט בחזית המקום. </w:t>
            </w:r>
          </w:p>
        </w:tc>
      </w:tr>
      <w:tr w:rsidR="009B3EBF" w14:paraId="670F2923" w14:textId="77777777" w:rsidTr="00F202FD">
        <w:trPr>
          <w:trHeight w:val="227"/>
        </w:trPr>
        <w:tc>
          <w:tcPr>
            <w:tcW w:w="828" w:type="dxa"/>
          </w:tcPr>
          <w:p w14:paraId="5E1DB1C5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439C608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276EF73A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63A859E9" w14:textId="77777777" w:rsidTr="00F202FD">
        <w:trPr>
          <w:trHeight w:val="227"/>
        </w:trPr>
        <w:tc>
          <w:tcPr>
            <w:tcW w:w="828" w:type="dxa"/>
            <w:hideMark/>
          </w:tcPr>
          <w:p w14:paraId="7D6078FC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פרסום</w:t>
            </w:r>
          </w:p>
        </w:tc>
        <w:tc>
          <w:tcPr>
            <w:tcW w:w="396" w:type="dxa"/>
            <w:hideMark/>
          </w:tcPr>
          <w:p w14:paraId="790E69D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4.</w:t>
            </w:r>
          </w:p>
        </w:tc>
        <w:tc>
          <w:tcPr>
            <w:tcW w:w="7804" w:type="dxa"/>
            <w:gridSpan w:val="3"/>
            <w:hideMark/>
          </w:tcPr>
          <w:p w14:paraId="64B7363B" w14:textId="1BD80B7B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העתקים מצו זה יופקדו לעיונו של כל אדם בשעות העבודה הרגילות של המשרדים הבאים:</w:t>
            </w:r>
          </w:p>
        </w:tc>
      </w:tr>
      <w:tr w:rsidR="009A03AA" w14:paraId="718014E7" w14:textId="77777777" w:rsidTr="00F202FD">
        <w:trPr>
          <w:trHeight w:val="227"/>
        </w:trPr>
        <w:tc>
          <w:tcPr>
            <w:tcW w:w="828" w:type="dxa"/>
          </w:tcPr>
          <w:p w14:paraId="64F07525" w14:textId="77777777" w:rsidR="009A03AA" w:rsidRDefault="009A03AA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77CAEEE5" w14:textId="77777777" w:rsidR="009A03AA" w:rsidRDefault="009A03AA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3F3BBAF5" w14:textId="77777777" w:rsidR="009A03AA" w:rsidRDefault="009A03AA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40C838FE" w14:textId="77777777" w:rsidTr="00F202FD">
        <w:trPr>
          <w:trHeight w:val="227"/>
        </w:trPr>
        <w:tc>
          <w:tcPr>
            <w:tcW w:w="828" w:type="dxa"/>
          </w:tcPr>
          <w:p w14:paraId="214C55B4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880AB77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0BDB5F96" w14:textId="520E6564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4B3EBC3C" w14:textId="7F25AA8A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מנהלת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התיאום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והקישור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הגזרתית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;</w:t>
            </w:r>
          </w:p>
        </w:tc>
      </w:tr>
      <w:tr w:rsidR="00306EAB" w14:paraId="4E891724" w14:textId="77777777" w:rsidTr="00F202FD">
        <w:trPr>
          <w:trHeight w:val="227"/>
        </w:trPr>
        <w:tc>
          <w:tcPr>
            <w:tcW w:w="828" w:type="dxa"/>
          </w:tcPr>
          <w:p w14:paraId="6DE2D6DE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259F25E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FB3D365" w14:textId="777777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192" w:type="dxa"/>
          </w:tcPr>
          <w:p w14:paraId="70C19BF6" w14:textId="77777777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3D0FA4CB" w14:textId="77777777" w:rsidTr="00F202FD">
        <w:trPr>
          <w:trHeight w:val="227"/>
        </w:trPr>
        <w:tc>
          <w:tcPr>
            <w:tcW w:w="828" w:type="dxa"/>
          </w:tcPr>
          <w:p w14:paraId="3674753D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C2843F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D582B9F" w14:textId="630C6B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7A8E3838" w14:textId="78959BF1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לשכת היועץ המשפטי לאזור יהודה ושומרון.</w:t>
            </w:r>
          </w:p>
        </w:tc>
      </w:tr>
      <w:tr w:rsidR="009B3EBF" w14:paraId="566A5511" w14:textId="77777777" w:rsidTr="00F202FD">
        <w:trPr>
          <w:trHeight w:val="227"/>
        </w:trPr>
        <w:tc>
          <w:tcPr>
            <w:tcW w:w="828" w:type="dxa"/>
          </w:tcPr>
          <w:p w14:paraId="20AE9F16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619CAB5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682790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1CCC0571" w14:textId="77777777" w:rsidTr="00F202FD">
        <w:trPr>
          <w:trHeight w:val="227"/>
        </w:trPr>
        <w:tc>
          <w:tcPr>
            <w:tcW w:w="828" w:type="dxa"/>
            <w:hideMark/>
          </w:tcPr>
          <w:p w14:paraId="0AB1DD87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השגה</w:t>
            </w:r>
          </w:p>
        </w:tc>
        <w:tc>
          <w:tcPr>
            <w:tcW w:w="396" w:type="dxa"/>
            <w:hideMark/>
          </w:tcPr>
          <w:p w14:paraId="648C3C03" w14:textId="6E838D78" w:rsidR="00030986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 w:rsidR="00030986"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2AA526BE" w14:textId="19EB4F55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המעוניין להשיג נגד צו זה, יכול להגיש אליי, בכתב, את השגותיו בתוך 7 ימים, באמצעות לשכת היועץ המשפטי לאזור יהודה ושומרון בדוא"ל: </w:t>
            </w:r>
            <w:hyperlink r:id="rId8" w:history="1">
              <w:r>
                <w:rPr>
                  <w:rStyle w:val="Hyperlink"/>
                  <w:rFonts w:ascii="David" w:hAnsi="David" w:cs="David"/>
                  <w:color w:val="auto"/>
                  <w:sz w:val="26"/>
                  <w:szCs w:val="26"/>
                  <w:lang w:bidi="he-IL"/>
                </w:rPr>
                <w:t>yoayosh@idf.il</w:t>
              </w:r>
            </w:hyperlink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 ניתן לוודא את קבלת הדוא"ל בטלפון: 02-9977071.</w:t>
            </w:r>
          </w:p>
        </w:tc>
      </w:tr>
      <w:tr w:rsidR="007D2440" w14:paraId="188321C0" w14:textId="77777777" w:rsidTr="007D2440">
        <w:trPr>
          <w:trHeight w:val="227"/>
        </w:trPr>
        <w:tc>
          <w:tcPr>
            <w:tcW w:w="828" w:type="dxa"/>
          </w:tcPr>
          <w:p w14:paraId="12651636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4B11C5A5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3D83558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300B532C" w14:textId="77777777" w:rsidTr="007D2440">
        <w:trPr>
          <w:trHeight w:val="227"/>
        </w:trPr>
        <w:tc>
          <w:tcPr>
            <w:tcW w:w="828" w:type="dxa"/>
          </w:tcPr>
          <w:p w14:paraId="2BDD1488" w14:textId="7C051D6F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תוקף</w:t>
            </w:r>
          </w:p>
        </w:tc>
        <w:tc>
          <w:tcPr>
            <w:tcW w:w="396" w:type="dxa"/>
          </w:tcPr>
          <w:p w14:paraId="5B696A1D" w14:textId="49E3A96D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7618CA07" w14:textId="051302A6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תוקפו של צו זה מיום </w:t>
            </w:r>
            <w:r w:rsidR="00642A21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ז'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ב</w:t>
            </w:r>
            <w:r w:rsidR="00642A21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שבט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התשפ"ה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</w:t>
            </w:r>
            <w:r w:rsidR="00642A21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 בפברואר 2025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) לתקופה של </w:t>
            </w:r>
            <w:r w:rsidR="00812393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60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ימים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7D2440" w14:paraId="4144D98D" w14:textId="77777777" w:rsidTr="00F202FD">
        <w:trPr>
          <w:trHeight w:val="227"/>
        </w:trPr>
        <w:tc>
          <w:tcPr>
            <w:tcW w:w="828" w:type="dxa"/>
          </w:tcPr>
          <w:p w14:paraId="715BBE37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79D3B57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15FA6016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C602513" w14:textId="77777777" w:rsidTr="00F202FD">
        <w:trPr>
          <w:trHeight w:val="227"/>
        </w:trPr>
        <w:tc>
          <w:tcPr>
            <w:tcW w:w="828" w:type="dxa"/>
            <w:hideMark/>
          </w:tcPr>
          <w:p w14:paraId="59F97F4A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שם</w:t>
            </w:r>
          </w:p>
        </w:tc>
        <w:tc>
          <w:tcPr>
            <w:tcW w:w="396" w:type="dxa"/>
            <w:hideMark/>
          </w:tcPr>
          <w:p w14:paraId="53951F69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7.</w:t>
            </w:r>
          </w:p>
        </w:tc>
        <w:tc>
          <w:tcPr>
            <w:tcW w:w="7804" w:type="dxa"/>
            <w:gridSpan w:val="3"/>
            <w:hideMark/>
          </w:tcPr>
          <w:p w14:paraId="0BE32928" w14:textId="24AEA266" w:rsidR="00364C81" w:rsidRDefault="007D2440" w:rsidP="00364C81">
            <w:pPr>
              <w:bidi/>
              <w:spacing w:line="240" w:lineRule="auto"/>
              <w:ind w:right="-113"/>
              <w:jc w:val="both"/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צו זה ייקרא: "צו בדבר סגירת מקום (יהודה ושומרון)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(משרדי "אלג'זירה"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(הארכת תוקף</w:t>
            </w:r>
            <w:r w:rsidR="00614BBE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מס' </w:t>
            </w:r>
            <w:r w:rsidR="00642A21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3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התשפ"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-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202</w:t>
            </w:r>
            <w:r w:rsidR="00642A21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".</w:t>
            </w:r>
          </w:p>
          <w:p w14:paraId="0F7144C7" w14:textId="77777777" w:rsidR="00364C81" w:rsidRDefault="00364C81" w:rsidP="00364C81">
            <w:pPr>
              <w:bidi/>
              <w:spacing w:line="240" w:lineRule="auto"/>
              <w:ind w:right="-113"/>
              <w:jc w:val="both"/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</w:pPr>
          </w:p>
          <w:p w14:paraId="1AE2DDB5" w14:textId="5ABFEA00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</w:tbl>
    <w:tbl>
      <w:tblPr>
        <w:bidiVisual/>
        <w:tblW w:w="9368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3693"/>
        <w:gridCol w:w="1523"/>
        <w:gridCol w:w="4152"/>
      </w:tblGrid>
      <w:tr w:rsidR="00030986" w14:paraId="6A8A2B0A" w14:textId="77777777" w:rsidTr="00364C81">
        <w:trPr>
          <w:trHeight w:val="200"/>
        </w:trPr>
        <w:tc>
          <w:tcPr>
            <w:tcW w:w="3693" w:type="dxa"/>
          </w:tcPr>
          <w:p w14:paraId="29086543" w14:textId="391A17B0" w:rsidR="00030986" w:rsidRPr="00030986" w:rsidRDefault="00364C81" w:rsidP="007D5171">
            <w:pPr>
              <w:bidi/>
              <w:spacing w:after="0" w:line="720" w:lineRule="auto"/>
              <w:jc w:val="both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ד' בשבט </w:t>
            </w:r>
            <w:proofErr w:type="spellStart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התשפ</w:t>
            </w:r>
            <w:proofErr w:type="spellEnd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"</w:t>
            </w:r>
            <w:r w:rsidR="009B3EBF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ה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2 בפברואר </w:t>
            </w:r>
            <w:r w:rsidR="00030986" w:rsidRPr="00692E45">
              <w:rPr>
                <w:rFonts w:ascii="David" w:eastAsia="Times New Roman" w:hAnsi="David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202</w:t>
            </w:r>
            <w:r w:rsidR="00642A21" w:rsidRPr="00692E45">
              <w:rPr>
                <w:rFonts w:ascii="David" w:eastAsia="Times New Roman" w:hAnsi="David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5</w:t>
            </w:r>
            <w:r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br/>
            </w:r>
          </w:p>
        </w:tc>
        <w:tc>
          <w:tcPr>
            <w:tcW w:w="1523" w:type="dxa"/>
          </w:tcPr>
          <w:p w14:paraId="42217FE6" w14:textId="77777777" w:rsidR="00030986" w:rsidRPr="00030986" w:rsidRDefault="00030986" w:rsidP="00804946">
            <w:pPr>
              <w:spacing w:line="720" w:lineRule="auto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</w:p>
        </w:tc>
        <w:tc>
          <w:tcPr>
            <w:tcW w:w="4152" w:type="dxa"/>
            <w:hideMark/>
          </w:tcPr>
          <w:p w14:paraId="1A347C1D" w14:textId="2BF6F3B6" w:rsidR="00030986" w:rsidRPr="00030986" w:rsidRDefault="00030986" w:rsidP="00364C81">
            <w:pPr>
              <w:bidi/>
              <w:spacing w:line="360" w:lineRule="auto"/>
              <w:ind w:left="29"/>
              <w:jc w:val="both"/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אלוף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אבי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בלוט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מפקד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כוחות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צה"ל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באזור</w:t>
            </w:r>
            <w:proofErr w:type="spellEnd"/>
            <w:r w:rsidR="00364C81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יהודה</w:t>
            </w:r>
            <w:proofErr w:type="spellEnd"/>
            <w:r w:rsidR="00364C81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ושומרון</w:t>
            </w:r>
            <w:proofErr w:type="spellEnd"/>
            <w:r w:rsidR="00364C81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br/>
            </w:r>
          </w:p>
        </w:tc>
      </w:tr>
    </w:tbl>
    <w:p w14:paraId="47A93C7F" w14:textId="77777777" w:rsidR="00364C81" w:rsidRPr="00364C81" w:rsidRDefault="00364C81" w:rsidP="00364C81">
      <w:pPr>
        <w:bidi/>
        <w:rPr>
          <w:rFonts w:hint="cs"/>
          <w:rtl/>
          <w:lang w:bidi="he-IL"/>
        </w:rPr>
      </w:pPr>
    </w:p>
    <w:sectPr w:rsidR="00364C81" w:rsidRPr="00364C81" w:rsidSect="00364C81">
      <w:headerReference w:type="even" r:id="rId9"/>
      <w:headerReference w:type="first" r:id="rId10"/>
      <w:pgSz w:w="11906" w:h="16838"/>
      <w:pgMar w:top="136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AF26" w14:textId="77777777" w:rsidR="00CF66FB" w:rsidRDefault="00CF66FB" w:rsidP="00E871A2">
      <w:pPr>
        <w:spacing w:after="0" w:line="240" w:lineRule="auto"/>
      </w:pPr>
      <w:r>
        <w:separator/>
      </w:r>
    </w:p>
  </w:endnote>
  <w:endnote w:type="continuationSeparator" w:id="0">
    <w:p w14:paraId="243974E8" w14:textId="77777777" w:rsidR="00CF66FB" w:rsidRDefault="00CF66FB" w:rsidP="00E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9760" w14:textId="77777777" w:rsidR="00CF66FB" w:rsidRDefault="00CF66FB" w:rsidP="00E871A2">
      <w:pPr>
        <w:spacing w:after="0" w:line="240" w:lineRule="auto"/>
      </w:pPr>
      <w:r>
        <w:separator/>
      </w:r>
    </w:p>
  </w:footnote>
  <w:footnote w:type="continuationSeparator" w:id="0">
    <w:p w14:paraId="3CAF18C0" w14:textId="77777777" w:rsidR="00CF66FB" w:rsidRDefault="00CF66FB" w:rsidP="00E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45AE" w14:textId="4B947474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6680" wp14:editId="4C39B7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215970185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3470" w14:textId="3E4F7525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668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margin-left:0;margin-top:0;width:35pt;height:27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" filled="f" stroked="f">
              <v:textbox style="mso-fit-shape-to-text:t" inset="0,15pt,0,0">
                <w:txbxContent>
                  <w:p w14:paraId="24933470" w14:textId="3E4F7525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2AA9" w14:textId="47EE4B60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E7D84" wp14:editId="30549E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11339116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B7EF" w14:textId="0CD9230B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7D84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margin-left:0;margin-top:0;width:35pt;height:27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" filled="f" stroked="f">
              <v:textbox style="mso-fit-shape-to-text:t" inset="0,15pt,0,0">
                <w:txbxContent>
                  <w:p w14:paraId="536CB7EF" w14:textId="0CD9230B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375"/>
    <w:multiLevelType w:val="hybridMultilevel"/>
    <w:tmpl w:val="2DC2E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13CD"/>
    <w:multiLevelType w:val="hybridMultilevel"/>
    <w:tmpl w:val="93FA5E38"/>
    <w:lvl w:ilvl="0" w:tplc="93B070A2">
      <w:start w:val="1"/>
      <w:numFmt w:val="hebrew1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051A"/>
    <w:multiLevelType w:val="hybridMultilevel"/>
    <w:tmpl w:val="2DC2EA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307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36959">
    <w:abstractNumId w:val="1"/>
  </w:num>
  <w:num w:numId="4" w16cid:durableId="3249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6"/>
    <w:rsid w:val="00030986"/>
    <w:rsid w:val="000B2653"/>
    <w:rsid w:val="001422AC"/>
    <w:rsid w:val="00165F36"/>
    <w:rsid w:val="001D4453"/>
    <w:rsid w:val="001E750A"/>
    <w:rsid w:val="002247BC"/>
    <w:rsid w:val="00287715"/>
    <w:rsid w:val="002E3877"/>
    <w:rsid w:val="00306EAB"/>
    <w:rsid w:val="00364C81"/>
    <w:rsid w:val="003A6571"/>
    <w:rsid w:val="003A6F57"/>
    <w:rsid w:val="00465866"/>
    <w:rsid w:val="00492E5B"/>
    <w:rsid w:val="004A4B45"/>
    <w:rsid w:val="00526F0F"/>
    <w:rsid w:val="005435A1"/>
    <w:rsid w:val="00586C34"/>
    <w:rsid w:val="005A3F9D"/>
    <w:rsid w:val="005C149B"/>
    <w:rsid w:val="005E690C"/>
    <w:rsid w:val="00614BBE"/>
    <w:rsid w:val="00642A21"/>
    <w:rsid w:val="00646F9E"/>
    <w:rsid w:val="00692E45"/>
    <w:rsid w:val="006E00C3"/>
    <w:rsid w:val="007373E5"/>
    <w:rsid w:val="00777718"/>
    <w:rsid w:val="00791102"/>
    <w:rsid w:val="007D2440"/>
    <w:rsid w:val="007D5171"/>
    <w:rsid w:val="00812393"/>
    <w:rsid w:val="008F0BD1"/>
    <w:rsid w:val="0099785F"/>
    <w:rsid w:val="009A03AA"/>
    <w:rsid w:val="009A466A"/>
    <w:rsid w:val="009B3EBF"/>
    <w:rsid w:val="009D4A33"/>
    <w:rsid w:val="009F6752"/>
    <w:rsid w:val="00A3147A"/>
    <w:rsid w:val="00AB7ABC"/>
    <w:rsid w:val="00B411B3"/>
    <w:rsid w:val="00B43B0C"/>
    <w:rsid w:val="00B91B26"/>
    <w:rsid w:val="00BB68EB"/>
    <w:rsid w:val="00C12A2A"/>
    <w:rsid w:val="00C235C3"/>
    <w:rsid w:val="00CF3093"/>
    <w:rsid w:val="00CF3805"/>
    <w:rsid w:val="00CF66FB"/>
    <w:rsid w:val="00D051D5"/>
    <w:rsid w:val="00D61000"/>
    <w:rsid w:val="00D61435"/>
    <w:rsid w:val="00D72B42"/>
    <w:rsid w:val="00DD7A38"/>
    <w:rsid w:val="00DE568D"/>
    <w:rsid w:val="00E41F83"/>
    <w:rsid w:val="00E871A2"/>
    <w:rsid w:val="00ED7E85"/>
    <w:rsid w:val="00EE537D"/>
    <w:rsid w:val="00F00D31"/>
    <w:rsid w:val="00F202FD"/>
    <w:rsid w:val="00F95A63"/>
    <w:rsid w:val="00FD3661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B964"/>
  <w15:chartTrackingRefBased/>
  <w15:docId w15:val="{B480904D-ADBC-47F6-B5F3-2CCCF82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86"/>
    <w:pPr>
      <w:spacing w:line="252" w:lineRule="auto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3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0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09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0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09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0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0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0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030986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030986"/>
    <w:pPr>
      <w:spacing w:after="0" w:line="240" w:lineRule="auto"/>
    </w:pPr>
    <w:rPr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030986"/>
    <w:rPr>
      <w:sz w:val="22"/>
      <w:szCs w:val="22"/>
      <w:lang w:bidi="ar-SA"/>
    </w:rPr>
  </w:style>
  <w:style w:type="paragraph" w:styleId="af1">
    <w:name w:val="Revision"/>
    <w:hidden/>
    <w:uiPriority w:val="99"/>
    <w:semiHidden/>
    <w:rsid w:val="00BB68EB"/>
    <w:pPr>
      <w:spacing w:after="0" w:line="240" w:lineRule="auto"/>
    </w:pPr>
    <w:rPr>
      <w:sz w:val="22"/>
      <w:szCs w:val="22"/>
      <w:lang w:bidi="ar-SA"/>
    </w:rPr>
  </w:style>
  <w:style w:type="paragraph" w:styleId="af2">
    <w:name w:val="footer"/>
    <w:basedOn w:val="a"/>
    <w:link w:val="af3"/>
    <w:uiPriority w:val="99"/>
    <w:unhideWhenUsed/>
    <w:rsid w:val="009B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9B3EBF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ayosh@idf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AD32-1BF0-49FA-BD13-043097E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נדב פסטר בכר</cp:lastModifiedBy>
  <cp:revision>2</cp:revision>
  <cp:lastPrinted>2025-01-29T16:48:00Z</cp:lastPrinted>
  <dcterms:created xsi:type="dcterms:W3CDTF">2025-02-09T09:22:00Z</dcterms:created>
  <dcterms:modified xsi:type="dcterms:W3CDTF">2025-02-09T09:22:00Z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6c2363d,cdf7189,2dd68ed7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2024-09-19T22:07:45Z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7eb60429-a028-4bca-8681-0f4c173ae46c</vt:lpwstr>
  </property>
  <property fmtid="{D5CDD505-2E9C-101B-9397-08002B2CF9AE}" pid="11" name="MSIP_Label_701b9bfc-c426-492e-a46c-1a922d5fe54b_ContentBits">
    <vt:lpwstr>1</vt:lpwstr>
  </property>
</Properties>
</file>