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C789C" w14:textId="77777777" w:rsidR="00AD2860" w:rsidRDefault="00AD2860" w:rsidP="00AD2860">
      <w:pPr>
        <w:tabs>
          <w:tab w:val="right" w:pos="6328"/>
        </w:tabs>
        <w:spacing w:line="480" w:lineRule="auto"/>
        <w:ind w:left="1985" w:right="1985"/>
        <w:rPr>
          <w:rtl/>
        </w:rPr>
      </w:pPr>
      <w:bookmarkStart w:id="0" w:name="_Hlk100496279"/>
      <w:r>
        <w:rPr>
          <w:noProof/>
        </w:rPr>
        <w:drawing>
          <wp:inline distT="0" distB="0" distL="0" distR="0" wp14:anchorId="0A1BB2F8" wp14:editId="63AD93B5">
            <wp:extent cx="866775" cy="790575"/>
            <wp:effectExtent l="0" t="0" r="9525" b="9525"/>
            <wp:docPr id="2" name="Picture 2"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Pr>
          <w:noProof/>
        </w:rPr>
        <w:drawing>
          <wp:inline distT="0" distB="0" distL="0" distR="0" wp14:anchorId="150868C3" wp14:editId="7EA7CACA">
            <wp:extent cx="581025" cy="790575"/>
            <wp:effectExtent l="0" t="0" r="9525" b="9525"/>
            <wp:docPr id="1" name="Picture 1"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524DB4CF" w14:textId="6C5CCE11" w:rsidR="00AD2860" w:rsidRPr="00B73264" w:rsidRDefault="00892305" w:rsidP="00AD2860">
      <w:pPr>
        <w:bidi w:val="0"/>
        <w:spacing w:line="480" w:lineRule="auto"/>
        <w:jc w:val="center"/>
        <w:rPr>
          <w:b/>
          <w:bCs/>
          <w:u w:val="single"/>
          <w:rtl/>
        </w:rPr>
      </w:pPr>
      <w:r>
        <w:rPr>
          <w:rFonts w:hint="cs"/>
          <w:b/>
          <w:bCs/>
          <w:u w:val="single"/>
          <w:rtl/>
        </w:rPr>
        <w:t xml:space="preserve"> </w:t>
      </w:r>
      <w:r w:rsidR="005E62FC" w:rsidRPr="00B73264">
        <w:rPr>
          <w:b/>
          <w:bCs/>
          <w:u w:val="single"/>
          <w:rtl/>
        </w:rPr>
        <w:t>בבית הדין הצבאי לערעורים</w:t>
      </w:r>
    </w:p>
    <w:p w14:paraId="620B4867" w14:textId="77777777" w:rsidR="005E62FC" w:rsidRPr="00B73264" w:rsidRDefault="005E62FC" w:rsidP="005E62FC">
      <w:pPr>
        <w:spacing w:line="480" w:lineRule="auto"/>
        <w:rPr>
          <w:rtl/>
        </w:rPr>
      </w:pPr>
      <w:r w:rsidRPr="00B73264">
        <w:rPr>
          <w:rFonts w:hint="cs"/>
          <w:rtl/>
        </w:rPr>
        <w:t>ב</w:t>
      </w:r>
      <w:r w:rsidRPr="00B73264">
        <w:rPr>
          <w:rtl/>
        </w:rPr>
        <w:t>פני:</w:t>
      </w:r>
    </w:p>
    <w:tbl>
      <w:tblPr>
        <w:bidiVisual/>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197"/>
        <w:gridCol w:w="781"/>
        <w:gridCol w:w="2553"/>
      </w:tblGrid>
      <w:tr w:rsidR="005E62FC" w:rsidRPr="00B73264" w14:paraId="1DE0A320" w14:textId="77777777" w:rsidTr="008A6A22">
        <w:trPr>
          <w:trHeight w:val="525"/>
          <w:jc w:val="center"/>
        </w:trPr>
        <w:tc>
          <w:tcPr>
            <w:tcW w:w="3197" w:type="dxa"/>
          </w:tcPr>
          <w:p w14:paraId="65E577A0" w14:textId="2B28731B" w:rsidR="005E62FC" w:rsidRPr="00B73264" w:rsidRDefault="005E62FC" w:rsidP="008312EC">
            <w:pPr>
              <w:tabs>
                <w:tab w:val="right" w:pos="1897"/>
              </w:tabs>
              <w:rPr>
                <w:b/>
                <w:bCs/>
                <w:rtl/>
              </w:rPr>
            </w:pPr>
            <w:r>
              <w:rPr>
                <w:rFonts w:hint="cs"/>
                <w:b/>
                <w:bCs/>
                <w:rtl/>
              </w:rPr>
              <w:t>אלופה</w:t>
            </w:r>
            <w:r w:rsidR="008A6A22">
              <w:rPr>
                <w:rFonts w:hint="cs"/>
                <w:b/>
                <w:bCs/>
                <w:rtl/>
              </w:rPr>
              <w:t xml:space="preserve"> </w:t>
            </w:r>
            <w:r>
              <w:rPr>
                <w:rFonts w:hint="cs"/>
                <w:b/>
                <w:bCs/>
                <w:rtl/>
              </w:rPr>
              <w:t xml:space="preserve"> </w:t>
            </w:r>
            <w:r w:rsidRPr="00B73264">
              <w:rPr>
                <w:rFonts w:hint="cs"/>
                <w:b/>
                <w:bCs/>
                <w:rtl/>
              </w:rPr>
              <w:t xml:space="preserve">אורלי </w:t>
            </w:r>
            <w:r>
              <w:rPr>
                <w:rFonts w:hint="cs"/>
                <w:b/>
                <w:bCs/>
                <w:rtl/>
              </w:rPr>
              <w:t xml:space="preserve"> </w:t>
            </w:r>
            <w:r w:rsidRPr="00B73264">
              <w:rPr>
                <w:rFonts w:hint="cs"/>
                <w:b/>
                <w:bCs/>
                <w:rtl/>
              </w:rPr>
              <w:t xml:space="preserve"> </w:t>
            </w:r>
            <w:r>
              <w:rPr>
                <w:rFonts w:hint="cs"/>
                <w:b/>
                <w:bCs/>
                <w:rtl/>
              </w:rPr>
              <w:t xml:space="preserve">  </w:t>
            </w:r>
            <w:r w:rsidR="008A6A22">
              <w:rPr>
                <w:rFonts w:hint="cs"/>
                <w:b/>
                <w:bCs/>
                <w:rtl/>
              </w:rPr>
              <w:t xml:space="preserve">   </w:t>
            </w:r>
            <w:r>
              <w:rPr>
                <w:rFonts w:hint="cs"/>
                <w:b/>
                <w:bCs/>
                <w:rtl/>
              </w:rPr>
              <w:t xml:space="preserve"> </w:t>
            </w:r>
            <w:r w:rsidR="008A6A22">
              <w:rPr>
                <w:rFonts w:hint="cs"/>
                <w:b/>
                <w:bCs/>
                <w:rtl/>
              </w:rPr>
              <w:t xml:space="preserve">  </w:t>
            </w:r>
            <w:r>
              <w:rPr>
                <w:rFonts w:hint="cs"/>
                <w:b/>
                <w:bCs/>
                <w:rtl/>
              </w:rPr>
              <w:t xml:space="preserve">   </w:t>
            </w:r>
            <w:r w:rsidRPr="00B73264">
              <w:rPr>
                <w:rFonts w:hint="cs"/>
                <w:b/>
                <w:bCs/>
                <w:rtl/>
              </w:rPr>
              <w:t>מרקמן</w:t>
            </w:r>
          </w:p>
        </w:tc>
        <w:tc>
          <w:tcPr>
            <w:tcW w:w="781" w:type="dxa"/>
          </w:tcPr>
          <w:p w14:paraId="2F2B17A8" w14:textId="77777777" w:rsidR="005E62FC" w:rsidRPr="00B73264" w:rsidRDefault="005E62FC" w:rsidP="008312EC">
            <w:pPr>
              <w:jc w:val="center"/>
              <w:rPr>
                <w:b/>
                <w:bCs/>
                <w:rtl/>
              </w:rPr>
            </w:pPr>
            <w:r w:rsidRPr="00B73264">
              <w:rPr>
                <w:rFonts w:hint="cs"/>
                <w:b/>
                <w:bCs/>
                <w:rtl/>
              </w:rPr>
              <w:t>-</w:t>
            </w:r>
          </w:p>
        </w:tc>
        <w:tc>
          <w:tcPr>
            <w:tcW w:w="2553" w:type="dxa"/>
          </w:tcPr>
          <w:p w14:paraId="23375C67" w14:textId="77777777" w:rsidR="005E62FC" w:rsidRPr="00B73264" w:rsidRDefault="005E62FC" w:rsidP="008312EC">
            <w:pPr>
              <w:tabs>
                <w:tab w:val="right" w:pos="1789"/>
              </w:tabs>
              <w:rPr>
                <w:rtl/>
              </w:rPr>
            </w:pPr>
            <w:r>
              <w:rPr>
                <w:rFonts w:hint="cs"/>
                <w:rtl/>
              </w:rPr>
              <w:t>הנשיאה</w:t>
            </w:r>
            <w:r w:rsidRPr="00B73264">
              <w:rPr>
                <w:rtl/>
              </w:rPr>
              <w:tab/>
            </w:r>
          </w:p>
        </w:tc>
      </w:tr>
      <w:tr w:rsidR="005E62FC" w:rsidRPr="00B73264" w14:paraId="6A1592D5" w14:textId="77777777" w:rsidTr="008A6A22">
        <w:trPr>
          <w:trHeight w:val="1092"/>
          <w:jc w:val="center"/>
        </w:trPr>
        <w:tc>
          <w:tcPr>
            <w:tcW w:w="3197" w:type="dxa"/>
          </w:tcPr>
          <w:p w14:paraId="4DDED5F2" w14:textId="185B1441" w:rsidR="005E62FC" w:rsidRPr="00B73264" w:rsidRDefault="00347E99" w:rsidP="008312EC">
            <w:pPr>
              <w:tabs>
                <w:tab w:val="right" w:pos="1897"/>
              </w:tabs>
              <w:spacing w:line="480" w:lineRule="auto"/>
              <w:rPr>
                <w:b/>
                <w:bCs/>
                <w:rtl/>
              </w:rPr>
            </w:pPr>
            <w:r w:rsidRPr="00B73264">
              <w:rPr>
                <w:rFonts w:hint="cs"/>
                <w:b/>
                <w:bCs/>
                <w:rtl/>
              </w:rPr>
              <w:t>אל"ם</w:t>
            </w:r>
            <w:r w:rsidR="008A6A22">
              <w:rPr>
                <w:rFonts w:hint="cs"/>
                <w:b/>
                <w:bCs/>
                <w:rtl/>
              </w:rPr>
              <w:t xml:space="preserve"> </w:t>
            </w:r>
            <w:r>
              <w:rPr>
                <w:rFonts w:hint="cs"/>
                <w:b/>
                <w:bCs/>
                <w:rtl/>
              </w:rPr>
              <w:t>מאיה  גולדשמידט אל"ם</w:t>
            </w:r>
            <w:r w:rsidR="008A6A22">
              <w:rPr>
                <w:rFonts w:hint="cs"/>
                <w:b/>
                <w:bCs/>
                <w:rtl/>
              </w:rPr>
              <w:t xml:space="preserve">  </w:t>
            </w:r>
            <w:r>
              <w:rPr>
                <w:rFonts w:hint="cs"/>
                <w:b/>
                <w:bCs/>
                <w:rtl/>
              </w:rPr>
              <w:t>שרית</w:t>
            </w:r>
            <w:r w:rsidR="008A6A22">
              <w:rPr>
                <w:rFonts w:hint="cs"/>
                <w:b/>
                <w:bCs/>
                <w:rtl/>
              </w:rPr>
              <w:t xml:space="preserve">  </w:t>
            </w:r>
            <w:r>
              <w:rPr>
                <w:rFonts w:hint="cs"/>
                <w:b/>
                <w:bCs/>
                <w:rtl/>
              </w:rPr>
              <w:t>גרש</w:t>
            </w:r>
            <w:r w:rsidR="008A6A22">
              <w:rPr>
                <w:rFonts w:hint="cs"/>
                <w:b/>
                <w:bCs/>
                <w:rtl/>
              </w:rPr>
              <w:t>קוביץ-כהן</w:t>
            </w:r>
            <w:r w:rsidR="005E62FC">
              <w:rPr>
                <w:rFonts w:hint="cs"/>
                <w:b/>
                <w:bCs/>
                <w:rtl/>
              </w:rPr>
              <w:t xml:space="preserve">  </w:t>
            </w:r>
            <w:r w:rsidR="005E62FC" w:rsidRPr="00B73264">
              <w:rPr>
                <w:rFonts w:hint="cs"/>
                <w:b/>
                <w:bCs/>
                <w:rtl/>
              </w:rPr>
              <w:t xml:space="preserve">  </w:t>
            </w:r>
            <w:r w:rsidR="005E62FC">
              <w:rPr>
                <w:rFonts w:hint="cs"/>
                <w:b/>
                <w:bCs/>
                <w:rtl/>
              </w:rPr>
              <w:t xml:space="preserve">  </w:t>
            </w:r>
            <w:r w:rsidR="005E62FC" w:rsidRPr="00B73264">
              <w:rPr>
                <w:rFonts w:hint="cs"/>
                <w:b/>
                <w:bCs/>
                <w:rtl/>
              </w:rPr>
              <w:t xml:space="preserve">  </w:t>
            </w:r>
            <w:r w:rsidR="005E62FC">
              <w:rPr>
                <w:rFonts w:hint="cs"/>
                <w:b/>
                <w:bCs/>
                <w:rtl/>
              </w:rPr>
              <w:t xml:space="preserve">   </w:t>
            </w:r>
          </w:p>
          <w:p w14:paraId="78C27E27" w14:textId="5B4E17FE" w:rsidR="005E62FC" w:rsidRPr="00B73264" w:rsidRDefault="005E62FC" w:rsidP="008312EC">
            <w:pPr>
              <w:spacing w:line="480" w:lineRule="auto"/>
              <w:rPr>
                <w:b/>
                <w:bCs/>
                <w:rtl/>
              </w:rPr>
            </w:pPr>
          </w:p>
        </w:tc>
        <w:tc>
          <w:tcPr>
            <w:tcW w:w="781" w:type="dxa"/>
          </w:tcPr>
          <w:p w14:paraId="586E84D2" w14:textId="77777777" w:rsidR="005E62FC" w:rsidRPr="00B73264" w:rsidRDefault="005E62FC" w:rsidP="008312EC">
            <w:pPr>
              <w:spacing w:line="480" w:lineRule="auto"/>
              <w:jc w:val="center"/>
              <w:rPr>
                <w:b/>
                <w:bCs/>
                <w:rtl/>
              </w:rPr>
            </w:pPr>
            <w:r w:rsidRPr="00B73264">
              <w:rPr>
                <w:rFonts w:hint="cs"/>
                <w:b/>
                <w:bCs/>
                <w:rtl/>
              </w:rPr>
              <w:t>-</w:t>
            </w:r>
          </w:p>
          <w:p w14:paraId="22EA4070" w14:textId="77777777" w:rsidR="005E62FC" w:rsidRPr="00B73264" w:rsidRDefault="005E62FC" w:rsidP="008312EC">
            <w:pPr>
              <w:spacing w:line="480" w:lineRule="auto"/>
              <w:rPr>
                <w:b/>
                <w:bCs/>
                <w:rtl/>
              </w:rPr>
            </w:pPr>
            <w:r w:rsidRPr="00B73264">
              <w:rPr>
                <w:rFonts w:hint="cs"/>
                <w:rtl/>
              </w:rPr>
              <w:t xml:space="preserve">  </w:t>
            </w:r>
            <w:r w:rsidRPr="00B73264">
              <w:rPr>
                <w:rFonts w:hint="cs"/>
                <w:b/>
                <w:bCs/>
                <w:rtl/>
              </w:rPr>
              <w:t xml:space="preserve">-      </w:t>
            </w:r>
          </w:p>
        </w:tc>
        <w:tc>
          <w:tcPr>
            <w:tcW w:w="2553" w:type="dxa"/>
          </w:tcPr>
          <w:p w14:paraId="0FB6BB7E" w14:textId="7298704C" w:rsidR="005E62FC" w:rsidRPr="00B73264" w:rsidRDefault="00347E99" w:rsidP="008312EC">
            <w:pPr>
              <w:spacing w:line="480" w:lineRule="auto"/>
              <w:rPr>
                <w:rtl/>
              </w:rPr>
            </w:pPr>
            <w:r>
              <w:rPr>
                <w:rFonts w:hint="cs"/>
                <w:rtl/>
              </w:rPr>
              <w:t>שופטת</w:t>
            </w:r>
          </w:p>
          <w:p w14:paraId="70438A17" w14:textId="77777777" w:rsidR="005E62FC" w:rsidRPr="00B73264" w:rsidRDefault="005E62FC" w:rsidP="008312EC">
            <w:pPr>
              <w:spacing w:line="480" w:lineRule="auto"/>
              <w:rPr>
                <w:rtl/>
              </w:rPr>
            </w:pPr>
            <w:r w:rsidRPr="00B73264">
              <w:rPr>
                <w:rFonts w:hint="cs"/>
                <w:rtl/>
              </w:rPr>
              <w:t>שופט</w:t>
            </w:r>
            <w:r>
              <w:rPr>
                <w:rFonts w:hint="cs"/>
                <w:rtl/>
              </w:rPr>
              <w:t>ת</w:t>
            </w:r>
          </w:p>
        </w:tc>
      </w:tr>
    </w:tbl>
    <w:p w14:paraId="58AEE698" w14:textId="1DB6D236" w:rsidR="005E62FC" w:rsidRDefault="005E62FC" w:rsidP="005E62FC">
      <w:pPr>
        <w:rPr>
          <w:rFonts w:ascii="Tahoma" w:hAnsi="Tahoma"/>
          <w:rtl/>
        </w:rPr>
      </w:pPr>
      <w:r w:rsidRPr="00B73264">
        <w:rPr>
          <w:rFonts w:hint="cs"/>
          <w:rtl/>
        </w:rPr>
        <w:t>בעניין:</w:t>
      </w:r>
    </w:p>
    <w:p w14:paraId="09AB1D30" w14:textId="77777777" w:rsidR="005E62FC" w:rsidRPr="001D1621" w:rsidRDefault="005E62FC" w:rsidP="005E62FC">
      <w:pPr>
        <w:rPr>
          <w:rFonts w:ascii="Tahoma" w:hAnsi="Tahoma"/>
          <w:sz w:val="10"/>
          <w:szCs w:val="10"/>
          <w:rtl/>
        </w:rPr>
      </w:pPr>
    </w:p>
    <w:p w14:paraId="79E66DDC" w14:textId="50A232F6" w:rsidR="004771C9" w:rsidRDefault="004771C9" w:rsidP="004771C9">
      <w:pPr>
        <w:jc w:val="center"/>
        <w:rPr>
          <w:rtl/>
        </w:rPr>
      </w:pPr>
      <w:r>
        <w:rPr>
          <w:rFonts w:hint="cs"/>
          <w:b/>
          <w:bCs/>
          <w:rtl/>
        </w:rPr>
        <w:t>ר</w:t>
      </w:r>
      <w:r w:rsidRPr="005E62FC">
        <w:rPr>
          <w:rFonts w:hint="cs"/>
          <w:b/>
          <w:bCs/>
          <w:rtl/>
        </w:rPr>
        <w:t>/</w:t>
      </w:r>
      <w:r w:rsidR="00323663">
        <w:rPr>
          <w:rFonts w:hint="cs"/>
          <w:b/>
          <w:bCs/>
          <w:rtl/>
        </w:rPr>
        <w:t>*******</w:t>
      </w:r>
      <w:r w:rsidRPr="005E62FC">
        <w:rPr>
          <w:rFonts w:hint="cs"/>
          <w:b/>
          <w:bCs/>
          <w:rtl/>
        </w:rPr>
        <w:t xml:space="preserve"> סמל </w:t>
      </w:r>
      <w:r w:rsidR="00323663">
        <w:rPr>
          <w:rFonts w:hint="cs"/>
          <w:b/>
          <w:bCs/>
          <w:rtl/>
        </w:rPr>
        <w:t>י' י'</w:t>
      </w:r>
      <w:r w:rsidRPr="005E62FC">
        <w:rPr>
          <w:b/>
          <w:bCs/>
          <w:rtl/>
        </w:rPr>
        <w:t xml:space="preserve"> </w:t>
      </w:r>
      <w:r w:rsidRPr="00B73264">
        <w:rPr>
          <w:b/>
          <w:bCs/>
          <w:rtl/>
        </w:rPr>
        <w:t>–</w:t>
      </w:r>
      <w:r w:rsidRPr="00B73264">
        <w:rPr>
          <w:rtl/>
        </w:rPr>
        <w:t xml:space="preserve"> המ</w:t>
      </w:r>
      <w:r w:rsidR="008A6A22">
        <w:rPr>
          <w:rFonts w:hint="cs"/>
          <w:rtl/>
        </w:rPr>
        <w:t>ערער</w:t>
      </w:r>
      <w:r w:rsidRPr="00B73264">
        <w:rPr>
          <w:rtl/>
        </w:rPr>
        <w:t xml:space="preserve"> (ע"י ב"כ</w:t>
      </w:r>
      <w:r w:rsidRPr="00B73264">
        <w:rPr>
          <w:rFonts w:hint="cs"/>
          <w:rtl/>
        </w:rPr>
        <w:t xml:space="preserve">, </w:t>
      </w:r>
      <w:r>
        <w:rPr>
          <w:rFonts w:hint="cs"/>
          <w:rtl/>
        </w:rPr>
        <w:t>רס"ן עמית שוחנצקי; סגן אהרן</w:t>
      </w:r>
    </w:p>
    <w:p w14:paraId="1811904D" w14:textId="77777777" w:rsidR="004771C9" w:rsidRDefault="004771C9" w:rsidP="004771C9">
      <w:pPr>
        <w:jc w:val="center"/>
        <w:rPr>
          <w:rtl/>
        </w:rPr>
      </w:pPr>
      <w:r>
        <w:rPr>
          <w:rFonts w:hint="cs"/>
          <w:rtl/>
        </w:rPr>
        <w:t xml:space="preserve">            פופקו; קמ"ש גילעד כהן</w:t>
      </w:r>
      <w:r w:rsidRPr="00B73264">
        <w:rPr>
          <w:rtl/>
        </w:rPr>
        <w:t>)</w:t>
      </w:r>
    </w:p>
    <w:p w14:paraId="74D9ABB7" w14:textId="77777777" w:rsidR="004771C9" w:rsidRPr="00053E00" w:rsidRDefault="004771C9" w:rsidP="004771C9">
      <w:pPr>
        <w:jc w:val="center"/>
        <w:rPr>
          <w:rFonts w:ascii="Tahoma" w:hAnsi="Tahoma"/>
          <w:sz w:val="18"/>
          <w:szCs w:val="18"/>
          <w:rtl/>
        </w:rPr>
      </w:pPr>
    </w:p>
    <w:p w14:paraId="5D9D9233" w14:textId="77777777" w:rsidR="004771C9" w:rsidRDefault="004771C9" w:rsidP="004771C9">
      <w:pPr>
        <w:jc w:val="center"/>
        <w:rPr>
          <w:rFonts w:ascii="Tahoma" w:hAnsi="Tahoma"/>
          <w:rtl/>
        </w:rPr>
      </w:pPr>
      <w:r w:rsidRPr="00B73264">
        <w:rPr>
          <w:b/>
          <w:bCs/>
          <w:rtl/>
        </w:rPr>
        <w:t>נ ג ד</w:t>
      </w:r>
    </w:p>
    <w:p w14:paraId="00FE9F26" w14:textId="77777777" w:rsidR="004771C9" w:rsidRPr="00053E00" w:rsidRDefault="004771C9" w:rsidP="004771C9">
      <w:pPr>
        <w:jc w:val="center"/>
        <w:rPr>
          <w:rFonts w:ascii="Tahoma" w:hAnsi="Tahoma"/>
          <w:sz w:val="18"/>
          <w:szCs w:val="18"/>
          <w:rtl/>
        </w:rPr>
      </w:pPr>
    </w:p>
    <w:p w14:paraId="432C2881" w14:textId="77777777" w:rsidR="004771C9" w:rsidRDefault="004771C9" w:rsidP="004771C9">
      <w:pPr>
        <w:jc w:val="center"/>
        <w:rPr>
          <w:rFonts w:ascii="Tahoma" w:hAnsi="Tahoma"/>
          <w:rtl/>
        </w:rPr>
      </w:pPr>
      <w:r w:rsidRPr="00B73264">
        <w:rPr>
          <w:rFonts w:ascii="David" w:hAnsi="David" w:hint="cs"/>
          <w:b/>
          <w:bCs/>
          <w:rtl/>
        </w:rPr>
        <w:t>התובע הצבאי הראשי</w:t>
      </w:r>
      <w:r w:rsidRPr="00B73264">
        <w:rPr>
          <w:b/>
          <w:bCs/>
          <w:rtl/>
        </w:rPr>
        <w:t xml:space="preserve"> </w:t>
      </w:r>
      <w:r>
        <w:rPr>
          <w:rFonts w:hint="cs"/>
          <w:b/>
          <w:bCs/>
          <w:rtl/>
        </w:rPr>
        <w:t xml:space="preserve"> </w:t>
      </w:r>
      <w:r w:rsidRPr="00B73264">
        <w:rPr>
          <w:b/>
          <w:bCs/>
          <w:rtl/>
        </w:rPr>
        <w:t>–</w:t>
      </w:r>
      <w:r w:rsidRPr="00B73264">
        <w:rPr>
          <w:rtl/>
        </w:rPr>
        <w:t xml:space="preserve"> </w:t>
      </w:r>
      <w:r>
        <w:rPr>
          <w:rFonts w:hint="cs"/>
          <w:rtl/>
        </w:rPr>
        <w:t xml:space="preserve"> </w:t>
      </w:r>
      <w:r w:rsidRPr="00B73264">
        <w:rPr>
          <w:rFonts w:hint="cs"/>
          <w:rtl/>
        </w:rPr>
        <w:t>המ</w:t>
      </w:r>
      <w:r>
        <w:rPr>
          <w:rFonts w:hint="cs"/>
          <w:rtl/>
        </w:rPr>
        <w:t>שיב</w:t>
      </w:r>
      <w:r w:rsidRPr="00B73264">
        <w:rPr>
          <w:rtl/>
        </w:rPr>
        <w:t xml:space="preserve"> (ע"י ב"כ,</w:t>
      </w:r>
      <w:r w:rsidRPr="00B73264">
        <w:rPr>
          <w:rFonts w:hint="cs"/>
          <w:rtl/>
        </w:rPr>
        <w:t xml:space="preserve"> </w:t>
      </w:r>
      <w:r>
        <w:rPr>
          <w:rFonts w:hint="cs"/>
          <w:rtl/>
        </w:rPr>
        <w:t xml:space="preserve">רס"ן אליסף מלמד; </w:t>
      </w:r>
      <w:r w:rsidRPr="00B73264">
        <w:rPr>
          <w:rFonts w:hint="cs"/>
          <w:rtl/>
        </w:rPr>
        <w:t xml:space="preserve">סרן </w:t>
      </w:r>
      <w:r>
        <w:rPr>
          <w:rFonts w:ascii="Tahoma" w:hAnsi="Tahoma" w:hint="cs"/>
          <w:rtl/>
        </w:rPr>
        <w:t>אינה אברמוב</w:t>
      </w:r>
      <w:r w:rsidRPr="00B73264">
        <w:rPr>
          <w:rtl/>
        </w:rPr>
        <w:t>)</w:t>
      </w:r>
    </w:p>
    <w:p w14:paraId="42BFFA9D" w14:textId="77777777" w:rsidR="00AA66CF" w:rsidRDefault="00AA66CF" w:rsidP="00347E99">
      <w:pPr>
        <w:rPr>
          <w:rtl/>
        </w:rPr>
      </w:pPr>
    </w:p>
    <w:p w14:paraId="2F4D6CA0" w14:textId="6E2F3D17" w:rsidR="00AA66CF" w:rsidRDefault="00AA66CF" w:rsidP="00AA66CF">
      <w:pPr>
        <w:rPr>
          <w:rFonts w:ascii="Tahoma" w:hAnsi="Tahoma"/>
          <w:rtl/>
        </w:rPr>
      </w:pPr>
      <w:r>
        <w:rPr>
          <w:rFonts w:hint="cs"/>
          <w:rtl/>
        </w:rPr>
        <w:t>ו</w:t>
      </w:r>
      <w:r w:rsidRPr="00B73264">
        <w:rPr>
          <w:rFonts w:hint="cs"/>
          <w:rtl/>
        </w:rPr>
        <w:t>בעניין:</w:t>
      </w:r>
    </w:p>
    <w:p w14:paraId="484D02C7" w14:textId="77777777" w:rsidR="00AA66CF" w:rsidRPr="001D1621" w:rsidRDefault="00AA66CF" w:rsidP="00AA66CF">
      <w:pPr>
        <w:rPr>
          <w:rFonts w:ascii="Tahoma" w:hAnsi="Tahoma"/>
          <w:sz w:val="10"/>
          <w:szCs w:val="10"/>
          <w:rtl/>
        </w:rPr>
      </w:pPr>
    </w:p>
    <w:p w14:paraId="46864F17" w14:textId="77777777" w:rsidR="004771C9" w:rsidRDefault="004771C9" w:rsidP="004771C9">
      <w:pPr>
        <w:jc w:val="center"/>
        <w:rPr>
          <w:rFonts w:ascii="Tahoma" w:hAnsi="Tahoma"/>
          <w:rtl/>
        </w:rPr>
      </w:pPr>
      <w:r w:rsidRPr="00B73264">
        <w:rPr>
          <w:rFonts w:ascii="David" w:hAnsi="David" w:hint="cs"/>
          <w:b/>
          <w:bCs/>
          <w:rtl/>
        </w:rPr>
        <w:t>התובע הצבאי הראשי</w:t>
      </w:r>
      <w:r w:rsidRPr="00B73264">
        <w:rPr>
          <w:b/>
          <w:bCs/>
          <w:rtl/>
        </w:rPr>
        <w:t xml:space="preserve"> </w:t>
      </w:r>
      <w:r>
        <w:rPr>
          <w:rFonts w:hint="cs"/>
          <w:b/>
          <w:bCs/>
          <w:rtl/>
        </w:rPr>
        <w:t xml:space="preserve"> </w:t>
      </w:r>
      <w:r w:rsidRPr="00B73264">
        <w:rPr>
          <w:b/>
          <w:bCs/>
          <w:rtl/>
        </w:rPr>
        <w:t>–</w:t>
      </w:r>
      <w:r w:rsidRPr="00B73264">
        <w:rPr>
          <w:rtl/>
        </w:rPr>
        <w:t xml:space="preserve"> </w:t>
      </w:r>
      <w:r>
        <w:rPr>
          <w:rFonts w:hint="cs"/>
          <w:rtl/>
        </w:rPr>
        <w:t xml:space="preserve"> </w:t>
      </w:r>
      <w:r w:rsidRPr="00B73264">
        <w:rPr>
          <w:rFonts w:hint="cs"/>
          <w:rtl/>
        </w:rPr>
        <w:t>המערער</w:t>
      </w:r>
      <w:r w:rsidRPr="00B73264">
        <w:rPr>
          <w:rtl/>
        </w:rPr>
        <w:t xml:space="preserve"> (ע"י ב"כ,</w:t>
      </w:r>
      <w:r w:rsidRPr="00B73264">
        <w:rPr>
          <w:rFonts w:hint="cs"/>
          <w:rtl/>
        </w:rPr>
        <w:t xml:space="preserve"> </w:t>
      </w:r>
      <w:bookmarkStart w:id="1" w:name="_Hlk101947533"/>
      <w:r>
        <w:rPr>
          <w:rFonts w:hint="cs"/>
          <w:rtl/>
        </w:rPr>
        <w:t xml:space="preserve">רס"ן אליסף מלמד; </w:t>
      </w:r>
      <w:bookmarkEnd w:id="1"/>
      <w:r w:rsidRPr="00B73264">
        <w:rPr>
          <w:rFonts w:hint="cs"/>
          <w:rtl/>
        </w:rPr>
        <w:t xml:space="preserve">סרן </w:t>
      </w:r>
      <w:r>
        <w:rPr>
          <w:rFonts w:ascii="Tahoma" w:hAnsi="Tahoma" w:hint="cs"/>
          <w:rtl/>
        </w:rPr>
        <w:t>אינה אברמוב</w:t>
      </w:r>
      <w:r w:rsidRPr="00B73264">
        <w:rPr>
          <w:rtl/>
        </w:rPr>
        <w:t>)</w:t>
      </w:r>
    </w:p>
    <w:p w14:paraId="2994F3CF" w14:textId="77777777" w:rsidR="004771C9" w:rsidRPr="00053E00" w:rsidRDefault="004771C9" w:rsidP="004771C9">
      <w:pPr>
        <w:jc w:val="center"/>
        <w:rPr>
          <w:rFonts w:ascii="Tahoma" w:hAnsi="Tahoma"/>
          <w:sz w:val="18"/>
          <w:szCs w:val="18"/>
          <w:rtl/>
        </w:rPr>
      </w:pPr>
    </w:p>
    <w:p w14:paraId="525A067E" w14:textId="77777777" w:rsidR="004771C9" w:rsidRDefault="004771C9" w:rsidP="004771C9">
      <w:pPr>
        <w:jc w:val="center"/>
        <w:rPr>
          <w:rFonts w:ascii="Tahoma" w:hAnsi="Tahoma"/>
          <w:rtl/>
        </w:rPr>
      </w:pPr>
      <w:r w:rsidRPr="00B73264">
        <w:rPr>
          <w:b/>
          <w:bCs/>
          <w:rtl/>
        </w:rPr>
        <w:t>נ ג ד</w:t>
      </w:r>
    </w:p>
    <w:p w14:paraId="62B7F5C0" w14:textId="77777777" w:rsidR="004771C9" w:rsidRPr="00053E00" w:rsidRDefault="004771C9" w:rsidP="004771C9">
      <w:pPr>
        <w:jc w:val="center"/>
        <w:rPr>
          <w:rFonts w:ascii="Tahoma" w:hAnsi="Tahoma"/>
          <w:sz w:val="18"/>
          <w:szCs w:val="18"/>
          <w:rtl/>
        </w:rPr>
      </w:pPr>
    </w:p>
    <w:p w14:paraId="465BA8C2" w14:textId="5F07D97C" w:rsidR="004771C9" w:rsidRDefault="004771C9" w:rsidP="004771C9">
      <w:pPr>
        <w:jc w:val="center"/>
        <w:rPr>
          <w:rtl/>
        </w:rPr>
      </w:pPr>
      <w:r>
        <w:rPr>
          <w:rFonts w:hint="cs"/>
          <w:b/>
          <w:bCs/>
          <w:rtl/>
        </w:rPr>
        <w:t>ר</w:t>
      </w:r>
      <w:r w:rsidRPr="005E62FC">
        <w:rPr>
          <w:rFonts w:hint="cs"/>
          <w:b/>
          <w:bCs/>
          <w:rtl/>
        </w:rPr>
        <w:t>/</w:t>
      </w:r>
      <w:r w:rsidR="00323663">
        <w:rPr>
          <w:rFonts w:hint="cs"/>
          <w:b/>
          <w:bCs/>
          <w:rtl/>
        </w:rPr>
        <w:t>*******</w:t>
      </w:r>
      <w:r w:rsidRPr="005E62FC">
        <w:rPr>
          <w:rFonts w:hint="cs"/>
          <w:b/>
          <w:bCs/>
          <w:rtl/>
        </w:rPr>
        <w:t xml:space="preserve"> סמל </w:t>
      </w:r>
      <w:r w:rsidR="00323663">
        <w:rPr>
          <w:rFonts w:hint="cs"/>
          <w:b/>
          <w:bCs/>
          <w:rtl/>
        </w:rPr>
        <w:t xml:space="preserve">י' י' </w:t>
      </w:r>
      <w:r w:rsidRPr="005E62FC">
        <w:rPr>
          <w:b/>
          <w:bCs/>
          <w:rtl/>
        </w:rPr>
        <w:t xml:space="preserve"> </w:t>
      </w:r>
      <w:r w:rsidRPr="00B73264">
        <w:rPr>
          <w:b/>
          <w:bCs/>
          <w:rtl/>
        </w:rPr>
        <w:t>–</w:t>
      </w:r>
      <w:r w:rsidRPr="00B73264">
        <w:rPr>
          <w:rtl/>
        </w:rPr>
        <w:t xml:space="preserve"> המ</w:t>
      </w:r>
      <w:r w:rsidRPr="00B73264">
        <w:rPr>
          <w:rFonts w:hint="cs"/>
          <w:rtl/>
        </w:rPr>
        <w:t>שיב</w:t>
      </w:r>
      <w:r w:rsidRPr="00B73264">
        <w:rPr>
          <w:rtl/>
        </w:rPr>
        <w:t xml:space="preserve"> (ע"י ב"כ</w:t>
      </w:r>
      <w:r w:rsidRPr="00B73264">
        <w:rPr>
          <w:rFonts w:hint="cs"/>
          <w:rtl/>
        </w:rPr>
        <w:t xml:space="preserve">, </w:t>
      </w:r>
      <w:r>
        <w:rPr>
          <w:rFonts w:hint="cs"/>
          <w:rtl/>
        </w:rPr>
        <w:t>רס"ן עמית שוחנצקי; סגן אהרן</w:t>
      </w:r>
    </w:p>
    <w:p w14:paraId="4565E46E" w14:textId="77777777" w:rsidR="004771C9" w:rsidRDefault="004771C9" w:rsidP="004771C9">
      <w:pPr>
        <w:jc w:val="center"/>
        <w:rPr>
          <w:rtl/>
        </w:rPr>
      </w:pPr>
      <w:r>
        <w:rPr>
          <w:rFonts w:hint="cs"/>
          <w:rtl/>
        </w:rPr>
        <w:t xml:space="preserve">            פופקו; קמ"ש גילעד כהן</w:t>
      </w:r>
      <w:r w:rsidRPr="00B73264">
        <w:rPr>
          <w:rtl/>
        </w:rPr>
        <w:t>)</w:t>
      </w:r>
    </w:p>
    <w:p w14:paraId="1A32F0D2" w14:textId="77777777" w:rsidR="00AA66CF" w:rsidRPr="00B73264" w:rsidRDefault="00AA66CF" w:rsidP="00347E99">
      <w:pPr>
        <w:rPr>
          <w:rtl/>
        </w:rPr>
      </w:pPr>
    </w:p>
    <w:p w14:paraId="0752A770" w14:textId="7924B217" w:rsidR="001D1621" w:rsidRDefault="005E62FC" w:rsidP="001D1621">
      <w:pPr>
        <w:spacing w:before="600" w:after="480"/>
        <w:rPr>
          <w:b/>
          <w:bCs/>
          <w:u w:val="single"/>
          <w:rtl/>
        </w:rPr>
      </w:pPr>
      <w:r w:rsidRPr="00B73264">
        <w:rPr>
          <w:rtl/>
        </w:rPr>
        <w:t>ערעור</w:t>
      </w:r>
      <w:r w:rsidR="00E32BCA">
        <w:rPr>
          <w:rFonts w:hint="cs"/>
          <w:rtl/>
        </w:rPr>
        <w:t>ים</w:t>
      </w:r>
      <w:r w:rsidRPr="00B73264">
        <w:rPr>
          <w:rtl/>
        </w:rPr>
        <w:t xml:space="preserve"> על פסק</w:t>
      </w:r>
      <w:r w:rsidRPr="00B73264">
        <w:rPr>
          <w:rFonts w:hint="cs"/>
          <w:rtl/>
        </w:rPr>
        <w:t xml:space="preserve"> </w:t>
      </w:r>
      <w:r w:rsidRPr="00B73264">
        <w:rPr>
          <w:rtl/>
        </w:rPr>
        <w:t>דין של בית הדין הצבאי המחוזי במחוז שיפוט</w:t>
      </w:r>
      <w:r w:rsidRPr="00B73264">
        <w:rPr>
          <w:rFonts w:hint="cs"/>
          <w:rtl/>
        </w:rPr>
        <w:t>י</w:t>
      </w:r>
      <w:r w:rsidRPr="00B73264">
        <w:rPr>
          <w:rtl/>
        </w:rPr>
        <w:t xml:space="preserve"> </w:t>
      </w:r>
      <w:r>
        <w:rPr>
          <w:rFonts w:hint="cs"/>
          <w:rtl/>
        </w:rPr>
        <w:t xml:space="preserve">הדרום </w:t>
      </w:r>
      <w:r w:rsidRPr="00B73264">
        <w:rPr>
          <w:rtl/>
        </w:rPr>
        <w:t>שניתן בתיק</w:t>
      </w:r>
      <w:r w:rsidRPr="00B73264">
        <w:rPr>
          <w:rFonts w:hint="cs"/>
          <w:rtl/>
        </w:rPr>
        <w:t xml:space="preserve"> </w:t>
      </w:r>
      <w:r>
        <w:rPr>
          <w:rFonts w:hint="cs"/>
          <w:rtl/>
        </w:rPr>
        <w:t>דרום</w:t>
      </w:r>
      <w:r w:rsidRPr="00B73264">
        <w:rPr>
          <w:rFonts w:hint="cs"/>
          <w:rtl/>
        </w:rPr>
        <w:t xml:space="preserve"> (מחוזי) </w:t>
      </w:r>
      <w:r w:rsidR="00347E99">
        <w:rPr>
          <w:rFonts w:hint="cs"/>
          <w:rtl/>
        </w:rPr>
        <w:t xml:space="preserve">356/21 </w:t>
      </w:r>
      <w:r w:rsidRPr="00B73264">
        <w:rPr>
          <w:rtl/>
        </w:rPr>
        <w:t>(</w:t>
      </w:r>
      <w:r w:rsidR="00347E99">
        <w:rPr>
          <w:rFonts w:hint="cs"/>
          <w:rtl/>
        </w:rPr>
        <w:t>אל"ם מאיר ויגיסר</w:t>
      </w:r>
      <w:r w:rsidR="008A6A22">
        <w:rPr>
          <w:rFonts w:hint="cs"/>
          <w:rtl/>
        </w:rPr>
        <w:t xml:space="preserve"> </w:t>
      </w:r>
      <w:r w:rsidRPr="00B73264">
        <w:rPr>
          <w:rtl/>
        </w:rPr>
        <w:t>–</w:t>
      </w:r>
      <w:r w:rsidRPr="00B73264">
        <w:rPr>
          <w:rFonts w:hint="cs"/>
          <w:rtl/>
        </w:rPr>
        <w:t xml:space="preserve"> </w:t>
      </w:r>
      <w:r w:rsidR="00AA66CF">
        <w:rPr>
          <w:rFonts w:hint="cs"/>
          <w:rtl/>
        </w:rPr>
        <w:t>ה</w:t>
      </w:r>
      <w:r w:rsidR="00347E99">
        <w:rPr>
          <w:rFonts w:hint="cs"/>
          <w:rtl/>
        </w:rPr>
        <w:t xml:space="preserve">נשיא; רס"ן דור דבדה </w:t>
      </w:r>
      <w:r w:rsidR="00347E99">
        <w:rPr>
          <w:rtl/>
        </w:rPr>
        <w:t>–</w:t>
      </w:r>
      <w:r w:rsidR="00347E99">
        <w:rPr>
          <w:rFonts w:hint="cs"/>
          <w:rtl/>
        </w:rPr>
        <w:t xml:space="preserve"> שופט; סרן בני רוזנר - שופט</w:t>
      </w:r>
      <w:r w:rsidRPr="00B73264">
        <w:rPr>
          <w:rtl/>
        </w:rPr>
        <w:t>) ב</w:t>
      </w:r>
      <w:r w:rsidRPr="00B73264">
        <w:rPr>
          <w:rFonts w:hint="cs"/>
          <w:rtl/>
        </w:rPr>
        <w:t xml:space="preserve">יום </w:t>
      </w:r>
      <w:r w:rsidR="001D1621">
        <w:rPr>
          <w:rFonts w:hint="cs"/>
          <w:rtl/>
        </w:rPr>
        <w:t>7.2.2022</w:t>
      </w:r>
      <w:r w:rsidRPr="00B73264">
        <w:rPr>
          <w:rtl/>
        </w:rPr>
        <w:t xml:space="preserve">. </w:t>
      </w:r>
      <w:r w:rsidR="00AA66CF">
        <w:rPr>
          <w:rFonts w:hint="cs"/>
          <w:rtl/>
        </w:rPr>
        <w:t>ערעור ההגנה (חומרת העונש) נדחה. ערעור התביעה (קולת העונש) התקבל באופן חלקי.</w:t>
      </w:r>
    </w:p>
    <w:bookmarkEnd w:id="0"/>
    <w:p w14:paraId="6D885E3E" w14:textId="6F079CBE" w:rsidR="00961B44" w:rsidRDefault="00D3061E" w:rsidP="001D1621">
      <w:pPr>
        <w:spacing w:before="600" w:after="480"/>
        <w:jc w:val="center"/>
        <w:rPr>
          <w:b/>
          <w:bCs/>
          <w:u w:val="single"/>
          <w:rtl/>
        </w:rPr>
      </w:pPr>
      <w:r>
        <w:rPr>
          <w:rFonts w:hint="cs"/>
          <w:b/>
          <w:bCs/>
          <w:u w:val="single"/>
          <w:rtl/>
        </w:rPr>
        <w:lastRenderedPageBreak/>
        <w:t>פ</w:t>
      </w:r>
      <w:r w:rsidR="00AA66CF">
        <w:rPr>
          <w:rFonts w:hint="cs"/>
          <w:b/>
          <w:bCs/>
          <w:u w:val="single"/>
          <w:rtl/>
        </w:rPr>
        <w:t xml:space="preserve"> </w:t>
      </w:r>
      <w:r>
        <w:rPr>
          <w:rFonts w:hint="cs"/>
          <w:b/>
          <w:bCs/>
          <w:u w:val="single"/>
          <w:rtl/>
        </w:rPr>
        <w:t>ס</w:t>
      </w:r>
      <w:r w:rsidR="00AA66CF">
        <w:rPr>
          <w:rFonts w:hint="cs"/>
          <w:b/>
          <w:bCs/>
          <w:u w:val="single"/>
          <w:rtl/>
        </w:rPr>
        <w:t xml:space="preserve"> </w:t>
      </w:r>
      <w:r>
        <w:rPr>
          <w:rFonts w:hint="cs"/>
          <w:b/>
          <w:bCs/>
          <w:u w:val="single"/>
          <w:rtl/>
        </w:rPr>
        <w:t xml:space="preserve">ק </w:t>
      </w:r>
      <w:r w:rsidR="00AA66CF">
        <w:rPr>
          <w:b/>
          <w:bCs/>
          <w:u w:val="single"/>
          <w:rtl/>
        </w:rPr>
        <w:t>–</w:t>
      </w:r>
      <w:r w:rsidR="00AA66CF">
        <w:rPr>
          <w:rFonts w:hint="cs"/>
          <w:b/>
          <w:bCs/>
          <w:u w:val="single"/>
          <w:rtl/>
        </w:rPr>
        <w:t xml:space="preserve"> </w:t>
      </w:r>
      <w:r>
        <w:rPr>
          <w:rFonts w:hint="cs"/>
          <w:b/>
          <w:bCs/>
          <w:u w:val="single"/>
          <w:rtl/>
        </w:rPr>
        <w:t>ד</w:t>
      </w:r>
      <w:r w:rsidR="00AA66CF">
        <w:rPr>
          <w:rFonts w:hint="cs"/>
          <w:b/>
          <w:bCs/>
          <w:u w:val="single"/>
          <w:rtl/>
        </w:rPr>
        <w:t xml:space="preserve"> </w:t>
      </w:r>
      <w:r>
        <w:rPr>
          <w:rFonts w:hint="cs"/>
          <w:b/>
          <w:bCs/>
          <w:u w:val="single"/>
          <w:rtl/>
        </w:rPr>
        <w:t>י</w:t>
      </w:r>
      <w:r w:rsidR="00AA66CF">
        <w:rPr>
          <w:rFonts w:hint="cs"/>
          <w:b/>
          <w:bCs/>
          <w:u w:val="single"/>
          <w:rtl/>
        </w:rPr>
        <w:t xml:space="preserve"> </w:t>
      </w:r>
      <w:r>
        <w:rPr>
          <w:rFonts w:hint="cs"/>
          <w:b/>
          <w:bCs/>
          <w:u w:val="single"/>
          <w:rtl/>
        </w:rPr>
        <w:t>ן</w:t>
      </w:r>
    </w:p>
    <w:p w14:paraId="23945D19" w14:textId="4DE41041" w:rsidR="00706D6E" w:rsidRDefault="00961B44" w:rsidP="005E62FC">
      <w:pPr>
        <w:tabs>
          <w:tab w:val="left" w:pos="226"/>
        </w:tabs>
        <w:ind w:left="-170"/>
        <w:rPr>
          <w:b/>
          <w:bCs/>
          <w:u w:val="single"/>
          <w:rtl/>
        </w:rPr>
      </w:pPr>
      <w:r>
        <w:rPr>
          <w:rFonts w:hint="cs"/>
          <w:b/>
          <w:bCs/>
          <w:rtl/>
        </w:rPr>
        <w:t xml:space="preserve">  </w:t>
      </w:r>
      <w:r w:rsidR="00A37435">
        <w:rPr>
          <w:rFonts w:hint="cs"/>
          <w:b/>
          <w:bCs/>
          <w:u w:val="single"/>
          <w:rtl/>
        </w:rPr>
        <w:t>כללי</w:t>
      </w:r>
      <w:r w:rsidR="00706D6E" w:rsidRPr="002364F2">
        <w:rPr>
          <w:rFonts w:hint="cs"/>
          <w:b/>
          <w:bCs/>
          <w:u w:val="single"/>
          <w:rtl/>
        </w:rPr>
        <w:t xml:space="preserve"> </w:t>
      </w:r>
    </w:p>
    <w:p w14:paraId="0DC44334" w14:textId="77777777" w:rsidR="00BC2635" w:rsidRPr="001D1621" w:rsidRDefault="00BC2635" w:rsidP="00844363">
      <w:pPr>
        <w:spacing w:line="348" w:lineRule="auto"/>
        <w:rPr>
          <w:b/>
          <w:bCs/>
          <w:sz w:val="10"/>
          <w:szCs w:val="10"/>
          <w:u w:val="single"/>
          <w:rtl/>
        </w:rPr>
      </w:pPr>
    </w:p>
    <w:p w14:paraId="4F71E501" w14:textId="151E8D97" w:rsidR="00053E00" w:rsidRDefault="004B0EC0" w:rsidP="00053E00">
      <w:pPr>
        <w:numPr>
          <w:ilvl w:val="0"/>
          <w:numId w:val="3"/>
        </w:numPr>
        <w:tabs>
          <w:tab w:val="left" w:pos="226"/>
        </w:tabs>
        <w:ind w:left="-57" w:firstLine="0"/>
      </w:pPr>
      <w:r>
        <w:rPr>
          <w:rFonts w:hint="cs"/>
          <w:rtl/>
        </w:rPr>
        <w:t xml:space="preserve">המערער, סמל </w:t>
      </w:r>
      <w:r w:rsidR="00323663">
        <w:rPr>
          <w:rFonts w:hint="cs"/>
          <w:rtl/>
        </w:rPr>
        <w:t xml:space="preserve">י' י' </w:t>
      </w:r>
      <w:r>
        <w:rPr>
          <w:rFonts w:hint="cs"/>
          <w:rtl/>
        </w:rPr>
        <w:t xml:space="preserve">, הורשע על פי הודאתו בעבירות של הוצאת נשק מרשות הצבא, לפי סעיף 78 לחוק השיפוט הצבאי, </w:t>
      </w:r>
      <w:r w:rsidR="00AA66CF">
        <w:rPr>
          <w:rFonts w:hint="cs"/>
          <w:rtl/>
        </w:rPr>
        <w:t>ה</w:t>
      </w:r>
      <w:r>
        <w:rPr>
          <w:rFonts w:hint="cs"/>
          <w:rtl/>
        </w:rPr>
        <w:t xml:space="preserve">תשט"ו </w:t>
      </w:r>
      <w:r w:rsidR="00B56C8F">
        <w:rPr>
          <w:rFonts w:hint="cs"/>
          <w:rtl/>
        </w:rPr>
        <w:t>-</w:t>
      </w:r>
      <w:r>
        <w:rPr>
          <w:rFonts w:hint="cs"/>
          <w:rtl/>
        </w:rPr>
        <w:t xml:space="preserve"> 1955 ועבירות בנשק (נשיאת נשק שלא כדין), לפי סעיף 144(ב)</w:t>
      </w:r>
      <w:r>
        <w:rPr>
          <w:rFonts w:hint="cs"/>
        </w:rPr>
        <w:t xml:space="preserve"> </w:t>
      </w:r>
      <w:r>
        <w:rPr>
          <w:rFonts w:hint="cs"/>
          <w:rtl/>
        </w:rPr>
        <w:t xml:space="preserve">רישא לחוק העונשין, </w:t>
      </w:r>
      <w:r w:rsidR="00AA66CF">
        <w:rPr>
          <w:rFonts w:hint="cs"/>
          <w:rtl/>
        </w:rPr>
        <w:t>ה</w:t>
      </w:r>
      <w:r>
        <w:rPr>
          <w:rFonts w:hint="cs"/>
          <w:rtl/>
        </w:rPr>
        <w:t xml:space="preserve">תשל"ז </w:t>
      </w:r>
      <w:r w:rsidR="00B56C8F">
        <w:rPr>
          <w:rFonts w:hint="cs"/>
          <w:rtl/>
        </w:rPr>
        <w:t>-</w:t>
      </w:r>
      <w:r>
        <w:rPr>
          <w:rFonts w:hint="cs"/>
          <w:rtl/>
        </w:rPr>
        <w:t xml:space="preserve"> 1977. </w:t>
      </w:r>
      <w:r w:rsidR="00563E50">
        <w:rPr>
          <w:rFonts w:hint="cs"/>
          <w:rtl/>
        </w:rPr>
        <w:t>בגין הרשעתו, הושת</w:t>
      </w:r>
      <w:r w:rsidR="00EB5AC6">
        <w:rPr>
          <w:rFonts w:hint="cs"/>
          <w:rtl/>
        </w:rPr>
        <w:t>ו</w:t>
      </w:r>
      <w:r w:rsidR="00563E50">
        <w:rPr>
          <w:rFonts w:hint="cs"/>
          <w:rtl/>
        </w:rPr>
        <w:t xml:space="preserve"> עליו </w:t>
      </w:r>
      <w:r>
        <w:rPr>
          <w:rFonts w:hint="cs"/>
          <w:rtl/>
        </w:rPr>
        <w:t>12 חודשי מאסר לריצוי בפועל</w:t>
      </w:r>
      <w:r w:rsidR="00BB05F6">
        <w:rPr>
          <w:rFonts w:hint="cs"/>
          <w:rtl/>
        </w:rPr>
        <w:t>,</w:t>
      </w:r>
      <w:r>
        <w:rPr>
          <w:rFonts w:hint="cs"/>
          <w:rtl/>
        </w:rPr>
        <w:t xml:space="preserve"> לצד מאסר מותנה והורדה לדרגת טוראי. </w:t>
      </w:r>
      <w:r w:rsidR="00D136F7">
        <w:rPr>
          <w:rFonts w:hint="cs"/>
          <w:rtl/>
        </w:rPr>
        <w:t>בית הדין</w:t>
      </w:r>
      <w:r w:rsidR="00B56C8F">
        <w:rPr>
          <w:rFonts w:hint="cs"/>
          <w:rtl/>
        </w:rPr>
        <w:t xml:space="preserve"> </w:t>
      </w:r>
      <w:r w:rsidR="00563E50">
        <w:rPr>
          <w:rFonts w:hint="cs"/>
          <w:rtl/>
        </w:rPr>
        <w:t xml:space="preserve">קמא הנכבד </w:t>
      </w:r>
      <w:r w:rsidR="00B56C8F">
        <w:rPr>
          <w:rFonts w:hint="cs"/>
          <w:rtl/>
        </w:rPr>
        <w:t xml:space="preserve">דחה את עתירת התביעה לגזור על הנאשם גם קנס כספי ולהורות על חילוט רכבו. </w:t>
      </w:r>
    </w:p>
    <w:p w14:paraId="2F9F1400" w14:textId="3265D48A" w:rsidR="004B0EC0" w:rsidRDefault="004B0EC0" w:rsidP="00053E00">
      <w:pPr>
        <w:numPr>
          <w:ilvl w:val="0"/>
          <w:numId w:val="3"/>
        </w:numPr>
        <w:tabs>
          <w:tab w:val="left" w:pos="226"/>
        </w:tabs>
        <w:spacing w:after="120"/>
        <w:ind w:left="-57" w:firstLine="0"/>
      </w:pPr>
      <w:r>
        <w:rPr>
          <w:rFonts w:hint="cs"/>
          <w:rtl/>
        </w:rPr>
        <w:t xml:space="preserve">שני הצדדים לא השלימו עם פסק </w:t>
      </w:r>
      <w:r w:rsidR="00563E50">
        <w:rPr>
          <w:rFonts w:hint="cs"/>
          <w:rtl/>
        </w:rPr>
        <w:t>ה</w:t>
      </w:r>
      <w:r>
        <w:rPr>
          <w:rFonts w:hint="cs"/>
          <w:rtl/>
        </w:rPr>
        <w:t>די</w:t>
      </w:r>
      <w:r w:rsidR="00563E50">
        <w:rPr>
          <w:rFonts w:hint="cs"/>
          <w:rtl/>
        </w:rPr>
        <w:t>ן</w:t>
      </w:r>
      <w:r>
        <w:rPr>
          <w:rFonts w:hint="cs"/>
          <w:rtl/>
        </w:rPr>
        <w:t xml:space="preserve">. ההגנה עותרת להקל בעונש המאסר </w:t>
      </w:r>
      <w:r w:rsidR="00EB5AC6">
        <w:rPr>
          <w:rFonts w:hint="cs"/>
          <w:rtl/>
        </w:rPr>
        <w:t xml:space="preserve">בפועל </w:t>
      </w:r>
      <w:r>
        <w:rPr>
          <w:rFonts w:hint="cs"/>
          <w:rtl/>
        </w:rPr>
        <w:t>שנגזר על המערער, ואילו התביעה עותרת להחמ</w:t>
      </w:r>
      <w:r w:rsidR="00EB5AC6">
        <w:rPr>
          <w:rFonts w:hint="cs"/>
          <w:rtl/>
        </w:rPr>
        <w:t>י</w:t>
      </w:r>
      <w:r>
        <w:rPr>
          <w:rFonts w:hint="cs"/>
          <w:rtl/>
        </w:rPr>
        <w:t>ר</w:t>
      </w:r>
      <w:r w:rsidR="00EB5AC6">
        <w:rPr>
          <w:rFonts w:hint="cs"/>
          <w:rtl/>
        </w:rPr>
        <w:t xml:space="preserve"> בו</w:t>
      </w:r>
      <w:r>
        <w:rPr>
          <w:rFonts w:hint="cs"/>
          <w:rtl/>
        </w:rPr>
        <w:t xml:space="preserve"> ו</w:t>
      </w:r>
      <w:r w:rsidR="00EB5AC6">
        <w:rPr>
          <w:rFonts w:hint="cs"/>
          <w:rtl/>
        </w:rPr>
        <w:t>כן ל</w:t>
      </w:r>
      <w:r>
        <w:rPr>
          <w:rFonts w:hint="cs"/>
          <w:rtl/>
        </w:rPr>
        <w:t>הוס</w:t>
      </w:r>
      <w:r w:rsidR="00EB5AC6">
        <w:rPr>
          <w:rFonts w:hint="cs"/>
          <w:rtl/>
        </w:rPr>
        <w:t xml:space="preserve">יף </w:t>
      </w:r>
      <w:r>
        <w:rPr>
          <w:rFonts w:hint="cs"/>
          <w:rtl/>
        </w:rPr>
        <w:t>רכיב של קנס</w:t>
      </w:r>
      <w:r w:rsidR="00774EB4">
        <w:rPr>
          <w:rFonts w:hint="cs"/>
          <w:rtl/>
        </w:rPr>
        <w:t xml:space="preserve"> כספי</w:t>
      </w:r>
      <w:r w:rsidR="00B56C8F">
        <w:rPr>
          <w:rFonts w:hint="cs"/>
          <w:rtl/>
        </w:rPr>
        <w:t>.</w:t>
      </w:r>
      <w:r>
        <w:rPr>
          <w:rFonts w:hint="cs"/>
          <w:rtl/>
        </w:rPr>
        <w:t xml:space="preserve"> </w:t>
      </w:r>
      <w:r w:rsidR="00774EB4">
        <w:rPr>
          <w:rFonts w:hint="cs"/>
          <w:rtl/>
        </w:rPr>
        <w:t>עוד</w:t>
      </w:r>
      <w:r>
        <w:rPr>
          <w:rFonts w:hint="cs"/>
          <w:rtl/>
        </w:rPr>
        <w:t xml:space="preserve"> עותרת התביעה למתן הוראה בדבר חילוט רכבו של המערער.  </w:t>
      </w:r>
    </w:p>
    <w:p w14:paraId="16F54716" w14:textId="3CA9C487" w:rsidR="00893A01" w:rsidRDefault="00961B44" w:rsidP="005E62FC">
      <w:pPr>
        <w:tabs>
          <w:tab w:val="left" w:pos="226"/>
        </w:tabs>
        <w:ind w:left="-170"/>
        <w:rPr>
          <w:b/>
          <w:bCs/>
          <w:u w:val="single"/>
          <w:rtl/>
        </w:rPr>
      </w:pPr>
      <w:r>
        <w:rPr>
          <w:rFonts w:hint="cs"/>
          <w:b/>
          <w:bCs/>
          <w:rtl/>
        </w:rPr>
        <w:t xml:space="preserve">  </w:t>
      </w:r>
      <w:r w:rsidR="00DF3750">
        <w:rPr>
          <w:rFonts w:hint="cs"/>
          <w:b/>
          <w:bCs/>
          <w:u w:val="single"/>
          <w:rtl/>
        </w:rPr>
        <w:t>פסק הדין של בית הדין קמא</w:t>
      </w:r>
    </w:p>
    <w:p w14:paraId="5AB4C4D9" w14:textId="77777777" w:rsidR="004B0EC0" w:rsidRPr="001D1621" w:rsidRDefault="004B0EC0" w:rsidP="00844363">
      <w:pPr>
        <w:spacing w:line="348" w:lineRule="auto"/>
        <w:rPr>
          <w:b/>
          <w:bCs/>
          <w:sz w:val="10"/>
          <w:szCs w:val="10"/>
          <w:u w:val="single"/>
          <w:rtl/>
        </w:rPr>
      </w:pPr>
    </w:p>
    <w:p w14:paraId="63F098F7" w14:textId="717F8AD7" w:rsidR="004B0EC0" w:rsidRDefault="004B0EC0" w:rsidP="005E62FC">
      <w:pPr>
        <w:numPr>
          <w:ilvl w:val="0"/>
          <w:numId w:val="3"/>
        </w:numPr>
        <w:tabs>
          <w:tab w:val="left" w:pos="226"/>
        </w:tabs>
        <w:ind w:left="-58" w:firstLine="0"/>
      </w:pPr>
      <w:r>
        <w:rPr>
          <w:rFonts w:hint="cs"/>
          <w:rtl/>
        </w:rPr>
        <w:t xml:space="preserve">בפסק דינו ציין בית הדין קמא הנכבד את הפרטים הבאים, ביחס לנסיבות הרשעתו של המערער: </w:t>
      </w:r>
    </w:p>
    <w:p w14:paraId="44FE4D92" w14:textId="77777777" w:rsidR="00844363" w:rsidRDefault="00844363" w:rsidP="00844363">
      <w:pPr>
        <w:spacing w:line="348" w:lineRule="auto"/>
        <w:ind w:left="368"/>
      </w:pPr>
    </w:p>
    <w:p w14:paraId="2029174C" w14:textId="77777777" w:rsidR="004B0EC0" w:rsidRDefault="004B0EC0" w:rsidP="00844363">
      <w:pPr>
        <w:spacing w:line="240" w:lineRule="auto"/>
        <w:ind w:left="652" w:right="709" w:hanging="142"/>
        <w:rPr>
          <w:rtl/>
        </w:rPr>
      </w:pPr>
      <w:r>
        <w:rPr>
          <w:rFonts w:hint="cs"/>
          <w:rtl/>
        </w:rPr>
        <w:t xml:space="preserve">"בחודש ספטמבר 2021 נטל הנאשם מהרחבה הסמוכה למכולות שבמחנה יחידתו ארגז הפעלה (ברוס) </w:t>
      </w:r>
      <w:r w:rsidR="00B56C8F">
        <w:rPr>
          <w:rFonts w:hint="cs"/>
          <w:rtl/>
        </w:rPr>
        <w:t>א</w:t>
      </w:r>
      <w:r>
        <w:rPr>
          <w:rFonts w:hint="cs"/>
          <w:rtl/>
        </w:rPr>
        <w:t>שר הכיל ששה רימוני הלם צבאיים מסוג סינוור. באותו היום שב הנאשם למקום בו היה מו</w:t>
      </w:r>
      <w:r w:rsidR="00B56C8F">
        <w:rPr>
          <w:rFonts w:hint="cs"/>
          <w:rtl/>
        </w:rPr>
        <w:t>נ</w:t>
      </w:r>
      <w:r>
        <w:rPr>
          <w:rFonts w:hint="cs"/>
          <w:rtl/>
        </w:rPr>
        <w:t>ח ברוס הרימונים</w:t>
      </w:r>
      <w:r w:rsidR="00563E50">
        <w:rPr>
          <w:rFonts w:hint="cs"/>
          <w:rtl/>
        </w:rPr>
        <w:t>,</w:t>
      </w:r>
      <w:r>
        <w:rPr>
          <w:rFonts w:hint="cs"/>
          <w:rtl/>
        </w:rPr>
        <w:t xml:space="preserve"> עטף אותו בחולצתו והניחו בתיקו האישי. למחרת היו</w:t>
      </w:r>
      <w:r w:rsidR="00B56C8F">
        <w:rPr>
          <w:rFonts w:hint="cs"/>
          <w:rtl/>
        </w:rPr>
        <w:t>ם</w:t>
      </w:r>
      <w:r>
        <w:rPr>
          <w:rFonts w:hint="cs"/>
          <w:rtl/>
        </w:rPr>
        <w:t xml:space="preserve"> הוציא הנאשם את ברוס הרימונים במטרה לסחור בו, והותיר אותו במקו</w:t>
      </w:r>
      <w:r w:rsidR="00B56C8F">
        <w:rPr>
          <w:rFonts w:hint="cs"/>
          <w:rtl/>
        </w:rPr>
        <w:t>ם</w:t>
      </w:r>
      <w:r>
        <w:rPr>
          <w:rFonts w:hint="cs"/>
          <w:rtl/>
        </w:rPr>
        <w:t xml:space="preserve"> אחר עד למציאתו. בתאריך 3 באוקטובר 2021 אסף הנאש</w:t>
      </w:r>
      <w:r w:rsidR="00B56C8F">
        <w:rPr>
          <w:rFonts w:hint="cs"/>
          <w:rtl/>
        </w:rPr>
        <w:t>ם</w:t>
      </w:r>
      <w:r>
        <w:rPr>
          <w:rFonts w:hint="cs"/>
          <w:rtl/>
        </w:rPr>
        <w:t xml:space="preserve"> את ברוס הרימונים מהמקום בו החביאו, הכניסו לשקית שחורה והניחו בתא המטען של כלי ר</w:t>
      </w:r>
      <w:r w:rsidR="00B56C8F">
        <w:rPr>
          <w:rFonts w:hint="cs"/>
          <w:rtl/>
        </w:rPr>
        <w:t>כ</w:t>
      </w:r>
      <w:r>
        <w:rPr>
          <w:rFonts w:hint="cs"/>
          <w:rtl/>
        </w:rPr>
        <w:t>בו. בסמוך לשעה 18:30 נעצר הנאש</w:t>
      </w:r>
      <w:r w:rsidR="00B56C8F">
        <w:rPr>
          <w:rFonts w:hint="cs"/>
          <w:rtl/>
        </w:rPr>
        <w:t>ם</w:t>
      </w:r>
      <w:r>
        <w:rPr>
          <w:rFonts w:hint="cs"/>
          <w:rtl/>
        </w:rPr>
        <w:t xml:space="preserve"> על ידי משטרת ישראל, כאשר הוא נוהג ברכב ומוביל, שלא כדין, את ברוס הרימונים. </w:t>
      </w:r>
    </w:p>
    <w:p w14:paraId="636F70BC" w14:textId="77777777" w:rsidR="004B0EC0" w:rsidRDefault="00BC56C0" w:rsidP="00844363">
      <w:pPr>
        <w:spacing w:line="240" w:lineRule="auto"/>
        <w:ind w:left="652" w:right="709" w:hanging="142"/>
        <w:rPr>
          <w:rtl/>
        </w:rPr>
      </w:pPr>
      <w:r>
        <w:rPr>
          <w:rFonts w:hint="cs"/>
          <w:rtl/>
        </w:rPr>
        <w:t xml:space="preserve">  </w:t>
      </w:r>
      <w:r w:rsidR="004B0EC0">
        <w:rPr>
          <w:rFonts w:hint="cs"/>
          <w:rtl/>
        </w:rPr>
        <w:t>תיק החקירה נפתח בעקבות מידע מודיעיני, שהוביל לעצירת רכבו של הנאשם ביום 3 באוקטובר 2021 והנאשם מצוי במעצר מאז. ביום 6 באוקטובר 2021, במהלך חקירתו במצ"ח ימל"ם, סירב לאפשר לחוקרי מצ"ח לערוך חיפוש במכשיר הטלפון הסלולארי שלו, וזאת על אף שהוצג בפניו צו שיפוטי. מכשיר הטלפון נותר חסום לחיפוש והנאשם מנע באופן הזה מחוקרי מצ"ח לממש את הצו השיפוטי וסיכל ביצוע הליכי חקירה</w:t>
      </w:r>
      <w:r w:rsidR="00B56C8F">
        <w:rPr>
          <w:rFonts w:hint="cs"/>
          <w:rtl/>
        </w:rPr>
        <w:t>"</w:t>
      </w:r>
      <w:r w:rsidR="004B0EC0">
        <w:rPr>
          <w:rFonts w:hint="cs"/>
          <w:rtl/>
        </w:rPr>
        <w:t xml:space="preserve">. </w:t>
      </w:r>
    </w:p>
    <w:p w14:paraId="4544C9FE" w14:textId="77777777" w:rsidR="004B0EC0" w:rsidRPr="007714C5" w:rsidRDefault="004B0EC0" w:rsidP="00844363">
      <w:pPr>
        <w:spacing w:line="240" w:lineRule="auto"/>
        <w:ind w:left="368"/>
      </w:pPr>
    </w:p>
    <w:p w14:paraId="7B05EC1D" w14:textId="77777777" w:rsidR="00D45A66" w:rsidRDefault="004B0EC0" w:rsidP="005E62FC">
      <w:pPr>
        <w:numPr>
          <w:ilvl w:val="0"/>
          <w:numId w:val="3"/>
        </w:numPr>
        <w:tabs>
          <w:tab w:val="left" w:pos="226"/>
        </w:tabs>
        <w:ind w:left="-58" w:firstLine="0"/>
      </w:pPr>
      <w:r>
        <w:rPr>
          <w:rFonts w:hint="cs"/>
          <w:rtl/>
        </w:rPr>
        <w:t xml:space="preserve">עוד פירט בית הדין עובדות מוסכמות שהובאו בפניו על ידי הצדדים, הנוגעות למהלך חקירתו של המערער. בואר, כי המערער נחקר במצ"ח שלוש פעמים, </w:t>
      </w:r>
      <w:r w:rsidR="00D136F7">
        <w:rPr>
          <w:rFonts w:hint="cs"/>
          <w:rtl/>
        </w:rPr>
        <w:t xml:space="preserve">במשך </w:t>
      </w:r>
      <w:r>
        <w:rPr>
          <w:rFonts w:hint="cs"/>
          <w:rtl/>
        </w:rPr>
        <w:t xml:space="preserve">שלושה ימים </w:t>
      </w:r>
      <w:r w:rsidR="00D136F7">
        <w:rPr>
          <w:rFonts w:hint="cs"/>
          <w:rtl/>
        </w:rPr>
        <w:t>עוקבים</w:t>
      </w:r>
      <w:r>
        <w:rPr>
          <w:rFonts w:hint="cs"/>
          <w:rtl/>
        </w:rPr>
        <w:t>, החל מיום מעצרו. בכל אחת מהחקירות הוסברו לו זכויותיו כחשוד</w:t>
      </w:r>
      <w:r w:rsidR="00D136F7">
        <w:rPr>
          <w:rFonts w:hint="cs"/>
          <w:rtl/>
        </w:rPr>
        <w:t>.</w:t>
      </w:r>
      <w:r>
        <w:rPr>
          <w:rFonts w:hint="cs"/>
          <w:rtl/>
        </w:rPr>
        <w:t xml:space="preserve"> </w:t>
      </w:r>
      <w:r w:rsidR="00D136F7">
        <w:rPr>
          <w:rFonts w:hint="cs"/>
          <w:rtl/>
        </w:rPr>
        <w:t xml:space="preserve">המערער </w:t>
      </w:r>
      <w:r>
        <w:rPr>
          <w:rFonts w:hint="cs"/>
          <w:rtl/>
        </w:rPr>
        <w:t xml:space="preserve">מימש את זכותו להיוועץ עם סניגור בשתי החקירות הראשונות, </w:t>
      </w:r>
      <w:r w:rsidR="00D136F7">
        <w:rPr>
          <w:rFonts w:hint="cs"/>
          <w:rtl/>
        </w:rPr>
        <w:lastRenderedPageBreak/>
        <w:t>ארבע</w:t>
      </w:r>
      <w:r>
        <w:rPr>
          <w:rFonts w:hint="cs"/>
          <w:rtl/>
        </w:rPr>
        <w:t xml:space="preserve"> פעמים בכל חקירה. בפתח חקירתו השלישית התייעץ המערער עם סניגורו במשך כ</w:t>
      </w:r>
      <w:r w:rsidR="00D136F7">
        <w:rPr>
          <w:rFonts w:hint="cs"/>
          <w:rtl/>
        </w:rPr>
        <w:t>חמש</w:t>
      </w:r>
      <w:r>
        <w:rPr>
          <w:rFonts w:hint="cs"/>
          <w:rtl/>
        </w:rPr>
        <w:t xml:space="preserve"> דקות. כ-40 דקות לאחר תחילת החקירה נאמר למערער כי קצינת החקירות צפויה להיכנס לחדר החקירות. בקשת המערער, בעקבות זאת, להתייעץ בסניגור פעם נוספת, נשללה. בהמשך נערך תשאול בעל פה של המערער על ידי קצינת החקירות, </w:t>
      </w:r>
      <w:r w:rsidR="00AD76A3">
        <w:rPr>
          <w:rFonts w:hint="cs"/>
          <w:rtl/>
        </w:rPr>
        <w:t>ש</w:t>
      </w:r>
      <w:r>
        <w:rPr>
          <w:rFonts w:hint="cs"/>
          <w:rtl/>
        </w:rPr>
        <w:t>במהלכו ביקש ה</w:t>
      </w:r>
      <w:r w:rsidR="00AD76A3">
        <w:rPr>
          <w:rFonts w:hint="cs"/>
          <w:rtl/>
        </w:rPr>
        <w:t xml:space="preserve">מערער </w:t>
      </w:r>
      <w:r>
        <w:rPr>
          <w:rFonts w:hint="cs"/>
          <w:rtl/>
        </w:rPr>
        <w:t xml:space="preserve">להתייעץ עם סניגורו </w:t>
      </w:r>
      <w:r w:rsidR="00AD76A3">
        <w:rPr>
          <w:rFonts w:hint="cs"/>
          <w:rtl/>
        </w:rPr>
        <w:t>חמש</w:t>
      </w:r>
      <w:r>
        <w:rPr>
          <w:rFonts w:hint="cs"/>
          <w:rtl/>
        </w:rPr>
        <w:t xml:space="preserve"> פעמים. קצינת החקירות לא אפשרה זאת, ונימוקי החלטתה תועדו במסמך זכרון דברים, </w:t>
      </w:r>
      <w:r w:rsidR="005B31CD">
        <w:rPr>
          <w:rFonts w:hint="cs"/>
          <w:rtl/>
        </w:rPr>
        <w:t>ש</w:t>
      </w:r>
      <w:r>
        <w:rPr>
          <w:rFonts w:hint="cs"/>
          <w:rtl/>
        </w:rPr>
        <w:t xml:space="preserve">בו נרשם כי לא חל כל שינוי מהותי בחקירה, בהיבט הראייתי או </w:t>
      </w:r>
      <w:r w:rsidR="005B31CD">
        <w:rPr>
          <w:rFonts w:hint="cs"/>
          <w:rtl/>
        </w:rPr>
        <w:t>ב</w:t>
      </w:r>
      <w:r>
        <w:rPr>
          <w:rFonts w:hint="cs"/>
          <w:rtl/>
        </w:rPr>
        <w:t xml:space="preserve">חשדות המיוחסים למערער. בסיום התשאול, הודה המערער באישומים המיוחסים לו, אך עמד על הכחשתו באשר לסוגיות אחרות </w:t>
      </w:r>
      <w:r w:rsidR="00AD76A3">
        <w:rPr>
          <w:rFonts w:hint="cs"/>
          <w:rtl/>
        </w:rPr>
        <w:t>ש</w:t>
      </w:r>
      <w:r>
        <w:rPr>
          <w:rFonts w:hint="cs"/>
          <w:rtl/>
        </w:rPr>
        <w:t>עליהן נחקר. בהמשך החקירה, ובטרם נועץ בסניגור, חזר בו המערער מהודאתו.</w:t>
      </w:r>
    </w:p>
    <w:p w14:paraId="2D400262" w14:textId="77777777" w:rsidR="004B0EC0" w:rsidRDefault="004B0EC0" w:rsidP="005E62FC">
      <w:pPr>
        <w:numPr>
          <w:ilvl w:val="0"/>
          <w:numId w:val="3"/>
        </w:numPr>
        <w:tabs>
          <w:tab w:val="left" w:pos="226"/>
        </w:tabs>
        <w:ind w:left="-58" w:firstLine="0"/>
      </w:pPr>
      <w:r>
        <w:rPr>
          <w:rFonts w:hint="cs"/>
          <w:rtl/>
        </w:rPr>
        <w:t xml:space="preserve">בית הדין </w:t>
      </w:r>
      <w:r w:rsidR="005B31CD">
        <w:rPr>
          <w:rFonts w:hint="cs"/>
          <w:rtl/>
        </w:rPr>
        <w:t xml:space="preserve">שקל </w:t>
      </w:r>
      <w:r>
        <w:rPr>
          <w:rFonts w:hint="cs"/>
          <w:rtl/>
        </w:rPr>
        <w:t>את נסיבות ביצוע העבירה, המלמדות על כך שהמערער הוציא את הרימונים במטרה למכרם, תוך מעילה באמון מפקדיו. כן נשקלה ההחמרה במדיניות הענישה, ה</w:t>
      </w:r>
      <w:r w:rsidR="00D136F7">
        <w:rPr>
          <w:rFonts w:hint="cs"/>
          <w:rtl/>
        </w:rPr>
        <w:t>נלמד</w:t>
      </w:r>
      <w:r>
        <w:rPr>
          <w:rFonts w:hint="cs"/>
          <w:rtl/>
        </w:rPr>
        <w:t>ת מתיקון 140 לחוק העונשין (על אף שהתיקון לא חל על עניינו של המערער)</w:t>
      </w:r>
      <w:r>
        <w:rPr>
          <w:rFonts w:hint="cs"/>
        </w:rPr>
        <w:t xml:space="preserve"> </w:t>
      </w:r>
      <w:r>
        <w:rPr>
          <w:rFonts w:hint="cs"/>
          <w:rtl/>
        </w:rPr>
        <w:t>ומפסיקת בית המשפט העליון. לפיכך מצא בית הדין לקבל את עתירת התביעה</w:t>
      </w:r>
      <w:r w:rsidR="005B31CD">
        <w:rPr>
          <w:rFonts w:hint="cs"/>
          <w:rtl/>
        </w:rPr>
        <w:t>,</w:t>
      </w:r>
      <w:r>
        <w:rPr>
          <w:rFonts w:hint="cs"/>
          <w:rtl/>
        </w:rPr>
        <w:t xml:space="preserve"> ולקבוע מתחם ע</w:t>
      </w:r>
      <w:r w:rsidR="00AD76A3">
        <w:rPr>
          <w:rFonts w:hint="cs"/>
          <w:rtl/>
        </w:rPr>
        <w:t xml:space="preserve">ונש הולם </w:t>
      </w:r>
      <w:r>
        <w:rPr>
          <w:rFonts w:hint="cs"/>
          <w:rtl/>
        </w:rPr>
        <w:t>הנע בין 12 ל-36 חודשי מאסר</w:t>
      </w:r>
      <w:r w:rsidR="006E0902">
        <w:rPr>
          <w:rFonts w:hint="cs"/>
          <w:rtl/>
        </w:rPr>
        <w:t xml:space="preserve"> בפועל</w:t>
      </w:r>
      <w:r>
        <w:rPr>
          <w:rFonts w:hint="cs"/>
          <w:rtl/>
        </w:rPr>
        <w:t xml:space="preserve">. </w:t>
      </w:r>
    </w:p>
    <w:p w14:paraId="0BA8282C" w14:textId="77777777" w:rsidR="004D79DD" w:rsidRDefault="004B0EC0" w:rsidP="005E62FC">
      <w:pPr>
        <w:numPr>
          <w:ilvl w:val="0"/>
          <w:numId w:val="3"/>
        </w:numPr>
        <w:tabs>
          <w:tab w:val="left" w:pos="226"/>
        </w:tabs>
        <w:ind w:left="-58" w:firstLine="0"/>
      </w:pPr>
      <w:r>
        <w:rPr>
          <w:rFonts w:hint="cs"/>
          <w:rtl/>
        </w:rPr>
        <w:t>בעת קביעת העונש הראוי למערער בתוך מתחם הע</w:t>
      </w:r>
      <w:r w:rsidR="006E0902">
        <w:rPr>
          <w:rFonts w:hint="cs"/>
          <w:rtl/>
        </w:rPr>
        <w:t>ונש</w:t>
      </w:r>
      <w:r>
        <w:rPr>
          <w:rFonts w:hint="cs"/>
          <w:rtl/>
        </w:rPr>
        <w:t xml:space="preserve">, מצא בית הדין להתחשב </w:t>
      </w:r>
      <w:r w:rsidR="005B31CD">
        <w:rPr>
          <w:rFonts w:hint="cs"/>
          <w:rtl/>
        </w:rPr>
        <w:t>בנתונים לקולה</w:t>
      </w:r>
      <w:r>
        <w:rPr>
          <w:rFonts w:hint="cs"/>
          <w:rtl/>
        </w:rPr>
        <w:t xml:space="preserve">, אשר </w:t>
      </w:r>
      <w:r w:rsidR="006E0902">
        <w:rPr>
          <w:rFonts w:hint="cs"/>
          <w:rtl/>
        </w:rPr>
        <w:t>פורטו ב</w:t>
      </w:r>
      <w:r>
        <w:rPr>
          <w:rFonts w:hint="cs"/>
          <w:rtl/>
        </w:rPr>
        <w:t>תסקיר ע</w:t>
      </w:r>
      <w:r w:rsidR="006E0902">
        <w:rPr>
          <w:rFonts w:hint="cs"/>
          <w:rtl/>
        </w:rPr>
        <w:t xml:space="preserve">ונש </w:t>
      </w:r>
      <w:r>
        <w:rPr>
          <w:rFonts w:hint="cs"/>
          <w:rtl/>
        </w:rPr>
        <w:t>שנערך למערער</w:t>
      </w:r>
      <w:r w:rsidR="00D136F7">
        <w:rPr>
          <w:rFonts w:hint="cs"/>
          <w:rtl/>
        </w:rPr>
        <w:t>,</w:t>
      </w:r>
      <w:r>
        <w:rPr>
          <w:rFonts w:hint="cs"/>
          <w:rtl/>
        </w:rPr>
        <w:t xml:space="preserve"> ו</w:t>
      </w:r>
      <w:r w:rsidR="006E0902">
        <w:rPr>
          <w:rFonts w:hint="cs"/>
          <w:rtl/>
        </w:rPr>
        <w:t xml:space="preserve">הצביעו, להערכת בית הדין קמא </w:t>
      </w:r>
      <w:r>
        <w:rPr>
          <w:rFonts w:hint="cs"/>
          <w:rtl/>
        </w:rPr>
        <w:t xml:space="preserve">על </w:t>
      </w:r>
      <w:r w:rsidR="00D136F7">
        <w:rPr>
          <w:rFonts w:hint="cs"/>
          <w:rtl/>
        </w:rPr>
        <w:t xml:space="preserve">סיכויי שיקומו. </w:t>
      </w:r>
      <w:r w:rsidR="006E0902">
        <w:rPr>
          <w:rFonts w:hint="cs"/>
          <w:rtl/>
        </w:rPr>
        <w:t>מה</w:t>
      </w:r>
      <w:r w:rsidR="00D136F7">
        <w:rPr>
          <w:rFonts w:hint="cs"/>
          <w:rtl/>
        </w:rPr>
        <w:t xml:space="preserve">תסקיר </w:t>
      </w:r>
      <w:r w:rsidR="006E0902">
        <w:rPr>
          <w:rFonts w:hint="cs"/>
          <w:rtl/>
        </w:rPr>
        <w:t xml:space="preserve">עלה </w:t>
      </w:r>
      <w:r>
        <w:rPr>
          <w:rFonts w:hint="cs"/>
          <w:rtl/>
        </w:rPr>
        <w:t xml:space="preserve">כי המערער הוא בן למשפחה נורמטיבית, נעדר כל עבר פלילי, אשר </w:t>
      </w:r>
      <w:r w:rsidR="00011D5B">
        <w:rPr>
          <w:rFonts w:hint="cs"/>
          <w:rtl/>
        </w:rPr>
        <w:t>שירת כלוחם, סיים קורס מ</w:t>
      </w:r>
      <w:r w:rsidR="006E0902">
        <w:rPr>
          <w:rFonts w:hint="cs"/>
          <w:rtl/>
        </w:rPr>
        <w:t>פקדים (מ</w:t>
      </w:r>
      <w:r w:rsidR="00011D5B">
        <w:rPr>
          <w:rFonts w:hint="cs"/>
          <w:rtl/>
        </w:rPr>
        <w:t>"כים</w:t>
      </w:r>
      <w:r w:rsidR="006E0902">
        <w:rPr>
          <w:rFonts w:hint="cs"/>
          <w:rtl/>
        </w:rPr>
        <w:t>)</w:t>
      </w:r>
      <w:r>
        <w:rPr>
          <w:rFonts w:hint="cs"/>
          <w:rtl/>
        </w:rPr>
        <w:t xml:space="preserve"> ואף נ</w:t>
      </w:r>
      <w:r w:rsidR="006E0902">
        <w:rPr>
          <w:rFonts w:hint="cs"/>
          <w:rtl/>
        </w:rPr>
        <w:t xml:space="preserve">מצא מתאים </w:t>
      </w:r>
      <w:r>
        <w:rPr>
          <w:rFonts w:hint="cs"/>
          <w:rtl/>
        </w:rPr>
        <w:t xml:space="preserve">לקורס קצינים. לקראת סיומו של קורס </w:t>
      </w:r>
      <w:r w:rsidR="006E0902">
        <w:rPr>
          <w:rFonts w:hint="cs"/>
          <w:rtl/>
        </w:rPr>
        <w:t xml:space="preserve">קצינים, </w:t>
      </w:r>
      <w:r>
        <w:rPr>
          <w:rFonts w:hint="cs"/>
          <w:rtl/>
        </w:rPr>
        <w:t>הודח</w:t>
      </w:r>
      <w:r w:rsidR="006E0902">
        <w:rPr>
          <w:rFonts w:hint="cs"/>
          <w:rtl/>
        </w:rPr>
        <w:t xml:space="preserve"> המערער מהקורס</w:t>
      </w:r>
      <w:r w:rsidR="005B31CD">
        <w:rPr>
          <w:rFonts w:hint="cs"/>
          <w:rtl/>
        </w:rPr>
        <w:t>,</w:t>
      </w:r>
      <w:r>
        <w:rPr>
          <w:rFonts w:hint="cs"/>
          <w:rtl/>
        </w:rPr>
        <w:t xml:space="preserve"> ו</w:t>
      </w:r>
      <w:r w:rsidR="006E0902">
        <w:rPr>
          <w:rFonts w:hint="cs"/>
          <w:rtl/>
        </w:rPr>
        <w:t>שב</w:t>
      </w:r>
      <w:r>
        <w:rPr>
          <w:rFonts w:hint="cs"/>
          <w:rtl/>
        </w:rPr>
        <w:t xml:space="preserve"> לתפקיד לוחם בגדוד. </w:t>
      </w:r>
      <w:r w:rsidR="006E0902">
        <w:rPr>
          <w:rFonts w:hint="cs"/>
          <w:rtl/>
        </w:rPr>
        <w:t xml:space="preserve">עוד עלה מהתסקיר, כי </w:t>
      </w:r>
      <w:r>
        <w:rPr>
          <w:rFonts w:hint="cs"/>
          <w:rtl/>
        </w:rPr>
        <w:t>הדחתו מקורס הקצינים</w:t>
      </w:r>
      <w:r w:rsidR="005B31CD">
        <w:rPr>
          <w:rFonts w:hint="cs"/>
          <w:rtl/>
        </w:rPr>
        <w:t>,</w:t>
      </w:r>
      <w:r>
        <w:rPr>
          <w:rFonts w:hint="cs"/>
          <w:rtl/>
        </w:rPr>
        <w:t xml:space="preserve"> </w:t>
      </w:r>
      <w:r w:rsidR="006E0902">
        <w:rPr>
          <w:rFonts w:hint="cs"/>
          <w:rtl/>
        </w:rPr>
        <w:t>ו</w:t>
      </w:r>
      <w:r>
        <w:rPr>
          <w:rFonts w:hint="cs"/>
          <w:rtl/>
        </w:rPr>
        <w:t>משבר שחווה המערער באותה עת ביחסיו הזוגיים עם חברתו, גרמ</w:t>
      </w:r>
      <w:r w:rsidR="00011D5B">
        <w:rPr>
          <w:rFonts w:hint="cs"/>
          <w:rtl/>
        </w:rPr>
        <w:t>ו</w:t>
      </w:r>
      <w:r>
        <w:rPr>
          <w:rFonts w:hint="cs"/>
          <w:rtl/>
        </w:rPr>
        <w:t xml:space="preserve"> לו להתדרדרות נפשית, אשר הובילה אותו </w:t>
      </w:r>
      <w:r w:rsidR="006E0902">
        <w:rPr>
          <w:rFonts w:hint="cs"/>
          <w:rtl/>
        </w:rPr>
        <w:t>לעזו</w:t>
      </w:r>
      <w:r>
        <w:rPr>
          <w:rFonts w:hint="cs"/>
          <w:rtl/>
        </w:rPr>
        <w:t>ב</w:t>
      </w:r>
      <w:r w:rsidR="006E0902">
        <w:rPr>
          <w:rFonts w:hint="cs"/>
          <w:rtl/>
        </w:rPr>
        <w:t xml:space="preserve"> את </w:t>
      </w:r>
      <w:r>
        <w:rPr>
          <w:rFonts w:hint="cs"/>
          <w:rtl/>
        </w:rPr>
        <w:t>בית הוריו</w:t>
      </w:r>
      <w:r w:rsidR="00011D5B">
        <w:rPr>
          <w:rFonts w:hint="cs"/>
          <w:rtl/>
        </w:rPr>
        <w:t xml:space="preserve"> ו</w:t>
      </w:r>
      <w:r w:rsidR="003E0AB7">
        <w:rPr>
          <w:rFonts w:hint="cs"/>
          <w:rtl/>
        </w:rPr>
        <w:t xml:space="preserve">גרמה </w:t>
      </w:r>
      <w:r w:rsidR="00011D5B">
        <w:rPr>
          <w:rFonts w:hint="cs"/>
          <w:rtl/>
        </w:rPr>
        <w:t xml:space="preserve">לכך שנותר חסר בית. </w:t>
      </w:r>
      <w:r>
        <w:rPr>
          <w:rFonts w:hint="cs"/>
          <w:rtl/>
        </w:rPr>
        <w:t xml:space="preserve">עם זאת, </w:t>
      </w:r>
      <w:r w:rsidR="003E0AB7">
        <w:rPr>
          <w:rFonts w:hint="cs"/>
          <w:rtl/>
        </w:rPr>
        <w:t xml:space="preserve">נכתב, כי </w:t>
      </w:r>
      <w:r>
        <w:rPr>
          <w:rFonts w:hint="cs"/>
          <w:rtl/>
        </w:rPr>
        <w:t xml:space="preserve">בעקבות מעצרו </w:t>
      </w:r>
      <w:r w:rsidR="003136B4">
        <w:rPr>
          <w:rFonts w:hint="cs"/>
          <w:rtl/>
        </w:rPr>
        <w:t xml:space="preserve">חל שיפור ביחסיו </w:t>
      </w:r>
      <w:r>
        <w:rPr>
          <w:rFonts w:hint="cs"/>
          <w:rtl/>
        </w:rPr>
        <w:t>עם משפחתו</w:t>
      </w:r>
      <w:r w:rsidR="005B31CD">
        <w:rPr>
          <w:rFonts w:hint="cs"/>
          <w:rtl/>
        </w:rPr>
        <w:t>,</w:t>
      </w:r>
      <w:r>
        <w:rPr>
          <w:rFonts w:hint="cs"/>
          <w:rtl/>
        </w:rPr>
        <w:t xml:space="preserve"> והיא תומכת ומסייעת לו. לפיכך התרשמה עורכת התסקיר, כי המערער נעדר ערכים עבריינים והוא בעל גורמי חוסן רבים, הכוללים בין השאר מוטיבציה גבוהה להמשך תפקוד תקין, רתיעה מהליכים משפטיים, לקיחת אחריות, </w:t>
      </w:r>
      <w:r w:rsidR="005B31CD">
        <w:rPr>
          <w:rFonts w:hint="cs"/>
          <w:rtl/>
        </w:rPr>
        <w:t xml:space="preserve">וכן רגשות </w:t>
      </w:r>
      <w:r>
        <w:rPr>
          <w:rFonts w:hint="cs"/>
          <w:rtl/>
        </w:rPr>
        <w:t>צער וחרטה על העבירה. כן העריכה כי ענישה ממושכת עלולה להביא לפגיעה נפשית נוספת</w:t>
      </w:r>
      <w:r w:rsidR="005B31CD">
        <w:rPr>
          <w:rFonts w:hint="cs"/>
          <w:rtl/>
        </w:rPr>
        <w:t xml:space="preserve"> במערער,</w:t>
      </w:r>
      <w:r>
        <w:rPr>
          <w:rFonts w:hint="cs"/>
          <w:rtl/>
        </w:rPr>
        <w:t xml:space="preserve"> ולהשפיע לשלילה על סיכויי שיקומו. </w:t>
      </w:r>
    </w:p>
    <w:p w14:paraId="4D19C6CC" w14:textId="77777777" w:rsidR="004B0EC0" w:rsidRDefault="004B0EC0" w:rsidP="005E62FC">
      <w:pPr>
        <w:numPr>
          <w:ilvl w:val="0"/>
          <w:numId w:val="3"/>
        </w:numPr>
        <w:tabs>
          <w:tab w:val="left" w:pos="226"/>
        </w:tabs>
        <w:ind w:left="-58" w:firstLine="0"/>
      </w:pPr>
      <w:r>
        <w:rPr>
          <w:rFonts w:hint="cs"/>
          <w:rtl/>
        </w:rPr>
        <w:t xml:space="preserve">עוד שקל בית הדין את הנתונים שהובאו בפניו בנוגע להתנהלות </w:t>
      </w:r>
      <w:r w:rsidR="003E0AB7">
        <w:rPr>
          <w:rFonts w:hint="cs"/>
          <w:rtl/>
        </w:rPr>
        <w:t xml:space="preserve">גורמי </w:t>
      </w:r>
      <w:r>
        <w:rPr>
          <w:rFonts w:hint="cs"/>
          <w:rtl/>
        </w:rPr>
        <w:t xml:space="preserve">החקירה. צוין, כי </w:t>
      </w:r>
      <w:r w:rsidR="003E0AB7">
        <w:rPr>
          <w:rFonts w:hint="cs"/>
          <w:rtl/>
        </w:rPr>
        <w:t>ב</w:t>
      </w:r>
      <w:r>
        <w:rPr>
          <w:rFonts w:hint="cs"/>
          <w:rtl/>
        </w:rPr>
        <w:t xml:space="preserve">עובדות המוסכמות </w:t>
      </w:r>
      <w:r w:rsidR="003E0AB7">
        <w:rPr>
          <w:rFonts w:hint="cs"/>
          <w:rtl/>
        </w:rPr>
        <w:t xml:space="preserve">שהציגו הצדדים, אין די פירוט </w:t>
      </w:r>
      <w:r w:rsidR="00011D5B">
        <w:rPr>
          <w:rFonts w:hint="cs"/>
          <w:rtl/>
        </w:rPr>
        <w:t>בנוגע ל</w:t>
      </w:r>
      <w:r w:rsidR="003E0AB7">
        <w:rPr>
          <w:rFonts w:hint="cs"/>
          <w:rtl/>
        </w:rPr>
        <w:t xml:space="preserve">מהלך </w:t>
      </w:r>
      <w:r w:rsidR="00011D5B">
        <w:rPr>
          <w:rFonts w:hint="cs"/>
          <w:rtl/>
        </w:rPr>
        <w:t xml:space="preserve"> </w:t>
      </w:r>
      <w:r w:rsidR="003E0AB7">
        <w:rPr>
          <w:rFonts w:hint="cs"/>
          <w:rtl/>
        </w:rPr>
        <w:t>ה</w:t>
      </w:r>
      <w:r w:rsidR="00011D5B">
        <w:rPr>
          <w:rFonts w:hint="cs"/>
          <w:rtl/>
        </w:rPr>
        <w:t>חקירה</w:t>
      </w:r>
      <w:r w:rsidR="00836986">
        <w:rPr>
          <w:rFonts w:hint="cs"/>
          <w:rtl/>
        </w:rPr>
        <w:t xml:space="preserve">. נקבע, כי </w:t>
      </w:r>
      <w:r>
        <w:rPr>
          <w:rFonts w:hint="cs"/>
          <w:rtl/>
        </w:rPr>
        <w:t>בהתאם לכללים הנוהגים במשפט פלילי, יש להניח את ההנחה ה</w:t>
      </w:r>
      <w:r w:rsidR="00011D5B">
        <w:rPr>
          <w:rFonts w:hint="cs"/>
          <w:rtl/>
        </w:rPr>
        <w:t>נוחה</w:t>
      </w:r>
      <w:r>
        <w:rPr>
          <w:rFonts w:hint="cs"/>
          <w:rtl/>
        </w:rPr>
        <w:t xml:space="preserve"> לזכותו </w:t>
      </w:r>
      <w:r>
        <w:rPr>
          <w:rFonts w:hint="cs"/>
          <w:rtl/>
        </w:rPr>
        <w:lastRenderedPageBreak/>
        <w:t>של המערער ו</w:t>
      </w:r>
      <w:r w:rsidR="00836986">
        <w:rPr>
          <w:rFonts w:hint="cs"/>
          <w:rtl/>
        </w:rPr>
        <w:t xml:space="preserve">כי בהתאם יש </w:t>
      </w:r>
      <w:r>
        <w:rPr>
          <w:rFonts w:hint="cs"/>
          <w:rtl/>
        </w:rPr>
        <w:t>להתחשב ב</w:t>
      </w:r>
      <w:r w:rsidR="00836986">
        <w:rPr>
          <w:rFonts w:hint="cs"/>
          <w:rtl/>
        </w:rPr>
        <w:t xml:space="preserve">היעדר הפרטים </w:t>
      </w:r>
      <w:r>
        <w:rPr>
          <w:rFonts w:hint="cs"/>
          <w:rtl/>
        </w:rPr>
        <w:t xml:space="preserve">בעת קביעת עונשו בתוך מתחם הענישה. עונשו של המערער נקבע </w:t>
      </w:r>
      <w:r w:rsidR="00836986">
        <w:rPr>
          <w:rFonts w:hint="cs"/>
          <w:rtl/>
        </w:rPr>
        <w:t xml:space="preserve">לפיכך, </w:t>
      </w:r>
      <w:r>
        <w:rPr>
          <w:rFonts w:hint="cs"/>
          <w:rtl/>
        </w:rPr>
        <w:t xml:space="preserve">ברף התחתון של מתחם הענישה. </w:t>
      </w:r>
    </w:p>
    <w:p w14:paraId="70EC5D64" w14:textId="613C4954" w:rsidR="004B0EC0" w:rsidRDefault="004B0EC0" w:rsidP="005E62FC">
      <w:pPr>
        <w:numPr>
          <w:ilvl w:val="0"/>
          <w:numId w:val="3"/>
        </w:numPr>
        <w:tabs>
          <w:tab w:val="left" w:pos="226"/>
        </w:tabs>
        <w:ind w:left="-58" w:firstLine="0"/>
      </w:pPr>
      <w:r>
        <w:rPr>
          <w:rFonts w:hint="cs"/>
          <w:rtl/>
        </w:rPr>
        <w:t>בית הדין החליט</w:t>
      </w:r>
      <w:r w:rsidR="005B31CD">
        <w:rPr>
          <w:rFonts w:hint="cs"/>
          <w:rtl/>
        </w:rPr>
        <w:t>,</w:t>
      </w:r>
      <w:r>
        <w:rPr>
          <w:rFonts w:hint="cs"/>
          <w:rtl/>
        </w:rPr>
        <w:t xml:space="preserve"> "לאחר התלבטות"</w:t>
      </w:r>
      <w:r w:rsidR="005B31CD">
        <w:rPr>
          <w:rFonts w:hint="cs"/>
          <w:rtl/>
        </w:rPr>
        <w:t>,</w:t>
      </w:r>
      <w:r>
        <w:rPr>
          <w:rFonts w:hint="cs"/>
          <w:rtl/>
        </w:rPr>
        <w:t xml:space="preserve"> שלא להיעתר לבקשת התביעה לחלט </w:t>
      </w:r>
      <w:r w:rsidR="00836986">
        <w:rPr>
          <w:rFonts w:hint="cs"/>
          <w:rtl/>
        </w:rPr>
        <w:t xml:space="preserve">את </w:t>
      </w:r>
      <w:r>
        <w:rPr>
          <w:rFonts w:hint="cs"/>
          <w:rtl/>
        </w:rPr>
        <w:t xml:space="preserve">רכבו של המערער. </w:t>
      </w:r>
      <w:r w:rsidR="00836986">
        <w:rPr>
          <w:rFonts w:hint="cs"/>
          <w:rtl/>
        </w:rPr>
        <w:t xml:space="preserve">נקבע, כי </w:t>
      </w:r>
      <w:r>
        <w:rPr>
          <w:rFonts w:hint="cs"/>
          <w:rtl/>
        </w:rPr>
        <w:t xml:space="preserve">לא הובאו ראיות לכך שהרכב </w:t>
      </w:r>
      <w:r w:rsidR="00836986">
        <w:rPr>
          <w:rFonts w:hint="cs"/>
          <w:rtl/>
        </w:rPr>
        <w:t xml:space="preserve">שימש אמצעי </w:t>
      </w:r>
      <w:r>
        <w:rPr>
          <w:rFonts w:hint="cs"/>
          <w:rtl/>
        </w:rPr>
        <w:t>מהותי</w:t>
      </w:r>
      <w:r w:rsidR="005B31CD">
        <w:rPr>
          <w:rFonts w:hint="cs"/>
          <w:rtl/>
        </w:rPr>
        <w:t>,</w:t>
      </w:r>
      <w:r>
        <w:rPr>
          <w:rFonts w:hint="cs"/>
          <w:rtl/>
        </w:rPr>
        <w:t xml:space="preserve"> שבלעדיו לא הייתה מתבצעת העבירה</w:t>
      </w:r>
      <w:r w:rsidR="005B31CD">
        <w:rPr>
          <w:rFonts w:hint="cs"/>
          <w:rtl/>
        </w:rPr>
        <w:t>,</w:t>
      </w:r>
      <w:r>
        <w:rPr>
          <w:rFonts w:hint="cs"/>
          <w:rtl/>
        </w:rPr>
        <w:t xml:space="preserve"> וכי טיב הקשר שבין הרכב לבין מימוש שאיפתו של המערער למכור את הרימונים נותר "לא ברור". </w:t>
      </w:r>
      <w:r w:rsidR="00836986">
        <w:rPr>
          <w:rFonts w:hint="cs"/>
          <w:rtl/>
        </w:rPr>
        <w:t>כמו כן, נקבע כי יש להתחשב במסגרת בחינת הבקשה לחילוט ב</w:t>
      </w:r>
      <w:r>
        <w:rPr>
          <w:rFonts w:hint="cs"/>
          <w:rtl/>
        </w:rPr>
        <w:t>עונש המאסר שנגזר על המערער ו</w:t>
      </w:r>
      <w:r w:rsidR="00836986">
        <w:rPr>
          <w:rFonts w:hint="cs"/>
          <w:rtl/>
        </w:rPr>
        <w:t>ב</w:t>
      </w:r>
      <w:r>
        <w:rPr>
          <w:rFonts w:hint="cs"/>
          <w:rtl/>
        </w:rPr>
        <w:t xml:space="preserve">נסיבותיו האישיות הסבוכות. בית הדין </w:t>
      </w:r>
      <w:r w:rsidR="00836986">
        <w:rPr>
          <w:rFonts w:hint="cs"/>
          <w:rtl/>
        </w:rPr>
        <w:t xml:space="preserve">אף מצא </w:t>
      </w:r>
      <w:r>
        <w:rPr>
          <w:rFonts w:hint="cs"/>
          <w:rtl/>
        </w:rPr>
        <w:t xml:space="preserve">שלא לגזור על המערער קנס כספי, </w:t>
      </w:r>
      <w:r w:rsidR="00836986">
        <w:rPr>
          <w:rFonts w:hint="cs"/>
          <w:rtl/>
        </w:rPr>
        <w:t>ונימק את החלטתו ב</w:t>
      </w:r>
      <w:r>
        <w:rPr>
          <w:rFonts w:hint="cs"/>
          <w:rtl/>
        </w:rPr>
        <w:t>תפיסת הרימונים ו</w:t>
      </w:r>
      <w:r w:rsidR="00836986">
        <w:rPr>
          <w:rFonts w:hint="cs"/>
          <w:rtl/>
        </w:rPr>
        <w:t xml:space="preserve">השבתם לרשות צה"ל, וכן בכך שהעונש </w:t>
      </w:r>
      <w:r>
        <w:rPr>
          <w:rFonts w:hint="cs"/>
          <w:rtl/>
        </w:rPr>
        <w:t xml:space="preserve">"אינו מתחייב". </w:t>
      </w:r>
    </w:p>
    <w:p w14:paraId="60D5F6C7" w14:textId="77777777" w:rsidR="00AA66CF" w:rsidRDefault="00AA66CF" w:rsidP="00AA66CF">
      <w:pPr>
        <w:tabs>
          <w:tab w:val="left" w:pos="226"/>
        </w:tabs>
        <w:ind w:left="-58"/>
      </w:pPr>
    </w:p>
    <w:p w14:paraId="29C39AA4" w14:textId="77777777" w:rsidR="001678ED" w:rsidRDefault="00961B44" w:rsidP="00844363">
      <w:pPr>
        <w:tabs>
          <w:tab w:val="left" w:pos="226"/>
        </w:tabs>
        <w:spacing w:line="348" w:lineRule="auto"/>
        <w:ind w:left="-341"/>
        <w:rPr>
          <w:rtl/>
        </w:rPr>
      </w:pPr>
      <w:r>
        <w:rPr>
          <w:rFonts w:hint="cs"/>
          <w:b/>
          <w:bCs/>
          <w:rtl/>
        </w:rPr>
        <w:t xml:space="preserve">     </w:t>
      </w:r>
      <w:r w:rsidR="004D79DD" w:rsidRPr="004D79DD">
        <w:rPr>
          <w:rFonts w:hint="cs"/>
          <w:b/>
          <w:bCs/>
          <w:u w:val="single"/>
          <w:rtl/>
        </w:rPr>
        <w:t>ערעו</w:t>
      </w:r>
      <w:r w:rsidR="004B0EC0">
        <w:rPr>
          <w:rFonts w:hint="cs"/>
          <w:b/>
          <w:bCs/>
          <w:u w:val="single"/>
          <w:rtl/>
        </w:rPr>
        <w:t xml:space="preserve">רי הצדדים </w:t>
      </w:r>
    </w:p>
    <w:p w14:paraId="50103EAC" w14:textId="77777777" w:rsidR="004B0EC0" w:rsidRPr="001D1621" w:rsidRDefault="004B0EC0" w:rsidP="00844363">
      <w:pPr>
        <w:tabs>
          <w:tab w:val="left" w:pos="226"/>
        </w:tabs>
        <w:spacing w:line="348" w:lineRule="auto"/>
        <w:ind w:left="-58"/>
        <w:rPr>
          <w:sz w:val="10"/>
          <w:szCs w:val="10"/>
        </w:rPr>
      </w:pPr>
    </w:p>
    <w:p w14:paraId="1A413610" w14:textId="522E37D3" w:rsidR="00011D5B" w:rsidRDefault="004B0EC0" w:rsidP="005E62FC">
      <w:pPr>
        <w:numPr>
          <w:ilvl w:val="0"/>
          <w:numId w:val="3"/>
        </w:numPr>
        <w:tabs>
          <w:tab w:val="left" w:pos="226"/>
        </w:tabs>
        <w:ind w:left="-58" w:firstLine="0"/>
      </w:pPr>
      <w:r w:rsidRPr="00011D5B">
        <w:rPr>
          <w:rFonts w:hint="cs"/>
          <w:b/>
          <w:bCs/>
          <w:rtl/>
        </w:rPr>
        <w:t xml:space="preserve">ההגנה </w:t>
      </w:r>
      <w:r>
        <w:rPr>
          <w:rFonts w:hint="cs"/>
          <w:rtl/>
        </w:rPr>
        <w:t>עתרה בערעורה לקבוע מתחם ע</w:t>
      </w:r>
      <w:r w:rsidR="00836986">
        <w:rPr>
          <w:rFonts w:hint="cs"/>
          <w:rtl/>
        </w:rPr>
        <w:t>ו</w:t>
      </w:r>
      <w:r>
        <w:rPr>
          <w:rFonts w:hint="cs"/>
          <w:rtl/>
        </w:rPr>
        <w:t>נש הנע בין ארבעה לשמונה חו</w:t>
      </w:r>
      <w:r w:rsidR="00011D5B">
        <w:rPr>
          <w:rFonts w:hint="cs"/>
          <w:rtl/>
        </w:rPr>
        <w:t>ד</w:t>
      </w:r>
      <w:r>
        <w:rPr>
          <w:rFonts w:hint="cs"/>
          <w:rtl/>
        </w:rPr>
        <w:t>שי מאסר בפועל, ו</w:t>
      </w:r>
      <w:r w:rsidR="00836986">
        <w:rPr>
          <w:rFonts w:hint="cs"/>
          <w:rtl/>
        </w:rPr>
        <w:t xml:space="preserve">להעמיד </w:t>
      </w:r>
      <w:r>
        <w:rPr>
          <w:rFonts w:hint="cs"/>
          <w:rtl/>
        </w:rPr>
        <w:t>את עונשו של המערער ברף הנמוך של מתחם הע</w:t>
      </w:r>
      <w:r w:rsidR="00836986">
        <w:rPr>
          <w:rFonts w:hint="cs"/>
          <w:rtl/>
        </w:rPr>
        <w:t>ו</w:t>
      </w:r>
      <w:r>
        <w:rPr>
          <w:rFonts w:hint="cs"/>
          <w:rtl/>
        </w:rPr>
        <w:t>נש</w:t>
      </w:r>
      <w:r w:rsidR="00202E45">
        <w:rPr>
          <w:rFonts w:hint="cs"/>
          <w:rtl/>
        </w:rPr>
        <w:t xml:space="preserve">. </w:t>
      </w:r>
      <w:r w:rsidR="00011D5B">
        <w:rPr>
          <w:rFonts w:hint="cs"/>
          <w:rtl/>
        </w:rPr>
        <w:t>לשם כך</w:t>
      </w:r>
      <w:r w:rsidR="00202E45">
        <w:rPr>
          <w:rFonts w:hint="cs"/>
          <w:rtl/>
        </w:rPr>
        <w:t>,</w:t>
      </w:r>
      <w:r w:rsidR="00011D5B">
        <w:rPr>
          <w:rFonts w:hint="cs"/>
          <w:rtl/>
        </w:rPr>
        <w:t xml:space="preserve"> הפנתה </w:t>
      </w:r>
      <w:r w:rsidR="00202E45">
        <w:rPr>
          <w:rFonts w:hint="cs"/>
          <w:rtl/>
        </w:rPr>
        <w:t xml:space="preserve">ההגנה </w:t>
      </w:r>
      <w:r w:rsidR="00011D5B">
        <w:rPr>
          <w:rFonts w:hint="cs"/>
          <w:rtl/>
        </w:rPr>
        <w:t>לפסיקה המלמדת, להשקפתה, על מדיניות ענישה מקלה מזו שהנחתה את בית הדין קמא</w:t>
      </w:r>
      <w:r>
        <w:rPr>
          <w:rFonts w:hint="cs"/>
          <w:rtl/>
        </w:rPr>
        <w:t>. לחלופין</w:t>
      </w:r>
      <w:r w:rsidR="00202E45">
        <w:rPr>
          <w:rFonts w:hint="cs"/>
          <w:rtl/>
        </w:rPr>
        <w:t>,</w:t>
      </w:r>
      <w:r>
        <w:rPr>
          <w:rFonts w:hint="cs"/>
          <w:rtl/>
        </w:rPr>
        <w:t xml:space="preserve"> ביקשה </w:t>
      </w:r>
      <w:r w:rsidR="00202E45">
        <w:rPr>
          <w:rFonts w:hint="cs"/>
          <w:rtl/>
        </w:rPr>
        <w:t xml:space="preserve">ההגנה </w:t>
      </w:r>
      <w:r>
        <w:rPr>
          <w:rFonts w:hint="cs"/>
          <w:rtl/>
        </w:rPr>
        <w:t>ל</w:t>
      </w:r>
      <w:r w:rsidR="00011D5B">
        <w:rPr>
          <w:rFonts w:hint="cs"/>
          <w:rtl/>
        </w:rPr>
        <w:t>חרוג</w:t>
      </w:r>
      <w:r>
        <w:rPr>
          <w:rFonts w:hint="cs"/>
          <w:rtl/>
        </w:rPr>
        <w:t xml:space="preserve"> ממתחם הע</w:t>
      </w:r>
      <w:r w:rsidR="00202E45">
        <w:rPr>
          <w:rFonts w:hint="cs"/>
          <w:rtl/>
        </w:rPr>
        <w:t>ו</w:t>
      </w:r>
      <w:r>
        <w:rPr>
          <w:rFonts w:hint="cs"/>
          <w:rtl/>
        </w:rPr>
        <w:t>נש שנקבע על ידי בית הדין קמא, בשל שיקולי שיקום</w:t>
      </w:r>
      <w:r w:rsidR="00011D5B">
        <w:rPr>
          <w:rFonts w:hint="cs"/>
          <w:rtl/>
        </w:rPr>
        <w:t>; תוך שנטען כי על אף מגמת ההחמרה ב</w:t>
      </w:r>
      <w:r w:rsidR="00202E45">
        <w:rPr>
          <w:rFonts w:hint="cs"/>
          <w:rtl/>
        </w:rPr>
        <w:t xml:space="preserve">ענישה בגין </w:t>
      </w:r>
      <w:r w:rsidR="00011D5B">
        <w:rPr>
          <w:rFonts w:hint="cs"/>
          <w:rtl/>
        </w:rPr>
        <w:t xml:space="preserve">עבירות נשק, הניכרת בפסיקת בית המשפט העליון, הרי שבמקרים המתאימים, </w:t>
      </w:r>
      <w:r w:rsidR="00202E45">
        <w:rPr>
          <w:rFonts w:hint="cs"/>
          <w:rtl/>
        </w:rPr>
        <w:t xml:space="preserve">כאשר </w:t>
      </w:r>
      <w:r w:rsidR="00011D5B">
        <w:rPr>
          <w:rFonts w:hint="cs"/>
          <w:rtl/>
        </w:rPr>
        <w:t>הוכחו סיכויי שיקום משמעותיים</w:t>
      </w:r>
      <w:r w:rsidR="005B31CD">
        <w:rPr>
          <w:rFonts w:hint="cs"/>
          <w:rtl/>
        </w:rPr>
        <w:t>,</w:t>
      </w:r>
      <w:r w:rsidR="00011D5B">
        <w:rPr>
          <w:rFonts w:hint="cs"/>
          <w:rtl/>
        </w:rPr>
        <w:t xml:space="preserve"> ננקטה </w:t>
      </w:r>
      <w:r w:rsidR="00202E45">
        <w:rPr>
          <w:rFonts w:hint="cs"/>
          <w:rtl/>
        </w:rPr>
        <w:t xml:space="preserve">ענישה </w:t>
      </w:r>
      <w:r w:rsidR="00011D5B">
        <w:rPr>
          <w:rFonts w:hint="cs"/>
          <w:rtl/>
        </w:rPr>
        <w:t xml:space="preserve">מקלה, המתחשבת בנתון זה. כך למשל הפנתה ההגנה לע"פ 4332/21 </w:t>
      </w:r>
      <w:r w:rsidR="00011D5B" w:rsidRPr="00011D5B">
        <w:rPr>
          <w:rFonts w:hint="cs"/>
          <w:b/>
          <w:bCs/>
          <w:rtl/>
        </w:rPr>
        <w:t xml:space="preserve">עאסלה נ' מדינת ישראל </w:t>
      </w:r>
      <w:r w:rsidR="00011D5B">
        <w:rPr>
          <w:rFonts w:hint="cs"/>
          <w:rtl/>
        </w:rPr>
        <w:t>(</w:t>
      </w:r>
      <w:r w:rsidR="005E62FC">
        <w:rPr>
          <w:rFonts w:hint="cs"/>
          <w:rtl/>
        </w:rPr>
        <w:t xml:space="preserve">לא פורסם, </w:t>
      </w:r>
      <w:r w:rsidR="00011D5B">
        <w:rPr>
          <w:rFonts w:hint="cs"/>
          <w:rtl/>
        </w:rPr>
        <w:t>20.2.2022)</w:t>
      </w:r>
      <w:r w:rsidR="00202E45">
        <w:rPr>
          <w:rFonts w:hint="cs"/>
          <w:rtl/>
        </w:rPr>
        <w:t>,</w:t>
      </w:r>
      <w:r w:rsidR="00011D5B">
        <w:rPr>
          <w:rFonts w:hint="cs"/>
          <w:rtl/>
        </w:rPr>
        <w:t xml:space="preserve"> שם התקבל ערעור הגנה</w:t>
      </w:r>
      <w:r w:rsidR="005B31CD">
        <w:rPr>
          <w:rFonts w:hint="cs"/>
          <w:rtl/>
        </w:rPr>
        <w:t xml:space="preserve">, </w:t>
      </w:r>
      <w:r w:rsidR="00202E45">
        <w:rPr>
          <w:rFonts w:hint="cs"/>
          <w:rtl/>
        </w:rPr>
        <w:t>ו</w:t>
      </w:r>
      <w:r w:rsidR="005B31CD">
        <w:rPr>
          <w:rFonts w:hint="cs"/>
          <w:rtl/>
        </w:rPr>
        <w:t xml:space="preserve">המערער נדון, מטעמי שיקום, למאסר </w:t>
      </w:r>
      <w:r w:rsidR="00202E45">
        <w:rPr>
          <w:rFonts w:hint="cs"/>
          <w:rtl/>
        </w:rPr>
        <w:t xml:space="preserve">בפועל </w:t>
      </w:r>
      <w:r w:rsidR="00011D5B">
        <w:rPr>
          <w:rFonts w:hint="cs"/>
          <w:rtl/>
        </w:rPr>
        <w:t xml:space="preserve">בדרך של עבודות שירות. </w:t>
      </w:r>
    </w:p>
    <w:p w14:paraId="52C3B4AA" w14:textId="77777777" w:rsidR="00AD31A7" w:rsidRDefault="00011D5B" w:rsidP="005E62FC">
      <w:pPr>
        <w:numPr>
          <w:ilvl w:val="0"/>
          <w:numId w:val="3"/>
        </w:numPr>
        <w:tabs>
          <w:tab w:val="left" w:pos="226"/>
        </w:tabs>
        <w:ind w:left="-58" w:firstLine="0"/>
      </w:pPr>
      <w:r>
        <w:rPr>
          <w:rFonts w:hint="cs"/>
          <w:rtl/>
        </w:rPr>
        <w:t xml:space="preserve">לגישת ההגנה, בעת בחינת נסיבות ביצוע העבירה </w:t>
      </w:r>
      <w:r w:rsidR="005B31CD">
        <w:rPr>
          <w:rFonts w:hint="cs"/>
          <w:rtl/>
        </w:rPr>
        <w:t xml:space="preserve">יש לשקול </w:t>
      </w:r>
      <w:r>
        <w:rPr>
          <w:rFonts w:hint="cs"/>
          <w:rtl/>
        </w:rPr>
        <w:t xml:space="preserve">את </w:t>
      </w:r>
      <w:r w:rsidR="004B0EC0">
        <w:rPr>
          <w:rFonts w:hint="cs"/>
          <w:rtl/>
        </w:rPr>
        <w:t xml:space="preserve">מצבו הנפשי של המערער, אשר עמד ברקע ביצוע העבירה, בהתאם להתרשמות עורכת </w:t>
      </w:r>
      <w:r>
        <w:rPr>
          <w:rFonts w:hint="cs"/>
          <w:rtl/>
        </w:rPr>
        <w:t>ה</w:t>
      </w:r>
      <w:r w:rsidR="004B0EC0">
        <w:rPr>
          <w:rFonts w:hint="cs"/>
          <w:rtl/>
        </w:rPr>
        <w:t>תסקיר</w:t>
      </w:r>
      <w:r>
        <w:rPr>
          <w:rFonts w:hint="cs"/>
          <w:rtl/>
        </w:rPr>
        <w:t>. מכאן שהעבירה בוצעה, כך נטען, על רקע מצב נפשי ורגשי מורכב ונקודתי</w:t>
      </w:r>
      <w:r w:rsidR="00202E45">
        <w:rPr>
          <w:rFonts w:hint="cs"/>
          <w:rtl/>
        </w:rPr>
        <w:t>,</w:t>
      </w:r>
      <w:r>
        <w:rPr>
          <w:rFonts w:hint="cs"/>
          <w:rtl/>
        </w:rPr>
        <w:t xml:space="preserve"> ולא בשל דפוסי</w:t>
      </w:r>
      <w:r w:rsidR="00202E45">
        <w:rPr>
          <w:rFonts w:hint="cs"/>
          <w:rtl/>
        </w:rPr>
        <w:t xml:space="preserve"> התנהגות </w:t>
      </w:r>
      <w:r>
        <w:rPr>
          <w:rFonts w:hint="cs"/>
          <w:rtl/>
        </w:rPr>
        <w:t xml:space="preserve">עברייניים. הוטעם, כי </w:t>
      </w:r>
      <w:r w:rsidR="004B0EC0">
        <w:rPr>
          <w:rFonts w:hint="cs"/>
          <w:rtl/>
        </w:rPr>
        <w:t>התסקיר מלמד על רצונו הכן של המערער לשיקום ו</w:t>
      </w:r>
      <w:r>
        <w:rPr>
          <w:rFonts w:hint="cs"/>
          <w:rtl/>
        </w:rPr>
        <w:t xml:space="preserve">על </w:t>
      </w:r>
      <w:r w:rsidR="004B0EC0">
        <w:rPr>
          <w:rFonts w:hint="cs"/>
          <w:rtl/>
        </w:rPr>
        <w:t xml:space="preserve">סיכוייו הגבוהים </w:t>
      </w:r>
      <w:r w:rsidR="00E66A88">
        <w:rPr>
          <w:rFonts w:hint="cs"/>
          <w:rtl/>
        </w:rPr>
        <w:t>בהקשר זה</w:t>
      </w:r>
      <w:r w:rsidR="004B0EC0">
        <w:rPr>
          <w:rFonts w:hint="cs"/>
          <w:rtl/>
        </w:rPr>
        <w:t xml:space="preserve">, </w:t>
      </w:r>
      <w:r w:rsidR="00E66A88">
        <w:rPr>
          <w:rFonts w:hint="cs"/>
          <w:rtl/>
        </w:rPr>
        <w:t>בעוד ש</w:t>
      </w:r>
      <w:r w:rsidR="004B0EC0">
        <w:rPr>
          <w:rFonts w:hint="cs"/>
          <w:rtl/>
        </w:rPr>
        <w:t xml:space="preserve">ענישה מחמירה יתר על המידה </w:t>
      </w:r>
      <w:r>
        <w:rPr>
          <w:rFonts w:hint="cs"/>
          <w:rtl/>
        </w:rPr>
        <w:t>תפגע</w:t>
      </w:r>
      <w:r w:rsidR="004B0EC0">
        <w:rPr>
          <w:rFonts w:hint="cs"/>
          <w:rtl/>
        </w:rPr>
        <w:t xml:space="preserve"> בהליך שיקומו.</w:t>
      </w:r>
      <w:r w:rsidR="00E87AA0">
        <w:rPr>
          <w:rFonts w:hint="cs"/>
          <w:rtl/>
        </w:rPr>
        <w:t xml:space="preserve"> </w:t>
      </w:r>
      <w:r w:rsidR="0086744D">
        <w:rPr>
          <w:rFonts w:hint="cs"/>
          <w:rtl/>
        </w:rPr>
        <w:t xml:space="preserve">עוד </w:t>
      </w:r>
      <w:r w:rsidR="00E66A88">
        <w:rPr>
          <w:rFonts w:hint="cs"/>
          <w:rtl/>
        </w:rPr>
        <w:t xml:space="preserve">הדגישה </w:t>
      </w:r>
      <w:r w:rsidR="0086744D">
        <w:rPr>
          <w:rFonts w:hint="cs"/>
          <w:rtl/>
        </w:rPr>
        <w:t xml:space="preserve">ההגנה </w:t>
      </w:r>
      <w:r w:rsidR="00E66A88">
        <w:rPr>
          <w:rFonts w:hint="cs"/>
          <w:rtl/>
        </w:rPr>
        <w:t xml:space="preserve">את </w:t>
      </w:r>
      <w:r w:rsidR="0086744D">
        <w:rPr>
          <w:rFonts w:hint="cs"/>
          <w:rtl/>
        </w:rPr>
        <w:t xml:space="preserve">הפגיעה בזכויותיו של המערער במהלך החקירה. </w:t>
      </w:r>
    </w:p>
    <w:p w14:paraId="38F6C815" w14:textId="77777777" w:rsidR="004B0EC0" w:rsidRDefault="00AD31A7" w:rsidP="005E62FC">
      <w:pPr>
        <w:numPr>
          <w:ilvl w:val="0"/>
          <w:numId w:val="3"/>
        </w:numPr>
        <w:tabs>
          <w:tab w:val="left" w:pos="226"/>
        </w:tabs>
        <w:ind w:left="-58" w:firstLine="0"/>
      </w:pPr>
      <w:r>
        <w:rPr>
          <w:rFonts w:hint="cs"/>
          <w:rtl/>
        </w:rPr>
        <w:t>ההגנה התנגדה להש</w:t>
      </w:r>
      <w:r w:rsidR="00202E45">
        <w:rPr>
          <w:rFonts w:hint="cs"/>
          <w:rtl/>
        </w:rPr>
        <w:t>י</w:t>
      </w:r>
      <w:r>
        <w:rPr>
          <w:rFonts w:hint="cs"/>
          <w:rtl/>
        </w:rPr>
        <w:t>ת</w:t>
      </w:r>
      <w:r w:rsidR="00202E45">
        <w:rPr>
          <w:rFonts w:hint="cs"/>
          <w:rtl/>
        </w:rPr>
        <w:t xml:space="preserve"> על המערער </w:t>
      </w:r>
      <w:r>
        <w:rPr>
          <w:rFonts w:hint="cs"/>
          <w:rtl/>
        </w:rPr>
        <w:t>עונש של קנס כספי ו</w:t>
      </w:r>
      <w:r w:rsidR="00202E45">
        <w:rPr>
          <w:rFonts w:hint="cs"/>
          <w:rtl/>
        </w:rPr>
        <w:t xml:space="preserve">התנגדה </w:t>
      </w:r>
      <w:r>
        <w:rPr>
          <w:rFonts w:hint="cs"/>
          <w:rtl/>
        </w:rPr>
        <w:t>לחילוט רכבו</w:t>
      </w:r>
      <w:r w:rsidR="00202E45">
        <w:rPr>
          <w:rFonts w:hint="cs"/>
          <w:rtl/>
        </w:rPr>
        <w:t xml:space="preserve">. בהקשר זה, סמכה ההגנה ידיה על נימוקיו </w:t>
      </w:r>
      <w:r w:rsidR="00011D5B">
        <w:rPr>
          <w:rFonts w:hint="cs"/>
          <w:rtl/>
        </w:rPr>
        <w:t>של בית הדין קמא</w:t>
      </w:r>
      <w:r w:rsidR="00202E45">
        <w:rPr>
          <w:rFonts w:hint="cs"/>
          <w:rtl/>
        </w:rPr>
        <w:t>,</w:t>
      </w:r>
      <w:r>
        <w:rPr>
          <w:rFonts w:hint="cs"/>
          <w:rtl/>
        </w:rPr>
        <w:t xml:space="preserve"> וביקשה להדגיש כי הרימונים היו בחזקתו של ה</w:t>
      </w:r>
      <w:r w:rsidR="00202E45">
        <w:rPr>
          <w:rFonts w:hint="cs"/>
          <w:rtl/>
        </w:rPr>
        <w:t>מערער</w:t>
      </w:r>
      <w:r>
        <w:rPr>
          <w:rFonts w:hint="cs"/>
          <w:rtl/>
        </w:rPr>
        <w:t xml:space="preserve"> זמן קצר </w:t>
      </w:r>
      <w:r w:rsidR="00202E45">
        <w:rPr>
          <w:rFonts w:hint="cs"/>
          <w:rtl/>
        </w:rPr>
        <w:t xml:space="preserve">בלבד </w:t>
      </w:r>
      <w:r>
        <w:rPr>
          <w:rFonts w:hint="cs"/>
          <w:rtl/>
        </w:rPr>
        <w:t xml:space="preserve">ושבו </w:t>
      </w:r>
      <w:r w:rsidR="00202E45">
        <w:rPr>
          <w:rFonts w:hint="cs"/>
          <w:rtl/>
        </w:rPr>
        <w:t xml:space="preserve">לאחר מכן </w:t>
      </w:r>
      <w:r>
        <w:rPr>
          <w:rFonts w:hint="cs"/>
          <w:rtl/>
        </w:rPr>
        <w:t>לרשות הצבא. על כן</w:t>
      </w:r>
      <w:r w:rsidR="00202E45">
        <w:rPr>
          <w:rFonts w:hint="cs"/>
          <w:rtl/>
        </w:rPr>
        <w:t>,</w:t>
      </w:r>
      <w:r>
        <w:rPr>
          <w:rFonts w:hint="cs"/>
          <w:rtl/>
        </w:rPr>
        <w:t xml:space="preserve"> סברה </w:t>
      </w:r>
      <w:r w:rsidR="00202E45">
        <w:rPr>
          <w:rFonts w:hint="cs"/>
          <w:rtl/>
        </w:rPr>
        <w:t xml:space="preserve">ההגנה </w:t>
      </w:r>
      <w:r>
        <w:rPr>
          <w:rFonts w:hint="cs"/>
          <w:rtl/>
        </w:rPr>
        <w:t>כי אין מקום לה</w:t>
      </w:r>
      <w:r w:rsidR="00202E45">
        <w:rPr>
          <w:rFonts w:hint="cs"/>
          <w:rtl/>
        </w:rPr>
        <w:t xml:space="preserve">שית רכיב עונש </w:t>
      </w:r>
      <w:r>
        <w:rPr>
          <w:rFonts w:hint="cs"/>
          <w:rtl/>
        </w:rPr>
        <w:t xml:space="preserve">כספי </w:t>
      </w:r>
      <w:r w:rsidR="00202E45">
        <w:rPr>
          <w:rFonts w:hint="cs"/>
          <w:rtl/>
        </w:rPr>
        <w:t xml:space="preserve">ואין מקום להורות על </w:t>
      </w:r>
      <w:r>
        <w:rPr>
          <w:rFonts w:hint="cs"/>
          <w:rtl/>
        </w:rPr>
        <w:t xml:space="preserve">חילוט. </w:t>
      </w:r>
      <w:r w:rsidR="00E87AA0">
        <w:rPr>
          <w:rFonts w:hint="cs"/>
          <w:rtl/>
        </w:rPr>
        <w:t xml:space="preserve">   </w:t>
      </w:r>
    </w:p>
    <w:p w14:paraId="6E669DCD" w14:textId="77777777" w:rsidR="004B0EC0" w:rsidRDefault="004B0EC0" w:rsidP="005E62FC">
      <w:pPr>
        <w:numPr>
          <w:ilvl w:val="0"/>
          <w:numId w:val="3"/>
        </w:numPr>
        <w:tabs>
          <w:tab w:val="left" w:pos="226"/>
        </w:tabs>
        <w:ind w:left="-58" w:firstLine="0"/>
      </w:pPr>
      <w:r>
        <w:rPr>
          <w:rFonts w:hint="cs"/>
          <w:b/>
          <w:bCs/>
          <w:rtl/>
        </w:rPr>
        <w:t>התביעה</w:t>
      </w:r>
      <w:r>
        <w:rPr>
          <w:rFonts w:hint="cs"/>
          <w:rtl/>
        </w:rPr>
        <w:t xml:space="preserve"> </w:t>
      </w:r>
      <w:r w:rsidR="00202E45">
        <w:rPr>
          <w:rFonts w:hint="cs"/>
          <w:rtl/>
        </w:rPr>
        <w:t xml:space="preserve">מנגד, </w:t>
      </w:r>
      <w:r>
        <w:rPr>
          <w:rFonts w:hint="cs"/>
          <w:rtl/>
        </w:rPr>
        <w:t xml:space="preserve">טענה בערעורה, כי יש למקם את עונש המאסר </w:t>
      </w:r>
      <w:r w:rsidR="00202E45">
        <w:rPr>
          <w:rFonts w:hint="cs"/>
          <w:rtl/>
        </w:rPr>
        <w:t xml:space="preserve">בפועל </w:t>
      </w:r>
      <w:r>
        <w:rPr>
          <w:rFonts w:hint="cs"/>
          <w:rtl/>
        </w:rPr>
        <w:t>ב</w:t>
      </w:r>
      <w:r w:rsidR="00202E45">
        <w:rPr>
          <w:rFonts w:hint="cs"/>
          <w:rtl/>
        </w:rPr>
        <w:t xml:space="preserve">חצי </w:t>
      </w:r>
      <w:r>
        <w:rPr>
          <w:rFonts w:hint="cs"/>
          <w:rtl/>
        </w:rPr>
        <w:t>העליון של מתחם הע</w:t>
      </w:r>
      <w:r w:rsidR="00202E45">
        <w:rPr>
          <w:rFonts w:hint="cs"/>
          <w:rtl/>
        </w:rPr>
        <w:t>ו</w:t>
      </w:r>
      <w:r>
        <w:rPr>
          <w:rFonts w:hint="cs"/>
          <w:rtl/>
        </w:rPr>
        <w:t>נש</w:t>
      </w:r>
      <w:r w:rsidR="00011D5B">
        <w:rPr>
          <w:rFonts w:hint="cs"/>
          <w:rtl/>
        </w:rPr>
        <w:t>,</w:t>
      </w:r>
      <w:r>
        <w:rPr>
          <w:rFonts w:hint="cs"/>
          <w:rtl/>
        </w:rPr>
        <w:t xml:space="preserve"> בשל שיקולי הרתעת הרבים והיחיד. לדעת התביעה עונש המאסר </w:t>
      </w:r>
      <w:r>
        <w:rPr>
          <w:rFonts w:hint="cs"/>
          <w:rtl/>
        </w:rPr>
        <w:lastRenderedPageBreak/>
        <w:t>שהושת על המערער אינו עולה בקנה אחד עם מגמת ההחמרה הנוהגת בעבירות נשק, המתבטאת בתיקון 140 לחוק העונשין ובפסיקת בית המשפט העליון, ובהתייחסות אליהן כאל "מכת מדינה של ממש"</w:t>
      </w:r>
      <w:r w:rsidR="00E66A88">
        <w:rPr>
          <w:rFonts w:hint="cs"/>
          <w:rtl/>
        </w:rPr>
        <w:t xml:space="preserve">. נטען, כי </w:t>
      </w:r>
      <w:r w:rsidR="00011D5B">
        <w:rPr>
          <w:rFonts w:hint="cs"/>
          <w:rtl/>
        </w:rPr>
        <w:t xml:space="preserve">ראוי להחיל </w:t>
      </w:r>
      <w:r>
        <w:rPr>
          <w:rFonts w:hint="cs"/>
          <w:rtl/>
        </w:rPr>
        <w:t xml:space="preserve">מגמה </w:t>
      </w:r>
      <w:r w:rsidR="00011D5B">
        <w:rPr>
          <w:rFonts w:hint="cs"/>
          <w:rtl/>
        </w:rPr>
        <w:t>זו ביתר שאת במ</w:t>
      </w:r>
      <w:r>
        <w:rPr>
          <w:rFonts w:hint="cs"/>
          <w:rtl/>
        </w:rPr>
        <w:t xml:space="preserve">ערכת המשפט הצבאית, נוכח </w:t>
      </w:r>
      <w:r w:rsidR="00FA161B">
        <w:rPr>
          <w:rFonts w:hint="cs"/>
          <w:rtl/>
        </w:rPr>
        <w:t xml:space="preserve">היבטים </w:t>
      </w:r>
      <w:r>
        <w:rPr>
          <w:rFonts w:hint="cs"/>
          <w:rtl/>
        </w:rPr>
        <w:t xml:space="preserve">ייחודיים </w:t>
      </w:r>
      <w:r w:rsidR="00FA161B">
        <w:rPr>
          <w:rFonts w:hint="cs"/>
          <w:rtl/>
        </w:rPr>
        <w:t xml:space="preserve">של העבירות, </w:t>
      </w:r>
      <w:r>
        <w:rPr>
          <w:rFonts w:hint="cs"/>
          <w:rtl/>
        </w:rPr>
        <w:t xml:space="preserve">והצורך </w:t>
      </w:r>
      <w:r w:rsidR="00E66A88">
        <w:rPr>
          <w:rFonts w:hint="cs"/>
          <w:rtl/>
        </w:rPr>
        <w:t>ב</w:t>
      </w:r>
      <w:r>
        <w:rPr>
          <w:rFonts w:hint="cs"/>
          <w:rtl/>
        </w:rPr>
        <w:t xml:space="preserve">הרתעה משמעותית כלפי חיילים שהם בעלי זמינות ונגישות </w:t>
      </w:r>
      <w:r w:rsidR="00E66A88">
        <w:rPr>
          <w:rFonts w:hint="cs"/>
          <w:rtl/>
        </w:rPr>
        <w:t xml:space="preserve">גבוהה </w:t>
      </w:r>
      <w:r>
        <w:rPr>
          <w:rFonts w:hint="cs"/>
          <w:rtl/>
        </w:rPr>
        <w:t>לכלי נשק. התביעה סבורה, כי בית הדין לא נתן משקל של ממש לשיקולי הרתעת הרבים</w:t>
      </w:r>
      <w:r w:rsidR="00AD31A7">
        <w:rPr>
          <w:rFonts w:hint="cs"/>
          <w:rtl/>
        </w:rPr>
        <w:t>, ל</w:t>
      </w:r>
      <w:r w:rsidR="00FA161B">
        <w:rPr>
          <w:rFonts w:hint="cs"/>
          <w:rtl/>
        </w:rPr>
        <w:t xml:space="preserve">היקף </w:t>
      </w:r>
      <w:r w:rsidR="00AD31A7">
        <w:rPr>
          <w:rFonts w:hint="cs"/>
          <w:rtl/>
        </w:rPr>
        <w:t xml:space="preserve">המעילה </w:t>
      </w:r>
      <w:r w:rsidR="00E66A88">
        <w:rPr>
          <w:rFonts w:hint="cs"/>
          <w:rtl/>
        </w:rPr>
        <w:t xml:space="preserve">של המערער </w:t>
      </w:r>
      <w:r w:rsidR="00AD31A7">
        <w:rPr>
          <w:rFonts w:hint="cs"/>
          <w:rtl/>
        </w:rPr>
        <w:t xml:space="preserve">באמון </w:t>
      </w:r>
      <w:r w:rsidR="00E66A88">
        <w:rPr>
          <w:rFonts w:hint="cs"/>
          <w:rtl/>
        </w:rPr>
        <w:t xml:space="preserve">מפקדיו, </w:t>
      </w:r>
      <w:r>
        <w:rPr>
          <w:rFonts w:hint="cs"/>
          <w:rtl/>
        </w:rPr>
        <w:t>ולהתנהלות המערער בחקירה כאשר סירב למסור את מכשיר הטלפון שלו לחיפוש</w:t>
      </w:r>
      <w:r w:rsidR="00E66A88">
        <w:rPr>
          <w:rFonts w:hint="cs"/>
          <w:rtl/>
        </w:rPr>
        <w:t xml:space="preserve">. הוטעם, </w:t>
      </w:r>
      <w:r>
        <w:rPr>
          <w:rFonts w:hint="cs"/>
          <w:rtl/>
        </w:rPr>
        <w:t xml:space="preserve">כי לא הוצגו אינדיקציות </w:t>
      </w:r>
      <w:r w:rsidR="00AD31A7">
        <w:rPr>
          <w:rFonts w:hint="cs"/>
          <w:rtl/>
        </w:rPr>
        <w:t xml:space="preserve">המלמדות על </w:t>
      </w:r>
      <w:r w:rsidR="00E66A88">
        <w:rPr>
          <w:rFonts w:hint="cs"/>
          <w:rtl/>
        </w:rPr>
        <w:t xml:space="preserve">השלמתו של </w:t>
      </w:r>
      <w:r w:rsidR="00AD31A7">
        <w:rPr>
          <w:rFonts w:hint="cs"/>
          <w:rtl/>
        </w:rPr>
        <w:t xml:space="preserve">הליך שיקומי, במובחן מפוטנציאל לשיקום. </w:t>
      </w:r>
      <w:r w:rsidR="00011D5B">
        <w:rPr>
          <w:rFonts w:hint="cs"/>
          <w:rtl/>
        </w:rPr>
        <w:t>כן</w:t>
      </w:r>
      <w:r w:rsidR="00AD31A7">
        <w:rPr>
          <w:rFonts w:hint="cs"/>
          <w:rtl/>
        </w:rPr>
        <w:t xml:space="preserve"> נטען, כי שגה בית הדין קמא כאשר נתן משקל להתנהלות </w:t>
      </w:r>
      <w:r w:rsidR="00011D5B">
        <w:rPr>
          <w:rFonts w:hint="cs"/>
          <w:rtl/>
        </w:rPr>
        <w:t>גורמי ה</w:t>
      </w:r>
      <w:r w:rsidR="00AD31A7">
        <w:rPr>
          <w:rFonts w:hint="cs"/>
          <w:rtl/>
        </w:rPr>
        <w:t>חקירה, שכן  למערער ניתנה זכות ההיוועצות באופן עקבי</w:t>
      </w:r>
      <w:r w:rsidR="00E66A88">
        <w:rPr>
          <w:rFonts w:hint="cs"/>
          <w:rtl/>
        </w:rPr>
        <w:t>,</w:t>
      </w:r>
      <w:r w:rsidR="00AD31A7">
        <w:rPr>
          <w:rFonts w:hint="cs"/>
          <w:rtl/>
        </w:rPr>
        <w:t xml:space="preserve"> ו</w:t>
      </w:r>
      <w:r w:rsidR="00011D5B">
        <w:rPr>
          <w:rFonts w:hint="cs"/>
          <w:rtl/>
        </w:rPr>
        <w:t xml:space="preserve">לא נפל </w:t>
      </w:r>
      <w:r w:rsidR="00FA161B">
        <w:rPr>
          <w:rFonts w:hint="cs"/>
          <w:rtl/>
        </w:rPr>
        <w:t xml:space="preserve">כל </w:t>
      </w:r>
      <w:r w:rsidR="00011D5B">
        <w:rPr>
          <w:rFonts w:hint="cs"/>
          <w:rtl/>
        </w:rPr>
        <w:t>פגם ב</w:t>
      </w:r>
      <w:r w:rsidR="00AD31A7">
        <w:rPr>
          <w:rFonts w:hint="cs"/>
          <w:rtl/>
        </w:rPr>
        <w:t xml:space="preserve">החלטת קצינת החקירות שלא לאפשר לו להיוועץ </w:t>
      </w:r>
      <w:r w:rsidR="00011D5B">
        <w:rPr>
          <w:rFonts w:hint="cs"/>
          <w:rtl/>
        </w:rPr>
        <w:t>בבא כוחו</w:t>
      </w:r>
      <w:r w:rsidR="00FA161B">
        <w:rPr>
          <w:rFonts w:hint="cs"/>
          <w:rtl/>
        </w:rPr>
        <w:t>,</w:t>
      </w:r>
      <w:r w:rsidR="00011D5B">
        <w:rPr>
          <w:rFonts w:hint="cs"/>
          <w:rtl/>
        </w:rPr>
        <w:t xml:space="preserve"> </w:t>
      </w:r>
      <w:r w:rsidR="00AD31A7">
        <w:rPr>
          <w:rFonts w:hint="cs"/>
          <w:rtl/>
        </w:rPr>
        <w:t xml:space="preserve">פעם נוספת.    </w:t>
      </w:r>
      <w:r>
        <w:rPr>
          <w:rFonts w:hint="cs"/>
          <w:rtl/>
        </w:rPr>
        <w:t xml:space="preserve">  </w:t>
      </w:r>
    </w:p>
    <w:p w14:paraId="71C0A8F2" w14:textId="77777777" w:rsidR="00961B44" w:rsidRDefault="004B0EC0" w:rsidP="005E62FC">
      <w:pPr>
        <w:numPr>
          <w:ilvl w:val="0"/>
          <w:numId w:val="3"/>
        </w:numPr>
        <w:tabs>
          <w:tab w:val="left" w:pos="226"/>
        </w:tabs>
        <w:ind w:left="-58" w:firstLine="0"/>
      </w:pPr>
      <w:r>
        <w:rPr>
          <w:rFonts w:hint="cs"/>
          <w:rtl/>
        </w:rPr>
        <w:t xml:space="preserve">עוד טענה התביעה, כי התקיימו כלל התנאים לחילוט רכבו של המערער, וכי נסיבות המקרה מלמדות על זיקה ממשית בין השימוש ברכב לבין ביצוע העבירה. הוטעם עוד, כי אין מקום לשקול את </w:t>
      </w:r>
      <w:r w:rsidR="00FA161B">
        <w:rPr>
          <w:rFonts w:hint="cs"/>
          <w:rtl/>
        </w:rPr>
        <w:t xml:space="preserve">תמהיל </w:t>
      </w:r>
      <w:r>
        <w:rPr>
          <w:rFonts w:hint="cs"/>
          <w:rtl/>
        </w:rPr>
        <w:t>העונש שהוטל</w:t>
      </w:r>
      <w:r w:rsidR="00FA161B">
        <w:rPr>
          <w:rFonts w:hint="cs"/>
          <w:rtl/>
        </w:rPr>
        <w:t xml:space="preserve"> על המערער</w:t>
      </w:r>
      <w:r>
        <w:rPr>
          <w:rFonts w:hint="cs"/>
          <w:rtl/>
        </w:rPr>
        <w:t xml:space="preserve">, שכן החילוט הוא בגדר סנקציה פלילית </w:t>
      </w:r>
      <w:r w:rsidR="00FA161B">
        <w:rPr>
          <w:rFonts w:hint="cs"/>
          <w:rtl/>
        </w:rPr>
        <w:t>נפרדת</w:t>
      </w:r>
      <w:r>
        <w:rPr>
          <w:rFonts w:hint="cs"/>
          <w:rtl/>
        </w:rPr>
        <w:t xml:space="preserve">. </w:t>
      </w:r>
      <w:r w:rsidR="00E66A88">
        <w:rPr>
          <w:rFonts w:hint="cs"/>
          <w:rtl/>
        </w:rPr>
        <w:t xml:space="preserve">צוין, כי </w:t>
      </w:r>
      <w:r>
        <w:rPr>
          <w:rFonts w:hint="cs"/>
          <w:rtl/>
        </w:rPr>
        <w:t xml:space="preserve">לא הוצגו נסיבות אישיות יוצאות דופן או קושי כלכלי </w:t>
      </w:r>
      <w:r w:rsidR="00FA161B">
        <w:rPr>
          <w:rFonts w:hint="cs"/>
          <w:rtl/>
        </w:rPr>
        <w:t xml:space="preserve">של המערער, </w:t>
      </w:r>
      <w:r>
        <w:rPr>
          <w:rFonts w:hint="cs"/>
          <w:rtl/>
        </w:rPr>
        <w:t xml:space="preserve">שיש </w:t>
      </w:r>
      <w:r w:rsidR="00E66A88">
        <w:rPr>
          <w:rFonts w:hint="cs"/>
          <w:rtl/>
        </w:rPr>
        <w:t xml:space="preserve">בו </w:t>
      </w:r>
      <w:r>
        <w:rPr>
          <w:rFonts w:hint="cs"/>
          <w:rtl/>
        </w:rPr>
        <w:t xml:space="preserve">כדי להביא להימנע מהחילוט או מהשתת קנס כספי, שאף הוא רכיב </w:t>
      </w:r>
      <w:r w:rsidR="00FA161B">
        <w:rPr>
          <w:rFonts w:hint="cs"/>
          <w:rtl/>
        </w:rPr>
        <w:t xml:space="preserve">עונש </w:t>
      </w:r>
      <w:r>
        <w:rPr>
          <w:rFonts w:hint="cs"/>
          <w:rtl/>
        </w:rPr>
        <w:t xml:space="preserve">משמעותי ונדרש מקום </w:t>
      </w:r>
      <w:r w:rsidR="00E66A88">
        <w:rPr>
          <w:rFonts w:hint="cs"/>
          <w:rtl/>
        </w:rPr>
        <w:t>ש</w:t>
      </w:r>
      <w:r>
        <w:rPr>
          <w:rFonts w:hint="cs"/>
          <w:rtl/>
        </w:rPr>
        <w:t xml:space="preserve">בו מתבצעת עבירה </w:t>
      </w:r>
      <w:r w:rsidR="00E66A88">
        <w:rPr>
          <w:rFonts w:hint="cs"/>
          <w:rtl/>
        </w:rPr>
        <w:t xml:space="preserve">מתוך </w:t>
      </w:r>
      <w:r>
        <w:rPr>
          <w:rFonts w:hint="cs"/>
          <w:rtl/>
        </w:rPr>
        <w:t xml:space="preserve">מוטיבציה כלכלית. </w:t>
      </w:r>
    </w:p>
    <w:p w14:paraId="071E4647" w14:textId="77777777" w:rsidR="00961B44" w:rsidRPr="00D130A8" w:rsidRDefault="00961B44" w:rsidP="00844363">
      <w:pPr>
        <w:spacing w:line="348" w:lineRule="auto"/>
        <w:ind w:left="-58"/>
        <w:contextualSpacing/>
        <w:rPr>
          <w:sz w:val="16"/>
          <w:szCs w:val="16"/>
          <w:rtl/>
        </w:rPr>
      </w:pPr>
    </w:p>
    <w:p w14:paraId="2F7AB6BC" w14:textId="77777777" w:rsidR="007101E7" w:rsidRPr="00961B44" w:rsidRDefault="007101E7" w:rsidP="00844363">
      <w:pPr>
        <w:spacing w:line="348" w:lineRule="auto"/>
        <w:ind w:left="-58"/>
        <w:contextualSpacing/>
        <w:rPr>
          <w:rtl/>
        </w:rPr>
      </w:pPr>
      <w:r w:rsidRPr="00961B44">
        <w:rPr>
          <w:rFonts w:hint="cs"/>
          <w:b/>
          <w:bCs/>
          <w:u w:val="single"/>
          <w:rtl/>
        </w:rPr>
        <w:t>דיון והכרעה</w:t>
      </w:r>
    </w:p>
    <w:p w14:paraId="11C112D5" w14:textId="77777777" w:rsidR="004B0EC0" w:rsidRPr="001D1621" w:rsidRDefault="004B0EC0" w:rsidP="00844363">
      <w:pPr>
        <w:spacing w:line="348" w:lineRule="auto"/>
        <w:ind w:left="-58"/>
        <w:rPr>
          <w:b/>
          <w:bCs/>
          <w:sz w:val="10"/>
          <w:szCs w:val="10"/>
          <w:u w:val="single"/>
          <w:rtl/>
        </w:rPr>
      </w:pPr>
    </w:p>
    <w:p w14:paraId="36FC2243" w14:textId="77777777" w:rsidR="00EC2D64" w:rsidRPr="00D136F7" w:rsidRDefault="0086744D" w:rsidP="005E62FC">
      <w:pPr>
        <w:numPr>
          <w:ilvl w:val="0"/>
          <w:numId w:val="3"/>
        </w:numPr>
        <w:tabs>
          <w:tab w:val="left" w:pos="226"/>
        </w:tabs>
        <w:ind w:left="-58" w:firstLine="0"/>
        <w:rPr>
          <w:rFonts w:cs="Times New Roman"/>
          <w:color w:val="000000"/>
        </w:rPr>
      </w:pPr>
      <w:r>
        <w:rPr>
          <w:rFonts w:hint="cs"/>
          <w:rtl/>
        </w:rPr>
        <w:t xml:space="preserve">המערער </w:t>
      </w:r>
      <w:r w:rsidR="00C569EA">
        <w:rPr>
          <w:rFonts w:hint="cs"/>
          <w:rtl/>
        </w:rPr>
        <w:t>נכשל בעבירות חמורות</w:t>
      </w:r>
      <w:r w:rsidR="00E66A88">
        <w:rPr>
          <w:rFonts w:hint="cs"/>
          <w:rtl/>
        </w:rPr>
        <w:t>,</w:t>
      </w:r>
      <w:r w:rsidR="00C569EA">
        <w:rPr>
          <w:rFonts w:hint="cs"/>
          <w:rtl/>
        </w:rPr>
        <w:t xml:space="preserve"> המגלמו</w:t>
      </w:r>
      <w:r w:rsidR="00EC2D64">
        <w:rPr>
          <w:rFonts w:hint="cs"/>
          <w:rtl/>
        </w:rPr>
        <w:t>ת פגיעה משמעותית בער</w:t>
      </w:r>
      <w:r w:rsidR="00D136F7">
        <w:rPr>
          <w:rFonts w:hint="cs"/>
          <w:rtl/>
        </w:rPr>
        <w:t>כים</w:t>
      </w:r>
      <w:r w:rsidR="00EC2D64">
        <w:rPr>
          <w:rFonts w:hint="cs"/>
          <w:rtl/>
        </w:rPr>
        <w:t xml:space="preserve"> המוג</w:t>
      </w:r>
      <w:r w:rsidR="00D136F7">
        <w:rPr>
          <w:rFonts w:hint="cs"/>
          <w:rtl/>
        </w:rPr>
        <w:t>נים</w:t>
      </w:r>
      <w:r w:rsidR="00EC2D64">
        <w:rPr>
          <w:rFonts w:hint="cs"/>
          <w:rtl/>
        </w:rPr>
        <w:t xml:space="preserve"> שעניינ</w:t>
      </w:r>
      <w:r w:rsidR="00D136F7">
        <w:rPr>
          <w:rFonts w:hint="cs"/>
          <w:rtl/>
        </w:rPr>
        <w:t>ם</w:t>
      </w:r>
      <w:r w:rsidR="00EC2D64">
        <w:rPr>
          <w:rFonts w:hint="cs"/>
          <w:rtl/>
        </w:rPr>
        <w:t xml:space="preserve"> איום ממשי לחיי אדם ובטחון הציבור</w:t>
      </w:r>
      <w:r w:rsidR="00D136F7">
        <w:rPr>
          <w:rFonts w:hint="cs"/>
          <w:rtl/>
        </w:rPr>
        <w:t xml:space="preserve"> ו</w:t>
      </w:r>
      <w:r w:rsidR="005C2297">
        <w:rPr>
          <w:rFonts w:hint="cs"/>
          <w:rtl/>
        </w:rPr>
        <w:t>פגיעה ב</w:t>
      </w:r>
      <w:r w:rsidR="00D136F7">
        <w:rPr>
          <w:rFonts w:hint="cs"/>
          <w:rtl/>
        </w:rPr>
        <w:t>סדר הציבורי</w:t>
      </w:r>
      <w:r w:rsidR="00503284">
        <w:rPr>
          <w:rFonts w:hint="cs"/>
          <w:rtl/>
        </w:rPr>
        <w:t>; וזאת</w:t>
      </w:r>
      <w:r w:rsidR="00EC2D64">
        <w:rPr>
          <w:rFonts w:hint="cs"/>
          <w:rtl/>
        </w:rPr>
        <w:t xml:space="preserve"> נוכח החשש כי כלי נשק שניטל מרשות הצבא יגיע בסופו של יום לידי גורם עוין או פלילי (ע/46/20</w:t>
      </w:r>
      <w:r w:rsidR="00446755">
        <w:rPr>
          <w:rFonts w:hint="cs"/>
          <w:rtl/>
        </w:rPr>
        <w:t xml:space="preserve"> </w:t>
      </w:r>
      <w:r w:rsidR="00446755">
        <w:rPr>
          <w:rFonts w:hint="cs"/>
          <w:b/>
          <w:bCs/>
          <w:rtl/>
        </w:rPr>
        <w:t>טור'</w:t>
      </w:r>
      <w:r w:rsidR="00EC2D64">
        <w:rPr>
          <w:rFonts w:hint="cs"/>
          <w:rtl/>
        </w:rPr>
        <w:t xml:space="preserve"> </w:t>
      </w:r>
      <w:r w:rsidR="00EC2D64">
        <w:rPr>
          <w:rFonts w:hint="cs"/>
          <w:b/>
          <w:bCs/>
          <w:rtl/>
        </w:rPr>
        <w:t xml:space="preserve">חלאילה נ' התובע הצבאי הראשי </w:t>
      </w:r>
      <w:r w:rsidR="00EC2D64">
        <w:rPr>
          <w:rFonts w:hint="cs"/>
          <w:rtl/>
        </w:rPr>
        <w:t xml:space="preserve">פסקה 28 (2020); </w:t>
      </w:r>
      <w:r w:rsidR="00446755">
        <w:rPr>
          <w:rFonts w:hint="cs"/>
          <w:rtl/>
        </w:rPr>
        <w:t xml:space="preserve">ע/31/19 </w:t>
      </w:r>
      <w:r w:rsidR="00446755">
        <w:rPr>
          <w:rFonts w:hint="cs"/>
          <w:b/>
          <w:bCs/>
          <w:rtl/>
        </w:rPr>
        <w:t xml:space="preserve">טור' סארי נ' התובע הצבאי הראשי, </w:t>
      </w:r>
      <w:r w:rsidR="00446755">
        <w:rPr>
          <w:rFonts w:hint="cs"/>
          <w:rtl/>
        </w:rPr>
        <w:t>פסקה 23 (2019)).</w:t>
      </w:r>
    </w:p>
    <w:p w14:paraId="01BB369E" w14:textId="714BE1CB" w:rsidR="008213DC" w:rsidRPr="00D136F7" w:rsidRDefault="008213DC" w:rsidP="005E62FC">
      <w:pPr>
        <w:numPr>
          <w:ilvl w:val="0"/>
          <w:numId w:val="3"/>
        </w:numPr>
        <w:tabs>
          <w:tab w:val="left" w:pos="226"/>
        </w:tabs>
        <w:ind w:left="-58" w:firstLine="0"/>
        <w:rPr>
          <w:rFonts w:cs="Times New Roman"/>
          <w:color w:val="000000"/>
          <w:rtl/>
        </w:rPr>
      </w:pPr>
      <w:r>
        <w:rPr>
          <w:rFonts w:hint="cs"/>
          <w:rtl/>
        </w:rPr>
        <w:t>בפסיקת בית המשפט העליון</w:t>
      </w:r>
      <w:r w:rsidR="00D136F7">
        <w:rPr>
          <w:rFonts w:hint="cs"/>
          <w:rtl/>
        </w:rPr>
        <w:t xml:space="preserve"> נקבע</w:t>
      </w:r>
      <w:r w:rsidR="00162592">
        <w:rPr>
          <w:rFonts w:hint="cs"/>
          <w:rtl/>
        </w:rPr>
        <w:t>,</w:t>
      </w:r>
      <w:r>
        <w:rPr>
          <w:rFonts w:hint="cs"/>
          <w:rtl/>
        </w:rPr>
        <w:t xml:space="preserve"> כי </w:t>
      </w:r>
      <w:r w:rsidR="005C2297">
        <w:rPr>
          <w:rFonts w:hint="cs"/>
          <w:rtl/>
        </w:rPr>
        <w:t>לעבירות אלה</w:t>
      </w:r>
      <w:r>
        <w:rPr>
          <w:rFonts w:hint="cs"/>
          <w:rtl/>
        </w:rPr>
        <w:t xml:space="preserve"> נודעת חומרה רבה, נוכח תדירותם העולה וגוברת של מעשי אלימות קשים, הכוללים שימוש בלתי חוקי בנשק; ומכאן הצורך לנקוט במדיניות ענישה מחמירה ומרתיעה כלפי מי שמסכן את שלום הציבור ובטחונו בהפרת האיסורים הנוגעים ל</w:t>
      </w:r>
      <w:r w:rsidR="001705A5">
        <w:rPr>
          <w:rFonts w:hint="cs"/>
          <w:rtl/>
        </w:rPr>
        <w:t xml:space="preserve">נשק וסחר בו (ע"פ 8869/21 </w:t>
      </w:r>
      <w:r w:rsidR="001705A5" w:rsidRPr="00D136F7">
        <w:rPr>
          <w:rFonts w:hint="cs"/>
          <w:b/>
          <w:bCs/>
          <w:rtl/>
        </w:rPr>
        <w:t xml:space="preserve">מדינת ישראל נ' קואסמה, </w:t>
      </w:r>
      <w:r w:rsidR="001705A5">
        <w:rPr>
          <w:rFonts w:hint="cs"/>
          <w:rtl/>
        </w:rPr>
        <w:t>פסקה 11 (</w:t>
      </w:r>
      <w:r w:rsidR="005E62FC">
        <w:rPr>
          <w:rFonts w:hint="cs"/>
          <w:rtl/>
        </w:rPr>
        <w:t xml:space="preserve">לא פורסם, </w:t>
      </w:r>
      <w:r w:rsidR="001705A5">
        <w:rPr>
          <w:rFonts w:hint="cs"/>
          <w:rtl/>
        </w:rPr>
        <w:t>13.3.2022);</w:t>
      </w:r>
      <w:r w:rsidR="00162592">
        <w:rPr>
          <w:rFonts w:hint="cs"/>
          <w:rtl/>
        </w:rPr>
        <w:t xml:space="preserve"> </w:t>
      </w:r>
      <w:r w:rsidR="00BB4E54">
        <w:rPr>
          <w:rFonts w:hint="cs"/>
          <w:rtl/>
        </w:rPr>
        <w:t xml:space="preserve">ע"פ 3169/21 </w:t>
      </w:r>
      <w:r w:rsidR="00BB4E54" w:rsidRPr="00D136F7">
        <w:rPr>
          <w:rFonts w:hint="cs"/>
          <w:b/>
          <w:bCs/>
          <w:rtl/>
        </w:rPr>
        <w:t xml:space="preserve">מדינת ישראל נ' אגבאריה </w:t>
      </w:r>
      <w:r w:rsidR="00BB4E54">
        <w:rPr>
          <w:rFonts w:hint="cs"/>
          <w:rtl/>
        </w:rPr>
        <w:t>בפסקה 6 (</w:t>
      </w:r>
      <w:r w:rsidR="005E62FC">
        <w:rPr>
          <w:rFonts w:hint="cs"/>
          <w:rtl/>
        </w:rPr>
        <w:t xml:space="preserve">לא פורסם, </w:t>
      </w:r>
      <w:r w:rsidR="00BB4E54">
        <w:rPr>
          <w:rFonts w:hint="cs"/>
          <w:rtl/>
        </w:rPr>
        <w:t xml:space="preserve">21.6.2021); </w:t>
      </w:r>
      <w:r w:rsidR="001705A5">
        <w:rPr>
          <w:rFonts w:hint="cs"/>
          <w:rtl/>
        </w:rPr>
        <w:t xml:space="preserve">ע"פ 1944/20 </w:t>
      </w:r>
      <w:r w:rsidR="001705A5" w:rsidRPr="00D136F7">
        <w:rPr>
          <w:rFonts w:hint="cs"/>
          <w:b/>
          <w:bCs/>
          <w:rtl/>
        </w:rPr>
        <w:t>מדינת ישראל נ' אמארה</w:t>
      </w:r>
      <w:r w:rsidR="001705A5">
        <w:rPr>
          <w:rFonts w:hint="cs"/>
          <w:rtl/>
        </w:rPr>
        <w:t>, פסקה 10 (</w:t>
      </w:r>
      <w:r w:rsidR="005E62FC">
        <w:rPr>
          <w:rFonts w:hint="cs"/>
          <w:rtl/>
        </w:rPr>
        <w:t xml:space="preserve">לא פורסם, </w:t>
      </w:r>
      <w:r w:rsidR="001705A5">
        <w:rPr>
          <w:rFonts w:hint="cs"/>
          <w:rtl/>
        </w:rPr>
        <w:t xml:space="preserve">2.9.2020); ע"פ 4406/19  </w:t>
      </w:r>
      <w:r w:rsidR="001705A5" w:rsidRPr="00D136F7">
        <w:rPr>
          <w:rFonts w:hint="cs"/>
          <w:b/>
          <w:bCs/>
          <w:rtl/>
        </w:rPr>
        <w:t xml:space="preserve">מדינת ישראל נ' סובח, </w:t>
      </w:r>
      <w:r w:rsidR="001705A5">
        <w:rPr>
          <w:rFonts w:hint="cs"/>
          <w:rtl/>
        </w:rPr>
        <w:t>פסקה 16 (</w:t>
      </w:r>
      <w:r w:rsidR="005E62FC">
        <w:rPr>
          <w:rFonts w:hint="cs"/>
          <w:rtl/>
        </w:rPr>
        <w:t xml:space="preserve">לא פורסם, </w:t>
      </w:r>
      <w:r w:rsidR="001705A5">
        <w:rPr>
          <w:rFonts w:hint="cs"/>
          <w:rtl/>
        </w:rPr>
        <w:t xml:space="preserve">5.11.2019)). </w:t>
      </w:r>
      <w:r w:rsidR="00D136F7">
        <w:rPr>
          <w:rFonts w:hint="cs"/>
          <w:rtl/>
        </w:rPr>
        <w:t>כפועל יוצא</w:t>
      </w:r>
      <w:r w:rsidR="00E66A88">
        <w:rPr>
          <w:rFonts w:hint="cs"/>
          <w:rtl/>
        </w:rPr>
        <w:t xml:space="preserve">, נפסק כי </w:t>
      </w:r>
      <w:r w:rsidR="00D136F7">
        <w:rPr>
          <w:rFonts w:hint="cs"/>
          <w:rtl/>
        </w:rPr>
        <w:t xml:space="preserve">יש </w:t>
      </w:r>
      <w:r w:rsidR="00F43E8A">
        <w:rPr>
          <w:rFonts w:hint="cs"/>
          <w:rtl/>
        </w:rPr>
        <w:t xml:space="preserve">להחמיר </w:t>
      </w:r>
      <w:r w:rsidR="00D136F7">
        <w:rPr>
          <w:rFonts w:hint="cs"/>
          <w:rtl/>
        </w:rPr>
        <w:t xml:space="preserve">גם </w:t>
      </w:r>
      <w:r w:rsidR="00F43E8A">
        <w:rPr>
          <w:rFonts w:hint="cs"/>
          <w:rtl/>
        </w:rPr>
        <w:t>את מתחמי הע</w:t>
      </w:r>
      <w:r w:rsidR="00B22AD6">
        <w:rPr>
          <w:rFonts w:hint="cs"/>
          <w:rtl/>
        </w:rPr>
        <w:t xml:space="preserve">ונש ההולם </w:t>
      </w:r>
      <w:r w:rsidR="00F43E8A">
        <w:rPr>
          <w:rFonts w:hint="cs"/>
          <w:rtl/>
        </w:rPr>
        <w:lastRenderedPageBreak/>
        <w:t xml:space="preserve">בעבירות אלה (ע"פ 8320/21 </w:t>
      </w:r>
      <w:r w:rsidR="00F43E8A" w:rsidRPr="00D136F7">
        <w:rPr>
          <w:rFonts w:hint="cs"/>
          <w:b/>
          <w:bCs/>
          <w:rtl/>
        </w:rPr>
        <w:t xml:space="preserve">מדינת ישראל נ' מוחמד בסילה, </w:t>
      </w:r>
      <w:r w:rsidR="00F43E8A">
        <w:rPr>
          <w:rFonts w:hint="cs"/>
          <w:rtl/>
        </w:rPr>
        <w:t>פסקה 9</w:t>
      </w:r>
      <w:r w:rsidR="00F43E8A" w:rsidRPr="00D136F7">
        <w:rPr>
          <w:rFonts w:hint="cs"/>
          <w:b/>
          <w:bCs/>
          <w:rtl/>
        </w:rPr>
        <w:t xml:space="preserve"> </w:t>
      </w:r>
      <w:r w:rsidR="00F43E8A">
        <w:rPr>
          <w:rFonts w:hint="cs"/>
          <w:rtl/>
        </w:rPr>
        <w:t>(</w:t>
      </w:r>
      <w:r w:rsidR="005E62FC">
        <w:rPr>
          <w:rFonts w:hint="cs"/>
          <w:rtl/>
        </w:rPr>
        <w:t xml:space="preserve">לא פורסם, </w:t>
      </w:r>
      <w:r w:rsidR="00F43E8A">
        <w:rPr>
          <w:rFonts w:hint="cs"/>
          <w:rtl/>
        </w:rPr>
        <w:t>28.12.2021</w:t>
      </w:r>
      <w:r w:rsidR="00F43E8A" w:rsidRPr="00396DC5">
        <w:rPr>
          <w:rFonts w:hint="cs"/>
          <w:rtl/>
        </w:rPr>
        <w:t>)).</w:t>
      </w:r>
    </w:p>
    <w:p w14:paraId="062AE973" w14:textId="4FC8BD81" w:rsidR="00162592" w:rsidRPr="00844363" w:rsidRDefault="00970AA2" w:rsidP="005E62FC">
      <w:pPr>
        <w:numPr>
          <w:ilvl w:val="0"/>
          <w:numId w:val="3"/>
        </w:numPr>
        <w:tabs>
          <w:tab w:val="left" w:pos="226"/>
        </w:tabs>
        <w:ind w:left="-58" w:firstLine="0"/>
        <w:rPr>
          <w:rFonts w:cs="Times New Roman"/>
          <w:color w:val="000000"/>
        </w:rPr>
      </w:pPr>
      <w:r>
        <w:rPr>
          <w:rFonts w:hint="cs"/>
          <w:rtl/>
        </w:rPr>
        <w:t xml:space="preserve">לאור </w:t>
      </w:r>
      <w:r w:rsidR="0013493E">
        <w:rPr>
          <w:rFonts w:hint="cs"/>
          <w:rtl/>
        </w:rPr>
        <w:t xml:space="preserve">פגיעתן הקשה של עבירות </w:t>
      </w:r>
      <w:r>
        <w:rPr>
          <w:rFonts w:hint="cs"/>
          <w:rtl/>
        </w:rPr>
        <w:t>הנשק</w:t>
      </w:r>
      <w:r w:rsidR="0013493E">
        <w:rPr>
          <w:rFonts w:hint="cs"/>
          <w:rtl/>
        </w:rPr>
        <w:t xml:space="preserve">, אף החליט המחוקק לאחרונה, במסגרת תיקון 140 לחוק העונשין, להחמיר ולעגן בהוראת שעה עונש מזערי למבצעי עבירות בנשק, כך שעונשם לא יפחת מרבע העונש המירבי שנקבע לאותה עבירה. תיקון זה אמנם לא חל במישרין על ענייננו, אולם </w:t>
      </w:r>
      <w:r w:rsidR="00836458">
        <w:rPr>
          <w:rFonts w:hint="cs"/>
          <w:rtl/>
        </w:rPr>
        <w:t xml:space="preserve">בעצם </w:t>
      </w:r>
      <w:r w:rsidR="00B22AD6">
        <w:rPr>
          <w:rFonts w:hint="cs"/>
          <w:rtl/>
        </w:rPr>
        <w:t xml:space="preserve">חקיקתו </w:t>
      </w:r>
      <w:r w:rsidR="00836458">
        <w:rPr>
          <w:rFonts w:hint="cs"/>
          <w:rtl/>
        </w:rPr>
        <w:t xml:space="preserve">יש כדי </w:t>
      </w:r>
      <w:r w:rsidR="0013493E">
        <w:rPr>
          <w:rFonts w:hint="cs"/>
          <w:rtl/>
        </w:rPr>
        <w:t>להצביע על הצורך בהחמרת מדיניות הענישה בעבירות אלה (</w:t>
      </w:r>
      <w:r w:rsidR="003C6B36">
        <w:rPr>
          <w:rFonts w:hint="cs"/>
          <w:rtl/>
        </w:rPr>
        <w:t xml:space="preserve">ראו </w:t>
      </w:r>
      <w:r w:rsidR="0013493E">
        <w:rPr>
          <w:rFonts w:hint="cs"/>
          <w:rtl/>
        </w:rPr>
        <w:t xml:space="preserve">עניין </w:t>
      </w:r>
      <w:r w:rsidR="0013493E">
        <w:rPr>
          <w:rFonts w:hint="cs"/>
          <w:b/>
          <w:bCs/>
          <w:rtl/>
        </w:rPr>
        <w:t xml:space="preserve">קואסמה </w:t>
      </w:r>
      <w:r w:rsidR="0013493E">
        <w:rPr>
          <w:rFonts w:hint="cs"/>
          <w:rtl/>
        </w:rPr>
        <w:t xml:space="preserve">שאוזכר לעיל, בפסקה 11; </w:t>
      </w:r>
      <w:r w:rsidR="00503284">
        <w:rPr>
          <w:rFonts w:hint="cs"/>
          <w:rtl/>
        </w:rPr>
        <w:t xml:space="preserve">ע"פ 4456/21 </w:t>
      </w:r>
      <w:r w:rsidR="00503284">
        <w:rPr>
          <w:rFonts w:hint="cs"/>
          <w:b/>
          <w:bCs/>
          <w:rtl/>
        </w:rPr>
        <w:t xml:space="preserve">מדינת ישראל נ' מוחמד אבו עבסה, </w:t>
      </w:r>
      <w:r w:rsidR="00503284">
        <w:rPr>
          <w:rFonts w:hint="cs"/>
          <w:rtl/>
        </w:rPr>
        <w:t>פסקה 15 (</w:t>
      </w:r>
      <w:r w:rsidR="005E62FC">
        <w:rPr>
          <w:rFonts w:hint="cs"/>
          <w:rtl/>
        </w:rPr>
        <w:t xml:space="preserve">לא פורסם, </w:t>
      </w:r>
      <w:r w:rsidR="00503284">
        <w:rPr>
          <w:rFonts w:hint="cs"/>
          <w:rtl/>
        </w:rPr>
        <w:t>23.1.2022)</w:t>
      </w:r>
      <w:r w:rsidR="00162592">
        <w:rPr>
          <w:rFonts w:hint="cs"/>
          <w:rtl/>
        </w:rPr>
        <w:t>;</w:t>
      </w:r>
      <w:r w:rsidR="00162592" w:rsidRPr="00162592">
        <w:rPr>
          <w:rFonts w:hint="cs"/>
          <w:rtl/>
        </w:rPr>
        <w:t xml:space="preserve"> </w:t>
      </w:r>
      <w:r w:rsidR="00162592">
        <w:rPr>
          <w:rFonts w:hint="cs"/>
          <w:rtl/>
        </w:rPr>
        <w:t xml:space="preserve">ע"פ 2251/21 </w:t>
      </w:r>
      <w:r w:rsidR="00162592">
        <w:rPr>
          <w:rFonts w:hint="cs"/>
          <w:b/>
          <w:bCs/>
          <w:rtl/>
        </w:rPr>
        <w:t xml:space="preserve">אבו עראר נ' מדינת ישראל </w:t>
      </w:r>
      <w:r w:rsidR="00162592">
        <w:rPr>
          <w:rFonts w:hint="cs"/>
          <w:rtl/>
        </w:rPr>
        <w:t>בפסקה 25 (</w:t>
      </w:r>
      <w:r w:rsidR="005E62FC">
        <w:rPr>
          <w:rFonts w:hint="cs"/>
          <w:rtl/>
        </w:rPr>
        <w:t xml:space="preserve">לא פורסם, </w:t>
      </w:r>
      <w:r w:rsidR="00162592">
        <w:rPr>
          <w:rFonts w:hint="cs"/>
          <w:rtl/>
        </w:rPr>
        <w:t>15.12.2021)</w:t>
      </w:r>
      <w:r w:rsidR="00503284">
        <w:rPr>
          <w:rFonts w:hint="cs"/>
          <w:rtl/>
        </w:rPr>
        <w:t>)</w:t>
      </w:r>
      <w:r w:rsidR="00162592">
        <w:rPr>
          <w:rFonts w:hint="cs"/>
          <w:rtl/>
        </w:rPr>
        <w:t>. כך נקבע</w:t>
      </w:r>
      <w:r w:rsidR="003C6B36">
        <w:rPr>
          <w:rFonts w:hint="cs"/>
          <w:rtl/>
        </w:rPr>
        <w:t xml:space="preserve">, אך </w:t>
      </w:r>
      <w:r w:rsidR="00162592">
        <w:rPr>
          <w:rFonts w:hint="cs"/>
          <w:rtl/>
        </w:rPr>
        <w:t>לאחרונה</w:t>
      </w:r>
      <w:r w:rsidR="003C6B36">
        <w:rPr>
          <w:rFonts w:hint="cs"/>
          <w:rtl/>
        </w:rPr>
        <w:t>,</w:t>
      </w:r>
      <w:r w:rsidR="00162592">
        <w:rPr>
          <w:rFonts w:hint="cs"/>
          <w:rtl/>
        </w:rPr>
        <w:t xml:space="preserve"> כי</w:t>
      </w:r>
      <w:r w:rsidR="00836458">
        <w:rPr>
          <w:rFonts w:hint="cs"/>
          <w:rtl/>
        </w:rPr>
        <w:t xml:space="preserve">: </w:t>
      </w:r>
      <w:r w:rsidR="00162592">
        <w:rPr>
          <w:rFonts w:hint="cs"/>
          <w:rtl/>
        </w:rPr>
        <w:t xml:space="preserve"> </w:t>
      </w:r>
    </w:p>
    <w:p w14:paraId="374A8E0A" w14:textId="1EB5123B" w:rsidR="00162592" w:rsidRPr="00836458" w:rsidRDefault="00836458" w:rsidP="00844363">
      <w:pPr>
        <w:spacing w:line="240" w:lineRule="auto"/>
        <w:ind w:left="652" w:right="709" w:hanging="142"/>
        <w:rPr>
          <w:rtl/>
        </w:rPr>
      </w:pPr>
      <w:r>
        <w:rPr>
          <w:rFonts w:hint="cs"/>
          <w:rtl/>
        </w:rPr>
        <w:t xml:space="preserve">  "</w:t>
      </w:r>
      <w:r w:rsidR="00162592" w:rsidRPr="00836458">
        <w:rPr>
          <w:rFonts w:hint="cs"/>
          <w:rtl/>
        </w:rPr>
        <w:t>לעיתים נכון להחמיר בענישה בגין סוגים מסוימים של עבירות בשל אופיין, ויש שנכון להחמיר בענישה בגין ביצוע עבירות מסוימות הואיל ובתקופה הרלוונטית הן</w:t>
      </w:r>
      <w:r>
        <w:rPr>
          <w:rFonts w:hint="cs"/>
          <w:rtl/>
        </w:rPr>
        <w:t xml:space="preserve"> </w:t>
      </w:r>
      <w:r w:rsidR="00162592" w:rsidRPr="00836458">
        <w:rPr>
          <w:rFonts w:hint="cs"/>
          <w:rtl/>
        </w:rPr>
        <w:t>הופכות לנפוצות ושגרתיות יותר, עד כי יש לסווגן כ</w:t>
      </w:r>
      <w:r w:rsidR="003C6B36">
        <w:rPr>
          <w:rFonts w:hint="cs"/>
          <w:rtl/>
        </w:rPr>
        <w:t>'</w:t>
      </w:r>
      <w:r w:rsidR="00162592" w:rsidRPr="00836458">
        <w:rPr>
          <w:rFonts w:hint="cs"/>
          <w:rtl/>
        </w:rPr>
        <w:t>מכת מדינה</w:t>
      </w:r>
      <w:r w:rsidR="003C6B36">
        <w:rPr>
          <w:rFonts w:hint="cs"/>
          <w:rtl/>
        </w:rPr>
        <w:t>'</w:t>
      </w:r>
      <w:r w:rsidR="003C6B36" w:rsidRPr="00836458">
        <w:rPr>
          <w:rFonts w:hint="cs"/>
          <w:rtl/>
        </w:rPr>
        <w:t xml:space="preserve">. </w:t>
      </w:r>
      <w:r w:rsidR="00162592" w:rsidRPr="00836458">
        <w:rPr>
          <w:rFonts w:hint="cs"/>
          <w:rtl/>
        </w:rPr>
        <w:t xml:space="preserve">בענייננו, עבירות הנשק דורשות החמרה בשל שני הנימוקים גם יחד. ממד החומרה שבהן נעוץ בזיקתן לכלי בעל כוח קטלני. ובראי התקופה </w:t>
      </w:r>
      <w:r w:rsidR="00D136F7">
        <w:rPr>
          <w:rFonts w:hint="cs"/>
          <w:rtl/>
        </w:rPr>
        <w:t>-</w:t>
      </w:r>
      <w:r w:rsidR="00162592" w:rsidRPr="00836458">
        <w:rPr>
          <w:rFonts w:hint="cs"/>
          <w:rtl/>
        </w:rPr>
        <w:t xml:space="preserve"> הפגיעה באינטרס הציבורי ובבטחון ה</w:t>
      </w:r>
      <w:bookmarkStart w:id="2" w:name="Seif4"/>
      <w:r w:rsidR="00162592" w:rsidRPr="00836458">
        <w:rPr>
          <w:rFonts w:hint="cs"/>
          <w:rtl/>
        </w:rPr>
        <w:t>פרט דורשת</w:t>
      </w:r>
      <w:bookmarkEnd w:id="2"/>
      <w:r w:rsidR="00AA66CF">
        <w:rPr>
          <w:rFonts w:hint="cs"/>
          <w:rtl/>
        </w:rPr>
        <w:t xml:space="preserve"> </w:t>
      </w:r>
      <w:r w:rsidR="00162592" w:rsidRPr="00836458">
        <w:rPr>
          <w:rFonts w:hint="cs"/>
          <w:rtl/>
        </w:rPr>
        <w:t>ענישה מחמירה, מעבר לזו שהייתה נקוטה בעבר. בפסיקה הובהר שוב ושוב בשנים האחרונות כי הענישה בעבירות נשק צריכה להיות מחמירה. לצערנו מספרן והיקפן של עבירות אלה גדלים בשנים האחרונות. פגיעתו הרעה של הנשק אינה תחומה לסביבה העבריינית. לא פעם נפגעי העבירה נקלעים למקום במקרה, ואינם קשורים למעגל עברייני כלשהו. כל חטאו של נפגע עבירה, לפעמים, הוא בכך שיצא מביתו ובחר להסתובב ברשות הרבים.</w:t>
      </w:r>
    </w:p>
    <w:p w14:paraId="4237D503" w14:textId="16E33112" w:rsidR="00836458" w:rsidRDefault="00836458" w:rsidP="00844363">
      <w:pPr>
        <w:spacing w:line="240" w:lineRule="auto"/>
        <w:ind w:left="652" w:right="709" w:hanging="142"/>
        <w:rPr>
          <w:rtl/>
        </w:rPr>
      </w:pPr>
      <w:r>
        <w:rPr>
          <w:rFonts w:hint="cs"/>
          <w:rtl/>
        </w:rPr>
        <w:t xml:space="preserve"> </w:t>
      </w:r>
      <w:r w:rsidR="00AA66CF">
        <w:rPr>
          <w:rFonts w:hint="cs"/>
          <w:rtl/>
        </w:rPr>
        <w:t xml:space="preserve"> </w:t>
      </w:r>
      <w:r w:rsidR="00162592" w:rsidRPr="00836458">
        <w:rPr>
          <w:rFonts w:hint="cs"/>
          <w:rtl/>
        </w:rPr>
        <w:t xml:space="preserve">הפגיעה אף אינה תחומה רק לנזק הפיזי שנגרם כתוצאה מהשימוש בנשק בלבד. השימוש בנשק עלול ליצור תחושת חשש, ופחד מפני ביצוע פעולה אלמנטרית שעומדת בליבת חופש התנועה. בכך נוצרת "הרתעה" של הנפגע הפוטנציאלי. זהו רובד אחד. רובד נוסף הוא התעצמות הפעילות העבריינית, פועלה ושאיפתה לשלוט בתחומים רחבים ושונים. התופעות של עסקאות בנשק, הובלתו ונשיאתו, מאיימות לא רק על שלמות הגוף של הציבור, אלא גם על שלום הציבור ועל הסדר הציבורי. אקדח שיורה </w:t>
      </w:r>
      <w:r w:rsidR="003C6B36">
        <w:rPr>
          <w:rFonts w:hint="cs"/>
          <w:rtl/>
        </w:rPr>
        <w:t>'</w:t>
      </w:r>
      <w:r w:rsidR="00162592" w:rsidRPr="00836458">
        <w:rPr>
          <w:rFonts w:hint="cs"/>
          <w:rtl/>
        </w:rPr>
        <w:t>במערכה השלישית</w:t>
      </w:r>
      <w:r w:rsidR="003C6B36">
        <w:rPr>
          <w:rFonts w:hint="cs"/>
          <w:rtl/>
        </w:rPr>
        <w:t>'</w:t>
      </w:r>
      <w:r w:rsidR="00162592" w:rsidRPr="00836458">
        <w:rPr>
          <w:rFonts w:hint="cs"/>
          <w:rtl/>
        </w:rPr>
        <w:t xml:space="preserve"> גורם כמובן לנזק רב, אך גם אקדח שמונח על השולחן </w:t>
      </w:r>
      <w:r w:rsidR="003C6B36">
        <w:rPr>
          <w:rFonts w:hint="cs"/>
          <w:rtl/>
        </w:rPr>
        <w:t>'</w:t>
      </w:r>
      <w:r w:rsidR="00162592" w:rsidRPr="00836458">
        <w:rPr>
          <w:rFonts w:hint="cs"/>
          <w:rtl/>
        </w:rPr>
        <w:t>במערכה הראשונה</w:t>
      </w:r>
      <w:r w:rsidR="003C6B36">
        <w:rPr>
          <w:rFonts w:hint="cs"/>
          <w:rtl/>
        </w:rPr>
        <w:t>'</w:t>
      </w:r>
      <w:r w:rsidR="00162592" w:rsidRPr="00836458">
        <w:rPr>
          <w:rFonts w:hint="cs"/>
          <w:rtl/>
        </w:rPr>
        <w:t xml:space="preserve"> </w:t>
      </w:r>
      <w:r w:rsidR="00D136F7">
        <w:rPr>
          <w:rFonts w:hint="cs"/>
          <w:rtl/>
        </w:rPr>
        <w:t>-</w:t>
      </w:r>
      <w:r w:rsidR="00162592" w:rsidRPr="00836458">
        <w:rPr>
          <w:rFonts w:hint="cs"/>
          <w:rtl/>
        </w:rPr>
        <w:t xml:space="preserve"> אף אם לא נעשה בו כל שימוש אחר בהמשך </w:t>
      </w:r>
      <w:r w:rsidR="00D136F7">
        <w:rPr>
          <w:rFonts w:hint="cs"/>
          <w:rtl/>
        </w:rPr>
        <w:t>-</w:t>
      </w:r>
      <w:r w:rsidR="00162592" w:rsidRPr="00836458">
        <w:rPr>
          <w:rFonts w:hint="cs"/>
          <w:rtl/>
        </w:rPr>
        <w:t xml:space="preserve"> עלול לפגוע בשלום הציבור באופן ממשי. יש לקשור אפוא מלחמת חורמה על עבירות הנשק למיניהן, וגם על בית המשפט לתרום את חלקו למלחמה זו באמצעות ענישה הולמת ומרתיעה. לא פעם נקבע כי יש להחמיר בענישה בגין עבירות נשק, ולהעניק משקל מרכזי לשיקול של הרתעת ה</w:t>
      </w:r>
      <w:bookmarkStart w:id="3" w:name="Seif6"/>
      <w:r w:rsidR="00162592" w:rsidRPr="00836458">
        <w:rPr>
          <w:rFonts w:hint="cs"/>
          <w:rtl/>
        </w:rPr>
        <w:t>כלל</w:t>
      </w:r>
      <w:r>
        <w:rPr>
          <w:rFonts w:hint="cs"/>
          <w:rtl/>
        </w:rPr>
        <w:t>"</w:t>
      </w:r>
      <w:r w:rsidR="003C6B36">
        <w:rPr>
          <w:rFonts w:hint="cs"/>
          <w:rtl/>
        </w:rPr>
        <w:t>.</w:t>
      </w:r>
    </w:p>
    <w:p w14:paraId="72F3B844" w14:textId="620FE579" w:rsidR="00162592" w:rsidRPr="00AA66CF" w:rsidRDefault="00836458" w:rsidP="005E62FC">
      <w:pPr>
        <w:spacing w:line="348" w:lineRule="auto"/>
        <w:ind w:left="624" w:right="993"/>
        <w:rPr>
          <w:b/>
          <w:bCs/>
          <w:rtl/>
        </w:rPr>
      </w:pPr>
      <w:r>
        <w:rPr>
          <w:rFonts w:hint="cs"/>
          <w:rtl/>
        </w:rPr>
        <w:t>(</w:t>
      </w:r>
      <w:bookmarkEnd w:id="3"/>
      <w:r>
        <w:rPr>
          <w:rFonts w:hint="cs"/>
          <w:rtl/>
        </w:rPr>
        <w:t xml:space="preserve">ע"פ 6383/21 </w:t>
      </w:r>
      <w:r w:rsidRPr="00162592">
        <w:rPr>
          <w:rFonts w:hint="cs"/>
          <w:b/>
          <w:bCs/>
          <w:rtl/>
        </w:rPr>
        <w:t>קריף נ' מדינת ישראל</w:t>
      </w:r>
      <w:r w:rsidRPr="00AA66CF">
        <w:rPr>
          <w:rFonts w:hint="cs"/>
          <w:rtl/>
        </w:rPr>
        <w:t>,</w:t>
      </w:r>
      <w:r w:rsidR="00AA66CF">
        <w:rPr>
          <w:rFonts w:hint="cs"/>
          <w:rtl/>
        </w:rPr>
        <w:t xml:space="preserve"> </w:t>
      </w:r>
      <w:r w:rsidRPr="00AA66CF">
        <w:rPr>
          <w:rFonts w:hint="cs"/>
          <w:rtl/>
        </w:rPr>
        <w:t>פסקה 3 (</w:t>
      </w:r>
      <w:r w:rsidR="005E62FC" w:rsidRPr="00AA66CF">
        <w:rPr>
          <w:rFonts w:hint="cs"/>
          <w:rtl/>
        </w:rPr>
        <w:t xml:space="preserve">לא פורסם,  </w:t>
      </w:r>
      <w:r w:rsidRPr="00AA66CF">
        <w:rPr>
          <w:rFonts w:hint="cs"/>
          <w:rtl/>
        </w:rPr>
        <w:t>13.2.202</w:t>
      </w:r>
      <w:r w:rsidR="005E62FC" w:rsidRPr="00AA66CF">
        <w:rPr>
          <w:rFonts w:hint="cs"/>
          <w:rtl/>
        </w:rPr>
        <w:t>2</w:t>
      </w:r>
      <w:r w:rsidRPr="00AA66CF">
        <w:rPr>
          <w:rFonts w:hint="cs"/>
          <w:rtl/>
        </w:rPr>
        <w:t>)</w:t>
      </w:r>
      <w:r w:rsidR="003C6B36" w:rsidRPr="00AA66CF">
        <w:rPr>
          <w:rFonts w:hint="cs"/>
          <w:rtl/>
        </w:rPr>
        <w:t>).</w:t>
      </w:r>
      <w:r w:rsidRPr="00AA66CF">
        <w:rPr>
          <w:rFonts w:hint="cs"/>
          <w:b/>
          <w:bCs/>
          <w:rtl/>
        </w:rPr>
        <w:t xml:space="preserve"> </w:t>
      </w:r>
    </w:p>
    <w:p w14:paraId="0AF1034A" w14:textId="77777777" w:rsidR="00836458" w:rsidRPr="00D130A8" w:rsidRDefault="00836458" w:rsidP="00844363">
      <w:pPr>
        <w:spacing w:line="348" w:lineRule="auto"/>
        <w:ind w:left="1076" w:right="993" w:hanging="141"/>
        <w:rPr>
          <w:sz w:val="16"/>
          <w:szCs w:val="16"/>
          <w:rtl/>
        </w:rPr>
      </w:pPr>
    </w:p>
    <w:p w14:paraId="5B17E7A7" w14:textId="0B87C76B" w:rsidR="001759F5" w:rsidRPr="001759F5" w:rsidRDefault="00836458" w:rsidP="005E62FC">
      <w:pPr>
        <w:numPr>
          <w:ilvl w:val="0"/>
          <w:numId w:val="3"/>
        </w:numPr>
        <w:tabs>
          <w:tab w:val="left" w:pos="226"/>
        </w:tabs>
        <w:ind w:left="-58" w:firstLine="0"/>
        <w:rPr>
          <w:rFonts w:cs="Times New Roman"/>
          <w:color w:val="000000"/>
        </w:rPr>
      </w:pPr>
      <w:r>
        <w:rPr>
          <w:rFonts w:hint="cs"/>
          <w:rtl/>
        </w:rPr>
        <w:t>אמנם</w:t>
      </w:r>
      <w:r w:rsidR="00B22AD6">
        <w:rPr>
          <w:rFonts w:hint="cs"/>
          <w:rtl/>
        </w:rPr>
        <w:t>,</w:t>
      </w:r>
      <w:r>
        <w:rPr>
          <w:rFonts w:hint="cs"/>
          <w:rtl/>
        </w:rPr>
        <w:t xml:space="preserve"> </w:t>
      </w:r>
      <w:r w:rsidR="001759F5">
        <w:rPr>
          <w:rFonts w:hint="cs"/>
          <w:rtl/>
        </w:rPr>
        <w:t>מתחם הע</w:t>
      </w:r>
      <w:r w:rsidR="00B22AD6">
        <w:rPr>
          <w:rFonts w:hint="cs"/>
          <w:rtl/>
        </w:rPr>
        <w:t xml:space="preserve">ונש </w:t>
      </w:r>
      <w:r w:rsidR="001759F5">
        <w:rPr>
          <w:rFonts w:hint="cs"/>
          <w:rtl/>
        </w:rPr>
        <w:t>בגין עבירות הנשק נקבע גם בהתאם לסוג הנשק שבו מדובר</w:t>
      </w:r>
      <w:r w:rsidR="00D136F7">
        <w:rPr>
          <w:rFonts w:hint="cs"/>
          <w:rtl/>
        </w:rPr>
        <w:t>;</w:t>
      </w:r>
      <w:r w:rsidR="001759F5">
        <w:rPr>
          <w:rFonts w:hint="cs"/>
          <w:rtl/>
        </w:rPr>
        <w:t xml:space="preserve"> והסכנה הטמונה ברימון הלם אינה משתווה לזו של כלי נשק אחרים דוגמת רימון רסס</w:t>
      </w:r>
      <w:r w:rsidR="00B22AD6">
        <w:rPr>
          <w:rFonts w:hint="cs"/>
          <w:rtl/>
        </w:rPr>
        <w:t xml:space="preserve"> - ועדיין, </w:t>
      </w:r>
      <w:r w:rsidR="001759F5">
        <w:rPr>
          <w:rFonts w:hint="cs"/>
          <w:rtl/>
        </w:rPr>
        <w:t xml:space="preserve">מדובר בנשק שבכוחו לגרום פציעה לאדם, בכפוף לקרבתו ולמוקד הפעלתו </w:t>
      </w:r>
      <w:r w:rsidR="001759F5">
        <w:rPr>
          <w:rFonts w:hint="cs"/>
          <w:rtl/>
        </w:rPr>
        <w:lastRenderedPageBreak/>
        <w:t xml:space="preserve">(ע"פ 1323/13 </w:t>
      </w:r>
      <w:r w:rsidR="001759F5" w:rsidRPr="001759F5">
        <w:rPr>
          <w:rFonts w:hint="cs"/>
          <w:b/>
          <w:bCs/>
          <w:rtl/>
        </w:rPr>
        <w:t>חסן נ' מדינת ישראל</w:t>
      </w:r>
      <w:r w:rsidR="001759F5">
        <w:rPr>
          <w:rFonts w:hint="cs"/>
          <w:rtl/>
        </w:rPr>
        <w:t>, פסקה 10 (</w:t>
      </w:r>
      <w:r w:rsidR="005E62FC">
        <w:rPr>
          <w:rFonts w:hint="cs"/>
          <w:rtl/>
        </w:rPr>
        <w:t xml:space="preserve">לא פורסם, </w:t>
      </w:r>
      <w:r w:rsidR="001759F5">
        <w:rPr>
          <w:rFonts w:hint="cs"/>
          <w:rtl/>
        </w:rPr>
        <w:t>5.6.2013)). רימוני</w:t>
      </w:r>
      <w:r w:rsidR="00D136F7">
        <w:rPr>
          <w:rFonts w:hint="cs"/>
          <w:rtl/>
        </w:rPr>
        <w:t xml:space="preserve"> הלם</w:t>
      </w:r>
      <w:r w:rsidR="001759F5">
        <w:rPr>
          <w:rFonts w:hint="cs"/>
          <w:rtl/>
        </w:rPr>
        <w:t xml:space="preserve"> </w:t>
      </w:r>
      <w:r w:rsidR="00B22AD6">
        <w:rPr>
          <w:rFonts w:hint="cs"/>
          <w:rtl/>
        </w:rPr>
        <w:t xml:space="preserve">עלולים גם </w:t>
      </w:r>
      <w:r w:rsidR="001759F5">
        <w:rPr>
          <w:rFonts w:hint="cs"/>
          <w:rtl/>
        </w:rPr>
        <w:t xml:space="preserve">לגרום </w:t>
      </w:r>
      <w:r w:rsidR="003136B4">
        <w:rPr>
          <w:rFonts w:hint="cs"/>
          <w:rtl/>
        </w:rPr>
        <w:t xml:space="preserve">בהלה </w:t>
      </w:r>
      <w:r w:rsidR="001759F5">
        <w:rPr>
          <w:rFonts w:hint="cs"/>
          <w:rtl/>
        </w:rPr>
        <w:t xml:space="preserve">לאדם על מנת להניסו ממקום הימצאו או לשנות את האופן </w:t>
      </w:r>
      <w:r w:rsidR="00B22AD6">
        <w:rPr>
          <w:rFonts w:hint="cs"/>
          <w:rtl/>
        </w:rPr>
        <w:t>ש</w:t>
      </w:r>
      <w:r w:rsidR="001759F5">
        <w:rPr>
          <w:rFonts w:hint="cs"/>
          <w:rtl/>
        </w:rPr>
        <w:t>בו הוא מגיב ומתנהג; והשלכתם ל</w:t>
      </w:r>
      <w:r w:rsidR="00B22AD6">
        <w:rPr>
          <w:rFonts w:hint="cs"/>
          <w:rtl/>
        </w:rPr>
        <w:t>עבר קהל ב</w:t>
      </w:r>
      <w:r w:rsidR="001759F5">
        <w:rPr>
          <w:rFonts w:hint="cs"/>
          <w:rtl/>
        </w:rPr>
        <w:t>מקום ציבורי היא בעלת פוטנציאל משמעותי לפגיעה בסדר</w:t>
      </w:r>
      <w:r w:rsidR="00B22AD6">
        <w:rPr>
          <w:rFonts w:hint="cs"/>
          <w:rtl/>
        </w:rPr>
        <w:t xml:space="preserve"> הציבורי </w:t>
      </w:r>
      <w:r w:rsidR="001759F5">
        <w:rPr>
          <w:rFonts w:hint="cs"/>
          <w:rtl/>
        </w:rPr>
        <w:t xml:space="preserve">(ע"פ 7124/06 </w:t>
      </w:r>
      <w:r w:rsidR="001759F5" w:rsidRPr="001759F5">
        <w:rPr>
          <w:rFonts w:hint="cs"/>
          <w:b/>
          <w:bCs/>
          <w:rtl/>
        </w:rPr>
        <w:t xml:space="preserve">דרורי נ' מדינת ישראל </w:t>
      </w:r>
      <w:r w:rsidR="001759F5">
        <w:rPr>
          <w:rFonts w:hint="cs"/>
          <w:rtl/>
        </w:rPr>
        <w:t>(</w:t>
      </w:r>
      <w:r w:rsidR="00347E99">
        <w:rPr>
          <w:rFonts w:hint="cs"/>
          <w:rtl/>
        </w:rPr>
        <w:t xml:space="preserve">לא פורסם, </w:t>
      </w:r>
      <w:r w:rsidR="001759F5">
        <w:rPr>
          <w:rFonts w:hint="cs"/>
          <w:rtl/>
        </w:rPr>
        <w:t>9.5.2007))</w:t>
      </w:r>
      <w:r w:rsidR="00D136F7">
        <w:rPr>
          <w:rFonts w:hint="cs"/>
          <w:rtl/>
        </w:rPr>
        <w:t>.</w:t>
      </w:r>
      <w:r w:rsidR="001759F5">
        <w:rPr>
          <w:rFonts w:hint="cs"/>
          <w:rtl/>
        </w:rPr>
        <w:t xml:space="preserve">   </w:t>
      </w:r>
    </w:p>
    <w:p w14:paraId="3F1ECD3B" w14:textId="77777777" w:rsidR="00615480" w:rsidRPr="00DF7EB1" w:rsidRDefault="00503284" w:rsidP="005E62FC">
      <w:pPr>
        <w:numPr>
          <w:ilvl w:val="0"/>
          <w:numId w:val="3"/>
        </w:numPr>
        <w:tabs>
          <w:tab w:val="left" w:pos="226"/>
        </w:tabs>
        <w:ind w:left="-58" w:firstLine="0"/>
        <w:rPr>
          <w:rFonts w:cs="Times New Roman"/>
          <w:color w:val="000000"/>
        </w:rPr>
      </w:pPr>
      <w:r>
        <w:rPr>
          <w:rFonts w:hint="cs"/>
          <w:rtl/>
        </w:rPr>
        <w:t xml:space="preserve">נסיבות </w:t>
      </w:r>
      <w:r w:rsidR="00B22AD6">
        <w:rPr>
          <w:rFonts w:hint="cs"/>
          <w:rtl/>
        </w:rPr>
        <w:t xml:space="preserve">ביצוע </w:t>
      </w:r>
      <w:r>
        <w:rPr>
          <w:rFonts w:hint="cs"/>
          <w:rtl/>
        </w:rPr>
        <w:t>העבירה בענייננו מלמד</w:t>
      </w:r>
      <w:r w:rsidR="00836458">
        <w:rPr>
          <w:rFonts w:hint="cs"/>
          <w:rtl/>
        </w:rPr>
        <w:t>ות</w:t>
      </w:r>
      <w:r>
        <w:rPr>
          <w:rFonts w:hint="cs"/>
          <w:rtl/>
        </w:rPr>
        <w:t xml:space="preserve"> על </w:t>
      </w:r>
      <w:r w:rsidR="00836458">
        <w:rPr>
          <w:rFonts w:hint="cs"/>
          <w:rtl/>
        </w:rPr>
        <w:t xml:space="preserve">מספר </w:t>
      </w:r>
      <w:r>
        <w:rPr>
          <w:rFonts w:hint="cs"/>
          <w:rtl/>
        </w:rPr>
        <w:t>היבטי חומרה משמעותיים</w:t>
      </w:r>
      <w:r w:rsidR="00836458">
        <w:rPr>
          <w:rFonts w:hint="cs"/>
          <w:rtl/>
        </w:rPr>
        <w:t>:</w:t>
      </w:r>
      <w:r>
        <w:rPr>
          <w:rFonts w:hint="cs"/>
          <w:rtl/>
        </w:rPr>
        <w:t xml:space="preserve"> המערער הוא לוחם, </w:t>
      </w:r>
      <w:r w:rsidR="005C2297">
        <w:rPr>
          <w:rFonts w:hint="cs"/>
          <w:rtl/>
        </w:rPr>
        <w:t>שסיים קורס מ"כים ואף ה</w:t>
      </w:r>
      <w:r w:rsidR="00615480">
        <w:rPr>
          <w:rFonts w:hint="cs"/>
          <w:rtl/>
        </w:rPr>
        <w:t xml:space="preserve">יה </w:t>
      </w:r>
      <w:r w:rsidR="005D7CA3">
        <w:rPr>
          <w:rFonts w:hint="cs"/>
          <w:rtl/>
        </w:rPr>
        <w:t>צוער בקורס קצינים, עד אשר הודח ממנו</w:t>
      </w:r>
      <w:r w:rsidR="00836458">
        <w:rPr>
          <w:rFonts w:hint="cs"/>
          <w:rtl/>
        </w:rPr>
        <w:t>;</w:t>
      </w:r>
      <w:r w:rsidR="005D7CA3">
        <w:rPr>
          <w:rFonts w:hint="cs"/>
          <w:rtl/>
        </w:rPr>
        <w:t xml:space="preserve"> במעשיו</w:t>
      </w:r>
      <w:r>
        <w:rPr>
          <w:rFonts w:hint="cs"/>
          <w:rtl/>
        </w:rPr>
        <w:t xml:space="preserve"> פגע </w:t>
      </w:r>
      <w:r w:rsidR="00615480">
        <w:rPr>
          <w:rFonts w:hint="cs"/>
          <w:rtl/>
        </w:rPr>
        <w:t xml:space="preserve">המערער </w:t>
      </w:r>
      <w:r w:rsidR="005D7CA3">
        <w:rPr>
          <w:rFonts w:hint="cs"/>
          <w:rtl/>
        </w:rPr>
        <w:t>באופן משמעותי</w:t>
      </w:r>
      <w:r>
        <w:rPr>
          <w:rFonts w:hint="cs"/>
          <w:rtl/>
        </w:rPr>
        <w:t xml:space="preserve"> באמון </w:t>
      </w:r>
      <w:r w:rsidR="005C2297">
        <w:rPr>
          <w:rFonts w:hint="cs"/>
          <w:rtl/>
        </w:rPr>
        <w:t xml:space="preserve">שניתן בו על ידי </w:t>
      </w:r>
      <w:r>
        <w:rPr>
          <w:rFonts w:hint="cs"/>
          <w:rtl/>
        </w:rPr>
        <w:t xml:space="preserve">מפקדיו </w:t>
      </w:r>
      <w:r w:rsidR="005D7CA3">
        <w:rPr>
          <w:rFonts w:hint="cs"/>
          <w:rtl/>
        </w:rPr>
        <w:t>ו</w:t>
      </w:r>
      <w:r w:rsidR="00615480">
        <w:rPr>
          <w:rFonts w:hint="cs"/>
          <w:rtl/>
        </w:rPr>
        <w:t xml:space="preserve">על ידי </w:t>
      </w:r>
      <w:r w:rsidR="005D7CA3">
        <w:rPr>
          <w:rFonts w:hint="cs"/>
          <w:rtl/>
        </w:rPr>
        <w:t>המערכת הצבאית</w:t>
      </w:r>
      <w:r w:rsidR="00961B44">
        <w:rPr>
          <w:rFonts w:hint="cs"/>
          <w:rtl/>
        </w:rPr>
        <w:t>;</w:t>
      </w:r>
      <w:r w:rsidR="005D7CA3">
        <w:rPr>
          <w:rFonts w:hint="cs"/>
          <w:rtl/>
        </w:rPr>
        <w:t xml:space="preserve"> </w:t>
      </w:r>
      <w:r w:rsidR="005C2297">
        <w:rPr>
          <w:rFonts w:hint="cs"/>
          <w:rtl/>
        </w:rPr>
        <w:t>למעשה העבירה קדם תכנון, ו</w:t>
      </w:r>
      <w:r w:rsidR="005D7CA3">
        <w:rPr>
          <w:rFonts w:hint="cs"/>
          <w:rtl/>
        </w:rPr>
        <w:t>הרימונים ניטלו על יד</w:t>
      </w:r>
      <w:r w:rsidR="003C6B36">
        <w:rPr>
          <w:rFonts w:hint="cs"/>
          <w:rtl/>
        </w:rPr>
        <w:t>י</w:t>
      </w:r>
      <w:r w:rsidR="005D7CA3">
        <w:rPr>
          <w:rFonts w:hint="cs"/>
          <w:rtl/>
        </w:rPr>
        <w:t>ו מבסיסו, במטרה למכרם עבור בצע כסף</w:t>
      </w:r>
      <w:r w:rsidR="00961B44">
        <w:rPr>
          <w:rFonts w:hint="cs"/>
          <w:rtl/>
        </w:rPr>
        <w:t>;</w:t>
      </w:r>
      <w:r w:rsidR="005D7CA3">
        <w:rPr>
          <w:rFonts w:hint="cs"/>
          <w:rtl/>
        </w:rPr>
        <w:t xml:space="preserve"> </w:t>
      </w:r>
      <w:r w:rsidR="005C2297">
        <w:rPr>
          <w:rFonts w:hint="cs"/>
          <w:rtl/>
        </w:rPr>
        <w:t>לאחר שהחזיק</w:t>
      </w:r>
      <w:r w:rsidR="00961B44">
        <w:rPr>
          <w:rFonts w:hint="cs"/>
          <w:rtl/>
        </w:rPr>
        <w:t xml:space="preserve"> את הרימונים</w:t>
      </w:r>
      <w:r w:rsidR="005C2297">
        <w:rPr>
          <w:rFonts w:hint="cs"/>
          <w:rtl/>
        </w:rPr>
        <w:t xml:space="preserve"> מספר ימים, הטמין אותם המערער ברכבו, </w:t>
      </w:r>
      <w:r w:rsidR="005D7CA3">
        <w:rPr>
          <w:rFonts w:hint="cs"/>
          <w:rtl/>
        </w:rPr>
        <w:t>ו</w:t>
      </w:r>
      <w:r w:rsidR="005C2297">
        <w:rPr>
          <w:rFonts w:hint="cs"/>
          <w:rtl/>
        </w:rPr>
        <w:t xml:space="preserve">העבירה </w:t>
      </w:r>
      <w:r w:rsidR="005D7CA3">
        <w:rPr>
          <w:rFonts w:hint="cs"/>
          <w:rtl/>
        </w:rPr>
        <w:t xml:space="preserve">סוכלה </w:t>
      </w:r>
      <w:r w:rsidR="005C2297">
        <w:rPr>
          <w:rFonts w:hint="cs"/>
          <w:rtl/>
        </w:rPr>
        <w:t xml:space="preserve">לבסוף </w:t>
      </w:r>
      <w:r w:rsidR="003136B4">
        <w:rPr>
          <w:rFonts w:hint="cs"/>
          <w:rtl/>
        </w:rPr>
        <w:t xml:space="preserve">עם מעצרו בעקבות </w:t>
      </w:r>
      <w:r w:rsidR="005D7CA3">
        <w:rPr>
          <w:rFonts w:hint="cs"/>
          <w:rtl/>
        </w:rPr>
        <w:t>קבלת מידע מודיעיני</w:t>
      </w:r>
      <w:r w:rsidR="003C6B36">
        <w:rPr>
          <w:rFonts w:hint="cs"/>
          <w:rtl/>
        </w:rPr>
        <w:t>,</w:t>
      </w:r>
      <w:r w:rsidR="005D7CA3">
        <w:rPr>
          <w:rFonts w:hint="cs"/>
          <w:rtl/>
        </w:rPr>
        <w:t xml:space="preserve"> ולא ביוזמת המערער</w:t>
      </w:r>
      <w:r w:rsidR="00904B43">
        <w:rPr>
          <w:rFonts w:hint="cs"/>
          <w:rtl/>
        </w:rPr>
        <w:t xml:space="preserve">. מכאן שפוטנציאל הנזק הגלום במעשיו </w:t>
      </w:r>
      <w:r w:rsidR="005C2297">
        <w:rPr>
          <w:rFonts w:hint="cs"/>
          <w:rtl/>
        </w:rPr>
        <w:t xml:space="preserve">של המערער </w:t>
      </w:r>
      <w:r w:rsidR="00904B43">
        <w:rPr>
          <w:rFonts w:hint="cs"/>
          <w:rtl/>
        </w:rPr>
        <w:t>ה</w:t>
      </w:r>
      <w:r w:rsidR="005C2297">
        <w:rPr>
          <w:rFonts w:hint="cs"/>
          <w:rtl/>
        </w:rPr>
        <w:t>יה</w:t>
      </w:r>
      <w:r w:rsidR="00904B43">
        <w:rPr>
          <w:rFonts w:hint="cs"/>
          <w:rtl/>
        </w:rPr>
        <w:t xml:space="preserve"> </w:t>
      </w:r>
      <w:r w:rsidR="005C2297">
        <w:rPr>
          <w:rFonts w:hint="cs"/>
          <w:rtl/>
        </w:rPr>
        <w:t>ברור ו</w:t>
      </w:r>
      <w:r w:rsidR="00904B43">
        <w:rPr>
          <w:rFonts w:hint="cs"/>
          <w:rtl/>
        </w:rPr>
        <w:t>ממשי, אף אם לא התממש בסופו של דבר, בשל נסיבות שאינן תלויות בו</w:t>
      </w:r>
      <w:r w:rsidR="005D7CA3">
        <w:rPr>
          <w:rFonts w:hint="cs"/>
          <w:rtl/>
        </w:rPr>
        <w:t xml:space="preserve">. </w:t>
      </w:r>
    </w:p>
    <w:p w14:paraId="1BB428ED" w14:textId="77777777" w:rsidR="003136B4" w:rsidRPr="003B5AAB" w:rsidRDefault="005D7CA3" w:rsidP="005E62FC">
      <w:pPr>
        <w:numPr>
          <w:ilvl w:val="0"/>
          <w:numId w:val="3"/>
        </w:numPr>
        <w:tabs>
          <w:tab w:val="left" w:pos="226"/>
        </w:tabs>
        <w:ind w:left="-58" w:firstLine="0"/>
        <w:rPr>
          <w:rFonts w:cs="Times New Roman"/>
          <w:color w:val="000000"/>
        </w:rPr>
      </w:pPr>
      <w:r>
        <w:rPr>
          <w:rFonts w:hint="cs"/>
          <w:rtl/>
        </w:rPr>
        <w:t>גם בעת חקירתו</w:t>
      </w:r>
      <w:r w:rsidR="003C6B36">
        <w:rPr>
          <w:rFonts w:hint="cs"/>
          <w:rtl/>
        </w:rPr>
        <w:t>,</w:t>
      </w:r>
      <w:r>
        <w:rPr>
          <w:rFonts w:hint="cs"/>
          <w:rtl/>
        </w:rPr>
        <w:t xml:space="preserve"> סירב </w:t>
      </w:r>
      <w:r w:rsidR="00904B43">
        <w:rPr>
          <w:rFonts w:hint="cs"/>
          <w:rtl/>
        </w:rPr>
        <w:t xml:space="preserve">המערער </w:t>
      </w:r>
      <w:r>
        <w:rPr>
          <w:rFonts w:hint="cs"/>
          <w:rtl/>
        </w:rPr>
        <w:t>למסור את הסיסמה למכשיר הטלפון שלו, על אף שהוצג בפניו צו שיפוטי לחיפוש.</w:t>
      </w:r>
      <w:r w:rsidR="00F43E8A">
        <w:rPr>
          <w:rFonts w:hint="cs"/>
          <w:rtl/>
        </w:rPr>
        <w:t xml:space="preserve"> </w:t>
      </w:r>
    </w:p>
    <w:p w14:paraId="6992D36D" w14:textId="77777777" w:rsidR="00503284" w:rsidRDefault="003136B4" w:rsidP="005E62FC">
      <w:pPr>
        <w:numPr>
          <w:ilvl w:val="0"/>
          <w:numId w:val="3"/>
        </w:numPr>
        <w:tabs>
          <w:tab w:val="left" w:pos="226"/>
        </w:tabs>
        <w:ind w:left="-58" w:firstLine="0"/>
        <w:rPr>
          <w:rFonts w:cs="Times New Roman"/>
          <w:color w:val="000000"/>
        </w:rPr>
      </w:pPr>
      <w:r>
        <w:rPr>
          <w:rFonts w:hint="cs"/>
          <w:rtl/>
        </w:rPr>
        <w:t xml:space="preserve">עולה, אפוא, כי </w:t>
      </w:r>
      <w:r w:rsidR="00F43E8A">
        <w:rPr>
          <w:rFonts w:hint="cs"/>
          <w:rtl/>
        </w:rPr>
        <w:t xml:space="preserve">אף אם המערער היה נתון באותה עת במצב נפשי ואישי סבוך </w:t>
      </w:r>
      <w:r w:rsidR="00615480">
        <w:rPr>
          <w:rFonts w:hint="cs"/>
          <w:rtl/>
        </w:rPr>
        <w:t xml:space="preserve">- </w:t>
      </w:r>
      <w:r w:rsidR="00F43E8A">
        <w:rPr>
          <w:rFonts w:hint="cs"/>
          <w:rtl/>
        </w:rPr>
        <w:t xml:space="preserve">אין בכך כדי להקהות </w:t>
      </w:r>
      <w:r w:rsidR="00615480">
        <w:rPr>
          <w:rFonts w:hint="cs"/>
          <w:rtl/>
        </w:rPr>
        <w:t>מחומרת ה</w:t>
      </w:r>
      <w:r w:rsidR="00F43E8A">
        <w:rPr>
          <w:rFonts w:hint="cs"/>
          <w:rtl/>
        </w:rPr>
        <w:t>נסיבות ש</w:t>
      </w:r>
      <w:r w:rsidR="00615480">
        <w:rPr>
          <w:rFonts w:hint="cs"/>
          <w:rtl/>
        </w:rPr>
        <w:t xml:space="preserve">צויינו </w:t>
      </w:r>
      <w:r w:rsidR="00F43E8A">
        <w:rPr>
          <w:rFonts w:hint="cs"/>
          <w:rtl/>
        </w:rPr>
        <w:t>לעיל</w:t>
      </w:r>
      <w:r w:rsidR="003C6B36">
        <w:rPr>
          <w:rFonts w:hint="cs"/>
          <w:rtl/>
        </w:rPr>
        <w:t>, ואשר</w:t>
      </w:r>
      <w:r w:rsidR="00F43E8A">
        <w:rPr>
          <w:rFonts w:hint="cs"/>
          <w:rtl/>
        </w:rPr>
        <w:t xml:space="preserve"> </w:t>
      </w:r>
      <w:r w:rsidR="00904B43">
        <w:rPr>
          <w:rFonts w:hint="cs"/>
          <w:rtl/>
        </w:rPr>
        <w:t xml:space="preserve">פגיעתן בערכים המוגנים </w:t>
      </w:r>
      <w:r w:rsidR="00615480">
        <w:rPr>
          <w:rFonts w:hint="cs"/>
          <w:rtl/>
        </w:rPr>
        <w:t xml:space="preserve">- </w:t>
      </w:r>
      <w:r w:rsidR="00904B43">
        <w:rPr>
          <w:rFonts w:hint="cs"/>
          <w:rtl/>
        </w:rPr>
        <w:t xml:space="preserve">משמעותית. </w:t>
      </w:r>
    </w:p>
    <w:p w14:paraId="40C5F9CE" w14:textId="3733B0DE" w:rsidR="00C53AA8" w:rsidRPr="005A0103" w:rsidRDefault="001759F5" w:rsidP="005E62FC">
      <w:pPr>
        <w:numPr>
          <w:ilvl w:val="0"/>
          <w:numId w:val="3"/>
        </w:numPr>
        <w:tabs>
          <w:tab w:val="left" w:pos="226"/>
        </w:tabs>
        <w:ind w:left="-58" w:firstLine="0"/>
        <w:rPr>
          <w:rFonts w:cs="Times New Roman"/>
          <w:color w:val="000000"/>
        </w:rPr>
      </w:pPr>
      <w:r>
        <w:rPr>
          <w:rFonts w:hint="cs"/>
          <w:rtl/>
        </w:rPr>
        <w:t xml:space="preserve">לאור </w:t>
      </w:r>
      <w:r w:rsidR="00904B43">
        <w:rPr>
          <w:rFonts w:hint="cs"/>
          <w:rtl/>
        </w:rPr>
        <w:t xml:space="preserve"> האמור,</w:t>
      </w:r>
      <w:r w:rsidR="005A0103">
        <w:rPr>
          <w:rFonts w:hint="cs"/>
          <w:rtl/>
        </w:rPr>
        <w:t xml:space="preserve"> </w:t>
      </w:r>
      <w:r>
        <w:rPr>
          <w:rFonts w:hint="cs"/>
          <w:rtl/>
        </w:rPr>
        <w:t>מצאנו כי</w:t>
      </w:r>
      <w:r w:rsidR="00BB4E54">
        <w:rPr>
          <w:rFonts w:hint="cs"/>
          <w:rtl/>
        </w:rPr>
        <w:t xml:space="preserve"> </w:t>
      </w:r>
      <w:r w:rsidR="00904B43">
        <w:rPr>
          <w:rFonts w:hint="cs"/>
          <w:rtl/>
        </w:rPr>
        <w:t>אין חומרה יתרה ב</w:t>
      </w:r>
      <w:r w:rsidR="00BB4E54">
        <w:rPr>
          <w:rFonts w:hint="cs"/>
          <w:rtl/>
        </w:rPr>
        <w:t>מתחם הע</w:t>
      </w:r>
      <w:r w:rsidR="00615480">
        <w:rPr>
          <w:rFonts w:hint="cs"/>
          <w:rtl/>
        </w:rPr>
        <w:t>ו</w:t>
      </w:r>
      <w:r w:rsidR="00BB4E54">
        <w:rPr>
          <w:rFonts w:hint="cs"/>
          <w:rtl/>
        </w:rPr>
        <w:t xml:space="preserve">נש </w:t>
      </w:r>
      <w:r w:rsidR="005A0103">
        <w:rPr>
          <w:rFonts w:hint="cs"/>
          <w:rtl/>
        </w:rPr>
        <w:t xml:space="preserve">שנקבע </w:t>
      </w:r>
      <w:r w:rsidR="00904B43">
        <w:rPr>
          <w:rFonts w:hint="cs"/>
          <w:rtl/>
        </w:rPr>
        <w:t xml:space="preserve">על ידי בית הדין קמא, </w:t>
      </w:r>
      <w:r w:rsidR="003E75A6">
        <w:rPr>
          <w:rFonts w:hint="cs"/>
          <w:rtl/>
        </w:rPr>
        <w:t xml:space="preserve">אשר עולה בקנה אחד גם עם </w:t>
      </w:r>
      <w:r w:rsidR="00BB4E54">
        <w:rPr>
          <w:rFonts w:hint="cs"/>
          <w:rtl/>
        </w:rPr>
        <w:t>מדיניות הענישה</w:t>
      </w:r>
      <w:r w:rsidR="00311D74">
        <w:rPr>
          <w:rFonts w:hint="cs"/>
          <w:rtl/>
        </w:rPr>
        <w:t xml:space="preserve"> שנקבעה בפסיקת בית המשפט העליון</w:t>
      </w:r>
      <w:r w:rsidR="00961B44">
        <w:rPr>
          <w:rFonts w:hint="cs"/>
          <w:rtl/>
        </w:rPr>
        <w:t xml:space="preserve">. </w:t>
      </w:r>
      <w:r w:rsidR="00615480">
        <w:rPr>
          <w:rFonts w:hint="cs"/>
          <w:rtl/>
        </w:rPr>
        <w:t>כך, ב</w:t>
      </w:r>
      <w:r w:rsidR="00311D74">
        <w:rPr>
          <w:rFonts w:hint="cs"/>
          <w:rtl/>
        </w:rPr>
        <w:t xml:space="preserve">ע"פ 7386/13 </w:t>
      </w:r>
      <w:r w:rsidR="00311D74" w:rsidRPr="005A0103">
        <w:rPr>
          <w:rFonts w:hint="cs"/>
          <w:b/>
          <w:bCs/>
          <w:rtl/>
        </w:rPr>
        <w:t xml:space="preserve">עווד נ' מדינת ישראל </w:t>
      </w:r>
      <w:r w:rsidR="00311D74">
        <w:rPr>
          <w:rFonts w:hint="cs"/>
          <w:rtl/>
        </w:rPr>
        <w:t>(</w:t>
      </w:r>
      <w:r w:rsidR="00347E99">
        <w:rPr>
          <w:rFonts w:hint="cs"/>
          <w:rtl/>
        </w:rPr>
        <w:t xml:space="preserve">לא פורסם, </w:t>
      </w:r>
      <w:r w:rsidR="00311D74">
        <w:rPr>
          <w:rFonts w:hint="cs"/>
          <w:rtl/>
        </w:rPr>
        <w:t>23.3.2014)</w:t>
      </w:r>
      <w:r w:rsidR="003C6B36">
        <w:rPr>
          <w:rFonts w:hint="cs"/>
          <w:rtl/>
        </w:rPr>
        <w:t>,</w:t>
      </w:r>
      <w:r w:rsidR="00311D74">
        <w:rPr>
          <w:rFonts w:hint="cs"/>
          <w:rtl/>
        </w:rPr>
        <w:t xml:space="preserve"> נגזרו 18 חודשי מאסר </w:t>
      </w:r>
      <w:r w:rsidR="00615480">
        <w:rPr>
          <w:rFonts w:hint="cs"/>
          <w:rtl/>
        </w:rPr>
        <w:t xml:space="preserve">בפועל </w:t>
      </w:r>
      <w:r w:rsidR="00311D74">
        <w:rPr>
          <w:rFonts w:hint="cs"/>
          <w:rtl/>
        </w:rPr>
        <w:t xml:space="preserve">על מי שהורשע בהחזקת רימון הלם ועשיית עסקה בו; </w:t>
      </w:r>
      <w:r w:rsidR="00162592">
        <w:rPr>
          <w:rFonts w:hint="cs"/>
          <w:rtl/>
        </w:rPr>
        <w:t>ו</w:t>
      </w:r>
      <w:r w:rsidR="00615480">
        <w:rPr>
          <w:rFonts w:hint="cs"/>
          <w:rtl/>
        </w:rPr>
        <w:t>ב</w:t>
      </w:r>
      <w:r w:rsidR="00311D74">
        <w:rPr>
          <w:rFonts w:hint="cs"/>
          <w:rtl/>
        </w:rPr>
        <w:t xml:space="preserve">ע"פ 6327/17 </w:t>
      </w:r>
      <w:r w:rsidR="00311D74" w:rsidRPr="005A0103">
        <w:rPr>
          <w:rFonts w:hint="cs"/>
          <w:b/>
          <w:bCs/>
          <w:rtl/>
        </w:rPr>
        <w:t xml:space="preserve">יוסבאשוילי נ' מדינת ישראל </w:t>
      </w:r>
      <w:r w:rsidR="00311D74">
        <w:rPr>
          <w:rFonts w:hint="cs"/>
          <w:rtl/>
        </w:rPr>
        <w:t>(</w:t>
      </w:r>
      <w:r w:rsidR="00347E99">
        <w:rPr>
          <w:rFonts w:hint="cs"/>
          <w:rtl/>
        </w:rPr>
        <w:t xml:space="preserve">לא פורסם, </w:t>
      </w:r>
      <w:r w:rsidR="00311D74">
        <w:rPr>
          <w:rFonts w:hint="cs"/>
          <w:rtl/>
        </w:rPr>
        <w:t>28.3.2018)</w:t>
      </w:r>
      <w:r w:rsidR="003C6B36">
        <w:rPr>
          <w:rFonts w:hint="cs"/>
          <w:rtl/>
        </w:rPr>
        <w:t>,</w:t>
      </w:r>
      <w:r w:rsidR="00311D74">
        <w:rPr>
          <w:rFonts w:hint="cs"/>
          <w:rtl/>
        </w:rPr>
        <w:t xml:space="preserve"> נקבע מתחם ע</w:t>
      </w:r>
      <w:r w:rsidR="00615480">
        <w:rPr>
          <w:rFonts w:hint="cs"/>
          <w:rtl/>
        </w:rPr>
        <w:t>ו</w:t>
      </w:r>
      <w:r w:rsidR="00311D74">
        <w:rPr>
          <w:rFonts w:hint="cs"/>
          <w:rtl/>
        </w:rPr>
        <w:t xml:space="preserve">נש של </w:t>
      </w:r>
      <w:r w:rsidR="00AA66CF">
        <w:rPr>
          <w:rFonts w:hint="cs"/>
          <w:rtl/>
        </w:rPr>
        <w:t>36-12</w:t>
      </w:r>
      <w:r w:rsidR="00311D74">
        <w:rPr>
          <w:rFonts w:hint="cs"/>
          <w:rtl/>
        </w:rPr>
        <w:t xml:space="preserve"> חודשי מאסר </w:t>
      </w:r>
      <w:r w:rsidR="00615480">
        <w:rPr>
          <w:rFonts w:hint="cs"/>
          <w:rtl/>
        </w:rPr>
        <w:t xml:space="preserve">בפועל, </w:t>
      </w:r>
      <w:r w:rsidR="00311D74">
        <w:rPr>
          <w:rFonts w:hint="cs"/>
          <w:rtl/>
        </w:rPr>
        <w:t xml:space="preserve">בעניינו של חייל שנטל </w:t>
      </w:r>
      <w:r w:rsidR="00615480">
        <w:rPr>
          <w:rFonts w:hint="cs"/>
          <w:rtl/>
        </w:rPr>
        <w:t xml:space="preserve">ארבעה </w:t>
      </w:r>
      <w:r w:rsidR="00311D74">
        <w:rPr>
          <w:rFonts w:hint="cs"/>
          <w:rtl/>
        </w:rPr>
        <w:t>רימוני יד ושלושה רימוני הלם סינוור מבסיסו ה</w:t>
      </w:r>
      <w:r w:rsidR="005A0103">
        <w:rPr>
          <w:rFonts w:hint="cs"/>
          <w:rtl/>
        </w:rPr>
        <w:t xml:space="preserve">צבאי כדי למכרם להשגת רווח כספי. </w:t>
      </w:r>
      <w:r w:rsidR="00615480">
        <w:rPr>
          <w:rFonts w:hint="cs"/>
          <w:rtl/>
        </w:rPr>
        <w:t xml:space="preserve">בהתאם, </w:t>
      </w:r>
      <w:r w:rsidR="00961B44">
        <w:rPr>
          <w:rFonts w:hint="cs"/>
          <w:rtl/>
        </w:rPr>
        <w:t xml:space="preserve">לא </w:t>
      </w:r>
      <w:r w:rsidR="005A0103">
        <w:rPr>
          <w:rFonts w:hint="cs"/>
          <w:rtl/>
        </w:rPr>
        <w:t>מצאנו לקבל את עתירת ההגנה להקל</w:t>
      </w:r>
      <w:r w:rsidR="003E75A6">
        <w:rPr>
          <w:rFonts w:hint="cs"/>
          <w:rtl/>
        </w:rPr>
        <w:t>ה</w:t>
      </w:r>
      <w:r w:rsidR="005A0103">
        <w:rPr>
          <w:rFonts w:hint="cs"/>
          <w:rtl/>
        </w:rPr>
        <w:t xml:space="preserve"> במתחם </w:t>
      </w:r>
      <w:r w:rsidR="00216AF4">
        <w:rPr>
          <w:rFonts w:hint="cs"/>
          <w:rtl/>
        </w:rPr>
        <w:t xml:space="preserve">העונש </w:t>
      </w:r>
      <w:r w:rsidR="005A0103">
        <w:rPr>
          <w:rFonts w:hint="cs"/>
          <w:rtl/>
        </w:rPr>
        <w:t>שנקבע על ידי בית הדין קמא.</w:t>
      </w:r>
    </w:p>
    <w:p w14:paraId="060D1B52" w14:textId="76734507" w:rsidR="009D3691" w:rsidRPr="009D3691" w:rsidRDefault="0085379C" w:rsidP="005E62FC">
      <w:pPr>
        <w:numPr>
          <w:ilvl w:val="0"/>
          <w:numId w:val="3"/>
        </w:numPr>
        <w:tabs>
          <w:tab w:val="left" w:pos="226"/>
        </w:tabs>
        <w:ind w:left="-58" w:firstLine="0"/>
        <w:rPr>
          <w:rFonts w:cs="Times New Roman"/>
          <w:color w:val="000000"/>
        </w:rPr>
      </w:pPr>
      <w:r>
        <w:rPr>
          <w:rFonts w:hint="cs"/>
          <w:rtl/>
        </w:rPr>
        <w:t xml:space="preserve">לא </w:t>
      </w:r>
      <w:r w:rsidR="005C2297">
        <w:rPr>
          <w:rFonts w:hint="cs"/>
          <w:rtl/>
        </w:rPr>
        <w:t xml:space="preserve"> </w:t>
      </w:r>
      <w:r w:rsidR="003E75A6">
        <w:rPr>
          <w:rFonts w:hint="cs"/>
          <w:rtl/>
        </w:rPr>
        <w:t xml:space="preserve">סברנו </w:t>
      </w:r>
      <w:r w:rsidR="00265D17">
        <w:rPr>
          <w:rFonts w:hint="cs"/>
          <w:rtl/>
        </w:rPr>
        <w:t>כי יש ל</w:t>
      </w:r>
      <w:r>
        <w:rPr>
          <w:rFonts w:hint="cs"/>
          <w:rtl/>
        </w:rPr>
        <w:t xml:space="preserve">קבל </w:t>
      </w:r>
      <w:r w:rsidR="00615480">
        <w:rPr>
          <w:rFonts w:hint="cs"/>
          <w:rtl/>
        </w:rPr>
        <w:t xml:space="preserve">גם </w:t>
      </w:r>
      <w:r>
        <w:rPr>
          <w:rFonts w:hint="cs"/>
          <w:rtl/>
        </w:rPr>
        <w:t>את עתירתה החלופית של ההגנה, ל</w:t>
      </w:r>
      <w:r w:rsidR="00265D17">
        <w:rPr>
          <w:rFonts w:hint="cs"/>
          <w:rtl/>
        </w:rPr>
        <w:t>חר</w:t>
      </w:r>
      <w:r w:rsidR="00615480">
        <w:rPr>
          <w:rFonts w:hint="cs"/>
          <w:rtl/>
        </w:rPr>
        <w:t xml:space="preserve">וג </w:t>
      </w:r>
      <w:r>
        <w:rPr>
          <w:rFonts w:hint="cs"/>
          <w:rtl/>
        </w:rPr>
        <w:t xml:space="preserve">ממתחם </w:t>
      </w:r>
      <w:r w:rsidR="00216AF4">
        <w:rPr>
          <w:rFonts w:hint="cs"/>
          <w:rtl/>
        </w:rPr>
        <w:t xml:space="preserve">העונש </w:t>
      </w:r>
      <w:r>
        <w:rPr>
          <w:rFonts w:hint="cs"/>
          <w:rtl/>
        </w:rPr>
        <w:t>שנקבע</w:t>
      </w:r>
      <w:r w:rsidR="005C2297">
        <w:rPr>
          <w:rFonts w:hint="cs"/>
          <w:rtl/>
        </w:rPr>
        <w:t>,</w:t>
      </w:r>
      <w:r>
        <w:rPr>
          <w:rFonts w:hint="cs"/>
          <w:rtl/>
        </w:rPr>
        <w:t xml:space="preserve"> בשל שיקולי שיקום. אכן, תסקיר העונש שנערך בעניינו של המערער, מלמד על פוטנציאל שיקום לעתיד,</w:t>
      </w:r>
      <w:r w:rsidR="002160C2">
        <w:rPr>
          <w:rFonts w:hint="cs"/>
          <w:rtl/>
        </w:rPr>
        <w:t xml:space="preserve"> </w:t>
      </w:r>
      <w:r>
        <w:rPr>
          <w:rFonts w:hint="cs"/>
          <w:rtl/>
        </w:rPr>
        <w:t xml:space="preserve">לאור התרשמות עורכת התסקיר מהעדר דפוסים עברייניים, </w:t>
      </w:r>
      <w:r w:rsidR="002160C2">
        <w:rPr>
          <w:rFonts w:hint="cs"/>
          <w:rtl/>
        </w:rPr>
        <w:t xml:space="preserve">מוטיבציה גבוהה לשירות צבאי, </w:t>
      </w:r>
      <w:r>
        <w:rPr>
          <w:rFonts w:hint="cs"/>
          <w:rtl/>
        </w:rPr>
        <w:t>נטילת אחריות, הבנת חומרת העבירה ותחושת בושה</w:t>
      </w:r>
      <w:r w:rsidR="002160C2">
        <w:rPr>
          <w:rFonts w:hint="cs"/>
          <w:rtl/>
        </w:rPr>
        <w:t>; אולם</w:t>
      </w:r>
      <w:r w:rsidR="00615480">
        <w:rPr>
          <w:rFonts w:hint="cs"/>
          <w:rtl/>
        </w:rPr>
        <w:t>,</w:t>
      </w:r>
      <w:r w:rsidR="002160C2">
        <w:rPr>
          <w:rFonts w:hint="cs"/>
          <w:rtl/>
        </w:rPr>
        <w:t xml:space="preserve"> נקבע בפסיקת בית המשפט העליון, כי במניין השיקולים</w:t>
      </w:r>
      <w:r w:rsidR="009E499D">
        <w:rPr>
          <w:rFonts w:hint="cs"/>
          <w:rtl/>
        </w:rPr>
        <w:t xml:space="preserve"> לחריגה ממתחם </w:t>
      </w:r>
      <w:r w:rsidR="00CB1811">
        <w:rPr>
          <w:rFonts w:hint="cs"/>
          <w:rtl/>
        </w:rPr>
        <w:t xml:space="preserve">העונש </w:t>
      </w:r>
      <w:r w:rsidR="002160C2">
        <w:rPr>
          <w:rFonts w:hint="cs"/>
          <w:rtl/>
        </w:rPr>
        <w:t xml:space="preserve">יש לבחון </w:t>
      </w:r>
      <w:r w:rsidR="009E499D">
        <w:rPr>
          <w:rFonts w:hint="cs"/>
          <w:rtl/>
        </w:rPr>
        <w:t xml:space="preserve">בין היתר גם השתלבות מוצלחת בהליכים טיפוליים שונים ואינדיקציות לשינוי עמוק בהתנהגות ובדרך החשיבה (ע"פ 6637/17 </w:t>
      </w:r>
      <w:r w:rsidR="009E499D">
        <w:rPr>
          <w:rFonts w:hint="cs"/>
          <w:b/>
          <w:bCs/>
          <w:rtl/>
        </w:rPr>
        <w:t xml:space="preserve">קרנדל נ' </w:t>
      </w:r>
      <w:r w:rsidR="009E499D">
        <w:rPr>
          <w:rFonts w:hint="cs"/>
          <w:b/>
          <w:bCs/>
          <w:rtl/>
        </w:rPr>
        <w:lastRenderedPageBreak/>
        <w:t>מדינת ישראל</w:t>
      </w:r>
      <w:r w:rsidR="002D2418">
        <w:rPr>
          <w:rFonts w:hint="cs"/>
          <w:b/>
          <w:bCs/>
          <w:rtl/>
        </w:rPr>
        <w:t xml:space="preserve"> </w:t>
      </w:r>
      <w:r w:rsidR="002D2418">
        <w:rPr>
          <w:rFonts w:hint="cs"/>
          <w:rtl/>
        </w:rPr>
        <w:t>(</w:t>
      </w:r>
      <w:r w:rsidR="00347E99">
        <w:rPr>
          <w:rFonts w:hint="cs"/>
          <w:rtl/>
        </w:rPr>
        <w:t xml:space="preserve">לא פורסם, </w:t>
      </w:r>
      <w:r w:rsidR="002D2418">
        <w:rPr>
          <w:rFonts w:hint="cs"/>
          <w:rtl/>
        </w:rPr>
        <w:t>18.4.2018)), ו</w:t>
      </w:r>
      <w:r w:rsidR="00265D17">
        <w:rPr>
          <w:rFonts w:hint="cs"/>
          <w:rtl/>
        </w:rPr>
        <w:t xml:space="preserve">כל אלה לא הוכחו </w:t>
      </w:r>
      <w:r w:rsidR="002D2418">
        <w:rPr>
          <w:rFonts w:hint="cs"/>
          <w:rtl/>
        </w:rPr>
        <w:t>בפנינו נכון לעת הזו</w:t>
      </w:r>
      <w:r w:rsidR="00D27EDE">
        <w:rPr>
          <w:rFonts w:hint="cs"/>
          <w:rtl/>
        </w:rPr>
        <w:t xml:space="preserve">. המערער </w:t>
      </w:r>
      <w:r w:rsidR="009D3691">
        <w:rPr>
          <w:rFonts w:hint="cs"/>
          <w:rtl/>
        </w:rPr>
        <w:t>טרם עבר כל הליך שיקומי (</w:t>
      </w:r>
      <w:r w:rsidR="00CB1811">
        <w:rPr>
          <w:rFonts w:hint="cs"/>
          <w:rtl/>
        </w:rPr>
        <w:t>ו</w:t>
      </w:r>
      <w:r w:rsidR="009D3691">
        <w:rPr>
          <w:rFonts w:hint="cs"/>
          <w:rtl/>
        </w:rPr>
        <w:t>בכך</w:t>
      </w:r>
      <w:r w:rsidR="00CB1811">
        <w:rPr>
          <w:rFonts w:hint="cs"/>
          <w:rtl/>
        </w:rPr>
        <w:t>,</w:t>
      </w:r>
      <w:r w:rsidR="009D3691">
        <w:rPr>
          <w:rFonts w:hint="cs"/>
          <w:rtl/>
        </w:rPr>
        <w:t xml:space="preserve"> הוא נבדל מעניין </w:t>
      </w:r>
      <w:r w:rsidR="009D3691">
        <w:rPr>
          <w:rFonts w:hint="cs"/>
          <w:b/>
          <w:bCs/>
          <w:rtl/>
        </w:rPr>
        <w:t>עאסלה</w:t>
      </w:r>
      <w:r w:rsidR="009D3691">
        <w:rPr>
          <w:rFonts w:hint="cs"/>
          <w:rtl/>
        </w:rPr>
        <w:t xml:space="preserve"> </w:t>
      </w:r>
      <w:r w:rsidR="00CB1811">
        <w:rPr>
          <w:rFonts w:hint="cs"/>
          <w:rtl/>
        </w:rPr>
        <w:t>ש</w:t>
      </w:r>
      <w:r w:rsidR="009D3691">
        <w:rPr>
          <w:rFonts w:hint="cs"/>
          <w:rtl/>
        </w:rPr>
        <w:t>אליו הפנתה ההגנה).</w:t>
      </w:r>
      <w:r w:rsidR="002D2418">
        <w:rPr>
          <w:rFonts w:hint="cs"/>
          <w:rtl/>
        </w:rPr>
        <w:t xml:space="preserve"> </w:t>
      </w:r>
      <w:r w:rsidR="009D3691">
        <w:rPr>
          <w:rFonts w:hint="cs"/>
          <w:rtl/>
        </w:rPr>
        <w:t xml:space="preserve">למרבה הצער, </w:t>
      </w:r>
      <w:r w:rsidR="002D2418">
        <w:rPr>
          <w:rFonts w:hint="cs"/>
          <w:rtl/>
        </w:rPr>
        <w:t xml:space="preserve">המוטיבציה הגבוהה של המערער לשירות צבאי, </w:t>
      </w:r>
      <w:r w:rsidR="00CB1811">
        <w:rPr>
          <w:rFonts w:hint="cs"/>
          <w:rtl/>
        </w:rPr>
        <w:t xml:space="preserve">שבזכותה </w:t>
      </w:r>
      <w:r w:rsidR="002D2418">
        <w:rPr>
          <w:rFonts w:hint="cs"/>
          <w:rtl/>
        </w:rPr>
        <w:t xml:space="preserve">התקדם במסלול הצבאי ואף </w:t>
      </w:r>
      <w:r w:rsidR="00CB1811">
        <w:rPr>
          <w:rFonts w:hint="cs"/>
          <w:rtl/>
        </w:rPr>
        <w:t xml:space="preserve">יצא </w:t>
      </w:r>
      <w:r w:rsidR="002D2418">
        <w:rPr>
          <w:rFonts w:hint="cs"/>
          <w:rtl/>
        </w:rPr>
        <w:t>לקורס הקצינים</w:t>
      </w:r>
      <w:r w:rsidR="00CB1811">
        <w:rPr>
          <w:rFonts w:hint="cs"/>
          <w:rtl/>
        </w:rPr>
        <w:t>,</w:t>
      </w:r>
      <w:r w:rsidR="002D2418">
        <w:rPr>
          <w:rFonts w:hint="cs"/>
          <w:rtl/>
        </w:rPr>
        <w:t xml:space="preserve"> לא מנעה ממנו לבצע את העבירה, אשר אינה </w:t>
      </w:r>
      <w:r w:rsidR="00265D17">
        <w:rPr>
          <w:rFonts w:hint="cs"/>
          <w:rtl/>
        </w:rPr>
        <w:t>מתיישבת</w:t>
      </w:r>
      <w:r w:rsidR="002D2418">
        <w:rPr>
          <w:rFonts w:hint="cs"/>
          <w:rtl/>
        </w:rPr>
        <w:t xml:space="preserve"> בכל דרך שהיא עם הערכים והציפייה מלוחם ו</w:t>
      </w:r>
      <w:r w:rsidR="00D27EDE">
        <w:rPr>
          <w:rFonts w:hint="cs"/>
          <w:rtl/>
        </w:rPr>
        <w:t>מ</w:t>
      </w:r>
      <w:r w:rsidR="002D2418">
        <w:rPr>
          <w:rFonts w:hint="cs"/>
          <w:rtl/>
        </w:rPr>
        <w:t>מפקד; והתנהלותו ב</w:t>
      </w:r>
      <w:r w:rsidR="006916D4">
        <w:rPr>
          <w:rFonts w:hint="cs"/>
          <w:rtl/>
        </w:rPr>
        <w:t>חקירה, כאשר סירב לאפשר חיפוש במכשיר הטלפון שלו</w:t>
      </w:r>
      <w:r w:rsidR="00CB1811">
        <w:rPr>
          <w:rFonts w:hint="cs"/>
          <w:rtl/>
        </w:rPr>
        <w:t>,</w:t>
      </w:r>
      <w:r w:rsidR="006916D4">
        <w:rPr>
          <w:rFonts w:hint="cs"/>
          <w:rtl/>
        </w:rPr>
        <w:t xml:space="preserve"> מקשה </w:t>
      </w:r>
      <w:r w:rsidR="00D27EDE">
        <w:rPr>
          <w:rFonts w:hint="cs"/>
          <w:rtl/>
        </w:rPr>
        <w:t xml:space="preserve">אף היא </w:t>
      </w:r>
      <w:r w:rsidR="006916D4">
        <w:rPr>
          <w:rFonts w:hint="cs"/>
          <w:rtl/>
        </w:rPr>
        <w:t>על קבלת הטענה בדבר נטילת אחריות מלאה</w:t>
      </w:r>
      <w:r w:rsidR="003136B4">
        <w:rPr>
          <w:rFonts w:hint="cs"/>
          <w:rtl/>
        </w:rPr>
        <w:t xml:space="preserve"> באותו מועד</w:t>
      </w:r>
      <w:r w:rsidR="006916D4">
        <w:rPr>
          <w:rFonts w:hint="cs"/>
          <w:rtl/>
        </w:rPr>
        <w:t xml:space="preserve">. </w:t>
      </w:r>
    </w:p>
    <w:p w14:paraId="3FDDD734" w14:textId="77777777" w:rsidR="002D2418" w:rsidRPr="00BD592D" w:rsidRDefault="00D27EDE" w:rsidP="005E62FC">
      <w:pPr>
        <w:numPr>
          <w:ilvl w:val="0"/>
          <w:numId w:val="3"/>
        </w:numPr>
        <w:tabs>
          <w:tab w:val="left" w:pos="226"/>
        </w:tabs>
        <w:ind w:left="-58" w:firstLine="0"/>
        <w:rPr>
          <w:rFonts w:cs="Times New Roman"/>
          <w:color w:val="000000"/>
        </w:rPr>
      </w:pPr>
      <w:r>
        <w:rPr>
          <w:rFonts w:hint="cs"/>
          <w:rtl/>
        </w:rPr>
        <w:t xml:space="preserve">יש לזקוף לזכותו של המערער את </w:t>
      </w:r>
      <w:r w:rsidR="006916D4">
        <w:rPr>
          <w:rFonts w:hint="cs"/>
          <w:rtl/>
        </w:rPr>
        <w:t>הודאתו באשמה בסופו של דבר, הבעת החרטה וההפנמה ו</w:t>
      </w:r>
      <w:r>
        <w:rPr>
          <w:rFonts w:hint="cs"/>
          <w:rtl/>
        </w:rPr>
        <w:t>ייתכן אף ש</w:t>
      </w:r>
      <w:r w:rsidR="006916D4">
        <w:rPr>
          <w:rFonts w:hint="cs"/>
          <w:rtl/>
        </w:rPr>
        <w:t>לאור חידוש הקשר עם משפחתו, אכן קיים פוטנציאל שיקום בעניינו</w:t>
      </w:r>
      <w:r w:rsidR="00763657">
        <w:rPr>
          <w:rFonts w:hint="cs"/>
          <w:rtl/>
        </w:rPr>
        <w:t>.</w:t>
      </w:r>
      <w:r w:rsidR="006916D4">
        <w:rPr>
          <w:rFonts w:hint="cs"/>
          <w:rtl/>
        </w:rPr>
        <w:t xml:space="preserve"> אולם </w:t>
      </w:r>
      <w:r>
        <w:rPr>
          <w:rFonts w:hint="cs"/>
          <w:rtl/>
        </w:rPr>
        <w:t xml:space="preserve">יש להתחשב בפוטנציאל זה </w:t>
      </w:r>
      <w:r w:rsidR="006916D4">
        <w:rPr>
          <w:rFonts w:hint="cs"/>
          <w:rtl/>
        </w:rPr>
        <w:t>בתוך המתחם שנקבע</w:t>
      </w:r>
      <w:r w:rsidR="00CB1811">
        <w:rPr>
          <w:rFonts w:hint="cs"/>
          <w:rtl/>
        </w:rPr>
        <w:t>,</w:t>
      </w:r>
      <w:r w:rsidR="006916D4">
        <w:rPr>
          <w:rFonts w:hint="cs"/>
          <w:rtl/>
        </w:rPr>
        <w:t xml:space="preserve"> ואי</w:t>
      </w:r>
      <w:r>
        <w:rPr>
          <w:rFonts w:hint="cs"/>
          <w:rtl/>
        </w:rPr>
        <w:t>ן בו כדי לה</w:t>
      </w:r>
      <w:r w:rsidR="006916D4">
        <w:rPr>
          <w:rFonts w:hint="cs"/>
          <w:rtl/>
        </w:rPr>
        <w:t xml:space="preserve">צדיק חריגה ממנו. </w:t>
      </w:r>
      <w:r w:rsidR="005C2297">
        <w:rPr>
          <w:rFonts w:hint="cs"/>
          <w:rtl/>
        </w:rPr>
        <w:t>יוזכר עוד, כי א</w:t>
      </w:r>
      <w:r w:rsidR="006916D4">
        <w:rPr>
          <w:rFonts w:hint="cs"/>
          <w:rtl/>
        </w:rPr>
        <w:t>ת שיקולי השיקום יש לאז</w:t>
      </w:r>
      <w:r w:rsidR="00AA240D">
        <w:rPr>
          <w:rFonts w:hint="cs"/>
          <w:rtl/>
        </w:rPr>
        <w:t xml:space="preserve">ן אל מול יתר השיקולים העומדים </w:t>
      </w:r>
      <w:r w:rsidR="009D3691">
        <w:rPr>
          <w:rFonts w:hint="cs"/>
          <w:rtl/>
        </w:rPr>
        <w:t>על הפרק, וביניהם שיקולי ההרתעה</w:t>
      </w:r>
      <w:r>
        <w:rPr>
          <w:rFonts w:hint="cs"/>
          <w:rtl/>
        </w:rPr>
        <w:t xml:space="preserve">. זאת ועוד, </w:t>
      </w:r>
      <w:r w:rsidR="009D3691">
        <w:rPr>
          <w:rFonts w:hint="cs"/>
          <w:rtl/>
        </w:rPr>
        <w:t xml:space="preserve">משנה חשיבות יש </w:t>
      </w:r>
      <w:r w:rsidR="00BD592D">
        <w:rPr>
          <w:rFonts w:hint="cs"/>
          <w:rtl/>
        </w:rPr>
        <w:t xml:space="preserve">ליתן </w:t>
      </w:r>
      <w:r w:rsidR="009D3691">
        <w:rPr>
          <w:rFonts w:hint="cs"/>
          <w:rtl/>
        </w:rPr>
        <w:t>לאיזון הנדרש בין מכלול השיקולים כאשר שיקולי ההרתעה מבוססים על מאפייניה הייחודיים של המערכת הצבאית</w:t>
      </w:r>
      <w:r>
        <w:rPr>
          <w:rFonts w:hint="cs"/>
          <w:rtl/>
        </w:rPr>
        <w:t xml:space="preserve">, לנוכח נגישותם של אמצעי לחימה וזמינותם לחיילים </w:t>
      </w:r>
      <w:r w:rsidR="009D3691">
        <w:rPr>
          <w:rFonts w:hint="cs"/>
          <w:rtl/>
        </w:rPr>
        <w:t xml:space="preserve">(ע/10/21 </w:t>
      </w:r>
      <w:r w:rsidR="009D3691">
        <w:rPr>
          <w:rFonts w:hint="cs"/>
          <w:b/>
          <w:bCs/>
          <w:rtl/>
        </w:rPr>
        <w:t>רב"ט מילנר נ' התובע הצבאי הראשי</w:t>
      </w:r>
      <w:r w:rsidR="009D3691">
        <w:rPr>
          <w:rFonts w:hint="cs"/>
          <w:rtl/>
        </w:rPr>
        <w:t>, פסקה 29 (2021) והפסיקה המוזכרת שם).</w:t>
      </w:r>
    </w:p>
    <w:p w14:paraId="3C95CB7E" w14:textId="1A5CCCB0" w:rsidR="00BD592D" w:rsidRPr="005C2297" w:rsidRDefault="00BD592D" w:rsidP="005E62FC">
      <w:pPr>
        <w:numPr>
          <w:ilvl w:val="0"/>
          <w:numId w:val="3"/>
        </w:numPr>
        <w:tabs>
          <w:tab w:val="left" w:pos="226"/>
        </w:tabs>
        <w:ind w:left="-58" w:firstLine="0"/>
        <w:rPr>
          <w:rFonts w:cs="Times New Roman"/>
          <w:color w:val="000000"/>
        </w:rPr>
      </w:pPr>
      <w:r>
        <w:rPr>
          <w:rFonts w:hint="cs"/>
          <w:rtl/>
        </w:rPr>
        <w:t>ערעור ההגנה נדחה אפוא</w:t>
      </w:r>
      <w:r w:rsidR="0098662A">
        <w:rPr>
          <w:rFonts w:hint="cs"/>
          <w:rtl/>
        </w:rPr>
        <w:t xml:space="preserve">. בד בבד, </w:t>
      </w:r>
      <w:r>
        <w:rPr>
          <w:rFonts w:hint="cs"/>
          <w:rtl/>
        </w:rPr>
        <w:t xml:space="preserve">לא </w:t>
      </w:r>
      <w:r w:rsidR="005C2297">
        <w:rPr>
          <w:rFonts w:hint="cs"/>
          <w:rtl/>
        </w:rPr>
        <w:t>מצאנו</w:t>
      </w:r>
      <w:r>
        <w:rPr>
          <w:rFonts w:hint="cs"/>
          <w:rtl/>
        </w:rPr>
        <w:t xml:space="preserve"> לקבל גם את ערעור התביעה בנוגע ל</w:t>
      </w:r>
      <w:r w:rsidR="00D27EDE">
        <w:rPr>
          <w:rFonts w:hint="cs"/>
          <w:rtl/>
        </w:rPr>
        <w:t>החמרה ב</w:t>
      </w:r>
      <w:r>
        <w:rPr>
          <w:rFonts w:hint="cs"/>
          <w:rtl/>
        </w:rPr>
        <w:t xml:space="preserve">עונשו של המערער בתוך </w:t>
      </w:r>
      <w:r w:rsidR="00D27EDE">
        <w:rPr>
          <w:rFonts w:hint="cs"/>
          <w:rtl/>
        </w:rPr>
        <w:t>ה</w:t>
      </w:r>
      <w:r>
        <w:rPr>
          <w:rFonts w:hint="cs"/>
          <w:rtl/>
        </w:rPr>
        <w:t>מתחם</w:t>
      </w:r>
      <w:r w:rsidR="0098662A">
        <w:rPr>
          <w:rFonts w:hint="cs"/>
          <w:rtl/>
        </w:rPr>
        <w:t xml:space="preserve">, הגם </w:t>
      </w:r>
      <w:r w:rsidR="005C2297">
        <w:rPr>
          <w:rFonts w:hint="cs"/>
          <w:rtl/>
        </w:rPr>
        <w:t xml:space="preserve">שלא </w:t>
      </w:r>
      <w:r>
        <w:rPr>
          <w:rFonts w:hint="cs"/>
          <w:rtl/>
        </w:rPr>
        <w:t>סברנו, כי היה מקום לשקול לטובת המערער</w:t>
      </w:r>
      <w:r w:rsidR="0098662A">
        <w:rPr>
          <w:rFonts w:hint="cs"/>
          <w:rtl/>
        </w:rPr>
        <w:t>, כפי שעשה בית הדין קמא,</w:t>
      </w:r>
      <w:r>
        <w:rPr>
          <w:rFonts w:hint="cs"/>
          <w:rtl/>
        </w:rPr>
        <w:t xml:space="preserve"> את התנהלות רשויות החקירה. העובדות המוסכמות שהוגשו </w:t>
      </w:r>
      <w:r w:rsidR="0098662A">
        <w:rPr>
          <w:rFonts w:hint="cs"/>
          <w:rtl/>
        </w:rPr>
        <w:t xml:space="preserve">מלמדות, </w:t>
      </w:r>
      <w:r>
        <w:rPr>
          <w:rFonts w:hint="cs"/>
          <w:rtl/>
        </w:rPr>
        <w:t xml:space="preserve">כי זכותו </w:t>
      </w:r>
      <w:r w:rsidR="0098662A">
        <w:rPr>
          <w:rFonts w:hint="cs"/>
          <w:rtl/>
        </w:rPr>
        <w:t xml:space="preserve">של המערער </w:t>
      </w:r>
      <w:r>
        <w:rPr>
          <w:rFonts w:hint="cs"/>
          <w:rtl/>
        </w:rPr>
        <w:t xml:space="preserve">להיוועץ בעורך דין ניתנה לו באופן מלא. </w:t>
      </w:r>
      <w:r w:rsidR="0098662A">
        <w:rPr>
          <w:rFonts w:hint="cs"/>
          <w:rtl/>
        </w:rPr>
        <w:t xml:space="preserve">הוא </w:t>
      </w:r>
      <w:r>
        <w:rPr>
          <w:rFonts w:hint="cs"/>
          <w:rtl/>
        </w:rPr>
        <w:t>נועץ בסניגורו מספר פעמים</w:t>
      </w:r>
      <w:r w:rsidR="00D27EDE">
        <w:rPr>
          <w:rFonts w:hint="cs"/>
          <w:rtl/>
        </w:rPr>
        <w:t>,</w:t>
      </w:r>
      <w:r>
        <w:rPr>
          <w:rFonts w:hint="cs"/>
          <w:rtl/>
        </w:rPr>
        <w:t xml:space="preserve"> בכל אחת מהחקירות שנערכו לו, וגם בראשיתה של החקירה </w:t>
      </w:r>
      <w:r w:rsidR="005C2297">
        <w:rPr>
          <w:rFonts w:hint="cs"/>
          <w:rtl/>
        </w:rPr>
        <w:t>השלישית</w:t>
      </w:r>
      <w:r>
        <w:rPr>
          <w:rFonts w:hint="cs"/>
          <w:rtl/>
        </w:rPr>
        <w:t xml:space="preserve">; </w:t>
      </w:r>
      <w:r w:rsidR="005C2297">
        <w:rPr>
          <w:rFonts w:hint="cs"/>
          <w:rtl/>
        </w:rPr>
        <w:t xml:space="preserve">ולא הוצג כי </w:t>
      </w:r>
      <w:r>
        <w:rPr>
          <w:rFonts w:hint="cs"/>
          <w:rtl/>
        </w:rPr>
        <w:t>חל כל שינוי נסיבות בחקירה אשר הצדיק קטיעה נוספת של החקירה לצורך היוועצות</w:t>
      </w:r>
      <w:r w:rsidR="005C2297">
        <w:rPr>
          <w:rFonts w:hint="cs"/>
          <w:rtl/>
        </w:rPr>
        <w:t xml:space="preserve">. </w:t>
      </w:r>
      <w:r w:rsidR="00D27EDE">
        <w:rPr>
          <w:rFonts w:hint="cs"/>
          <w:rtl/>
        </w:rPr>
        <w:t xml:space="preserve">כאמור, </w:t>
      </w:r>
      <w:r w:rsidR="005C2297">
        <w:rPr>
          <w:rFonts w:hint="cs"/>
          <w:rtl/>
        </w:rPr>
        <w:t>א</w:t>
      </w:r>
      <w:r>
        <w:rPr>
          <w:rFonts w:hint="cs"/>
          <w:rtl/>
        </w:rPr>
        <w:t>יננו מתעלמים גם משיקולי הרתעת הרבים (סעיף 40ז לחוק העונשין) שהם משמעותיים בעבירות מעין אלה. אולם כידוע</w:t>
      </w:r>
      <w:r w:rsidR="00B87D7E">
        <w:rPr>
          <w:rFonts w:hint="cs"/>
          <w:rtl/>
        </w:rPr>
        <w:t xml:space="preserve">, </w:t>
      </w:r>
      <w:r>
        <w:rPr>
          <w:rFonts w:hint="cs"/>
          <w:rtl/>
        </w:rPr>
        <w:t xml:space="preserve">ערכאת הערעור לא תתערב בעונש שנגזר על ידי בית הדין קמא, אלא במקרים חריגים </w:t>
      </w:r>
      <w:r w:rsidR="00B87D7E">
        <w:rPr>
          <w:rFonts w:hint="cs"/>
          <w:rtl/>
        </w:rPr>
        <w:t>ש</w:t>
      </w:r>
      <w:r>
        <w:rPr>
          <w:rFonts w:hint="cs"/>
          <w:rtl/>
        </w:rPr>
        <w:t xml:space="preserve">בהם נפלה טעות מהותית ובולטת בגזר הדין, או מקום שבו העונש שהוטל חורג באופן קיצוני מרמת הענישה </w:t>
      </w:r>
      <w:r w:rsidR="002C71CD">
        <w:rPr>
          <w:rFonts w:hint="cs"/>
          <w:rtl/>
        </w:rPr>
        <w:t>הנוהג</w:t>
      </w:r>
      <w:r>
        <w:rPr>
          <w:rFonts w:hint="cs"/>
          <w:rtl/>
        </w:rPr>
        <w:t xml:space="preserve">ת </w:t>
      </w:r>
      <w:r w:rsidR="002C71CD">
        <w:rPr>
          <w:rFonts w:hint="cs"/>
          <w:rtl/>
        </w:rPr>
        <w:t>בנסיבות דומות (</w:t>
      </w:r>
      <w:r w:rsidRPr="00AE76C3">
        <w:rPr>
          <w:rtl/>
        </w:rPr>
        <w:t xml:space="preserve">ע"פ 4387/20 </w:t>
      </w:r>
      <w:r w:rsidRPr="005C2297">
        <w:rPr>
          <w:b/>
          <w:bCs/>
          <w:rtl/>
        </w:rPr>
        <w:t>מדינת ישראל נ' דרור</w:t>
      </w:r>
      <w:r w:rsidRPr="00AE76C3">
        <w:rPr>
          <w:rtl/>
        </w:rPr>
        <w:t>, פסקה 12 (</w:t>
      </w:r>
      <w:r w:rsidR="00347E99">
        <w:rPr>
          <w:rFonts w:hint="cs"/>
          <w:rtl/>
        </w:rPr>
        <w:t xml:space="preserve">לא פורסם, </w:t>
      </w:r>
      <w:r w:rsidRPr="00AE76C3">
        <w:rPr>
          <w:rtl/>
        </w:rPr>
        <w:t>8.2.2021)</w:t>
      </w:r>
      <w:r>
        <w:rPr>
          <w:rFonts w:hint="cs"/>
          <w:rtl/>
        </w:rPr>
        <w:t xml:space="preserve">; ע/54/20 </w:t>
      </w:r>
      <w:r w:rsidRPr="005C2297">
        <w:rPr>
          <w:rFonts w:hint="cs"/>
          <w:b/>
          <w:bCs/>
          <w:rtl/>
        </w:rPr>
        <w:t>טור' שאשא נ' התובע הצבאי הראשי</w:t>
      </w:r>
      <w:r>
        <w:rPr>
          <w:rFonts w:hint="cs"/>
          <w:rtl/>
        </w:rPr>
        <w:t>, פסקה 21 (2021)</w:t>
      </w:r>
      <w:r w:rsidRPr="00AE76C3">
        <w:rPr>
          <w:rtl/>
        </w:rPr>
        <w:t>)</w:t>
      </w:r>
      <w:r w:rsidR="00B87D7E">
        <w:rPr>
          <w:rFonts w:hint="cs"/>
          <w:rtl/>
        </w:rPr>
        <w:t xml:space="preserve"> </w:t>
      </w:r>
      <w:r w:rsidR="00B87D7E">
        <w:rPr>
          <w:rtl/>
        </w:rPr>
        <w:t>–</w:t>
      </w:r>
      <w:r w:rsidR="00B87D7E">
        <w:rPr>
          <w:rFonts w:hint="cs"/>
          <w:rtl/>
        </w:rPr>
        <w:t xml:space="preserve"> ולא זה המקרה שלפנינו</w:t>
      </w:r>
      <w:r w:rsidRPr="00AE76C3">
        <w:rPr>
          <w:rtl/>
        </w:rPr>
        <w:t>.</w:t>
      </w:r>
    </w:p>
    <w:p w14:paraId="59AC864D" w14:textId="495AACA9" w:rsidR="00265D17" w:rsidRPr="00265D17" w:rsidRDefault="00B87D7E" w:rsidP="005E62FC">
      <w:pPr>
        <w:numPr>
          <w:ilvl w:val="0"/>
          <w:numId w:val="3"/>
        </w:numPr>
        <w:tabs>
          <w:tab w:val="left" w:pos="226"/>
        </w:tabs>
        <w:ind w:left="-58" w:firstLine="0"/>
        <w:rPr>
          <w:rFonts w:cs="Times New Roman"/>
          <w:color w:val="000000"/>
        </w:rPr>
      </w:pPr>
      <w:r>
        <w:rPr>
          <w:rFonts w:hint="cs"/>
          <w:rtl/>
        </w:rPr>
        <w:t>כ</w:t>
      </w:r>
      <w:r w:rsidR="004406FA">
        <w:rPr>
          <w:rFonts w:hint="cs"/>
          <w:rtl/>
        </w:rPr>
        <w:t>מפורט לעיל</w:t>
      </w:r>
      <w:r>
        <w:rPr>
          <w:rFonts w:hint="cs"/>
          <w:rtl/>
        </w:rPr>
        <w:t xml:space="preserve">, למערער פוטנציאל לשיקום ואף בכך </w:t>
      </w:r>
      <w:r w:rsidR="002C71CD">
        <w:rPr>
          <w:rFonts w:hint="cs"/>
          <w:rtl/>
        </w:rPr>
        <w:t xml:space="preserve">ראוי להתחשב, בעת גזירת העונש בתוך המתחם (ע"פ 5634/16 </w:t>
      </w:r>
      <w:r w:rsidR="002C71CD">
        <w:rPr>
          <w:rFonts w:hint="cs"/>
          <w:b/>
          <w:bCs/>
          <w:rtl/>
        </w:rPr>
        <w:t>אור שחר נ' מדינת ישראל</w:t>
      </w:r>
      <w:r w:rsidR="002C71CD">
        <w:rPr>
          <w:rFonts w:hint="cs"/>
          <w:rtl/>
        </w:rPr>
        <w:t>, פסקה</w:t>
      </w:r>
      <w:r w:rsidR="005E62FC">
        <w:rPr>
          <w:rFonts w:hint="cs"/>
          <w:rtl/>
        </w:rPr>
        <w:t xml:space="preserve"> </w:t>
      </w:r>
      <w:r w:rsidR="002C71CD">
        <w:rPr>
          <w:rFonts w:hint="cs"/>
          <w:rtl/>
        </w:rPr>
        <w:t>13 (</w:t>
      </w:r>
      <w:r w:rsidR="00347E99">
        <w:rPr>
          <w:rFonts w:hint="cs"/>
          <w:rtl/>
        </w:rPr>
        <w:t xml:space="preserve">לא פורסם, </w:t>
      </w:r>
      <w:r w:rsidR="002C71CD">
        <w:rPr>
          <w:rFonts w:hint="cs"/>
          <w:rtl/>
        </w:rPr>
        <w:t xml:space="preserve">27.10.2016). </w:t>
      </w:r>
      <w:r w:rsidR="00904B43">
        <w:rPr>
          <w:rFonts w:hint="cs"/>
          <w:rtl/>
        </w:rPr>
        <w:t xml:space="preserve">עונשו של המערער עולה גם בקנה אחד עם </w:t>
      </w:r>
      <w:r>
        <w:rPr>
          <w:rFonts w:hint="cs"/>
          <w:rtl/>
        </w:rPr>
        <w:t xml:space="preserve">מדיניות </w:t>
      </w:r>
      <w:r w:rsidR="00904B43">
        <w:rPr>
          <w:rFonts w:hint="cs"/>
          <w:rtl/>
        </w:rPr>
        <w:t>הענישה</w:t>
      </w:r>
      <w:r>
        <w:rPr>
          <w:rFonts w:hint="cs"/>
          <w:rtl/>
        </w:rPr>
        <w:t xml:space="preserve">, כפי שהיא משתקפת </w:t>
      </w:r>
      <w:r w:rsidR="00904B43">
        <w:rPr>
          <w:rFonts w:hint="cs"/>
          <w:rtl/>
        </w:rPr>
        <w:t xml:space="preserve">בעניין </w:t>
      </w:r>
      <w:r w:rsidR="00904B43" w:rsidRPr="005A0103">
        <w:rPr>
          <w:rFonts w:hint="cs"/>
          <w:b/>
          <w:bCs/>
          <w:rtl/>
        </w:rPr>
        <w:t>יוסבאשויל</w:t>
      </w:r>
      <w:r w:rsidR="00904B43">
        <w:rPr>
          <w:rFonts w:hint="cs"/>
          <w:b/>
          <w:bCs/>
          <w:rtl/>
        </w:rPr>
        <w:t xml:space="preserve">י, </w:t>
      </w:r>
      <w:r w:rsidR="00904B43">
        <w:rPr>
          <w:rFonts w:hint="cs"/>
          <w:rtl/>
        </w:rPr>
        <w:t>שאוזכר לעיל</w:t>
      </w:r>
      <w:r w:rsidR="00265D17">
        <w:rPr>
          <w:rFonts w:hint="cs"/>
          <w:rtl/>
        </w:rPr>
        <w:t>, שנסיבותיו דומות במידה רבה לענייננו</w:t>
      </w:r>
      <w:r w:rsidR="005C2297">
        <w:rPr>
          <w:rFonts w:hint="cs"/>
          <w:rtl/>
        </w:rPr>
        <w:t xml:space="preserve"> </w:t>
      </w:r>
      <w:r w:rsidR="005C2297">
        <w:rPr>
          <w:rFonts w:hint="cs"/>
          <w:rtl/>
        </w:rPr>
        <w:lastRenderedPageBreak/>
        <w:t>(ואף עליו נגזר עונש של 12 חודשי מאסר</w:t>
      </w:r>
      <w:r>
        <w:rPr>
          <w:rFonts w:hint="cs"/>
          <w:rtl/>
        </w:rPr>
        <w:t xml:space="preserve"> בפועל</w:t>
      </w:r>
      <w:r w:rsidR="005C2297">
        <w:rPr>
          <w:rFonts w:hint="cs"/>
          <w:rtl/>
        </w:rPr>
        <w:t>, ברף התחתון של מתחם הע</w:t>
      </w:r>
      <w:r>
        <w:rPr>
          <w:rFonts w:hint="cs"/>
          <w:rtl/>
        </w:rPr>
        <w:t>ונש</w:t>
      </w:r>
      <w:r w:rsidR="005C2297">
        <w:rPr>
          <w:rFonts w:hint="cs"/>
          <w:rtl/>
        </w:rPr>
        <w:t xml:space="preserve"> שנקבע)</w:t>
      </w:r>
      <w:r w:rsidR="00F84F30">
        <w:rPr>
          <w:rFonts w:hint="cs"/>
          <w:rtl/>
        </w:rPr>
        <w:t>.</w:t>
      </w:r>
      <w:r w:rsidR="00265D17">
        <w:rPr>
          <w:rFonts w:hint="cs"/>
          <w:rtl/>
        </w:rPr>
        <w:t xml:space="preserve"> לפיכך</w:t>
      </w:r>
      <w:r w:rsidR="005C71F0">
        <w:rPr>
          <w:rFonts w:hint="cs"/>
          <w:rtl/>
        </w:rPr>
        <w:t xml:space="preserve">, </w:t>
      </w:r>
      <w:r w:rsidR="004406FA">
        <w:rPr>
          <w:rFonts w:hint="cs"/>
          <w:rtl/>
        </w:rPr>
        <w:t xml:space="preserve">אף </w:t>
      </w:r>
      <w:r w:rsidR="00265D17">
        <w:rPr>
          <w:rFonts w:hint="cs"/>
          <w:rtl/>
        </w:rPr>
        <w:t>אם עונש</w:t>
      </w:r>
      <w:r>
        <w:rPr>
          <w:rFonts w:hint="cs"/>
          <w:rtl/>
        </w:rPr>
        <w:t xml:space="preserve"> המאסר </w:t>
      </w:r>
      <w:r w:rsidR="004406FA">
        <w:rPr>
          <w:rFonts w:hint="cs"/>
          <w:rtl/>
        </w:rPr>
        <w:t xml:space="preserve">בפועל </w:t>
      </w:r>
      <w:r>
        <w:rPr>
          <w:rFonts w:hint="cs"/>
          <w:rtl/>
        </w:rPr>
        <w:t xml:space="preserve">בעניינו </w:t>
      </w:r>
      <w:r w:rsidR="00265D17">
        <w:rPr>
          <w:rFonts w:hint="cs"/>
          <w:rtl/>
        </w:rPr>
        <w:t xml:space="preserve">של המערער מקל </w:t>
      </w:r>
      <w:r>
        <w:rPr>
          <w:rFonts w:hint="cs"/>
          <w:rtl/>
        </w:rPr>
        <w:t>מעט</w:t>
      </w:r>
      <w:r w:rsidR="00265D17">
        <w:rPr>
          <w:rFonts w:hint="cs"/>
          <w:rtl/>
        </w:rPr>
        <w:t>, אין  מקום להתערב בו.</w:t>
      </w:r>
    </w:p>
    <w:p w14:paraId="4AA91688" w14:textId="7D03CD56" w:rsidR="00774EB4" w:rsidRPr="00774EB4" w:rsidRDefault="00265D17" w:rsidP="005E62FC">
      <w:pPr>
        <w:numPr>
          <w:ilvl w:val="0"/>
          <w:numId w:val="3"/>
        </w:numPr>
        <w:tabs>
          <w:tab w:val="left" w:pos="226"/>
        </w:tabs>
        <w:ind w:left="-58" w:firstLine="0"/>
        <w:rPr>
          <w:rFonts w:cs="Times New Roman"/>
          <w:color w:val="000000"/>
        </w:rPr>
      </w:pPr>
      <w:r>
        <w:rPr>
          <w:rFonts w:hint="cs"/>
          <w:rtl/>
        </w:rPr>
        <w:t>שונים הם פני הדברים ביחס לעתירת התביעה לחילוט רכבו של המערער. כידוע, תכליתה המרכז</w:t>
      </w:r>
      <w:r w:rsidR="00774EB4">
        <w:rPr>
          <w:rFonts w:hint="cs"/>
          <w:rtl/>
        </w:rPr>
        <w:t xml:space="preserve">ית של הוראת החילוט היא הרתעתית, במטרה לפגוע בתמריץ הכלכלי שיש לעבריין בביצוע העבירה (ע"פ 7464/21 </w:t>
      </w:r>
      <w:r w:rsidR="00774EB4">
        <w:rPr>
          <w:rFonts w:hint="cs"/>
          <w:b/>
          <w:bCs/>
          <w:rtl/>
        </w:rPr>
        <w:t xml:space="preserve">רוגוזניצקי נ' מדינת ישראל, </w:t>
      </w:r>
      <w:r w:rsidR="00774EB4">
        <w:rPr>
          <w:rFonts w:hint="cs"/>
          <w:rtl/>
        </w:rPr>
        <w:t>פסקה 23 (</w:t>
      </w:r>
      <w:r w:rsidR="00347E99">
        <w:rPr>
          <w:rFonts w:hint="cs"/>
          <w:rtl/>
        </w:rPr>
        <w:t xml:space="preserve">לא פורסם, </w:t>
      </w:r>
      <w:r w:rsidR="00774EB4">
        <w:rPr>
          <w:rFonts w:hint="cs"/>
          <w:rtl/>
        </w:rPr>
        <w:t>16.12.2021)</w:t>
      </w:r>
      <w:r w:rsidR="005C71F0">
        <w:rPr>
          <w:rFonts w:hint="cs"/>
          <w:rtl/>
        </w:rPr>
        <w:t>).</w:t>
      </w:r>
      <w:r w:rsidR="00774EB4">
        <w:rPr>
          <w:rFonts w:hint="cs"/>
          <w:rtl/>
        </w:rPr>
        <w:t xml:space="preserve"> </w:t>
      </w:r>
      <w:r>
        <w:rPr>
          <w:rFonts w:hint="cs"/>
          <w:rtl/>
        </w:rPr>
        <w:t>אף שהחילוט נושא אלמנטים עונשיים, הוא אינו נתפס כהליך עונשי מובהק או כאקט עונשי (</w:t>
      </w:r>
      <w:r w:rsidR="00774EB4">
        <w:rPr>
          <w:rFonts w:hint="cs"/>
          <w:rtl/>
        </w:rPr>
        <w:t xml:space="preserve">רע"פ 2675/17 </w:t>
      </w:r>
      <w:r w:rsidR="00774EB4" w:rsidRPr="00774EB4">
        <w:rPr>
          <w:rFonts w:hint="cs"/>
          <w:b/>
          <w:bCs/>
          <w:rtl/>
        </w:rPr>
        <w:t xml:space="preserve">ארצי נ' מדינת ישראל </w:t>
      </w:r>
      <w:r w:rsidR="00774EB4">
        <w:rPr>
          <w:rFonts w:hint="cs"/>
          <w:rtl/>
        </w:rPr>
        <w:t>(</w:t>
      </w:r>
      <w:r w:rsidR="00347E99">
        <w:rPr>
          <w:rFonts w:hint="cs"/>
          <w:rtl/>
        </w:rPr>
        <w:t xml:space="preserve">לא פורסם, </w:t>
      </w:r>
      <w:r w:rsidR="00774EB4">
        <w:rPr>
          <w:rFonts w:hint="cs"/>
          <w:rtl/>
        </w:rPr>
        <w:t>23.8.2017))</w:t>
      </w:r>
      <w:r w:rsidR="00D17928">
        <w:rPr>
          <w:rFonts w:hint="cs"/>
          <w:rtl/>
        </w:rPr>
        <w:t>; ו</w:t>
      </w:r>
      <w:r w:rsidR="00B87D7E">
        <w:rPr>
          <w:rFonts w:hint="cs"/>
          <w:rtl/>
        </w:rPr>
        <w:t xml:space="preserve">בהתאם, </w:t>
      </w:r>
      <w:r w:rsidR="00D17928">
        <w:rPr>
          <w:rFonts w:hint="cs"/>
          <w:rtl/>
        </w:rPr>
        <w:t xml:space="preserve">לא נקבע כי יש לבחון בעת החלטה על חילוט את מצבו הכלכלי של הנאשם (במובחן מהרכיב העונשי של הטלת קנס כספי - סעיף 40ח לחוק העונשין). </w:t>
      </w:r>
    </w:p>
    <w:p w14:paraId="53D24216" w14:textId="77777777" w:rsidR="00922DF1" w:rsidRPr="00922DF1" w:rsidRDefault="00D17928" w:rsidP="005E62FC">
      <w:pPr>
        <w:numPr>
          <w:ilvl w:val="0"/>
          <w:numId w:val="3"/>
        </w:numPr>
        <w:tabs>
          <w:tab w:val="left" w:pos="226"/>
        </w:tabs>
        <w:ind w:left="-58" w:firstLine="0"/>
        <w:rPr>
          <w:rFonts w:cs="Times New Roman"/>
          <w:color w:val="000000"/>
        </w:rPr>
      </w:pPr>
      <w:r>
        <w:rPr>
          <w:rFonts w:hint="cs"/>
          <w:rtl/>
        </w:rPr>
        <w:t>לאור האמור, לא ניתן לקבל את הנמקתו של בית הדין קמא</w:t>
      </w:r>
      <w:r w:rsidR="005C71F0">
        <w:rPr>
          <w:rFonts w:hint="cs"/>
          <w:rtl/>
        </w:rPr>
        <w:t xml:space="preserve"> </w:t>
      </w:r>
      <w:r>
        <w:rPr>
          <w:rFonts w:hint="cs"/>
          <w:rtl/>
        </w:rPr>
        <w:t>להימנע מחילוט</w:t>
      </w:r>
      <w:r w:rsidR="005C71F0">
        <w:rPr>
          <w:rFonts w:hint="cs"/>
          <w:rtl/>
        </w:rPr>
        <w:t>,</w:t>
      </w:r>
      <w:r>
        <w:rPr>
          <w:rFonts w:hint="cs"/>
          <w:rtl/>
        </w:rPr>
        <w:t xml:space="preserve"> </w:t>
      </w:r>
      <w:r w:rsidR="00B87D7E">
        <w:rPr>
          <w:rFonts w:hint="cs"/>
          <w:rtl/>
        </w:rPr>
        <w:t xml:space="preserve">מתוך התחשבות </w:t>
      </w:r>
      <w:r>
        <w:rPr>
          <w:rFonts w:hint="cs"/>
          <w:rtl/>
        </w:rPr>
        <w:t>ב</w:t>
      </w:r>
      <w:r w:rsidR="00B87D7E">
        <w:rPr>
          <w:rFonts w:hint="cs"/>
          <w:rtl/>
        </w:rPr>
        <w:t xml:space="preserve">משך </w:t>
      </w:r>
      <w:r>
        <w:rPr>
          <w:rFonts w:hint="cs"/>
          <w:rtl/>
        </w:rPr>
        <w:t xml:space="preserve">המאסר </w:t>
      </w:r>
      <w:r w:rsidR="00B87D7E">
        <w:rPr>
          <w:rFonts w:hint="cs"/>
          <w:rtl/>
        </w:rPr>
        <w:t xml:space="preserve">בפועל </w:t>
      </w:r>
      <w:r>
        <w:rPr>
          <w:rFonts w:hint="cs"/>
          <w:rtl/>
        </w:rPr>
        <w:t>ובנסיבותיו האישיות של המערער; מה גם שאותן נסיבות, כ</w:t>
      </w:r>
      <w:r w:rsidR="00C86141">
        <w:rPr>
          <w:rFonts w:hint="cs"/>
          <w:rtl/>
        </w:rPr>
        <w:t xml:space="preserve">מובא </w:t>
      </w:r>
      <w:r>
        <w:rPr>
          <w:rFonts w:hint="cs"/>
          <w:rtl/>
        </w:rPr>
        <w:t>בתסקיר, היו נכונות לשעתן, עת היה המערער מצוי בנתק ממשפחתו, ו</w:t>
      </w:r>
      <w:r w:rsidR="00C86141">
        <w:rPr>
          <w:rFonts w:hint="cs"/>
          <w:rtl/>
        </w:rPr>
        <w:t xml:space="preserve">הן אינן קיימות </w:t>
      </w:r>
      <w:r>
        <w:rPr>
          <w:rFonts w:hint="cs"/>
          <w:rtl/>
        </w:rPr>
        <w:t xml:space="preserve">היום. </w:t>
      </w:r>
    </w:p>
    <w:p w14:paraId="443E284C" w14:textId="30975D90" w:rsidR="00C86141" w:rsidRPr="00DF7EB1" w:rsidRDefault="00D17928" w:rsidP="005E62FC">
      <w:pPr>
        <w:numPr>
          <w:ilvl w:val="0"/>
          <w:numId w:val="3"/>
        </w:numPr>
        <w:tabs>
          <w:tab w:val="left" w:pos="226"/>
        </w:tabs>
        <w:ind w:left="-58" w:firstLine="0"/>
        <w:rPr>
          <w:rFonts w:cs="Times New Roman"/>
          <w:color w:val="000000"/>
        </w:rPr>
      </w:pPr>
      <w:r>
        <w:rPr>
          <w:rFonts w:hint="cs"/>
          <w:rtl/>
        </w:rPr>
        <w:t>גם ההנמקה</w:t>
      </w:r>
      <w:r w:rsidR="005C71F0">
        <w:rPr>
          <w:rFonts w:hint="cs"/>
          <w:rtl/>
        </w:rPr>
        <w:t>,</w:t>
      </w:r>
      <w:r>
        <w:rPr>
          <w:rFonts w:hint="cs"/>
          <w:rtl/>
        </w:rPr>
        <w:t xml:space="preserve"> </w:t>
      </w:r>
      <w:r w:rsidR="005C71F0">
        <w:rPr>
          <w:rFonts w:hint="cs"/>
          <w:rtl/>
        </w:rPr>
        <w:t>ש</w:t>
      </w:r>
      <w:r>
        <w:rPr>
          <w:rFonts w:hint="cs"/>
          <w:rtl/>
        </w:rPr>
        <w:t xml:space="preserve">לפיה </w:t>
      </w:r>
      <w:r w:rsidR="00922DF1">
        <w:rPr>
          <w:rFonts w:hint="cs"/>
          <w:rtl/>
        </w:rPr>
        <w:t xml:space="preserve">לא הובהר </w:t>
      </w:r>
      <w:r>
        <w:rPr>
          <w:rFonts w:hint="cs"/>
          <w:rtl/>
        </w:rPr>
        <w:t>טיב הקשר בין הרכב לבין מימוש שאיפתו של המערער למכור את הרימונים</w:t>
      </w:r>
      <w:r w:rsidR="005C71F0">
        <w:rPr>
          <w:rFonts w:hint="cs"/>
          <w:rtl/>
        </w:rPr>
        <w:t>,</w:t>
      </w:r>
      <w:r>
        <w:rPr>
          <w:rFonts w:hint="cs"/>
          <w:rtl/>
        </w:rPr>
        <w:t xml:space="preserve"> אינה יכולה לעמוד. המערער נעצר על ידי משטרת ישראל בעת שהובי</w:t>
      </w:r>
      <w:r w:rsidR="00922DF1">
        <w:rPr>
          <w:rFonts w:hint="cs"/>
          <w:rtl/>
        </w:rPr>
        <w:t xml:space="preserve">ל את הרימונים ברכבו, לאחר שהוציא אותם מהמקום </w:t>
      </w:r>
      <w:r w:rsidR="005C71F0">
        <w:rPr>
          <w:rFonts w:hint="cs"/>
          <w:rtl/>
        </w:rPr>
        <w:t>ש</w:t>
      </w:r>
      <w:r w:rsidR="00922DF1">
        <w:rPr>
          <w:rFonts w:hint="cs"/>
          <w:rtl/>
        </w:rPr>
        <w:t>בו הטמינם קודם לכן. אף אם ניתן היה</w:t>
      </w:r>
      <w:r w:rsidR="005C71F0">
        <w:rPr>
          <w:rFonts w:hint="cs"/>
          <w:rtl/>
        </w:rPr>
        <w:t>,</w:t>
      </w:r>
      <w:r w:rsidR="00922DF1">
        <w:rPr>
          <w:rFonts w:hint="cs"/>
          <w:rtl/>
        </w:rPr>
        <w:t xml:space="preserve"> מבחינה טכנית</w:t>
      </w:r>
      <w:r w:rsidR="005C71F0">
        <w:rPr>
          <w:rFonts w:hint="cs"/>
          <w:rtl/>
        </w:rPr>
        <w:t>,</w:t>
      </w:r>
      <w:r w:rsidR="00922DF1">
        <w:rPr>
          <w:rFonts w:hint="cs"/>
          <w:rtl/>
        </w:rPr>
        <w:t xml:space="preserve"> להוביל את הרימונים בתחבורה ציבורית, כהנמקת בית הדין קמא, ברי כי התניידות עם אמצעי לחימה במקומות ציבוריים, </w:t>
      </w:r>
      <w:r w:rsidR="00C86141">
        <w:rPr>
          <w:rFonts w:hint="cs"/>
          <w:rtl/>
        </w:rPr>
        <w:t>ש</w:t>
      </w:r>
      <w:r w:rsidR="00922DF1">
        <w:rPr>
          <w:rFonts w:hint="cs"/>
          <w:rtl/>
        </w:rPr>
        <w:t xml:space="preserve">בחלקם </w:t>
      </w:r>
      <w:r w:rsidR="00C86141">
        <w:rPr>
          <w:rFonts w:hint="cs"/>
          <w:rtl/>
        </w:rPr>
        <w:t xml:space="preserve">מתקיימות </w:t>
      </w:r>
      <w:r w:rsidR="00922DF1">
        <w:rPr>
          <w:rFonts w:hint="cs"/>
          <w:rtl/>
        </w:rPr>
        <w:t>בדיקות ב</w:t>
      </w:r>
      <w:r w:rsidR="005039FE">
        <w:rPr>
          <w:rFonts w:hint="cs"/>
          <w:rtl/>
        </w:rPr>
        <w:t>י</w:t>
      </w:r>
      <w:r w:rsidR="00922DF1">
        <w:rPr>
          <w:rFonts w:hint="cs"/>
          <w:rtl/>
        </w:rPr>
        <w:t xml:space="preserve">טחוניות (כגון </w:t>
      </w:r>
      <w:r w:rsidR="005039FE">
        <w:rPr>
          <w:rFonts w:hint="cs"/>
          <w:rtl/>
        </w:rPr>
        <w:t>בתחנות רכבת</w:t>
      </w:r>
      <w:r w:rsidR="00922DF1">
        <w:rPr>
          <w:rFonts w:hint="cs"/>
          <w:rtl/>
        </w:rPr>
        <w:t xml:space="preserve">) </w:t>
      </w:r>
      <w:r w:rsidR="00C86141">
        <w:rPr>
          <w:rFonts w:hint="cs"/>
          <w:rtl/>
        </w:rPr>
        <w:t>- א</w:t>
      </w:r>
      <w:r w:rsidR="005039FE">
        <w:rPr>
          <w:rFonts w:hint="cs"/>
          <w:rtl/>
        </w:rPr>
        <w:t>ינה נטולת סיכונים למבצע העבירה</w:t>
      </w:r>
      <w:r w:rsidR="00922DF1">
        <w:rPr>
          <w:rFonts w:hint="cs"/>
          <w:rtl/>
        </w:rPr>
        <w:t>. מכאן שיש טעם בטענת התביעה</w:t>
      </w:r>
      <w:r w:rsidR="005039FE">
        <w:rPr>
          <w:rFonts w:hint="cs"/>
          <w:rtl/>
        </w:rPr>
        <w:t>,</w:t>
      </w:r>
      <w:r w:rsidR="00922DF1">
        <w:rPr>
          <w:rFonts w:hint="cs"/>
          <w:rtl/>
        </w:rPr>
        <w:t xml:space="preserve"> </w:t>
      </w:r>
      <w:r w:rsidR="005039FE">
        <w:rPr>
          <w:rFonts w:hint="cs"/>
          <w:rtl/>
        </w:rPr>
        <w:t>ש</w:t>
      </w:r>
      <w:r w:rsidR="00922DF1">
        <w:rPr>
          <w:rFonts w:hint="cs"/>
          <w:rtl/>
        </w:rPr>
        <w:t xml:space="preserve">לפיה כלי הרכב </w:t>
      </w:r>
      <w:r w:rsidR="00C86141">
        <w:rPr>
          <w:rFonts w:hint="cs"/>
          <w:rtl/>
        </w:rPr>
        <w:t>היה אמצעי מרכזי ב</w:t>
      </w:r>
      <w:r w:rsidR="00922DF1">
        <w:rPr>
          <w:rFonts w:hint="cs"/>
          <w:rtl/>
        </w:rPr>
        <w:t xml:space="preserve">ביצוע העבירה; וחילוט רכוש ששימש כאמצעי לביצוע העבירה, עולה בקנה אחד עם התכלית ההרתעתית העומדת בבסיסו ומוצדק </w:t>
      </w:r>
      <w:r w:rsidR="00C86141">
        <w:rPr>
          <w:rFonts w:hint="cs"/>
          <w:rtl/>
        </w:rPr>
        <w:t xml:space="preserve">אף </w:t>
      </w:r>
      <w:r w:rsidR="00922DF1">
        <w:rPr>
          <w:rFonts w:hint="cs"/>
          <w:rtl/>
        </w:rPr>
        <w:t xml:space="preserve">אם העבריין לא הפיק רווח טרם </w:t>
      </w:r>
      <w:r w:rsidR="005039FE">
        <w:rPr>
          <w:rFonts w:hint="cs"/>
          <w:rtl/>
        </w:rPr>
        <w:t>ש</w:t>
      </w:r>
      <w:r w:rsidR="00922DF1">
        <w:rPr>
          <w:rFonts w:hint="cs"/>
          <w:rtl/>
        </w:rPr>
        <w:t xml:space="preserve">סוכלה מזימתו (ע"פ 8312/17 </w:t>
      </w:r>
      <w:r w:rsidR="00922DF1">
        <w:rPr>
          <w:rFonts w:hint="cs"/>
          <w:b/>
          <w:bCs/>
          <w:rtl/>
        </w:rPr>
        <w:t>ברהמי נ' מדינת ישראל</w:t>
      </w:r>
      <w:r w:rsidR="00922DF1">
        <w:rPr>
          <w:rFonts w:hint="cs"/>
          <w:rtl/>
        </w:rPr>
        <w:t>, פסקה 36 (</w:t>
      </w:r>
      <w:r w:rsidR="00347E99">
        <w:rPr>
          <w:rFonts w:hint="cs"/>
          <w:rtl/>
        </w:rPr>
        <w:t xml:space="preserve">לא פורסם, </w:t>
      </w:r>
      <w:r w:rsidR="00922DF1">
        <w:rPr>
          <w:rFonts w:hint="cs"/>
          <w:rtl/>
        </w:rPr>
        <w:t xml:space="preserve">17.4.2018)). לפיכך, מצאנו לקבל את ערעור התביעה בהיבט זה ולהורות על חילוט רכבו של המערער. </w:t>
      </w:r>
    </w:p>
    <w:p w14:paraId="1F9CD170" w14:textId="77777777" w:rsidR="00922DF1" w:rsidRPr="00922DF1" w:rsidRDefault="00C86141" w:rsidP="005E62FC">
      <w:pPr>
        <w:numPr>
          <w:ilvl w:val="0"/>
          <w:numId w:val="3"/>
        </w:numPr>
        <w:tabs>
          <w:tab w:val="left" w:pos="226"/>
        </w:tabs>
        <w:ind w:left="-58" w:firstLine="0"/>
        <w:rPr>
          <w:rFonts w:cs="Times New Roman"/>
          <w:color w:val="000000"/>
        </w:rPr>
      </w:pPr>
      <w:r>
        <w:rPr>
          <w:rFonts w:hint="cs"/>
          <w:rtl/>
        </w:rPr>
        <w:t xml:space="preserve">לצד זאת, </w:t>
      </w:r>
      <w:r w:rsidR="00922DF1">
        <w:rPr>
          <w:rFonts w:hint="cs"/>
          <w:rtl/>
        </w:rPr>
        <w:t>בנסיבות העניין, משהרימונים הו</w:t>
      </w:r>
      <w:r>
        <w:rPr>
          <w:rFonts w:hint="cs"/>
          <w:rtl/>
        </w:rPr>
        <w:t xml:space="preserve">שבו </w:t>
      </w:r>
      <w:r w:rsidR="00922DF1">
        <w:rPr>
          <w:rFonts w:hint="cs"/>
          <w:rtl/>
        </w:rPr>
        <w:t>לרשות הצבא</w:t>
      </w:r>
      <w:r>
        <w:rPr>
          <w:rFonts w:hint="cs"/>
          <w:rtl/>
        </w:rPr>
        <w:t>, בשים לב לתמהיל העונש הכולל</w:t>
      </w:r>
      <w:r w:rsidR="00922DF1">
        <w:rPr>
          <w:rFonts w:hint="cs"/>
          <w:rtl/>
        </w:rPr>
        <w:t xml:space="preserve"> ומתוך </w:t>
      </w:r>
      <w:r w:rsidR="005039FE">
        <w:rPr>
          <w:rFonts w:hint="cs"/>
          <w:rtl/>
        </w:rPr>
        <w:t>שערכאת הערעור אינה ממצה את הדין בקבלת ערעור התביעה</w:t>
      </w:r>
      <w:r w:rsidR="00922DF1">
        <w:rPr>
          <w:rFonts w:hint="cs"/>
          <w:rtl/>
        </w:rPr>
        <w:t xml:space="preserve">, מצאנו שלא להוסיף ולהטיל </w:t>
      </w:r>
      <w:r w:rsidR="005039FE">
        <w:rPr>
          <w:rFonts w:hint="cs"/>
          <w:rtl/>
        </w:rPr>
        <w:t xml:space="preserve">על המערער </w:t>
      </w:r>
      <w:r w:rsidR="00922DF1">
        <w:rPr>
          <w:rFonts w:hint="cs"/>
          <w:rtl/>
        </w:rPr>
        <w:t xml:space="preserve">קנס כספי. </w:t>
      </w:r>
    </w:p>
    <w:p w14:paraId="5E1B89C1" w14:textId="77777777" w:rsidR="009D3691" w:rsidRPr="00DF7EB1" w:rsidRDefault="00922DF1" w:rsidP="005E62FC">
      <w:pPr>
        <w:numPr>
          <w:ilvl w:val="0"/>
          <w:numId w:val="3"/>
        </w:numPr>
        <w:tabs>
          <w:tab w:val="left" w:pos="226"/>
        </w:tabs>
        <w:ind w:left="-58" w:firstLine="0"/>
        <w:rPr>
          <w:rFonts w:cs="Times New Roman"/>
          <w:color w:val="000000"/>
          <w:rtl/>
        </w:rPr>
      </w:pPr>
      <w:r>
        <w:rPr>
          <w:rFonts w:hint="cs"/>
          <w:rtl/>
        </w:rPr>
        <w:t xml:space="preserve">סוף דבר, שני הערעורים </w:t>
      </w:r>
      <w:r w:rsidR="00C86141">
        <w:rPr>
          <w:rFonts w:hint="cs"/>
          <w:rtl/>
        </w:rPr>
        <w:t xml:space="preserve">על העונש </w:t>
      </w:r>
      <w:r>
        <w:rPr>
          <w:rFonts w:hint="cs"/>
          <w:rtl/>
        </w:rPr>
        <w:t>נדח</w:t>
      </w:r>
      <w:r w:rsidR="00162592">
        <w:rPr>
          <w:rFonts w:hint="cs"/>
          <w:rtl/>
        </w:rPr>
        <w:t>ים</w:t>
      </w:r>
      <w:r w:rsidR="00DF7EB1">
        <w:rPr>
          <w:rFonts w:hint="cs"/>
          <w:rtl/>
        </w:rPr>
        <w:t>.</w:t>
      </w:r>
      <w:r w:rsidR="00162592">
        <w:rPr>
          <w:rFonts w:hint="cs"/>
          <w:rtl/>
        </w:rPr>
        <w:t xml:space="preserve"> העונש שנגזר בבית הדין קמא </w:t>
      </w:r>
      <w:r w:rsidR="005039FE">
        <w:rPr>
          <w:rFonts w:hint="cs"/>
          <w:rtl/>
        </w:rPr>
        <w:t xml:space="preserve">יישאר </w:t>
      </w:r>
      <w:r w:rsidR="00162592">
        <w:rPr>
          <w:rFonts w:hint="cs"/>
          <w:rtl/>
        </w:rPr>
        <w:t>על כנו</w:t>
      </w:r>
      <w:r w:rsidR="00DF7EB1">
        <w:rPr>
          <w:rFonts w:hint="cs"/>
          <w:rtl/>
        </w:rPr>
        <w:t xml:space="preserve">, ואנו מורים על חילוט </w:t>
      </w:r>
      <w:r w:rsidR="00162592">
        <w:rPr>
          <w:rFonts w:hint="cs"/>
          <w:rtl/>
        </w:rPr>
        <w:t>רכבו של המערער, מסוג סיטרואן, מספר רישוי 48-388-73</w:t>
      </w:r>
      <w:r w:rsidR="00DF7EB1">
        <w:rPr>
          <w:rFonts w:hint="cs"/>
          <w:rtl/>
        </w:rPr>
        <w:t>.</w:t>
      </w:r>
      <w:r w:rsidR="005039FE">
        <w:rPr>
          <w:rFonts w:hint="cs"/>
          <w:rtl/>
        </w:rPr>
        <w:t xml:space="preserve"> </w:t>
      </w:r>
    </w:p>
    <w:p w14:paraId="6180A9AC" w14:textId="77777777" w:rsidR="00162592" w:rsidRPr="001D1621" w:rsidRDefault="00162592" w:rsidP="00844363">
      <w:pPr>
        <w:spacing w:line="348" w:lineRule="auto"/>
        <w:outlineLvl w:val="0"/>
        <w:rPr>
          <w:sz w:val="10"/>
          <w:szCs w:val="10"/>
          <w:rtl/>
        </w:rPr>
      </w:pPr>
    </w:p>
    <w:p w14:paraId="5729619F" w14:textId="7CB06DE2" w:rsidR="00162592" w:rsidRDefault="00162592" w:rsidP="00347E99">
      <w:pPr>
        <w:spacing w:line="348" w:lineRule="auto"/>
        <w:ind w:left="-58"/>
        <w:jc w:val="left"/>
        <w:outlineLvl w:val="0"/>
        <w:rPr>
          <w:rtl/>
        </w:rPr>
      </w:pPr>
      <w:r w:rsidRPr="00D963EB">
        <w:rPr>
          <w:rFonts w:hint="cs"/>
          <w:rtl/>
        </w:rPr>
        <w:lastRenderedPageBreak/>
        <w:t xml:space="preserve">ניתן </w:t>
      </w:r>
      <w:r>
        <w:rPr>
          <w:rFonts w:hint="cs"/>
          <w:rtl/>
        </w:rPr>
        <w:t xml:space="preserve">והודע </w:t>
      </w:r>
      <w:r w:rsidRPr="00D963EB">
        <w:rPr>
          <w:rFonts w:hint="cs"/>
          <w:rtl/>
        </w:rPr>
        <w:t>היום,</w:t>
      </w:r>
      <w:r>
        <w:rPr>
          <w:rFonts w:hint="cs"/>
          <w:rtl/>
        </w:rPr>
        <w:t xml:space="preserve"> </w:t>
      </w:r>
      <w:r w:rsidR="004C76B0">
        <w:rPr>
          <w:rFonts w:hint="cs"/>
          <w:rtl/>
        </w:rPr>
        <w:t xml:space="preserve">23 </w:t>
      </w:r>
      <w:r>
        <w:rPr>
          <w:rFonts w:hint="cs"/>
          <w:rtl/>
        </w:rPr>
        <w:t>במארס 2022</w:t>
      </w:r>
      <w:r w:rsidRPr="00D963EB">
        <w:rPr>
          <w:rFonts w:hint="cs"/>
          <w:rtl/>
        </w:rPr>
        <w:t xml:space="preserve">, בפומבי ובמעמד הצדדים. </w:t>
      </w:r>
    </w:p>
    <w:p w14:paraId="17745F08" w14:textId="77777777" w:rsidR="00AA66CF" w:rsidRDefault="00AA66CF" w:rsidP="00347E99">
      <w:pPr>
        <w:spacing w:line="348" w:lineRule="auto"/>
        <w:ind w:left="-58"/>
        <w:jc w:val="left"/>
        <w:outlineLvl w:val="0"/>
        <w:rPr>
          <w:rtl/>
        </w:rPr>
      </w:pPr>
    </w:p>
    <w:p w14:paraId="4846D930" w14:textId="77777777" w:rsidR="00162592" w:rsidRPr="004B333D" w:rsidRDefault="00162592" w:rsidP="00844363">
      <w:pPr>
        <w:tabs>
          <w:tab w:val="center" w:pos="1599"/>
          <w:tab w:val="center" w:pos="4150"/>
          <w:tab w:val="center" w:pos="6702"/>
        </w:tabs>
        <w:spacing w:line="348" w:lineRule="auto"/>
        <w:rPr>
          <w:b/>
          <w:bCs/>
          <w:rtl/>
        </w:rPr>
      </w:pPr>
      <w:r w:rsidRPr="004B333D">
        <w:rPr>
          <w:rFonts w:hint="cs"/>
          <w:b/>
          <w:bCs/>
          <w:rtl/>
        </w:rPr>
        <w:tab/>
      </w:r>
      <w:r w:rsidRPr="004B333D">
        <w:rPr>
          <w:b/>
          <w:bCs/>
          <w:rtl/>
        </w:rPr>
        <w:t>______________</w:t>
      </w:r>
      <w:r w:rsidRPr="004B333D">
        <w:rPr>
          <w:rFonts w:hint="cs"/>
          <w:b/>
          <w:bCs/>
          <w:rtl/>
        </w:rPr>
        <w:tab/>
      </w:r>
      <w:r w:rsidRPr="004B333D">
        <w:rPr>
          <w:b/>
          <w:bCs/>
          <w:rtl/>
        </w:rPr>
        <w:t>______________</w:t>
      </w:r>
      <w:r w:rsidRPr="004B333D">
        <w:rPr>
          <w:rFonts w:hint="cs"/>
          <w:b/>
          <w:bCs/>
          <w:rtl/>
        </w:rPr>
        <w:tab/>
      </w:r>
      <w:r w:rsidRPr="004B333D">
        <w:rPr>
          <w:b/>
          <w:bCs/>
          <w:rtl/>
        </w:rPr>
        <w:t>______________</w:t>
      </w:r>
    </w:p>
    <w:p w14:paraId="62469966" w14:textId="7F83C1D8" w:rsidR="00162592" w:rsidRDefault="00162592" w:rsidP="00844363">
      <w:pPr>
        <w:tabs>
          <w:tab w:val="center" w:pos="1599"/>
          <w:tab w:val="center" w:pos="4150"/>
          <w:tab w:val="center" w:pos="6702"/>
        </w:tabs>
        <w:spacing w:line="348" w:lineRule="auto"/>
        <w:rPr>
          <w:b/>
          <w:bCs/>
          <w:rtl/>
        </w:rPr>
      </w:pPr>
      <w:r w:rsidRPr="004B333D">
        <w:rPr>
          <w:rFonts w:hint="cs"/>
          <w:b/>
          <w:bCs/>
          <w:rtl/>
        </w:rPr>
        <w:tab/>
      </w:r>
      <w:r w:rsidR="00AA66CF">
        <w:rPr>
          <w:rFonts w:hint="cs"/>
          <w:b/>
          <w:bCs/>
          <w:rtl/>
        </w:rPr>
        <w:t>ה</w:t>
      </w:r>
      <w:r>
        <w:rPr>
          <w:rFonts w:hint="cs"/>
          <w:b/>
          <w:bCs/>
          <w:rtl/>
        </w:rPr>
        <w:t>נשיאה</w:t>
      </w:r>
      <w:r w:rsidRPr="004B333D">
        <w:rPr>
          <w:rFonts w:hint="cs"/>
          <w:b/>
          <w:bCs/>
          <w:rtl/>
        </w:rPr>
        <w:tab/>
      </w:r>
      <w:r>
        <w:rPr>
          <w:rFonts w:hint="cs"/>
          <w:b/>
          <w:bCs/>
          <w:rtl/>
        </w:rPr>
        <w:t>שופטת</w:t>
      </w:r>
      <w:r w:rsidRPr="004B333D">
        <w:rPr>
          <w:rFonts w:hint="cs"/>
          <w:b/>
          <w:bCs/>
          <w:rtl/>
        </w:rPr>
        <w:tab/>
      </w:r>
      <w:r w:rsidRPr="004B333D">
        <w:rPr>
          <w:b/>
          <w:bCs/>
          <w:rtl/>
        </w:rPr>
        <w:t>שופט</w:t>
      </w:r>
      <w:r>
        <w:rPr>
          <w:rFonts w:hint="cs"/>
          <w:b/>
          <w:bCs/>
          <w:rtl/>
        </w:rPr>
        <w:t>ת</w:t>
      </w:r>
    </w:p>
    <w:p w14:paraId="2746DD87" w14:textId="64AD503E" w:rsidR="001D1621" w:rsidRPr="001D1621" w:rsidRDefault="001D1621" w:rsidP="001D1621">
      <w:pPr>
        <w:rPr>
          <w:rtl/>
        </w:rPr>
      </w:pPr>
    </w:p>
    <w:p w14:paraId="67EC504F" w14:textId="6FD1D537" w:rsidR="001D1621" w:rsidRDefault="001D1621" w:rsidP="001D1621">
      <w:pPr>
        <w:rPr>
          <w:b/>
          <w:bCs/>
          <w:rtl/>
        </w:rPr>
      </w:pPr>
      <w:bookmarkStart w:id="4" w:name="_Hlk100497065"/>
    </w:p>
    <w:p w14:paraId="08A840AC" w14:textId="6B643CF7" w:rsidR="001D1621" w:rsidRPr="001D1621" w:rsidRDefault="001D1621" w:rsidP="001D1621">
      <w:pPr>
        <w:outlineLvl w:val="0"/>
        <w:rPr>
          <w:b/>
          <w:bCs/>
          <w:rtl/>
        </w:rPr>
      </w:pPr>
      <w:r w:rsidRPr="001D1621">
        <w:rPr>
          <w:rFonts w:hint="eastAsia"/>
          <w:b/>
          <w:bCs/>
          <w:rtl/>
        </w:rPr>
        <w:t>חתימת</w:t>
      </w:r>
      <w:r w:rsidRPr="001D1621">
        <w:rPr>
          <w:b/>
          <w:bCs/>
          <w:rtl/>
        </w:rPr>
        <w:t xml:space="preserve"> </w:t>
      </w:r>
      <w:r w:rsidRPr="001D1621">
        <w:rPr>
          <w:rFonts w:hint="eastAsia"/>
          <w:b/>
          <w:bCs/>
          <w:rtl/>
        </w:rPr>
        <w:t>המגיה</w:t>
      </w:r>
      <w:r w:rsidRPr="001D1621">
        <w:rPr>
          <w:b/>
          <w:bCs/>
          <w:rtl/>
        </w:rPr>
        <w:t>: _________________</w:t>
      </w:r>
      <w:r w:rsidRPr="001D1621">
        <w:rPr>
          <w:rFonts w:hint="cs"/>
          <w:b/>
          <w:bCs/>
          <w:rtl/>
        </w:rPr>
        <w:tab/>
        <w:t xml:space="preserve">           </w:t>
      </w:r>
      <w:r w:rsidRPr="001D1621">
        <w:rPr>
          <w:rFonts w:hint="eastAsia"/>
          <w:b/>
          <w:bCs/>
          <w:rtl/>
        </w:rPr>
        <w:t>העתק</w:t>
      </w:r>
      <w:r w:rsidRPr="001D1621">
        <w:rPr>
          <w:rFonts w:hint="cs"/>
          <w:b/>
          <w:bCs/>
          <w:rtl/>
        </w:rPr>
        <w:t xml:space="preserve">           </w:t>
      </w:r>
      <w:r w:rsidRPr="001D1621">
        <w:rPr>
          <w:rFonts w:hint="eastAsia"/>
          <w:b/>
          <w:bCs/>
          <w:rtl/>
        </w:rPr>
        <w:t>נאמן</w:t>
      </w:r>
      <w:r w:rsidRPr="001D1621">
        <w:rPr>
          <w:b/>
          <w:bCs/>
          <w:rtl/>
        </w:rPr>
        <w:t xml:space="preserve"> </w:t>
      </w:r>
      <w:r w:rsidRPr="001D1621">
        <w:rPr>
          <w:rFonts w:hint="cs"/>
          <w:b/>
          <w:bCs/>
          <w:rtl/>
        </w:rPr>
        <w:t xml:space="preserve">            </w:t>
      </w:r>
      <w:r w:rsidRPr="001D1621">
        <w:rPr>
          <w:rFonts w:hint="eastAsia"/>
          <w:b/>
          <w:bCs/>
          <w:rtl/>
        </w:rPr>
        <w:t>למקור</w:t>
      </w:r>
      <w:r w:rsidRPr="001D1621">
        <w:rPr>
          <w:rFonts w:hint="cs"/>
          <w:b/>
          <w:bCs/>
          <w:rtl/>
        </w:rPr>
        <w:br/>
      </w:r>
      <w:r w:rsidRPr="001D1621">
        <w:rPr>
          <w:rFonts w:hint="cs"/>
          <w:b/>
          <w:bCs/>
          <w:rtl/>
        </w:rPr>
        <w:tab/>
        <w:t xml:space="preserve">                                                                     </w:t>
      </w:r>
      <w:r w:rsidR="00AA66CF">
        <w:rPr>
          <w:rFonts w:hint="cs"/>
          <w:b/>
          <w:bCs/>
          <w:rtl/>
        </w:rPr>
        <w:t>רס"ל</w:t>
      </w:r>
      <w:r w:rsidRPr="001D1621">
        <w:rPr>
          <w:rFonts w:hint="cs"/>
          <w:b/>
          <w:bCs/>
          <w:rtl/>
        </w:rPr>
        <w:t xml:space="preserve">       עדי         לביא</w:t>
      </w:r>
      <w:r w:rsidRPr="001D1621">
        <w:rPr>
          <w:rFonts w:hint="cs"/>
          <w:b/>
          <w:bCs/>
          <w:rtl/>
        </w:rPr>
        <w:br/>
      </w:r>
      <w:r w:rsidRPr="001D1621">
        <w:rPr>
          <w:rFonts w:hint="eastAsia"/>
          <w:b/>
          <w:bCs/>
          <w:rtl/>
        </w:rPr>
        <w:t>תאריך</w:t>
      </w:r>
      <w:r w:rsidRPr="001D1621">
        <w:rPr>
          <w:b/>
          <w:bCs/>
          <w:rtl/>
        </w:rPr>
        <w:t>: ______________________</w:t>
      </w:r>
      <w:r w:rsidRPr="001D1621">
        <w:rPr>
          <w:rFonts w:hint="cs"/>
          <w:b/>
          <w:bCs/>
          <w:rtl/>
        </w:rPr>
        <w:tab/>
        <w:t xml:space="preserve">           קצינת            בית                    הדין</w:t>
      </w:r>
    </w:p>
    <w:bookmarkEnd w:id="4"/>
    <w:p w14:paraId="5FED9C1C" w14:textId="39C5C8A6" w:rsidR="001D1621" w:rsidRPr="001D1621" w:rsidRDefault="001D1621" w:rsidP="001D1621">
      <w:pPr>
        <w:tabs>
          <w:tab w:val="left" w:pos="2828"/>
        </w:tabs>
        <w:rPr>
          <w:rtl/>
        </w:rPr>
      </w:pPr>
    </w:p>
    <w:sectPr w:rsidR="001D1621" w:rsidRPr="001D1621" w:rsidSect="00316697">
      <w:headerReference w:type="default" r:id="rId10"/>
      <w:footerReference w:type="even"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90F52" w14:textId="77777777" w:rsidR="008309A9" w:rsidRDefault="008309A9">
      <w:r>
        <w:separator/>
      </w:r>
    </w:p>
  </w:endnote>
  <w:endnote w:type="continuationSeparator" w:id="0">
    <w:p w14:paraId="78CDB385" w14:textId="77777777" w:rsidR="008309A9" w:rsidRDefault="00830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E00E" w14:textId="77777777" w:rsidR="009F6EFA" w:rsidRDefault="009F6EFA" w:rsidP="00F15DD8">
    <w:pPr>
      <w:pStyle w:val="a4"/>
      <w:framePr w:wrap="around" w:vAnchor="text" w:hAnchor="text" w:xAlign="center" w:y="1"/>
      <w:rPr>
        <w:rStyle w:val="a5"/>
      </w:rPr>
    </w:pPr>
    <w:r>
      <w:rPr>
        <w:rStyle w:val="a5"/>
        <w:rtl/>
      </w:rPr>
      <w:fldChar w:fldCharType="begin"/>
    </w:r>
    <w:r>
      <w:rPr>
        <w:rStyle w:val="a5"/>
      </w:rPr>
      <w:instrText>PAGE</w:instrText>
    </w:r>
    <w:r>
      <w:rPr>
        <w:rStyle w:val="a5"/>
        <w:rtl/>
      </w:rPr>
      <w:fldChar w:fldCharType="end"/>
    </w:r>
  </w:p>
  <w:p w14:paraId="5FEB3F5E" w14:textId="77777777" w:rsidR="009F6EFA" w:rsidRDefault="009F6EF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AC7D" w14:textId="77777777" w:rsidR="009F6EFA" w:rsidRPr="005E62FC" w:rsidRDefault="009F6EFA" w:rsidP="00F15DD8">
    <w:pPr>
      <w:pStyle w:val="a4"/>
      <w:framePr w:wrap="around" w:vAnchor="text" w:hAnchor="text" w:xAlign="center" w:y="1"/>
      <w:rPr>
        <w:rStyle w:val="a5"/>
        <w:rFonts w:ascii="David" w:hAnsi="David"/>
      </w:rPr>
    </w:pPr>
    <w:r w:rsidRPr="005E62FC">
      <w:rPr>
        <w:rStyle w:val="a5"/>
        <w:rFonts w:ascii="David" w:hAnsi="David"/>
        <w:rtl/>
      </w:rPr>
      <w:fldChar w:fldCharType="begin"/>
    </w:r>
    <w:r w:rsidRPr="005E62FC">
      <w:rPr>
        <w:rStyle w:val="a5"/>
        <w:rFonts w:ascii="David" w:hAnsi="David"/>
      </w:rPr>
      <w:instrText>PAGE</w:instrText>
    </w:r>
    <w:r w:rsidRPr="005E62FC">
      <w:rPr>
        <w:rStyle w:val="a5"/>
        <w:rFonts w:ascii="David" w:hAnsi="David"/>
        <w:rtl/>
      </w:rPr>
      <w:fldChar w:fldCharType="separate"/>
    </w:r>
    <w:r w:rsidR="00025F06" w:rsidRPr="005E62FC">
      <w:rPr>
        <w:rStyle w:val="a5"/>
        <w:rFonts w:ascii="David" w:hAnsi="David"/>
        <w:noProof/>
        <w:rtl/>
      </w:rPr>
      <w:t>9</w:t>
    </w:r>
    <w:r w:rsidRPr="005E62FC">
      <w:rPr>
        <w:rStyle w:val="a5"/>
        <w:rFonts w:ascii="David" w:hAnsi="David"/>
        <w:rtl/>
      </w:rPr>
      <w:fldChar w:fldCharType="end"/>
    </w:r>
  </w:p>
  <w:p w14:paraId="27183D4F" w14:textId="77777777" w:rsidR="009F6EFA" w:rsidRPr="000C222C" w:rsidRDefault="009F6EF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8B525" w14:textId="77777777" w:rsidR="008309A9" w:rsidRDefault="008309A9">
      <w:r>
        <w:separator/>
      </w:r>
    </w:p>
  </w:footnote>
  <w:footnote w:type="continuationSeparator" w:id="0">
    <w:p w14:paraId="4A410876" w14:textId="77777777" w:rsidR="008309A9" w:rsidRDefault="00830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2055" w14:textId="11566783" w:rsidR="009F6EFA" w:rsidRDefault="009F6EFA" w:rsidP="00B56C8F">
    <w:pPr>
      <w:pStyle w:val="a3"/>
      <w:rPr>
        <w:rtl/>
      </w:rPr>
    </w:pPr>
    <w:r w:rsidRPr="00EA5CBF">
      <w:rPr>
        <w:rtl/>
      </w:rPr>
      <w:tab/>
    </w:r>
    <w:r w:rsidR="00323663">
      <w:rPr>
        <w:rFonts w:hint="cs"/>
        <w:rtl/>
      </w:rPr>
      <w:t>ב ל מ " ס</w:t>
    </w:r>
    <w:r w:rsidRPr="00EA5CBF">
      <w:tab/>
    </w:r>
    <w:r w:rsidR="00B56C8F">
      <w:rPr>
        <w:rFonts w:hint="cs"/>
        <w:rtl/>
      </w:rPr>
      <w:t>ע</w:t>
    </w:r>
    <w:r w:rsidR="00AA66CF">
      <w:rPr>
        <w:rFonts w:hint="cs"/>
        <w:rtl/>
      </w:rPr>
      <w:t>/</w:t>
    </w:r>
    <w:r w:rsidR="00B56C8F">
      <w:rPr>
        <w:rFonts w:hint="cs"/>
        <w:rtl/>
      </w:rPr>
      <w:t xml:space="preserve">5,6/22 </w:t>
    </w:r>
  </w:p>
  <w:p w14:paraId="162425C9" w14:textId="508C479B" w:rsidR="00B56C8F" w:rsidRPr="00EA5CBF" w:rsidRDefault="00B56C8F" w:rsidP="005E62FC">
    <w:pPr>
      <w:pStyle w:val="a3"/>
      <w:rPr>
        <w:rtl/>
      </w:rPr>
    </w:pPr>
    <w:r>
      <w:rPr>
        <w:rFonts w:hint="cs"/>
        <w:rtl/>
      </w:rPr>
      <w:tab/>
    </w:r>
    <w:r>
      <w:rPr>
        <w:rFonts w:hint="cs"/>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01B"/>
    <w:multiLevelType w:val="hybridMultilevel"/>
    <w:tmpl w:val="5570FE84"/>
    <w:lvl w:ilvl="0" w:tplc="5F9C772A">
      <w:start w:val="1"/>
      <w:numFmt w:val="decimal"/>
      <w:pStyle w:val="Ruller4"/>
      <w:lvlText w:val="%1."/>
      <w:lvlJc w:val="left"/>
      <w:pPr>
        <w:tabs>
          <w:tab w:val="num" w:pos="907"/>
        </w:tabs>
        <w:ind w:left="0" w:firstLine="0"/>
      </w:pPr>
    </w:lvl>
    <w:lvl w:ilvl="1" w:tplc="5F7A3AF6">
      <w:start w:val="1"/>
      <w:numFmt w:val="bullet"/>
      <w:lvlText w:val=" "/>
      <w:lvlJc w:val="left"/>
      <w:pPr>
        <w:tabs>
          <w:tab w:val="num" w:pos="1440"/>
        </w:tabs>
        <w:ind w:left="144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E055268"/>
    <w:multiLevelType w:val="hybridMultilevel"/>
    <w:tmpl w:val="9A96EC7E"/>
    <w:lvl w:ilvl="0" w:tplc="3D4E4354">
      <w:start w:val="1"/>
      <w:numFmt w:val="decimal"/>
      <w:pStyle w:val="2"/>
      <w:suff w:val="space"/>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32A62B1"/>
    <w:multiLevelType w:val="hybridMultilevel"/>
    <w:tmpl w:val="91AA9CC4"/>
    <w:lvl w:ilvl="0" w:tplc="865A8A72">
      <w:start w:val="1"/>
      <w:numFmt w:val="decimal"/>
      <w:suff w:val="space"/>
      <w:lvlText w:val="%1."/>
      <w:lvlJc w:val="left"/>
      <w:pPr>
        <w:ind w:left="1211" w:hanging="360"/>
      </w:pPr>
      <w:rPr>
        <w:rFonts w:ascii="David" w:hAnsi="David" w:cs="David" w:hint="default"/>
        <w:b w:val="0"/>
        <w:bCs w:val="0"/>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F20"/>
    <w:rsid w:val="00011D5B"/>
    <w:rsid w:val="000134C3"/>
    <w:rsid w:val="00016745"/>
    <w:rsid w:val="0001774D"/>
    <w:rsid w:val="00023011"/>
    <w:rsid w:val="00025F06"/>
    <w:rsid w:val="00033128"/>
    <w:rsid w:val="00042524"/>
    <w:rsid w:val="000464DC"/>
    <w:rsid w:val="00047670"/>
    <w:rsid w:val="00053E00"/>
    <w:rsid w:val="000628D4"/>
    <w:rsid w:val="00065578"/>
    <w:rsid w:val="00071493"/>
    <w:rsid w:val="00072E05"/>
    <w:rsid w:val="000767D0"/>
    <w:rsid w:val="00081718"/>
    <w:rsid w:val="00082C0F"/>
    <w:rsid w:val="00086364"/>
    <w:rsid w:val="00090F12"/>
    <w:rsid w:val="000955D6"/>
    <w:rsid w:val="0009629D"/>
    <w:rsid w:val="00096CFF"/>
    <w:rsid w:val="000B2D46"/>
    <w:rsid w:val="000B428B"/>
    <w:rsid w:val="000C12E7"/>
    <w:rsid w:val="000C222C"/>
    <w:rsid w:val="000D4C86"/>
    <w:rsid w:val="000D50D6"/>
    <w:rsid w:val="000D70FC"/>
    <w:rsid w:val="000D7897"/>
    <w:rsid w:val="000F04D5"/>
    <w:rsid w:val="000F4C5A"/>
    <w:rsid w:val="00101815"/>
    <w:rsid w:val="001042CE"/>
    <w:rsid w:val="00107841"/>
    <w:rsid w:val="00117F88"/>
    <w:rsid w:val="0012530C"/>
    <w:rsid w:val="00130AD0"/>
    <w:rsid w:val="0013493E"/>
    <w:rsid w:val="00135224"/>
    <w:rsid w:val="00143636"/>
    <w:rsid w:val="00143A55"/>
    <w:rsid w:val="00146115"/>
    <w:rsid w:val="00154BE9"/>
    <w:rsid w:val="00154DA1"/>
    <w:rsid w:val="00154F04"/>
    <w:rsid w:val="001551CB"/>
    <w:rsid w:val="00156102"/>
    <w:rsid w:val="00157DD5"/>
    <w:rsid w:val="00162592"/>
    <w:rsid w:val="001678ED"/>
    <w:rsid w:val="001705A5"/>
    <w:rsid w:val="00170C10"/>
    <w:rsid w:val="0017300D"/>
    <w:rsid w:val="00174F85"/>
    <w:rsid w:val="001759F5"/>
    <w:rsid w:val="001767E9"/>
    <w:rsid w:val="00183417"/>
    <w:rsid w:val="00190295"/>
    <w:rsid w:val="0019406D"/>
    <w:rsid w:val="00197DA9"/>
    <w:rsid w:val="001A3D1F"/>
    <w:rsid w:val="001A5BE1"/>
    <w:rsid w:val="001B2339"/>
    <w:rsid w:val="001B294A"/>
    <w:rsid w:val="001B4794"/>
    <w:rsid w:val="001B47D4"/>
    <w:rsid w:val="001B5F33"/>
    <w:rsid w:val="001B64F6"/>
    <w:rsid w:val="001C1B1E"/>
    <w:rsid w:val="001C439F"/>
    <w:rsid w:val="001C5574"/>
    <w:rsid w:val="001C6BFF"/>
    <w:rsid w:val="001D1621"/>
    <w:rsid w:val="001D3E15"/>
    <w:rsid w:val="001D4C9B"/>
    <w:rsid w:val="001D7C2A"/>
    <w:rsid w:val="001E1B95"/>
    <w:rsid w:val="001F4A37"/>
    <w:rsid w:val="00202E45"/>
    <w:rsid w:val="00210109"/>
    <w:rsid w:val="00211B67"/>
    <w:rsid w:val="002160C2"/>
    <w:rsid w:val="00216AF4"/>
    <w:rsid w:val="002205E9"/>
    <w:rsid w:val="0022103D"/>
    <w:rsid w:val="0023081C"/>
    <w:rsid w:val="00232836"/>
    <w:rsid w:val="00234B0D"/>
    <w:rsid w:val="002364F2"/>
    <w:rsid w:val="00241368"/>
    <w:rsid w:val="002422CA"/>
    <w:rsid w:val="00247194"/>
    <w:rsid w:val="002545DB"/>
    <w:rsid w:val="002566A6"/>
    <w:rsid w:val="00265D17"/>
    <w:rsid w:val="0027016C"/>
    <w:rsid w:val="00271AE0"/>
    <w:rsid w:val="00272C18"/>
    <w:rsid w:val="00275102"/>
    <w:rsid w:val="002757A7"/>
    <w:rsid w:val="00277204"/>
    <w:rsid w:val="002807B3"/>
    <w:rsid w:val="00282B3C"/>
    <w:rsid w:val="002909F7"/>
    <w:rsid w:val="0029225C"/>
    <w:rsid w:val="0029661C"/>
    <w:rsid w:val="002A01B4"/>
    <w:rsid w:val="002B4B62"/>
    <w:rsid w:val="002C1509"/>
    <w:rsid w:val="002C51A9"/>
    <w:rsid w:val="002C6133"/>
    <w:rsid w:val="002C71CD"/>
    <w:rsid w:val="002C7619"/>
    <w:rsid w:val="002D1FA6"/>
    <w:rsid w:val="002D2418"/>
    <w:rsid w:val="002D527C"/>
    <w:rsid w:val="002E0BDE"/>
    <w:rsid w:val="002E59C4"/>
    <w:rsid w:val="002F2C8C"/>
    <w:rsid w:val="002F3395"/>
    <w:rsid w:val="002F4EEE"/>
    <w:rsid w:val="002F6BFD"/>
    <w:rsid w:val="002F7E05"/>
    <w:rsid w:val="00300570"/>
    <w:rsid w:val="00311D74"/>
    <w:rsid w:val="003136B4"/>
    <w:rsid w:val="00316697"/>
    <w:rsid w:val="00323663"/>
    <w:rsid w:val="00323DC4"/>
    <w:rsid w:val="003255B9"/>
    <w:rsid w:val="00326513"/>
    <w:rsid w:val="003278EB"/>
    <w:rsid w:val="00331FCE"/>
    <w:rsid w:val="00334196"/>
    <w:rsid w:val="00334411"/>
    <w:rsid w:val="003357E1"/>
    <w:rsid w:val="003413B2"/>
    <w:rsid w:val="00344506"/>
    <w:rsid w:val="003447B4"/>
    <w:rsid w:val="0034656B"/>
    <w:rsid w:val="00347E99"/>
    <w:rsid w:val="003556DB"/>
    <w:rsid w:val="0035684D"/>
    <w:rsid w:val="00361542"/>
    <w:rsid w:val="00362579"/>
    <w:rsid w:val="0036577D"/>
    <w:rsid w:val="003701DD"/>
    <w:rsid w:val="00376CAB"/>
    <w:rsid w:val="00377748"/>
    <w:rsid w:val="003902B3"/>
    <w:rsid w:val="00396DC5"/>
    <w:rsid w:val="003A0B4C"/>
    <w:rsid w:val="003B44A1"/>
    <w:rsid w:val="003B5AAB"/>
    <w:rsid w:val="003C287A"/>
    <w:rsid w:val="003C2C30"/>
    <w:rsid w:val="003C4D97"/>
    <w:rsid w:val="003C5738"/>
    <w:rsid w:val="003C6B36"/>
    <w:rsid w:val="003D0B9E"/>
    <w:rsid w:val="003D2447"/>
    <w:rsid w:val="003D4673"/>
    <w:rsid w:val="003E0AB7"/>
    <w:rsid w:val="003E3705"/>
    <w:rsid w:val="003E5F64"/>
    <w:rsid w:val="003E75A6"/>
    <w:rsid w:val="003F1E5C"/>
    <w:rsid w:val="003F389B"/>
    <w:rsid w:val="003F3E87"/>
    <w:rsid w:val="003F5149"/>
    <w:rsid w:val="00400023"/>
    <w:rsid w:val="00401AC4"/>
    <w:rsid w:val="00402C9A"/>
    <w:rsid w:val="00402E8D"/>
    <w:rsid w:val="004044E6"/>
    <w:rsid w:val="004176E6"/>
    <w:rsid w:val="00424EAA"/>
    <w:rsid w:val="00425676"/>
    <w:rsid w:val="00433DC4"/>
    <w:rsid w:val="004406FA"/>
    <w:rsid w:val="00444FF3"/>
    <w:rsid w:val="00446755"/>
    <w:rsid w:val="004477A5"/>
    <w:rsid w:val="004479FF"/>
    <w:rsid w:val="00450582"/>
    <w:rsid w:val="00454043"/>
    <w:rsid w:val="004554E8"/>
    <w:rsid w:val="0045731C"/>
    <w:rsid w:val="0045749F"/>
    <w:rsid w:val="00462FF5"/>
    <w:rsid w:val="004679F8"/>
    <w:rsid w:val="0047227A"/>
    <w:rsid w:val="00474E58"/>
    <w:rsid w:val="0047641A"/>
    <w:rsid w:val="004771C9"/>
    <w:rsid w:val="004804BE"/>
    <w:rsid w:val="0049178B"/>
    <w:rsid w:val="004917EC"/>
    <w:rsid w:val="004922CE"/>
    <w:rsid w:val="00492AB0"/>
    <w:rsid w:val="00493241"/>
    <w:rsid w:val="00494F20"/>
    <w:rsid w:val="00495AE9"/>
    <w:rsid w:val="00496235"/>
    <w:rsid w:val="00496FBF"/>
    <w:rsid w:val="004A15B3"/>
    <w:rsid w:val="004A3246"/>
    <w:rsid w:val="004A33D1"/>
    <w:rsid w:val="004A4FF8"/>
    <w:rsid w:val="004A6406"/>
    <w:rsid w:val="004B0EC0"/>
    <w:rsid w:val="004B333D"/>
    <w:rsid w:val="004B45B0"/>
    <w:rsid w:val="004C1166"/>
    <w:rsid w:val="004C76B0"/>
    <w:rsid w:val="004D1682"/>
    <w:rsid w:val="004D1EC0"/>
    <w:rsid w:val="004D79DD"/>
    <w:rsid w:val="004D7FE1"/>
    <w:rsid w:val="004E28CA"/>
    <w:rsid w:val="004E28DC"/>
    <w:rsid w:val="004F7F64"/>
    <w:rsid w:val="0050025A"/>
    <w:rsid w:val="005009CF"/>
    <w:rsid w:val="00503284"/>
    <w:rsid w:val="005039FE"/>
    <w:rsid w:val="00504E60"/>
    <w:rsid w:val="00512642"/>
    <w:rsid w:val="0051755E"/>
    <w:rsid w:val="005249D6"/>
    <w:rsid w:val="00525077"/>
    <w:rsid w:val="00536A35"/>
    <w:rsid w:val="0053711A"/>
    <w:rsid w:val="005460AC"/>
    <w:rsid w:val="005639F7"/>
    <w:rsid w:val="00563E50"/>
    <w:rsid w:val="0056495A"/>
    <w:rsid w:val="0056552F"/>
    <w:rsid w:val="00576620"/>
    <w:rsid w:val="00581179"/>
    <w:rsid w:val="00583621"/>
    <w:rsid w:val="00587233"/>
    <w:rsid w:val="00587880"/>
    <w:rsid w:val="0059440D"/>
    <w:rsid w:val="00595E4E"/>
    <w:rsid w:val="00597F36"/>
    <w:rsid w:val="005A0103"/>
    <w:rsid w:val="005A0AFB"/>
    <w:rsid w:val="005A6B77"/>
    <w:rsid w:val="005A7351"/>
    <w:rsid w:val="005B1E9B"/>
    <w:rsid w:val="005B31CD"/>
    <w:rsid w:val="005C2297"/>
    <w:rsid w:val="005C3F03"/>
    <w:rsid w:val="005C71F0"/>
    <w:rsid w:val="005D4628"/>
    <w:rsid w:val="005D7CA3"/>
    <w:rsid w:val="005E2612"/>
    <w:rsid w:val="005E62FC"/>
    <w:rsid w:val="005E6B0B"/>
    <w:rsid w:val="005F0B60"/>
    <w:rsid w:val="005F0B8D"/>
    <w:rsid w:val="005F0F46"/>
    <w:rsid w:val="005F21BA"/>
    <w:rsid w:val="005F78C6"/>
    <w:rsid w:val="00602FD4"/>
    <w:rsid w:val="006044F5"/>
    <w:rsid w:val="00605546"/>
    <w:rsid w:val="006074FF"/>
    <w:rsid w:val="00615480"/>
    <w:rsid w:val="00624756"/>
    <w:rsid w:val="006250B9"/>
    <w:rsid w:val="00630BD7"/>
    <w:rsid w:val="00633AE8"/>
    <w:rsid w:val="00637E54"/>
    <w:rsid w:val="006549F9"/>
    <w:rsid w:val="00657096"/>
    <w:rsid w:val="00660BE8"/>
    <w:rsid w:val="00663AB1"/>
    <w:rsid w:val="00665DF5"/>
    <w:rsid w:val="00670D51"/>
    <w:rsid w:val="00672731"/>
    <w:rsid w:val="00673F49"/>
    <w:rsid w:val="006776FF"/>
    <w:rsid w:val="00686795"/>
    <w:rsid w:val="006916D4"/>
    <w:rsid w:val="006A0607"/>
    <w:rsid w:val="006A2918"/>
    <w:rsid w:val="006A301A"/>
    <w:rsid w:val="006A69A3"/>
    <w:rsid w:val="006B5A00"/>
    <w:rsid w:val="006B74F6"/>
    <w:rsid w:val="006C433B"/>
    <w:rsid w:val="006C4505"/>
    <w:rsid w:val="006D0830"/>
    <w:rsid w:val="006E0902"/>
    <w:rsid w:val="006E465C"/>
    <w:rsid w:val="006E7880"/>
    <w:rsid w:val="006F0279"/>
    <w:rsid w:val="006F0AF8"/>
    <w:rsid w:val="00703556"/>
    <w:rsid w:val="00706D6E"/>
    <w:rsid w:val="00707FD2"/>
    <w:rsid w:val="007101E7"/>
    <w:rsid w:val="0071034E"/>
    <w:rsid w:val="0071337F"/>
    <w:rsid w:val="007146F3"/>
    <w:rsid w:val="007178F5"/>
    <w:rsid w:val="00726D3B"/>
    <w:rsid w:val="00726F46"/>
    <w:rsid w:val="00733469"/>
    <w:rsid w:val="00742FAF"/>
    <w:rsid w:val="00744CD8"/>
    <w:rsid w:val="0074770D"/>
    <w:rsid w:val="00751D54"/>
    <w:rsid w:val="0075507F"/>
    <w:rsid w:val="00757882"/>
    <w:rsid w:val="00763657"/>
    <w:rsid w:val="00765B4D"/>
    <w:rsid w:val="007705A1"/>
    <w:rsid w:val="007714C5"/>
    <w:rsid w:val="00771A9F"/>
    <w:rsid w:val="00774EB4"/>
    <w:rsid w:val="00776D09"/>
    <w:rsid w:val="007802DE"/>
    <w:rsid w:val="00784352"/>
    <w:rsid w:val="0079051B"/>
    <w:rsid w:val="007C6C72"/>
    <w:rsid w:val="007D18CB"/>
    <w:rsid w:val="007D30C1"/>
    <w:rsid w:val="007F2CF7"/>
    <w:rsid w:val="007F7F78"/>
    <w:rsid w:val="008103DB"/>
    <w:rsid w:val="00811778"/>
    <w:rsid w:val="00813321"/>
    <w:rsid w:val="008213DC"/>
    <w:rsid w:val="008241A5"/>
    <w:rsid w:val="00824395"/>
    <w:rsid w:val="008309A9"/>
    <w:rsid w:val="00833BA9"/>
    <w:rsid w:val="008346CA"/>
    <w:rsid w:val="00834AFA"/>
    <w:rsid w:val="00836458"/>
    <w:rsid w:val="00836986"/>
    <w:rsid w:val="00844363"/>
    <w:rsid w:val="00844B5D"/>
    <w:rsid w:val="0085379C"/>
    <w:rsid w:val="00861331"/>
    <w:rsid w:val="0086744D"/>
    <w:rsid w:val="00867CBC"/>
    <w:rsid w:val="008744BE"/>
    <w:rsid w:val="00875F57"/>
    <w:rsid w:val="00885E26"/>
    <w:rsid w:val="00892305"/>
    <w:rsid w:val="0089230B"/>
    <w:rsid w:val="00893A01"/>
    <w:rsid w:val="00894929"/>
    <w:rsid w:val="008A011F"/>
    <w:rsid w:val="008A1799"/>
    <w:rsid w:val="008A5512"/>
    <w:rsid w:val="008A6A22"/>
    <w:rsid w:val="008B263A"/>
    <w:rsid w:val="008B3ED8"/>
    <w:rsid w:val="008C7E01"/>
    <w:rsid w:val="008D6300"/>
    <w:rsid w:val="008D73A1"/>
    <w:rsid w:val="008E54E3"/>
    <w:rsid w:val="008F4D4C"/>
    <w:rsid w:val="008F711A"/>
    <w:rsid w:val="00904B43"/>
    <w:rsid w:val="0091385D"/>
    <w:rsid w:val="00914343"/>
    <w:rsid w:val="00922DF1"/>
    <w:rsid w:val="00926821"/>
    <w:rsid w:val="009305F1"/>
    <w:rsid w:val="009357D7"/>
    <w:rsid w:val="00942479"/>
    <w:rsid w:val="00942C1D"/>
    <w:rsid w:val="009435C3"/>
    <w:rsid w:val="00945988"/>
    <w:rsid w:val="0095087B"/>
    <w:rsid w:val="00951D93"/>
    <w:rsid w:val="00955E41"/>
    <w:rsid w:val="0095759B"/>
    <w:rsid w:val="00961B44"/>
    <w:rsid w:val="00961EE7"/>
    <w:rsid w:val="0096669A"/>
    <w:rsid w:val="00967705"/>
    <w:rsid w:val="00970AA2"/>
    <w:rsid w:val="00973CD2"/>
    <w:rsid w:val="00975AAF"/>
    <w:rsid w:val="009805AA"/>
    <w:rsid w:val="00980A95"/>
    <w:rsid w:val="00981205"/>
    <w:rsid w:val="009860A8"/>
    <w:rsid w:val="0098662A"/>
    <w:rsid w:val="0099020B"/>
    <w:rsid w:val="00992EE0"/>
    <w:rsid w:val="0099412F"/>
    <w:rsid w:val="009B0A93"/>
    <w:rsid w:val="009B1BC1"/>
    <w:rsid w:val="009C1DC1"/>
    <w:rsid w:val="009C6209"/>
    <w:rsid w:val="009D2DE0"/>
    <w:rsid w:val="009D3691"/>
    <w:rsid w:val="009D459B"/>
    <w:rsid w:val="009E499D"/>
    <w:rsid w:val="009E6799"/>
    <w:rsid w:val="009F3D59"/>
    <w:rsid w:val="009F6EFA"/>
    <w:rsid w:val="00A06F36"/>
    <w:rsid w:val="00A07D42"/>
    <w:rsid w:val="00A109CF"/>
    <w:rsid w:val="00A25DCE"/>
    <w:rsid w:val="00A304E5"/>
    <w:rsid w:val="00A35D3D"/>
    <w:rsid w:val="00A37435"/>
    <w:rsid w:val="00A426DB"/>
    <w:rsid w:val="00A44095"/>
    <w:rsid w:val="00A444B6"/>
    <w:rsid w:val="00A46374"/>
    <w:rsid w:val="00A51CB5"/>
    <w:rsid w:val="00A57CA5"/>
    <w:rsid w:val="00A63F29"/>
    <w:rsid w:val="00A72D87"/>
    <w:rsid w:val="00A80540"/>
    <w:rsid w:val="00A86827"/>
    <w:rsid w:val="00A90FCA"/>
    <w:rsid w:val="00AA17AF"/>
    <w:rsid w:val="00AA240D"/>
    <w:rsid w:val="00AA66CF"/>
    <w:rsid w:val="00AA6922"/>
    <w:rsid w:val="00AB2BCE"/>
    <w:rsid w:val="00AB5976"/>
    <w:rsid w:val="00AB7D8C"/>
    <w:rsid w:val="00AC0DF6"/>
    <w:rsid w:val="00AC3AE0"/>
    <w:rsid w:val="00AC5E35"/>
    <w:rsid w:val="00AD002D"/>
    <w:rsid w:val="00AD2860"/>
    <w:rsid w:val="00AD31A7"/>
    <w:rsid w:val="00AD76A3"/>
    <w:rsid w:val="00AE2098"/>
    <w:rsid w:val="00AE5E1E"/>
    <w:rsid w:val="00AE74DD"/>
    <w:rsid w:val="00AE76C3"/>
    <w:rsid w:val="00AF27E6"/>
    <w:rsid w:val="00AF7106"/>
    <w:rsid w:val="00B016B2"/>
    <w:rsid w:val="00B02A64"/>
    <w:rsid w:val="00B0315B"/>
    <w:rsid w:val="00B047A4"/>
    <w:rsid w:val="00B11E04"/>
    <w:rsid w:val="00B20197"/>
    <w:rsid w:val="00B22AD6"/>
    <w:rsid w:val="00B50EA2"/>
    <w:rsid w:val="00B51315"/>
    <w:rsid w:val="00B56C8F"/>
    <w:rsid w:val="00B6232D"/>
    <w:rsid w:val="00B63276"/>
    <w:rsid w:val="00B63C32"/>
    <w:rsid w:val="00B67E94"/>
    <w:rsid w:val="00B8208D"/>
    <w:rsid w:val="00B87D7E"/>
    <w:rsid w:val="00B92811"/>
    <w:rsid w:val="00BA1F2B"/>
    <w:rsid w:val="00BA2795"/>
    <w:rsid w:val="00BA5781"/>
    <w:rsid w:val="00BA5FC7"/>
    <w:rsid w:val="00BB05F6"/>
    <w:rsid w:val="00BB4E54"/>
    <w:rsid w:val="00BB51BB"/>
    <w:rsid w:val="00BC1296"/>
    <w:rsid w:val="00BC1AD7"/>
    <w:rsid w:val="00BC2635"/>
    <w:rsid w:val="00BC56C0"/>
    <w:rsid w:val="00BD592D"/>
    <w:rsid w:val="00BE498A"/>
    <w:rsid w:val="00BE5CB0"/>
    <w:rsid w:val="00BF04CC"/>
    <w:rsid w:val="00BF22F2"/>
    <w:rsid w:val="00BF5770"/>
    <w:rsid w:val="00C0135E"/>
    <w:rsid w:val="00C03528"/>
    <w:rsid w:val="00C04F6B"/>
    <w:rsid w:val="00C05110"/>
    <w:rsid w:val="00C135DB"/>
    <w:rsid w:val="00C20CA4"/>
    <w:rsid w:val="00C23CF1"/>
    <w:rsid w:val="00C24670"/>
    <w:rsid w:val="00C329E8"/>
    <w:rsid w:val="00C41E1F"/>
    <w:rsid w:val="00C46769"/>
    <w:rsid w:val="00C50B6B"/>
    <w:rsid w:val="00C510E0"/>
    <w:rsid w:val="00C51CCF"/>
    <w:rsid w:val="00C53AA8"/>
    <w:rsid w:val="00C569EA"/>
    <w:rsid w:val="00C57C6D"/>
    <w:rsid w:val="00C62BF9"/>
    <w:rsid w:val="00C63BDD"/>
    <w:rsid w:val="00C665B7"/>
    <w:rsid w:val="00C75EEF"/>
    <w:rsid w:val="00C81C54"/>
    <w:rsid w:val="00C86141"/>
    <w:rsid w:val="00C91AE9"/>
    <w:rsid w:val="00C94E6C"/>
    <w:rsid w:val="00CA0347"/>
    <w:rsid w:val="00CA4734"/>
    <w:rsid w:val="00CB1811"/>
    <w:rsid w:val="00CB1C97"/>
    <w:rsid w:val="00CB3482"/>
    <w:rsid w:val="00CB5A2E"/>
    <w:rsid w:val="00CB7546"/>
    <w:rsid w:val="00CB7BDD"/>
    <w:rsid w:val="00CC094F"/>
    <w:rsid w:val="00CC23D0"/>
    <w:rsid w:val="00CC47E3"/>
    <w:rsid w:val="00CD0ABC"/>
    <w:rsid w:val="00CD4EEA"/>
    <w:rsid w:val="00CE1C1D"/>
    <w:rsid w:val="00CE2211"/>
    <w:rsid w:val="00CE44C4"/>
    <w:rsid w:val="00CE59BC"/>
    <w:rsid w:val="00CF25D2"/>
    <w:rsid w:val="00CF28A8"/>
    <w:rsid w:val="00CF3760"/>
    <w:rsid w:val="00D024EC"/>
    <w:rsid w:val="00D05F06"/>
    <w:rsid w:val="00D130A8"/>
    <w:rsid w:val="00D136F7"/>
    <w:rsid w:val="00D15639"/>
    <w:rsid w:val="00D17928"/>
    <w:rsid w:val="00D250C8"/>
    <w:rsid w:val="00D27EBE"/>
    <w:rsid w:val="00D27EDE"/>
    <w:rsid w:val="00D3061E"/>
    <w:rsid w:val="00D30A0A"/>
    <w:rsid w:val="00D425E4"/>
    <w:rsid w:val="00D4461E"/>
    <w:rsid w:val="00D4556F"/>
    <w:rsid w:val="00D45A66"/>
    <w:rsid w:val="00D466DC"/>
    <w:rsid w:val="00D5173A"/>
    <w:rsid w:val="00D5306D"/>
    <w:rsid w:val="00D55ADB"/>
    <w:rsid w:val="00D6023C"/>
    <w:rsid w:val="00D65B37"/>
    <w:rsid w:val="00D661DA"/>
    <w:rsid w:val="00D67B6E"/>
    <w:rsid w:val="00D7084B"/>
    <w:rsid w:val="00D7474E"/>
    <w:rsid w:val="00D771BC"/>
    <w:rsid w:val="00D84DD1"/>
    <w:rsid w:val="00D85733"/>
    <w:rsid w:val="00D86FF4"/>
    <w:rsid w:val="00D911E7"/>
    <w:rsid w:val="00D917A5"/>
    <w:rsid w:val="00D929F6"/>
    <w:rsid w:val="00D95FF9"/>
    <w:rsid w:val="00DA3C15"/>
    <w:rsid w:val="00DA4011"/>
    <w:rsid w:val="00DB14E4"/>
    <w:rsid w:val="00DC5D1B"/>
    <w:rsid w:val="00DD112D"/>
    <w:rsid w:val="00DE682A"/>
    <w:rsid w:val="00DE6EA6"/>
    <w:rsid w:val="00DF3750"/>
    <w:rsid w:val="00DF7EB1"/>
    <w:rsid w:val="00E01727"/>
    <w:rsid w:val="00E03686"/>
    <w:rsid w:val="00E06583"/>
    <w:rsid w:val="00E06F68"/>
    <w:rsid w:val="00E15BE0"/>
    <w:rsid w:val="00E15D57"/>
    <w:rsid w:val="00E17979"/>
    <w:rsid w:val="00E17DE5"/>
    <w:rsid w:val="00E30CFC"/>
    <w:rsid w:val="00E310DA"/>
    <w:rsid w:val="00E32BCA"/>
    <w:rsid w:val="00E33554"/>
    <w:rsid w:val="00E33E2F"/>
    <w:rsid w:val="00E3412C"/>
    <w:rsid w:val="00E5727A"/>
    <w:rsid w:val="00E60BB7"/>
    <w:rsid w:val="00E668F9"/>
    <w:rsid w:val="00E66A88"/>
    <w:rsid w:val="00E70904"/>
    <w:rsid w:val="00E72B30"/>
    <w:rsid w:val="00E75B25"/>
    <w:rsid w:val="00E82235"/>
    <w:rsid w:val="00E84E20"/>
    <w:rsid w:val="00E86611"/>
    <w:rsid w:val="00E87AA0"/>
    <w:rsid w:val="00E91621"/>
    <w:rsid w:val="00E957BA"/>
    <w:rsid w:val="00E977DF"/>
    <w:rsid w:val="00EA5CBF"/>
    <w:rsid w:val="00EB5AC6"/>
    <w:rsid w:val="00EC2D64"/>
    <w:rsid w:val="00EC3553"/>
    <w:rsid w:val="00ED442B"/>
    <w:rsid w:val="00ED5009"/>
    <w:rsid w:val="00EE3A29"/>
    <w:rsid w:val="00EF5639"/>
    <w:rsid w:val="00F00527"/>
    <w:rsid w:val="00F04D09"/>
    <w:rsid w:val="00F061C5"/>
    <w:rsid w:val="00F1077B"/>
    <w:rsid w:val="00F15DD8"/>
    <w:rsid w:val="00F369EC"/>
    <w:rsid w:val="00F376A7"/>
    <w:rsid w:val="00F4111C"/>
    <w:rsid w:val="00F41904"/>
    <w:rsid w:val="00F41FDE"/>
    <w:rsid w:val="00F42F0B"/>
    <w:rsid w:val="00F43E8A"/>
    <w:rsid w:val="00F4560D"/>
    <w:rsid w:val="00F45704"/>
    <w:rsid w:val="00F4792C"/>
    <w:rsid w:val="00F53403"/>
    <w:rsid w:val="00F57673"/>
    <w:rsid w:val="00F61314"/>
    <w:rsid w:val="00F75645"/>
    <w:rsid w:val="00F819FF"/>
    <w:rsid w:val="00F830E4"/>
    <w:rsid w:val="00F84F30"/>
    <w:rsid w:val="00F9148F"/>
    <w:rsid w:val="00F91505"/>
    <w:rsid w:val="00F93912"/>
    <w:rsid w:val="00F94713"/>
    <w:rsid w:val="00F954A5"/>
    <w:rsid w:val="00F96C41"/>
    <w:rsid w:val="00FA161B"/>
    <w:rsid w:val="00FA557D"/>
    <w:rsid w:val="00FA5AB4"/>
    <w:rsid w:val="00FA6DC5"/>
    <w:rsid w:val="00FB1E57"/>
    <w:rsid w:val="00FB3920"/>
    <w:rsid w:val="00FB5563"/>
    <w:rsid w:val="00FD7A7B"/>
    <w:rsid w:val="00FE2653"/>
    <w:rsid w:val="00FF6A7B"/>
    <w:rsid w:val="00FF6D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A6211F"/>
  <w15:chartTrackingRefBased/>
  <w15:docId w15:val="{A7D93081-1EDD-4F82-AE87-291552FD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306D"/>
    <w:pPr>
      <w:bidi/>
      <w:spacing w:line="360" w:lineRule="auto"/>
      <w:jc w:val="both"/>
    </w:pPr>
    <w:rPr>
      <w:rFonts w:cs="David"/>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A5CBF"/>
    <w:pPr>
      <w:tabs>
        <w:tab w:val="center" w:pos="4153"/>
        <w:tab w:val="right" w:pos="8306"/>
      </w:tabs>
    </w:pPr>
  </w:style>
  <w:style w:type="paragraph" w:styleId="a4">
    <w:name w:val="footer"/>
    <w:basedOn w:val="a"/>
    <w:rsid w:val="00EA5CBF"/>
    <w:pPr>
      <w:tabs>
        <w:tab w:val="center" w:pos="4153"/>
        <w:tab w:val="right" w:pos="8306"/>
      </w:tabs>
    </w:pPr>
  </w:style>
  <w:style w:type="character" w:styleId="a5">
    <w:name w:val="page number"/>
    <w:basedOn w:val="a0"/>
    <w:rsid w:val="000C222C"/>
  </w:style>
  <w:style w:type="paragraph" w:customStyle="1" w:styleId="Ruller4">
    <w:name w:val="Ruller 4 ממוספר"/>
    <w:basedOn w:val="a"/>
    <w:rsid w:val="00FA5AB4"/>
    <w:pPr>
      <w:numPr>
        <w:numId w:val="1"/>
      </w:numPr>
      <w:tabs>
        <w:tab w:val="left" w:pos="800"/>
      </w:tabs>
      <w:overflowPunct w:val="0"/>
      <w:autoSpaceDE w:val="0"/>
      <w:autoSpaceDN w:val="0"/>
      <w:adjustRightInd w:val="0"/>
    </w:pPr>
    <w:rPr>
      <w:rFonts w:ascii="Garamond" w:hAnsi="Garamond" w:cs="FrankRuehl"/>
      <w:spacing w:val="10"/>
      <w:sz w:val="24"/>
    </w:rPr>
  </w:style>
  <w:style w:type="paragraph" w:customStyle="1" w:styleId="2">
    <w:name w:val="סגנון2"/>
    <w:basedOn w:val="a"/>
    <w:qFormat/>
    <w:rsid w:val="00B016B2"/>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153">
      <w:bodyDiv w:val="1"/>
      <w:marLeft w:val="0"/>
      <w:marRight w:val="0"/>
      <w:marTop w:val="0"/>
      <w:marBottom w:val="0"/>
      <w:divBdr>
        <w:top w:val="none" w:sz="0" w:space="0" w:color="auto"/>
        <w:left w:val="none" w:sz="0" w:space="0" w:color="auto"/>
        <w:bottom w:val="none" w:sz="0" w:space="0" w:color="auto"/>
        <w:right w:val="none" w:sz="0" w:space="0" w:color="auto"/>
      </w:divBdr>
    </w:div>
    <w:div w:id="119881836">
      <w:bodyDiv w:val="1"/>
      <w:marLeft w:val="0"/>
      <w:marRight w:val="0"/>
      <w:marTop w:val="0"/>
      <w:marBottom w:val="0"/>
      <w:divBdr>
        <w:top w:val="none" w:sz="0" w:space="0" w:color="auto"/>
        <w:left w:val="none" w:sz="0" w:space="0" w:color="auto"/>
        <w:bottom w:val="none" w:sz="0" w:space="0" w:color="auto"/>
        <w:right w:val="none" w:sz="0" w:space="0" w:color="auto"/>
      </w:divBdr>
    </w:div>
    <w:div w:id="416093867">
      <w:bodyDiv w:val="1"/>
      <w:marLeft w:val="0"/>
      <w:marRight w:val="0"/>
      <w:marTop w:val="0"/>
      <w:marBottom w:val="0"/>
      <w:divBdr>
        <w:top w:val="none" w:sz="0" w:space="0" w:color="auto"/>
        <w:left w:val="none" w:sz="0" w:space="0" w:color="auto"/>
        <w:bottom w:val="none" w:sz="0" w:space="0" w:color="auto"/>
        <w:right w:val="none" w:sz="0" w:space="0" w:color="auto"/>
      </w:divBdr>
    </w:div>
    <w:div w:id="621570271">
      <w:bodyDiv w:val="1"/>
      <w:marLeft w:val="0"/>
      <w:marRight w:val="0"/>
      <w:marTop w:val="0"/>
      <w:marBottom w:val="0"/>
      <w:divBdr>
        <w:top w:val="none" w:sz="0" w:space="0" w:color="auto"/>
        <w:left w:val="none" w:sz="0" w:space="0" w:color="auto"/>
        <w:bottom w:val="none" w:sz="0" w:space="0" w:color="auto"/>
        <w:right w:val="none" w:sz="0" w:space="0" w:color="auto"/>
      </w:divBdr>
    </w:div>
    <w:div w:id="656692373">
      <w:bodyDiv w:val="1"/>
      <w:marLeft w:val="0"/>
      <w:marRight w:val="0"/>
      <w:marTop w:val="0"/>
      <w:marBottom w:val="0"/>
      <w:divBdr>
        <w:top w:val="none" w:sz="0" w:space="0" w:color="auto"/>
        <w:left w:val="none" w:sz="0" w:space="0" w:color="auto"/>
        <w:bottom w:val="none" w:sz="0" w:space="0" w:color="auto"/>
        <w:right w:val="none" w:sz="0" w:space="0" w:color="auto"/>
      </w:divBdr>
    </w:div>
    <w:div w:id="660743613">
      <w:bodyDiv w:val="1"/>
      <w:marLeft w:val="0"/>
      <w:marRight w:val="0"/>
      <w:marTop w:val="0"/>
      <w:marBottom w:val="0"/>
      <w:divBdr>
        <w:top w:val="none" w:sz="0" w:space="0" w:color="auto"/>
        <w:left w:val="none" w:sz="0" w:space="0" w:color="auto"/>
        <w:bottom w:val="none" w:sz="0" w:space="0" w:color="auto"/>
        <w:right w:val="none" w:sz="0" w:space="0" w:color="auto"/>
      </w:divBdr>
    </w:div>
    <w:div w:id="719279513">
      <w:bodyDiv w:val="1"/>
      <w:marLeft w:val="0"/>
      <w:marRight w:val="0"/>
      <w:marTop w:val="0"/>
      <w:marBottom w:val="0"/>
      <w:divBdr>
        <w:top w:val="none" w:sz="0" w:space="0" w:color="auto"/>
        <w:left w:val="none" w:sz="0" w:space="0" w:color="auto"/>
        <w:bottom w:val="none" w:sz="0" w:space="0" w:color="auto"/>
        <w:right w:val="none" w:sz="0" w:space="0" w:color="auto"/>
      </w:divBdr>
    </w:div>
    <w:div w:id="731199400">
      <w:bodyDiv w:val="1"/>
      <w:marLeft w:val="0"/>
      <w:marRight w:val="0"/>
      <w:marTop w:val="0"/>
      <w:marBottom w:val="0"/>
      <w:divBdr>
        <w:top w:val="none" w:sz="0" w:space="0" w:color="auto"/>
        <w:left w:val="none" w:sz="0" w:space="0" w:color="auto"/>
        <w:bottom w:val="none" w:sz="0" w:space="0" w:color="auto"/>
        <w:right w:val="none" w:sz="0" w:space="0" w:color="auto"/>
      </w:divBdr>
    </w:div>
    <w:div w:id="761336834">
      <w:bodyDiv w:val="1"/>
      <w:marLeft w:val="0"/>
      <w:marRight w:val="0"/>
      <w:marTop w:val="0"/>
      <w:marBottom w:val="0"/>
      <w:divBdr>
        <w:top w:val="none" w:sz="0" w:space="0" w:color="auto"/>
        <w:left w:val="none" w:sz="0" w:space="0" w:color="auto"/>
        <w:bottom w:val="none" w:sz="0" w:space="0" w:color="auto"/>
        <w:right w:val="none" w:sz="0" w:space="0" w:color="auto"/>
      </w:divBdr>
    </w:div>
    <w:div w:id="852182742">
      <w:bodyDiv w:val="1"/>
      <w:marLeft w:val="0"/>
      <w:marRight w:val="0"/>
      <w:marTop w:val="0"/>
      <w:marBottom w:val="0"/>
      <w:divBdr>
        <w:top w:val="none" w:sz="0" w:space="0" w:color="auto"/>
        <w:left w:val="none" w:sz="0" w:space="0" w:color="auto"/>
        <w:bottom w:val="none" w:sz="0" w:space="0" w:color="auto"/>
        <w:right w:val="none" w:sz="0" w:space="0" w:color="auto"/>
      </w:divBdr>
    </w:div>
    <w:div w:id="1258103197">
      <w:bodyDiv w:val="1"/>
      <w:marLeft w:val="0"/>
      <w:marRight w:val="0"/>
      <w:marTop w:val="0"/>
      <w:marBottom w:val="0"/>
      <w:divBdr>
        <w:top w:val="none" w:sz="0" w:space="0" w:color="auto"/>
        <w:left w:val="none" w:sz="0" w:space="0" w:color="auto"/>
        <w:bottom w:val="none" w:sz="0" w:space="0" w:color="auto"/>
        <w:right w:val="none" w:sz="0" w:space="0" w:color="auto"/>
      </w:divBdr>
    </w:div>
    <w:div w:id="1279682639">
      <w:bodyDiv w:val="1"/>
      <w:marLeft w:val="0"/>
      <w:marRight w:val="0"/>
      <w:marTop w:val="0"/>
      <w:marBottom w:val="0"/>
      <w:divBdr>
        <w:top w:val="none" w:sz="0" w:space="0" w:color="auto"/>
        <w:left w:val="none" w:sz="0" w:space="0" w:color="auto"/>
        <w:bottom w:val="none" w:sz="0" w:space="0" w:color="auto"/>
        <w:right w:val="none" w:sz="0" w:space="0" w:color="auto"/>
      </w:divBdr>
    </w:div>
    <w:div w:id="1403913793">
      <w:bodyDiv w:val="1"/>
      <w:marLeft w:val="0"/>
      <w:marRight w:val="0"/>
      <w:marTop w:val="0"/>
      <w:marBottom w:val="0"/>
      <w:divBdr>
        <w:top w:val="none" w:sz="0" w:space="0" w:color="auto"/>
        <w:left w:val="none" w:sz="0" w:space="0" w:color="auto"/>
        <w:bottom w:val="none" w:sz="0" w:space="0" w:color="auto"/>
        <w:right w:val="none" w:sz="0" w:space="0" w:color="auto"/>
      </w:divBdr>
    </w:div>
    <w:div w:id="1536498212">
      <w:bodyDiv w:val="1"/>
      <w:marLeft w:val="0"/>
      <w:marRight w:val="0"/>
      <w:marTop w:val="0"/>
      <w:marBottom w:val="0"/>
      <w:divBdr>
        <w:top w:val="none" w:sz="0" w:space="0" w:color="auto"/>
        <w:left w:val="none" w:sz="0" w:space="0" w:color="auto"/>
        <w:bottom w:val="none" w:sz="0" w:space="0" w:color="auto"/>
        <w:right w:val="none" w:sz="0" w:space="0" w:color="auto"/>
      </w:divBdr>
    </w:div>
    <w:div w:id="1580401604">
      <w:bodyDiv w:val="1"/>
      <w:marLeft w:val="0"/>
      <w:marRight w:val="0"/>
      <w:marTop w:val="0"/>
      <w:marBottom w:val="0"/>
      <w:divBdr>
        <w:top w:val="none" w:sz="0" w:space="0" w:color="auto"/>
        <w:left w:val="none" w:sz="0" w:space="0" w:color="auto"/>
        <w:bottom w:val="none" w:sz="0" w:space="0" w:color="auto"/>
        <w:right w:val="none" w:sz="0" w:space="0" w:color="auto"/>
      </w:divBdr>
    </w:div>
    <w:div w:id="1635527068">
      <w:bodyDiv w:val="1"/>
      <w:marLeft w:val="0"/>
      <w:marRight w:val="0"/>
      <w:marTop w:val="0"/>
      <w:marBottom w:val="0"/>
      <w:divBdr>
        <w:top w:val="none" w:sz="0" w:space="0" w:color="auto"/>
        <w:left w:val="none" w:sz="0" w:space="0" w:color="auto"/>
        <w:bottom w:val="none" w:sz="0" w:space="0" w:color="auto"/>
        <w:right w:val="none" w:sz="0" w:space="0" w:color="auto"/>
      </w:divBdr>
    </w:div>
    <w:div w:id="1637638910">
      <w:bodyDiv w:val="1"/>
      <w:marLeft w:val="0"/>
      <w:marRight w:val="0"/>
      <w:marTop w:val="0"/>
      <w:marBottom w:val="0"/>
      <w:divBdr>
        <w:top w:val="none" w:sz="0" w:space="0" w:color="auto"/>
        <w:left w:val="none" w:sz="0" w:space="0" w:color="auto"/>
        <w:bottom w:val="none" w:sz="0" w:space="0" w:color="auto"/>
        <w:right w:val="none" w:sz="0" w:space="0" w:color="auto"/>
      </w:divBdr>
    </w:div>
    <w:div w:id="1651640430">
      <w:bodyDiv w:val="1"/>
      <w:marLeft w:val="0"/>
      <w:marRight w:val="0"/>
      <w:marTop w:val="0"/>
      <w:marBottom w:val="0"/>
      <w:divBdr>
        <w:top w:val="none" w:sz="0" w:space="0" w:color="auto"/>
        <w:left w:val="none" w:sz="0" w:space="0" w:color="auto"/>
        <w:bottom w:val="none" w:sz="0" w:space="0" w:color="auto"/>
        <w:right w:val="none" w:sz="0" w:space="0" w:color="auto"/>
      </w:divBdr>
    </w:div>
    <w:div w:id="1717313979">
      <w:bodyDiv w:val="1"/>
      <w:marLeft w:val="0"/>
      <w:marRight w:val="0"/>
      <w:marTop w:val="0"/>
      <w:marBottom w:val="0"/>
      <w:divBdr>
        <w:top w:val="none" w:sz="0" w:space="0" w:color="auto"/>
        <w:left w:val="none" w:sz="0" w:space="0" w:color="auto"/>
        <w:bottom w:val="none" w:sz="0" w:space="0" w:color="auto"/>
        <w:right w:val="none" w:sz="0" w:space="0" w:color="auto"/>
      </w:divBdr>
    </w:div>
    <w:div w:id="1816794687">
      <w:bodyDiv w:val="1"/>
      <w:marLeft w:val="0"/>
      <w:marRight w:val="0"/>
      <w:marTop w:val="0"/>
      <w:marBottom w:val="0"/>
      <w:divBdr>
        <w:top w:val="none" w:sz="0" w:space="0" w:color="auto"/>
        <w:left w:val="none" w:sz="0" w:space="0" w:color="auto"/>
        <w:bottom w:val="none" w:sz="0" w:space="0" w:color="auto"/>
        <w:right w:val="none" w:sz="0" w:space="0" w:color="auto"/>
      </w:divBdr>
    </w:div>
    <w:div w:id="185148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      Light"/>
        <a:font script="Hang" typeface="     "/>
        <a:font script="Hans" typeface="   Light"/>
        <a:font script="Hant" typeface="    "/>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   "/>
        <a:font script="Hang" typeface="     "/>
        <a:font script="Hans" typeface="  "/>
        <a:font script="Hant" typeface="    "/>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raClrScheme>
      <a:clrScheme name="extraLst0">
        <a:dk1>
          <a:srgbClr val="494F61"/>
        </a:dk1>
        <a:lt1>
          <a:srgbClr val="9CC7F4"/>
        </a:lt1>
        <a:dk2>
          <a:srgbClr val="9256D1"/>
        </a:dk2>
        <a:lt2>
          <a:srgbClr val="140C93"/>
        </a:lt2>
        <a:accent1>
          <a:srgbClr val="834F3C"/>
        </a:accent1>
        <a:accent2>
          <a:srgbClr val="E9E5B3"/>
        </a:accent2>
        <a:accent3>
          <a:srgbClr val="CC1AA3"/>
        </a:accent3>
        <a:accent4>
          <a:srgbClr val="D63553"/>
        </a:accent4>
        <a:accent5>
          <a:srgbClr val="3AB934"/>
        </a:accent5>
        <a:accent6>
          <a:srgbClr val="C1051A"/>
        </a:accent6>
        <a:hlink>
          <a:srgbClr val="56B862"/>
        </a:hlink>
        <a:folHlink>
          <a:srgbClr val="90DE04"/>
        </a:folHlink>
      </a:clrScheme>
    </a:extraClrScheme>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E4B81-E528-4CAC-A78E-B93B6108A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3063</Words>
  <Characters>15319</Characters>
  <Application>Microsoft Office Word</Application>
  <DocSecurity>0</DocSecurity>
  <Lines>127</Lines>
  <Paragraphs>36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MOD</Company>
  <LinksUpToDate>false</LinksUpToDate>
  <CharactersWithSpaces>18346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יבד"ץ 205/בית הדין הצבאי לערעורים/שופטת/מאיה גולדשמידט</dc:creator>
  <cp:lastModifiedBy>מאי משש - יבד"ץ 205/בית הדין לערעורים/משקי"ת משפט/</cp:lastModifiedBy>
  <cp:revision>2</cp:revision>
  <cp:lastPrinted>2022-04-14T12:59:00Z</cp:lastPrinted>
  <dcterms:created xsi:type="dcterms:W3CDTF">2024-03-10T10:14:00Z</dcterms:created>
  <dcterms:modified xsi:type="dcterms:W3CDTF">2024-03-10T10:14:00Z</dcterms:modified>
</cp:coreProperties>
</file>