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600D" w14:textId="77777777" w:rsidR="00232719" w:rsidRDefault="00232719" w:rsidP="00232719">
      <w:pPr>
        <w:ind w:left="29"/>
        <w:jc w:val="center"/>
        <w:rPr>
          <w:b/>
          <w:bCs/>
          <w:sz w:val="32"/>
          <w:szCs w:val="32"/>
          <w:rtl/>
        </w:rPr>
      </w:pPr>
      <w:r>
        <w:rPr>
          <w:rFonts w:hint="cs"/>
          <w:b/>
          <w:bCs/>
          <w:sz w:val="32"/>
          <w:szCs w:val="32"/>
          <w:rtl/>
        </w:rPr>
        <w:t>צבא הגנה לישראל</w:t>
      </w:r>
    </w:p>
    <w:p w14:paraId="5A739868" w14:textId="77777777" w:rsidR="00232719" w:rsidRPr="00F25B85" w:rsidRDefault="00232719" w:rsidP="00232719">
      <w:pPr>
        <w:rPr>
          <w:rtl/>
        </w:rPr>
      </w:pPr>
    </w:p>
    <w:p w14:paraId="1FAAA4C6" w14:textId="064E1BE1" w:rsidR="00232719" w:rsidRPr="00F25B85" w:rsidRDefault="00232719" w:rsidP="009E51DA">
      <w:pPr>
        <w:ind w:left="29"/>
        <w:jc w:val="center"/>
        <w:rPr>
          <w:b/>
          <w:bCs/>
          <w:sz w:val="30"/>
          <w:szCs w:val="30"/>
          <w:rtl/>
        </w:rPr>
      </w:pPr>
      <w:r>
        <w:rPr>
          <w:rFonts w:hint="cs"/>
          <w:b/>
          <w:bCs/>
          <w:sz w:val="30"/>
          <w:szCs w:val="30"/>
          <w:rtl/>
        </w:rPr>
        <w:t xml:space="preserve">צו מס׳ </w:t>
      </w:r>
      <w:r w:rsidR="009E51DA">
        <w:rPr>
          <w:rFonts w:hint="cs"/>
          <w:b/>
          <w:bCs/>
          <w:sz w:val="30"/>
          <w:szCs w:val="30"/>
          <w:rtl/>
        </w:rPr>
        <w:t>2223</w:t>
      </w:r>
    </w:p>
    <w:p w14:paraId="70801558" w14:textId="77777777" w:rsidR="00232719" w:rsidRDefault="00232719" w:rsidP="00232719">
      <w:pPr>
        <w:pStyle w:val="a7"/>
        <w:ind w:left="-180" w:right="-360"/>
        <w:jc w:val="center"/>
        <w:rPr>
          <w:b/>
          <w:bCs/>
          <w:sz w:val="32"/>
          <w:szCs w:val="32"/>
          <w:rtl/>
        </w:rPr>
      </w:pPr>
    </w:p>
    <w:p w14:paraId="7CBFD3DD" w14:textId="5E0A8697" w:rsidR="00232719" w:rsidRPr="00263C3B" w:rsidRDefault="00232719" w:rsidP="009E51DA">
      <w:pPr>
        <w:pStyle w:val="a7"/>
        <w:ind w:left="-180" w:right="-360"/>
        <w:jc w:val="center"/>
        <w:rPr>
          <w:b/>
          <w:bCs/>
          <w:sz w:val="32"/>
          <w:szCs w:val="32"/>
          <w:rtl/>
        </w:rPr>
      </w:pPr>
      <w:r>
        <w:rPr>
          <w:rFonts w:hint="cs"/>
          <w:b/>
          <w:bCs/>
          <w:sz w:val="32"/>
          <w:szCs w:val="32"/>
          <w:rtl/>
        </w:rPr>
        <w:t>צו בדבר הגברת האכיפה נגד מקום המשמש להלנה או העסקה שלא כדין (יהודה ושומרון) (מס׳</w:t>
      </w:r>
      <w:r w:rsidR="009E51DA">
        <w:rPr>
          <w:rFonts w:hint="cs"/>
          <w:b/>
          <w:bCs/>
          <w:sz w:val="32"/>
          <w:szCs w:val="32"/>
          <w:rtl/>
        </w:rPr>
        <w:t xml:space="preserve"> 2223</w:t>
      </w:r>
      <w:r>
        <w:rPr>
          <w:rFonts w:hint="cs"/>
          <w:b/>
          <w:bCs/>
          <w:sz w:val="32"/>
          <w:szCs w:val="32"/>
          <w:rtl/>
        </w:rPr>
        <w:t>), התשפ׳׳</w:t>
      </w:r>
      <w:r w:rsidR="00EE0AA5">
        <w:rPr>
          <w:rFonts w:hint="cs"/>
          <w:b/>
          <w:bCs/>
          <w:sz w:val="32"/>
          <w:szCs w:val="32"/>
          <w:rtl/>
        </w:rPr>
        <w:t>ה</w:t>
      </w:r>
      <w:r>
        <w:rPr>
          <w:rFonts w:hint="cs"/>
          <w:b/>
          <w:bCs/>
          <w:sz w:val="32"/>
          <w:szCs w:val="32"/>
          <w:rtl/>
        </w:rPr>
        <w:t>-202</w:t>
      </w:r>
      <w:r w:rsidR="00C037A2">
        <w:rPr>
          <w:rFonts w:hint="cs"/>
          <w:b/>
          <w:bCs/>
          <w:sz w:val="32"/>
          <w:szCs w:val="32"/>
          <w:rtl/>
        </w:rPr>
        <w:t>5</w:t>
      </w:r>
    </w:p>
    <w:p w14:paraId="662FD213" w14:textId="77777777" w:rsidR="00232719" w:rsidRPr="00D23B24" w:rsidRDefault="00232719" w:rsidP="00232719">
      <w:pPr>
        <w:rPr>
          <w:sz w:val="22"/>
          <w:szCs w:val="32"/>
          <w:rtl/>
        </w:rPr>
      </w:pPr>
    </w:p>
    <w:p w14:paraId="539B086E" w14:textId="77777777" w:rsidR="00232719" w:rsidRPr="00D23B24" w:rsidRDefault="00232719" w:rsidP="00232719">
      <w:pPr>
        <w:rPr>
          <w:sz w:val="22"/>
          <w:szCs w:val="32"/>
          <w:rtl/>
        </w:rPr>
      </w:pPr>
    </w:p>
    <w:p w14:paraId="7D9F4284" w14:textId="77777777" w:rsidR="00232719" w:rsidRDefault="00232719" w:rsidP="00232719">
      <w:pPr>
        <w:spacing w:line="276" w:lineRule="auto"/>
        <w:jc w:val="both"/>
        <w:rPr>
          <w:rtl/>
        </w:rPr>
      </w:pPr>
      <w:r>
        <w:rPr>
          <w:rFonts w:hint="cs"/>
          <w:rtl/>
        </w:rPr>
        <w:t>בתוקף סמכותי כמפקד כוחות צה׳׳ל באזור, והואיל ואני סבור כי הדבר נחוץ לצורך הממשל התקין והסדר הציבורי, אני מצווה בזאת כאמור:</w:t>
      </w:r>
    </w:p>
    <w:p w14:paraId="61C7CAFF" w14:textId="77777777" w:rsidR="00232719" w:rsidRPr="00F25B85" w:rsidRDefault="00232719" w:rsidP="00232719">
      <w:pPr>
        <w:rPr>
          <w:rtl/>
        </w:rPr>
      </w:pPr>
    </w:p>
    <w:tbl>
      <w:tblPr>
        <w:bidiVisual/>
        <w:tblW w:w="5195" w:type="pct"/>
        <w:tblInd w:w="-205" w:type="dxa"/>
        <w:tblLayout w:type="fixed"/>
        <w:tblLook w:val="0000" w:firstRow="0" w:lastRow="0" w:firstColumn="0" w:lastColumn="0" w:noHBand="0" w:noVBand="0"/>
      </w:tblPr>
      <w:tblGrid>
        <w:gridCol w:w="1196"/>
        <w:gridCol w:w="586"/>
        <w:gridCol w:w="564"/>
        <w:gridCol w:w="712"/>
        <w:gridCol w:w="166"/>
        <w:gridCol w:w="402"/>
        <w:gridCol w:w="566"/>
        <w:gridCol w:w="4820"/>
      </w:tblGrid>
      <w:tr w:rsidR="00C4269E" w:rsidRPr="00F25B85" w14:paraId="590DA92B" w14:textId="77777777" w:rsidTr="009E51DA">
        <w:tc>
          <w:tcPr>
            <w:tcW w:w="664" w:type="pct"/>
            <w:shd w:val="clear" w:color="auto" w:fill="auto"/>
          </w:tcPr>
          <w:p w14:paraId="368A25E6" w14:textId="77777777" w:rsidR="00232719" w:rsidRPr="00D23B24" w:rsidRDefault="00232719" w:rsidP="00902283">
            <w:pPr>
              <w:spacing w:line="276" w:lineRule="auto"/>
              <w:jc w:val="both"/>
              <w:rPr>
                <w:rFonts w:ascii="David" w:hAnsi="David"/>
                <w:b/>
                <w:bCs/>
                <w:sz w:val="26"/>
                <w:rtl/>
              </w:rPr>
            </w:pPr>
          </w:p>
        </w:tc>
        <w:tc>
          <w:tcPr>
            <w:tcW w:w="325" w:type="pct"/>
            <w:shd w:val="clear" w:color="auto" w:fill="auto"/>
          </w:tcPr>
          <w:p w14:paraId="6CDCBA39" w14:textId="77777777" w:rsidR="00232719" w:rsidRPr="00D23B24" w:rsidRDefault="00232719" w:rsidP="00902283">
            <w:pPr>
              <w:spacing w:line="276" w:lineRule="auto"/>
              <w:jc w:val="both"/>
              <w:rPr>
                <w:rFonts w:ascii="David" w:hAnsi="David"/>
                <w:sz w:val="26"/>
                <w:rtl/>
              </w:rPr>
            </w:pPr>
          </w:p>
        </w:tc>
        <w:tc>
          <w:tcPr>
            <w:tcW w:w="4011" w:type="pct"/>
            <w:gridSpan w:val="6"/>
            <w:shd w:val="clear" w:color="auto" w:fill="auto"/>
          </w:tcPr>
          <w:p w14:paraId="6AE11C75" w14:textId="77777777" w:rsidR="00232719" w:rsidRPr="00D23B24" w:rsidRDefault="00232719" w:rsidP="00902283">
            <w:pPr>
              <w:spacing w:line="276" w:lineRule="auto"/>
              <w:ind w:left="29"/>
              <w:rPr>
                <w:rFonts w:ascii="David" w:hAnsi="David"/>
                <w:sz w:val="26"/>
                <w:rtl/>
              </w:rPr>
            </w:pPr>
          </w:p>
        </w:tc>
      </w:tr>
      <w:tr w:rsidR="00C037A2" w:rsidRPr="00F25B85" w14:paraId="0BA1CEB3" w14:textId="77777777" w:rsidTr="009E51DA">
        <w:tc>
          <w:tcPr>
            <w:tcW w:w="664" w:type="pct"/>
            <w:shd w:val="clear" w:color="auto" w:fill="auto"/>
          </w:tcPr>
          <w:p w14:paraId="5F24F260" w14:textId="77777777" w:rsidR="00C037A2" w:rsidRPr="00D23B24" w:rsidRDefault="00C037A2" w:rsidP="00902283">
            <w:pPr>
              <w:spacing w:line="276" w:lineRule="auto"/>
              <w:jc w:val="both"/>
              <w:rPr>
                <w:rFonts w:ascii="David" w:hAnsi="David"/>
                <w:b/>
                <w:bCs/>
                <w:sz w:val="26"/>
                <w:rtl/>
              </w:rPr>
            </w:pPr>
            <w:r w:rsidRPr="00D23B24">
              <w:rPr>
                <w:rFonts w:ascii="David" w:hAnsi="David"/>
                <w:b/>
                <w:bCs/>
                <w:sz w:val="26"/>
                <w:rtl/>
              </w:rPr>
              <w:t>הגדרות</w:t>
            </w:r>
          </w:p>
        </w:tc>
        <w:tc>
          <w:tcPr>
            <w:tcW w:w="325" w:type="pct"/>
            <w:shd w:val="clear" w:color="auto" w:fill="auto"/>
          </w:tcPr>
          <w:p w14:paraId="2773364D" w14:textId="77777777" w:rsidR="00C037A2" w:rsidRPr="00D23B24" w:rsidRDefault="00C037A2" w:rsidP="00902283">
            <w:pPr>
              <w:spacing w:line="276" w:lineRule="auto"/>
              <w:jc w:val="both"/>
              <w:rPr>
                <w:rFonts w:ascii="David" w:hAnsi="David"/>
                <w:sz w:val="26"/>
                <w:rtl/>
              </w:rPr>
            </w:pPr>
            <w:r w:rsidRPr="00D23B24">
              <w:rPr>
                <w:rFonts w:ascii="David" w:hAnsi="David"/>
                <w:sz w:val="26"/>
                <w:rtl/>
              </w:rPr>
              <w:t>1.</w:t>
            </w:r>
          </w:p>
        </w:tc>
        <w:tc>
          <w:tcPr>
            <w:tcW w:w="4011" w:type="pct"/>
            <w:gridSpan w:val="6"/>
            <w:shd w:val="clear" w:color="auto" w:fill="auto"/>
          </w:tcPr>
          <w:p w14:paraId="09F6F142" w14:textId="77777777" w:rsidR="00C037A2" w:rsidRPr="00D23B24" w:rsidRDefault="00C037A2" w:rsidP="00902283">
            <w:pPr>
              <w:spacing w:line="276" w:lineRule="auto"/>
              <w:ind w:left="29"/>
              <w:rPr>
                <w:rFonts w:ascii="David" w:hAnsi="David"/>
                <w:sz w:val="26"/>
                <w:rtl/>
              </w:rPr>
            </w:pPr>
            <w:r w:rsidRPr="00D23B24">
              <w:rPr>
                <w:rFonts w:ascii="David" w:hAnsi="David"/>
                <w:sz w:val="26"/>
                <w:rtl/>
              </w:rPr>
              <w:t>בצו זה –</w:t>
            </w:r>
          </w:p>
          <w:p w14:paraId="619216D0" w14:textId="77777777" w:rsidR="00C037A2" w:rsidRDefault="00C037A2" w:rsidP="00902283">
            <w:pPr>
              <w:spacing w:line="276" w:lineRule="auto"/>
              <w:jc w:val="both"/>
              <w:rPr>
                <w:rFonts w:ascii="David" w:hAnsi="David"/>
                <w:sz w:val="26"/>
                <w:rtl/>
              </w:rPr>
            </w:pPr>
          </w:p>
          <w:p w14:paraId="3C821F5A" w14:textId="77777777" w:rsidR="00C037A2" w:rsidRDefault="00C037A2" w:rsidP="00902283">
            <w:pPr>
              <w:spacing w:line="276" w:lineRule="auto"/>
              <w:jc w:val="both"/>
              <w:rPr>
                <w:rFonts w:ascii="David" w:hAnsi="David"/>
                <w:sz w:val="26"/>
                <w:rtl/>
              </w:rPr>
            </w:pPr>
            <w:r>
              <w:rPr>
                <w:rFonts w:ascii="David" w:hAnsi="David" w:hint="cs"/>
                <w:sz w:val="26"/>
                <w:rtl/>
              </w:rPr>
              <w:t xml:space="preserve">"בית משפט" </w:t>
            </w:r>
            <w:r>
              <w:rPr>
                <w:rFonts w:ascii="David" w:hAnsi="David"/>
                <w:sz w:val="26"/>
                <w:rtl/>
              </w:rPr>
              <w:t>–</w:t>
            </w:r>
            <w:r w:rsidRPr="00D23B24">
              <w:rPr>
                <w:rFonts w:ascii="David" w:hAnsi="David"/>
                <w:sz w:val="26"/>
                <w:rtl/>
              </w:rPr>
              <w:t xml:space="preserve">בית </w:t>
            </w:r>
            <w:r>
              <w:rPr>
                <w:rFonts w:ascii="David" w:hAnsi="David" w:hint="cs"/>
                <w:sz w:val="26"/>
                <w:rtl/>
              </w:rPr>
              <w:t>המשפט המוסמך לדון בעבירה לפי צו זה או ה</w:t>
            </w:r>
            <w:r w:rsidRPr="00D23B24">
              <w:rPr>
                <w:rFonts w:ascii="David" w:hAnsi="David"/>
                <w:sz w:val="26"/>
                <w:rtl/>
              </w:rPr>
              <w:t>צו בדבר העסקת עובדים במקומות מסויימים</w:t>
            </w:r>
            <w:r>
              <w:rPr>
                <w:rFonts w:ascii="David" w:hAnsi="David" w:hint="cs"/>
                <w:sz w:val="26"/>
                <w:rtl/>
              </w:rPr>
              <w:t>;</w:t>
            </w:r>
          </w:p>
          <w:p w14:paraId="0775A03F" w14:textId="77777777" w:rsidR="00C037A2" w:rsidRPr="00D23B24" w:rsidRDefault="00C037A2" w:rsidP="00C037A2">
            <w:pPr>
              <w:spacing w:line="276" w:lineRule="auto"/>
              <w:jc w:val="both"/>
              <w:rPr>
                <w:rFonts w:ascii="David" w:hAnsi="David"/>
                <w:sz w:val="26"/>
                <w:rtl/>
              </w:rPr>
            </w:pPr>
          </w:p>
          <w:p w14:paraId="4691536C" w14:textId="77777777" w:rsidR="00C037A2" w:rsidRPr="00D23B24" w:rsidRDefault="00C037A2" w:rsidP="00902283">
            <w:pPr>
              <w:spacing w:line="276" w:lineRule="auto"/>
              <w:ind w:left="29"/>
              <w:jc w:val="both"/>
              <w:rPr>
                <w:rFonts w:ascii="David" w:hAnsi="David"/>
                <w:sz w:val="26"/>
                <w:rtl/>
              </w:rPr>
            </w:pPr>
            <w:r w:rsidRPr="00D23B24">
              <w:rPr>
                <w:rFonts w:ascii="David" w:hAnsi="David"/>
                <w:sz w:val="26"/>
                <w:rtl/>
              </w:rPr>
              <w:t>"חוק העונשין" - חוק העונשין, התשל"ז-1977, כפי תוקפו בישראל מעת לעת;</w:t>
            </w:r>
          </w:p>
          <w:p w14:paraId="503A3B76" w14:textId="77777777" w:rsidR="00C037A2" w:rsidRDefault="00C037A2" w:rsidP="00902283">
            <w:pPr>
              <w:spacing w:line="276" w:lineRule="auto"/>
              <w:ind w:left="29"/>
              <w:jc w:val="both"/>
              <w:rPr>
                <w:rFonts w:ascii="David" w:hAnsi="David"/>
                <w:sz w:val="26"/>
                <w:rtl/>
              </w:rPr>
            </w:pPr>
          </w:p>
          <w:p w14:paraId="5D0B528E" w14:textId="5E3B91E4" w:rsidR="00C037A2" w:rsidRDefault="00C037A2" w:rsidP="00C037A2">
            <w:pPr>
              <w:spacing w:line="276" w:lineRule="auto"/>
              <w:ind w:left="29"/>
              <w:jc w:val="both"/>
              <w:rPr>
                <w:rFonts w:ascii="David" w:hAnsi="David"/>
                <w:sz w:val="26"/>
                <w:rtl/>
              </w:rPr>
            </w:pPr>
            <w:r w:rsidRPr="00D23B24">
              <w:rPr>
                <w:rFonts w:ascii="David" w:hAnsi="David"/>
                <w:sz w:val="26"/>
                <w:rtl/>
              </w:rPr>
              <w:t>"הממונה על החקירה" – השוטר שמונה להיות אחראי לחקירה, ואם לא מונה אחראי כאמור – השוטר בעל הדרגה הבכירה ביותר החוקר את העבירה;</w:t>
            </w:r>
          </w:p>
          <w:p w14:paraId="238DCFF4" w14:textId="77777777" w:rsidR="00C037A2" w:rsidRPr="00D23B24" w:rsidRDefault="00C037A2" w:rsidP="00902283">
            <w:pPr>
              <w:spacing w:line="276" w:lineRule="auto"/>
              <w:ind w:left="29"/>
              <w:jc w:val="both"/>
              <w:rPr>
                <w:rFonts w:ascii="David" w:hAnsi="David"/>
                <w:sz w:val="26"/>
                <w:rtl/>
              </w:rPr>
            </w:pPr>
          </w:p>
          <w:p w14:paraId="650806EA" w14:textId="77777777" w:rsidR="00C037A2" w:rsidRPr="00D23B24" w:rsidRDefault="00C037A2" w:rsidP="00902283">
            <w:pPr>
              <w:spacing w:line="276" w:lineRule="auto"/>
              <w:ind w:left="29"/>
              <w:jc w:val="both"/>
              <w:rPr>
                <w:rFonts w:ascii="David" w:hAnsi="David"/>
                <w:sz w:val="26"/>
                <w:rtl/>
              </w:rPr>
            </w:pPr>
            <w:r w:rsidRPr="00D23B24">
              <w:rPr>
                <w:rFonts w:ascii="David" w:hAnsi="David"/>
                <w:sz w:val="26"/>
                <w:rtl/>
              </w:rPr>
              <w:t xml:space="preserve">"צו בדבר העסקת עובדים במקומות מסויימים" - </w:t>
            </w:r>
            <w:bookmarkStart w:id="0" w:name="_Hlk155505646"/>
            <w:r w:rsidRPr="00D23B24">
              <w:rPr>
                <w:rFonts w:ascii="David" w:hAnsi="David"/>
                <w:sz w:val="26"/>
                <w:rtl/>
              </w:rPr>
              <w:t>צו בדבר העסקת עובדים במקומות מסויימים (יהודה והשומרון) (מס' 967), התשמ"ב-1982</w:t>
            </w:r>
            <w:bookmarkEnd w:id="0"/>
            <w:r w:rsidRPr="00D23B24">
              <w:rPr>
                <w:rFonts w:ascii="David" w:hAnsi="David"/>
                <w:sz w:val="26"/>
                <w:rtl/>
              </w:rPr>
              <w:t>;</w:t>
            </w:r>
          </w:p>
          <w:p w14:paraId="7FFE322B" w14:textId="77777777" w:rsidR="00C037A2" w:rsidRPr="00D23B24" w:rsidRDefault="00C037A2" w:rsidP="00902283">
            <w:pPr>
              <w:spacing w:line="276" w:lineRule="auto"/>
              <w:ind w:left="29"/>
              <w:jc w:val="both"/>
              <w:rPr>
                <w:rFonts w:ascii="David" w:hAnsi="David"/>
                <w:sz w:val="26"/>
                <w:rtl/>
              </w:rPr>
            </w:pPr>
          </w:p>
          <w:p w14:paraId="55D7A2CA" w14:textId="77777777" w:rsidR="00C037A2" w:rsidRPr="00D23B24" w:rsidRDefault="00C037A2" w:rsidP="00902283">
            <w:pPr>
              <w:spacing w:line="276" w:lineRule="auto"/>
              <w:ind w:left="29"/>
              <w:jc w:val="both"/>
              <w:rPr>
                <w:rFonts w:ascii="David" w:hAnsi="David"/>
                <w:sz w:val="26"/>
                <w:rtl/>
              </w:rPr>
            </w:pPr>
            <w:r w:rsidRPr="00D23B24">
              <w:rPr>
                <w:rFonts w:ascii="David" w:hAnsi="David"/>
                <w:sz w:val="26"/>
                <w:rtl/>
              </w:rPr>
              <w:t xml:space="preserve">"צו הגבלה שיפוטי" – צו שניתן על ידי בית משפט לפי סעיפים </w:t>
            </w:r>
            <w:r>
              <w:rPr>
                <w:rFonts w:ascii="David" w:hAnsi="David" w:hint="cs"/>
                <w:sz w:val="26"/>
                <w:rtl/>
              </w:rPr>
              <w:t>6</w:t>
            </w:r>
            <w:r w:rsidRPr="00D23B24">
              <w:rPr>
                <w:rFonts w:ascii="David" w:hAnsi="David"/>
                <w:sz w:val="26"/>
                <w:rtl/>
              </w:rPr>
              <w:t xml:space="preserve">(א) או </w:t>
            </w:r>
            <w:r>
              <w:rPr>
                <w:rFonts w:ascii="David" w:hAnsi="David" w:hint="cs"/>
                <w:sz w:val="26"/>
                <w:rtl/>
              </w:rPr>
              <w:t>6</w:t>
            </w:r>
            <w:r w:rsidRPr="00D23B24">
              <w:rPr>
                <w:rFonts w:ascii="David" w:hAnsi="David"/>
                <w:sz w:val="26"/>
                <w:rtl/>
              </w:rPr>
              <w:t>(ב);</w:t>
            </w:r>
          </w:p>
          <w:p w14:paraId="4C8D134C" w14:textId="77777777" w:rsidR="00C037A2" w:rsidRPr="00D23B24" w:rsidRDefault="00C037A2" w:rsidP="00902283">
            <w:pPr>
              <w:spacing w:line="276" w:lineRule="auto"/>
              <w:ind w:left="29"/>
              <w:jc w:val="both"/>
              <w:rPr>
                <w:rFonts w:ascii="David" w:hAnsi="David"/>
                <w:sz w:val="26"/>
                <w:rtl/>
              </w:rPr>
            </w:pPr>
          </w:p>
          <w:p w14:paraId="5B2A245F" w14:textId="77777777" w:rsidR="00C037A2" w:rsidRPr="00D23B24" w:rsidRDefault="00C037A2" w:rsidP="00902283">
            <w:pPr>
              <w:spacing w:line="276" w:lineRule="auto"/>
              <w:ind w:left="29"/>
              <w:jc w:val="both"/>
              <w:rPr>
                <w:rFonts w:ascii="David" w:hAnsi="David"/>
                <w:sz w:val="26"/>
                <w:rtl/>
              </w:rPr>
            </w:pPr>
            <w:r w:rsidRPr="00D23B24">
              <w:rPr>
                <w:rFonts w:ascii="David" w:hAnsi="David"/>
                <w:sz w:val="26"/>
                <w:rtl/>
              </w:rPr>
              <w:t>"קצין משטרה מוסמך" – מפקד מחוז או מפקד יחידה ארצית במשטרת ישראל, שהוא בדרגת תת-ניצב ומעלה;</w:t>
            </w:r>
          </w:p>
          <w:p w14:paraId="7AC24193" w14:textId="77777777" w:rsidR="00C037A2" w:rsidRPr="00D23B24" w:rsidRDefault="00C037A2" w:rsidP="00902283">
            <w:pPr>
              <w:spacing w:line="276" w:lineRule="auto"/>
              <w:ind w:left="29"/>
              <w:jc w:val="both"/>
              <w:rPr>
                <w:rFonts w:ascii="David" w:hAnsi="David"/>
                <w:sz w:val="26"/>
                <w:rtl/>
              </w:rPr>
            </w:pPr>
          </w:p>
          <w:p w14:paraId="095AA848" w14:textId="77777777" w:rsidR="00C037A2" w:rsidRPr="00D23B24" w:rsidRDefault="00C037A2" w:rsidP="00902283">
            <w:pPr>
              <w:spacing w:line="276" w:lineRule="auto"/>
              <w:ind w:left="29"/>
              <w:jc w:val="both"/>
              <w:rPr>
                <w:rFonts w:ascii="David" w:hAnsi="David"/>
                <w:sz w:val="26"/>
                <w:rtl/>
              </w:rPr>
            </w:pPr>
            <w:r w:rsidRPr="00D23B24">
              <w:rPr>
                <w:rFonts w:ascii="David" w:hAnsi="David"/>
                <w:sz w:val="26"/>
                <w:rtl/>
              </w:rPr>
              <w:t xml:space="preserve">"שוהה לא חוקי" - </w:t>
            </w:r>
            <w:r>
              <w:rPr>
                <w:rFonts w:ascii="David" w:hAnsi="David" w:hint="cs"/>
                <w:sz w:val="26"/>
                <w:rtl/>
              </w:rPr>
              <w:t xml:space="preserve">אדם הרשום  במרשם האוכלוסין של האיזור, </w:t>
            </w:r>
            <w:r w:rsidRPr="00D23B24">
              <w:rPr>
                <w:rFonts w:ascii="David" w:hAnsi="David"/>
                <w:sz w:val="26"/>
                <w:rtl/>
              </w:rPr>
              <w:t xml:space="preserve"> ש</w:t>
            </w:r>
            <w:r>
              <w:rPr>
                <w:rFonts w:ascii="David" w:hAnsi="David" w:hint="cs"/>
                <w:sz w:val="26"/>
                <w:rtl/>
              </w:rPr>
              <w:t xml:space="preserve">הפר הוראות הכרזה בדבר סגירת שטח או מקום </w:t>
            </w:r>
            <w:r w:rsidRPr="00D23B24">
              <w:rPr>
                <w:rFonts w:ascii="David" w:hAnsi="David"/>
                <w:sz w:val="26"/>
                <w:rtl/>
              </w:rPr>
              <w:t>לפי סעיף 318(ו) לצו בדבר הוראת ביטחון [נוסח משולב] (יהודה והשומרון) (מס' 1651)</w:t>
            </w:r>
            <w:r w:rsidRPr="00D23B24">
              <w:rPr>
                <w:rFonts w:ascii="David" w:hAnsi="David"/>
                <w:sz w:val="26"/>
              </w:rPr>
              <w:t>,</w:t>
            </w:r>
            <w:r w:rsidRPr="00D23B24">
              <w:rPr>
                <w:rFonts w:ascii="David" w:hAnsi="David"/>
                <w:sz w:val="26"/>
                <w:rtl/>
              </w:rPr>
              <w:t xml:space="preserve"> התש"ע-2009 בשל הפרת ההכרזה בדבר סגירת שטח (ישובים ישראליים) (יהודה והשומרון), התשס"ב-2002</w:t>
            </w:r>
            <w:r>
              <w:rPr>
                <w:rFonts w:ascii="David" w:hAnsi="David" w:hint="cs"/>
                <w:sz w:val="26"/>
                <w:rtl/>
              </w:rPr>
              <w:t xml:space="preserve"> (להלן </w:t>
            </w:r>
            <w:r>
              <w:rPr>
                <w:rFonts w:ascii="David" w:hAnsi="David"/>
                <w:sz w:val="26"/>
                <w:rtl/>
              </w:rPr>
              <w:t>–</w:t>
            </w:r>
            <w:r>
              <w:rPr>
                <w:rFonts w:ascii="David" w:hAnsi="David" w:hint="cs"/>
                <w:sz w:val="26"/>
                <w:rtl/>
              </w:rPr>
              <w:t xml:space="preserve"> ההכרזה בדבר סגירת שטח),</w:t>
            </w:r>
            <w:r w:rsidRPr="00D23B24">
              <w:rPr>
                <w:rFonts w:ascii="David" w:hAnsi="David"/>
                <w:sz w:val="26"/>
                <w:rtl/>
              </w:rPr>
              <w:t xml:space="preserve"> או שהועסק בניגוד לסעיף 2 </w:t>
            </w:r>
            <w:r>
              <w:rPr>
                <w:rFonts w:ascii="David" w:hAnsi="David" w:hint="cs"/>
                <w:sz w:val="26"/>
                <w:rtl/>
              </w:rPr>
              <w:t>ל</w:t>
            </w:r>
            <w:r w:rsidRPr="00D23B24">
              <w:rPr>
                <w:rFonts w:ascii="David" w:hAnsi="David"/>
                <w:sz w:val="26"/>
                <w:rtl/>
              </w:rPr>
              <w:t>צו בדבר העסקת עובדים במקומות מסויימים;</w:t>
            </w:r>
          </w:p>
          <w:p w14:paraId="75F679A4" w14:textId="77777777" w:rsidR="00C037A2" w:rsidRPr="00D23B24" w:rsidRDefault="00C037A2" w:rsidP="00902283">
            <w:pPr>
              <w:spacing w:line="276" w:lineRule="auto"/>
              <w:ind w:left="29"/>
              <w:jc w:val="both"/>
              <w:rPr>
                <w:rFonts w:ascii="David" w:hAnsi="David"/>
                <w:sz w:val="26"/>
                <w:rtl/>
              </w:rPr>
            </w:pPr>
          </w:p>
          <w:p w14:paraId="0BA57E38" w14:textId="77777777" w:rsidR="00C037A2" w:rsidRPr="00D23B24" w:rsidRDefault="00C037A2" w:rsidP="00902283">
            <w:pPr>
              <w:spacing w:line="276" w:lineRule="auto"/>
              <w:ind w:left="29"/>
              <w:jc w:val="both"/>
              <w:rPr>
                <w:rFonts w:ascii="David" w:hAnsi="David"/>
                <w:sz w:val="26"/>
                <w:rtl/>
              </w:rPr>
            </w:pPr>
            <w:r w:rsidRPr="00D23B24">
              <w:rPr>
                <w:rFonts w:ascii="David" w:hAnsi="David"/>
                <w:sz w:val="26"/>
                <w:rtl/>
              </w:rPr>
              <w:t xml:space="preserve">"תובע" – כמשמעותו </w:t>
            </w:r>
            <w:r>
              <w:rPr>
                <w:rFonts w:ascii="David" w:hAnsi="David" w:hint="cs"/>
                <w:sz w:val="26"/>
                <w:rtl/>
              </w:rPr>
              <w:t xml:space="preserve">בסעיף 132 לתקנון המועצות המקומיות או </w:t>
            </w:r>
            <w:r>
              <w:rPr>
                <w:rtl/>
              </w:rPr>
              <w:t>פרקליט מפרקליטות המדינה או שוטר שנתמנה להיות תובע כמשמעותם בסעיף 12(א) לחוק סדר הדין הפלילי [נו</w:t>
            </w:r>
            <w:r>
              <w:rPr>
                <w:rFonts w:hint="cs"/>
                <w:rtl/>
              </w:rPr>
              <w:t>ס</w:t>
            </w:r>
            <w:r>
              <w:rPr>
                <w:rtl/>
              </w:rPr>
              <w:t>ח משולב]</w:t>
            </w:r>
            <w:r>
              <w:rPr>
                <w:rFonts w:hint="cs"/>
                <w:rtl/>
              </w:rPr>
              <w:t>,</w:t>
            </w:r>
            <w:r>
              <w:rPr>
                <w:rtl/>
              </w:rPr>
              <w:t xml:space="preserve"> התשמ"ב</w:t>
            </w:r>
            <w:r>
              <w:rPr>
                <w:rFonts w:hint="cs"/>
                <w:rtl/>
              </w:rPr>
              <w:t>-</w:t>
            </w:r>
            <w:r>
              <w:rPr>
                <w:rtl/>
              </w:rPr>
              <w:t>1982</w:t>
            </w:r>
            <w:r>
              <w:rPr>
                <w:rFonts w:hint="cs"/>
                <w:rtl/>
              </w:rPr>
              <w:t xml:space="preserve"> כפי תוקפו בישראל בעת לעת</w:t>
            </w:r>
            <w:r w:rsidRPr="00D23B24">
              <w:rPr>
                <w:rFonts w:ascii="David" w:hAnsi="David"/>
                <w:sz w:val="26"/>
                <w:rtl/>
              </w:rPr>
              <w:t>;</w:t>
            </w:r>
          </w:p>
          <w:p w14:paraId="66E7E4B6" w14:textId="77777777" w:rsidR="00C037A2" w:rsidRPr="00D23B24" w:rsidRDefault="00C037A2" w:rsidP="00902283">
            <w:pPr>
              <w:spacing w:line="276" w:lineRule="auto"/>
              <w:ind w:left="29"/>
              <w:jc w:val="both"/>
              <w:rPr>
                <w:rFonts w:ascii="David" w:hAnsi="David"/>
                <w:sz w:val="26"/>
                <w:rtl/>
              </w:rPr>
            </w:pPr>
          </w:p>
          <w:p w14:paraId="693E0710" w14:textId="77777777" w:rsidR="00C037A2" w:rsidRPr="00D23B24" w:rsidRDefault="00C037A2" w:rsidP="00902283">
            <w:pPr>
              <w:spacing w:line="276" w:lineRule="auto"/>
              <w:ind w:left="29"/>
              <w:jc w:val="both"/>
              <w:rPr>
                <w:rFonts w:ascii="David" w:hAnsi="David"/>
                <w:sz w:val="26"/>
                <w:rtl/>
              </w:rPr>
            </w:pPr>
            <w:r w:rsidRPr="00D23B24">
              <w:rPr>
                <w:rFonts w:ascii="David" w:hAnsi="David"/>
                <w:sz w:val="26"/>
                <w:rtl/>
              </w:rPr>
              <w:t>"תקנון המועצות המקומיות" – תקנון המועצות המקומיות (יהודה והשומרון), התשמ"א-1981.</w:t>
            </w:r>
          </w:p>
        </w:tc>
      </w:tr>
      <w:tr w:rsidR="00C4269E" w:rsidRPr="00F25B85" w14:paraId="20E3C45A" w14:textId="77777777" w:rsidTr="009E51DA">
        <w:tc>
          <w:tcPr>
            <w:tcW w:w="664" w:type="pct"/>
            <w:shd w:val="clear" w:color="auto" w:fill="auto"/>
          </w:tcPr>
          <w:p w14:paraId="7C1FA96A" w14:textId="77777777" w:rsidR="00232719" w:rsidRPr="00D23B24" w:rsidRDefault="00232719" w:rsidP="00902283">
            <w:pPr>
              <w:spacing w:line="276" w:lineRule="auto"/>
              <w:jc w:val="both"/>
              <w:rPr>
                <w:rFonts w:ascii="David" w:hAnsi="David"/>
                <w:b/>
                <w:bCs/>
                <w:sz w:val="26"/>
                <w:rtl/>
              </w:rPr>
            </w:pPr>
            <w:r w:rsidRPr="00D23B24">
              <w:rPr>
                <w:rFonts w:ascii="David" w:hAnsi="David"/>
                <w:b/>
                <w:bCs/>
                <w:sz w:val="26"/>
                <w:rtl/>
              </w:rPr>
              <w:lastRenderedPageBreak/>
              <w:t>הלנה של שוהה לא חוקי</w:t>
            </w:r>
          </w:p>
        </w:tc>
        <w:tc>
          <w:tcPr>
            <w:tcW w:w="325" w:type="pct"/>
            <w:shd w:val="clear" w:color="auto" w:fill="auto"/>
          </w:tcPr>
          <w:p w14:paraId="65B33CB2" w14:textId="77777777" w:rsidR="00232719" w:rsidRPr="00D23B24" w:rsidRDefault="00232719" w:rsidP="00902283">
            <w:pPr>
              <w:spacing w:line="276" w:lineRule="auto"/>
              <w:jc w:val="both"/>
              <w:rPr>
                <w:rFonts w:ascii="David" w:hAnsi="David"/>
                <w:sz w:val="26"/>
                <w:rtl/>
              </w:rPr>
            </w:pPr>
            <w:r w:rsidRPr="00D23B24">
              <w:rPr>
                <w:rFonts w:ascii="David" w:hAnsi="David"/>
                <w:sz w:val="26"/>
                <w:rtl/>
              </w:rPr>
              <w:t>2.</w:t>
            </w:r>
          </w:p>
        </w:tc>
        <w:tc>
          <w:tcPr>
            <w:tcW w:w="313" w:type="pct"/>
            <w:shd w:val="clear" w:color="auto" w:fill="auto"/>
          </w:tcPr>
          <w:p w14:paraId="282C55CD" w14:textId="77777777" w:rsidR="00232719" w:rsidRPr="00D23B24" w:rsidRDefault="00232719" w:rsidP="00902283">
            <w:pPr>
              <w:spacing w:line="276" w:lineRule="auto"/>
              <w:ind w:left="29"/>
              <w:rPr>
                <w:rFonts w:ascii="David" w:hAnsi="David"/>
                <w:sz w:val="26"/>
                <w:rtl/>
              </w:rPr>
            </w:pPr>
            <w:r w:rsidRPr="00D23B24">
              <w:rPr>
                <w:rFonts w:ascii="David" w:hAnsi="David"/>
                <w:sz w:val="26"/>
                <w:rtl/>
              </w:rPr>
              <w:t>(א)</w:t>
            </w:r>
          </w:p>
        </w:tc>
        <w:tc>
          <w:tcPr>
            <w:tcW w:w="3698" w:type="pct"/>
            <w:gridSpan w:val="5"/>
            <w:shd w:val="clear" w:color="auto" w:fill="auto"/>
          </w:tcPr>
          <w:p w14:paraId="47E46AD8" w14:textId="7B52FF9B" w:rsidR="00232719" w:rsidRPr="00D23B24" w:rsidRDefault="00232719" w:rsidP="00902283">
            <w:pPr>
              <w:spacing w:line="276" w:lineRule="auto"/>
              <w:ind w:left="29"/>
              <w:jc w:val="both"/>
              <w:rPr>
                <w:rFonts w:ascii="David" w:hAnsi="David"/>
                <w:sz w:val="26"/>
                <w:rtl/>
              </w:rPr>
            </w:pPr>
            <w:r w:rsidRPr="00D23B24">
              <w:rPr>
                <w:rFonts w:ascii="David" w:hAnsi="David"/>
                <w:sz w:val="26"/>
                <w:rtl/>
              </w:rPr>
              <w:t>על אף האמור בכל דין ותחיקת ביטחון, מי שמעמיד, בתמורה או שלא בתמורה, מקום לינה</w:t>
            </w:r>
            <w:r w:rsidR="000E71A3">
              <w:rPr>
                <w:rFonts w:ascii="David" w:hAnsi="David" w:hint="cs"/>
                <w:sz w:val="26"/>
                <w:rtl/>
              </w:rPr>
              <w:t xml:space="preserve"> בתחום היישובים</w:t>
            </w:r>
            <w:r w:rsidR="00D51D86">
              <w:rPr>
                <w:rFonts w:ascii="David" w:hAnsi="David" w:hint="cs"/>
                <w:sz w:val="26"/>
                <w:rtl/>
              </w:rPr>
              <w:t>,</w:t>
            </w:r>
            <w:r w:rsidR="000E71A3">
              <w:rPr>
                <w:rFonts w:ascii="David" w:hAnsi="David" w:hint="cs"/>
                <w:sz w:val="26"/>
                <w:rtl/>
              </w:rPr>
              <w:t xml:space="preserve"> כהגדרתו בהכרזה בדבר סגירת שטח</w:t>
            </w:r>
            <w:r w:rsidR="00D51D86">
              <w:rPr>
                <w:rFonts w:ascii="David" w:hAnsi="David" w:hint="cs"/>
                <w:sz w:val="26"/>
                <w:rtl/>
              </w:rPr>
              <w:t>,</w:t>
            </w:r>
            <w:r w:rsidRPr="00D23B24">
              <w:rPr>
                <w:rFonts w:ascii="David" w:hAnsi="David"/>
                <w:sz w:val="26"/>
                <w:rtl/>
              </w:rPr>
              <w:t xml:space="preserve"> לרשותו של שוהה לא חוקי, או מסייע בתמורה או שלא בתמורה, לשוהה לא חוקי להשיג מקום לינה</w:t>
            </w:r>
            <w:r w:rsidR="000E71A3">
              <w:rPr>
                <w:rFonts w:ascii="David" w:hAnsi="David" w:hint="cs"/>
                <w:sz w:val="26"/>
                <w:rtl/>
              </w:rPr>
              <w:t xml:space="preserve"> בתחום היישובים כהגדרתו בהכרזה בדבר סגירת שטח</w:t>
            </w:r>
            <w:r w:rsidRPr="00D23B24">
              <w:rPr>
                <w:rFonts w:ascii="David" w:hAnsi="David"/>
                <w:sz w:val="26"/>
                <w:rtl/>
              </w:rPr>
              <w:t xml:space="preserve">, והכול בין במישרין ובין בעקיפין, בין בעצמו ובין על ידי אחר המועסק על ידו או מטעמו - דינו מאסר </w:t>
            </w:r>
            <w:r w:rsidR="000129DD">
              <w:rPr>
                <w:rFonts w:ascii="David" w:hAnsi="David" w:hint="cs"/>
                <w:sz w:val="26"/>
                <w:rtl/>
              </w:rPr>
              <w:t>ארבע שנים</w:t>
            </w:r>
            <w:r w:rsidR="000129DD" w:rsidRPr="00D23B24">
              <w:rPr>
                <w:rFonts w:ascii="David" w:hAnsi="David"/>
                <w:sz w:val="26"/>
                <w:rtl/>
              </w:rPr>
              <w:t xml:space="preserve"> </w:t>
            </w:r>
            <w:r w:rsidRPr="00D23B24">
              <w:rPr>
                <w:rFonts w:ascii="David" w:hAnsi="David"/>
                <w:sz w:val="26"/>
                <w:rtl/>
              </w:rPr>
              <w:t>או הקנס הקבוע בסעיף 61(א)(3) לחוק העונשין.</w:t>
            </w:r>
          </w:p>
        </w:tc>
      </w:tr>
      <w:tr w:rsidR="00C4269E" w:rsidRPr="00F25B85" w14:paraId="233A799B" w14:textId="77777777" w:rsidTr="009E51DA">
        <w:tc>
          <w:tcPr>
            <w:tcW w:w="664" w:type="pct"/>
            <w:shd w:val="clear" w:color="auto" w:fill="auto"/>
          </w:tcPr>
          <w:p w14:paraId="5CF0690A" w14:textId="77777777" w:rsidR="00232719" w:rsidRPr="00D23B24" w:rsidRDefault="00232719" w:rsidP="00902283">
            <w:pPr>
              <w:spacing w:line="276" w:lineRule="auto"/>
              <w:jc w:val="both"/>
              <w:rPr>
                <w:rFonts w:ascii="David" w:hAnsi="David"/>
                <w:b/>
                <w:bCs/>
                <w:sz w:val="26"/>
                <w:rtl/>
              </w:rPr>
            </w:pPr>
          </w:p>
        </w:tc>
        <w:tc>
          <w:tcPr>
            <w:tcW w:w="325" w:type="pct"/>
            <w:shd w:val="clear" w:color="auto" w:fill="auto"/>
          </w:tcPr>
          <w:p w14:paraId="0DFA9541" w14:textId="77777777" w:rsidR="00232719" w:rsidRPr="00D23B24" w:rsidRDefault="00232719" w:rsidP="00902283">
            <w:pPr>
              <w:spacing w:line="276" w:lineRule="auto"/>
              <w:jc w:val="both"/>
              <w:rPr>
                <w:rFonts w:ascii="David" w:hAnsi="David"/>
                <w:sz w:val="26"/>
                <w:rtl/>
              </w:rPr>
            </w:pPr>
          </w:p>
        </w:tc>
        <w:tc>
          <w:tcPr>
            <w:tcW w:w="313" w:type="pct"/>
            <w:shd w:val="clear" w:color="auto" w:fill="auto"/>
          </w:tcPr>
          <w:p w14:paraId="613C9250" w14:textId="77777777" w:rsidR="00232719" w:rsidRPr="00D23B24" w:rsidRDefault="00232719" w:rsidP="00902283">
            <w:pPr>
              <w:spacing w:line="276" w:lineRule="auto"/>
              <w:ind w:left="29"/>
              <w:rPr>
                <w:rFonts w:ascii="David" w:hAnsi="David"/>
                <w:sz w:val="26"/>
                <w:rtl/>
              </w:rPr>
            </w:pPr>
          </w:p>
        </w:tc>
        <w:tc>
          <w:tcPr>
            <w:tcW w:w="3698" w:type="pct"/>
            <w:gridSpan w:val="5"/>
            <w:shd w:val="clear" w:color="auto" w:fill="auto"/>
          </w:tcPr>
          <w:p w14:paraId="6BC5EDA3" w14:textId="77777777" w:rsidR="00232719" w:rsidRPr="00D23B24" w:rsidRDefault="00232719" w:rsidP="00902283">
            <w:pPr>
              <w:spacing w:line="276" w:lineRule="auto"/>
              <w:ind w:left="29"/>
              <w:jc w:val="both"/>
              <w:rPr>
                <w:rFonts w:ascii="David" w:hAnsi="David"/>
                <w:sz w:val="26"/>
                <w:rtl/>
              </w:rPr>
            </w:pPr>
          </w:p>
        </w:tc>
      </w:tr>
      <w:tr w:rsidR="00C4269E" w:rsidRPr="00F25B85" w14:paraId="20AF28EF" w14:textId="77777777" w:rsidTr="009E51DA">
        <w:tc>
          <w:tcPr>
            <w:tcW w:w="664" w:type="pct"/>
            <w:shd w:val="clear" w:color="auto" w:fill="auto"/>
          </w:tcPr>
          <w:p w14:paraId="1557FEA9" w14:textId="77777777" w:rsidR="00232719" w:rsidRPr="00D23B24" w:rsidRDefault="00232719" w:rsidP="00902283">
            <w:pPr>
              <w:spacing w:line="276" w:lineRule="auto"/>
              <w:jc w:val="both"/>
              <w:rPr>
                <w:rFonts w:ascii="David" w:hAnsi="David"/>
                <w:b/>
                <w:bCs/>
                <w:sz w:val="26"/>
                <w:rtl/>
              </w:rPr>
            </w:pPr>
          </w:p>
        </w:tc>
        <w:tc>
          <w:tcPr>
            <w:tcW w:w="325" w:type="pct"/>
            <w:shd w:val="clear" w:color="auto" w:fill="auto"/>
          </w:tcPr>
          <w:p w14:paraId="6BD15A94" w14:textId="77777777" w:rsidR="00232719" w:rsidRPr="00D23B24" w:rsidRDefault="00232719" w:rsidP="00902283">
            <w:pPr>
              <w:spacing w:line="276" w:lineRule="auto"/>
              <w:jc w:val="both"/>
              <w:rPr>
                <w:rFonts w:ascii="David" w:hAnsi="David"/>
                <w:sz w:val="26"/>
                <w:rtl/>
              </w:rPr>
            </w:pPr>
          </w:p>
        </w:tc>
        <w:tc>
          <w:tcPr>
            <w:tcW w:w="313" w:type="pct"/>
            <w:shd w:val="clear" w:color="auto" w:fill="auto"/>
          </w:tcPr>
          <w:p w14:paraId="598CE104" w14:textId="77777777" w:rsidR="00232719" w:rsidRPr="00D23B24" w:rsidRDefault="00232719" w:rsidP="00902283">
            <w:pPr>
              <w:spacing w:line="276" w:lineRule="auto"/>
              <w:ind w:left="29"/>
              <w:rPr>
                <w:rFonts w:ascii="David" w:hAnsi="David"/>
                <w:sz w:val="26"/>
                <w:rtl/>
              </w:rPr>
            </w:pPr>
            <w:r w:rsidRPr="00D23B24">
              <w:rPr>
                <w:rFonts w:ascii="David" w:hAnsi="David"/>
                <w:sz w:val="26"/>
                <w:rtl/>
              </w:rPr>
              <w:t>(ב)</w:t>
            </w:r>
          </w:p>
        </w:tc>
        <w:tc>
          <w:tcPr>
            <w:tcW w:w="3698" w:type="pct"/>
            <w:gridSpan w:val="5"/>
            <w:shd w:val="clear" w:color="auto" w:fill="auto"/>
          </w:tcPr>
          <w:p w14:paraId="0CA13D09" w14:textId="3A24E441" w:rsidR="00232719" w:rsidRPr="00D23B24" w:rsidRDefault="00232719" w:rsidP="00902283">
            <w:pPr>
              <w:spacing w:line="276" w:lineRule="auto"/>
              <w:ind w:left="29"/>
              <w:jc w:val="both"/>
              <w:rPr>
                <w:rFonts w:ascii="David" w:hAnsi="David"/>
                <w:sz w:val="26"/>
              </w:rPr>
            </w:pPr>
            <w:r w:rsidRPr="00D23B24">
              <w:rPr>
                <w:rFonts w:ascii="David" w:hAnsi="David"/>
                <w:sz w:val="26"/>
                <w:rtl/>
              </w:rPr>
              <w:t>נעברה עבירה לפי סעיף קטן (א) בידי תאגיד, דינו – קנס פי ארבעה מהקנס הקבוע בסעיף 61(א)(3) לחוק העונשין</w:t>
            </w:r>
            <w:r w:rsidRPr="00D23B24">
              <w:rPr>
                <w:rFonts w:ascii="David" w:hAnsi="David"/>
                <w:sz w:val="26"/>
              </w:rPr>
              <w:t>.</w:t>
            </w:r>
          </w:p>
        </w:tc>
      </w:tr>
      <w:tr w:rsidR="00C4269E" w:rsidRPr="00F25B85" w14:paraId="41B567B4" w14:textId="77777777" w:rsidTr="009E51DA">
        <w:tc>
          <w:tcPr>
            <w:tcW w:w="664" w:type="pct"/>
            <w:shd w:val="clear" w:color="auto" w:fill="auto"/>
          </w:tcPr>
          <w:p w14:paraId="0BDE480E" w14:textId="77777777" w:rsidR="000129DD" w:rsidRPr="00D23B24" w:rsidRDefault="000129DD" w:rsidP="00902283">
            <w:pPr>
              <w:spacing w:line="276" w:lineRule="auto"/>
              <w:jc w:val="both"/>
              <w:rPr>
                <w:rFonts w:ascii="David" w:hAnsi="David"/>
                <w:b/>
                <w:bCs/>
                <w:sz w:val="26"/>
                <w:rtl/>
              </w:rPr>
            </w:pPr>
          </w:p>
        </w:tc>
        <w:tc>
          <w:tcPr>
            <w:tcW w:w="325" w:type="pct"/>
            <w:shd w:val="clear" w:color="auto" w:fill="auto"/>
          </w:tcPr>
          <w:p w14:paraId="697EFC6D" w14:textId="77777777" w:rsidR="000129DD" w:rsidRPr="00D23B24" w:rsidRDefault="000129DD" w:rsidP="00902283">
            <w:pPr>
              <w:spacing w:line="276" w:lineRule="auto"/>
              <w:jc w:val="both"/>
              <w:rPr>
                <w:rFonts w:ascii="David" w:hAnsi="David"/>
                <w:sz w:val="26"/>
                <w:rtl/>
              </w:rPr>
            </w:pPr>
          </w:p>
        </w:tc>
        <w:tc>
          <w:tcPr>
            <w:tcW w:w="313" w:type="pct"/>
            <w:shd w:val="clear" w:color="auto" w:fill="auto"/>
          </w:tcPr>
          <w:p w14:paraId="47A6DC68" w14:textId="77777777" w:rsidR="000129DD" w:rsidRPr="00D23B24" w:rsidRDefault="000129DD" w:rsidP="00902283">
            <w:pPr>
              <w:spacing w:line="276" w:lineRule="auto"/>
              <w:ind w:left="29"/>
              <w:rPr>
                <w:rFonts w:ascii="David" w:hAnsi="David"/>
                <w:sz w:val="26"/>
                <w:rtl/>
              </w:rPr>
            </w:pPr>
          </w:p>
        </w:tc>
        <w:tc>
          <w:tcPr>
            <w:tcW w:w="3698" w:type="pct"/>
            <w:gridSpan w:val="5"/>
            <w:shd w:val="clear" w:color="auto" w:fill="auto"/>
          </w:tcPr>
          <w:p w14:paraId="67625074" w14:textId="77777777" w:rsidR="000129DD" w:rsidRPr="00D23B24" w:rsidRDefault="000129DD" w:rsidP="00902283">
            <w:pPr>
              <w:spacing w:line="276" w:lineRule="auto"/>
              <w:ind w:left="29"/>
              <w:jc w:val="both"/>
              <w:rPr>
                <w:rFonts w:ascii="David" w:hAnsi="David"/>
                <w:sz w:val="26"/>
                <w:rtl/>
              </w:rPr>
            </w:pPr>
          </w:p>
        </w:tc>
      </w:tr>
      <w:tr w:rsidR="00C4269E" w:rsidRPr="00F25B85" w14:paraId="5F77FE22" w14:textId="77777777" w:rsidTr="009E51DA">
        <w:tc>
          <w:tcPr>
            <w:tcW w:w="664" w:type="pct"/>
            <w:shd w:val="clear" w:color="auto" w:fill="auto"/>
          </w:tcPr>
          <w:p w14:paraId="596653C2" w14:textId="77777777" w:rsidR="000129DD" w:rsidRPr="00D23B24" w:rsidRDefault="000129DD" w:rsidP="000129DD">
            <w:pPr>
              <w:spacing w:line="276" w:lineRule="auto"/>
              <w:jc w:val="both"/>
              <w:rPr>
                <w:rFonts w:ascii="David" w:hAnsi="David"/>
                <w:b/>
                <w:bCs/>
                <w:sz w:val="26"/>
                <w:rtl/>
              </w:rPr>
            </w:pPr>
          </w:p>
        </w:tc>
        <w:tc>
          <w:tcPr>
            <w:tcW w:w="325" w:type="pct"/>
            <w:shd w:val="clear" w:color="auto" w:fill="auto"/>
          </w:tcPr>
          <w:p w14:paraId="45A81CE8" w14:textId="77777777" w:rsidR="000129DD" w:rsidRPr="00D23B24" w:rsidRDefault="000129DD" w:rsidP="000129DD">
            <w:pPr>
              <w:spacing w:line="276" w:lineRule="auto"/>
              <w:jc w:val="both"/>
              <w:rPr>
                <w:rFonts w:ascii="David" w:hAnsi="David"/>
                <w:sz w:val="26"/>
                <w:rtl/>
              </w:rPr>
            </w:pPr>
          </w:p>
        </w:tc>
        <w:tc>
          <w:tcPr>
            <w:tcW w:w="313" w:type="pct"/>
            <w:shd w:val="clear" w:color="auto" w:fill="auto"/>
          </w:tcPr>
          <w:p w14:paraId="5D69CB8B" w14:textId="33E343CF" w:rsidR="000129DD" w:rsidRPr="00D23B24" w:rsidRDefault="000129DD" w:rsidP="000129DD">
            <w:pPr>
              <w:spacing w:line="276" w:lineRule="auto"/>
              <w:ind w:left="29"/>
              <w:rPr>
                <w:rFonts w:ascii="David" w:hAnsi="David"/>
                <w:sz w:val="26"/>
                <w:rtl/>
              </w:rPr>
            </w:pPr>
            <w:r>
              <w:rPr>
                <w:rFonts w:ascii="David" w:hAnsi="David" w:hint="cs"/>
                <w:sz w:val="26"/>
                <w:rtl/>
              </w:rPr>
              <w:t>(ג)</w:t>
            </w:r>
          </w:p>
        </w:tc>
        <w:tc>
          <w:tcPr>
            <w:tcW w:w="487" w:type="pct"/>
            <w:gridSpan w:val="2"/>
            <w:shd w:val="clear" w:color="auto" w:fill="auto"/>
          </w:tcPr>
          <w:p w14:paraId="1A01C06E" w14:textId="30AD3EA8" w:rsidR="000129DD" w:rsidRPr="00D23B24" w:rsidRDefault="000129DD" w:rsidP="000129DD">
            <w:pPr>
              <w:spacing w:line="276" w:lineRule="auto"/>
              <w:ind w:left="29"/>
              <w:jc w:val="both"/>
              <w:rPr>
                <w:rFonts w:ascii="David" w:hAnsi="David"/>
                <w:sz w:val="26"/>
                <w:rtl/>
              </w:rPr>
            </w:pPr>
            <w:r>
              <w:rPr>
                <w:rFonts w:ascii="David" w:hAnsi="David" w:hint="cs"/>
                <w:sz w:val="26"/>
                <w:rtl/>
              </w:rPr>
              <w:t>(1)</w:t>
            </w:r>
          </w:p>
        </w:tc>
        <w:tc>
          <w:tcPr>
            <w:tcW w:w="3210" w:type="pct"/>
            <w:gridSpan w:val="3"/>
            <w:shd w:val="clear" w:color="auto" w:fill="auto"/>
          </w:tcPr>
          <w:p w14:paraId="3EB2767A" w14:textId="01498070" w:rsidR="000129DD" w:rsidRPr="00D23B24" w:rsidRDefault="000129DD" w:rsidP="000129DD">
            <w:pPr>
              <w:spacing w:line="276" w:lineRule="auto"/>
              <w:ind w:left="29"/>
              <w:jc w:val="both"/>
              <w:rPr>
                <w:rFonts w:ascii="David" w:hAnsi="David"/>
                <w:sz w:val="26"/>
                <w:rtl/>
              </w:rPr>
            </w:pPr>
            <w:r w:rsidRPr="00D41F27">
              <w:rPr>
                <w:rtl/>
              </w:rPr>
              <w:t>קנס המוטל לפי סעיף קטן (א) לא יפחת מ־5,000 שקלים חדשים, אלא אם כן החליט בית המשפט, מטעמים מיוחדים שיירשמו, להקל בעונש</w:t>
            </w:r>
            <w:r>
              <w:rPr>
                <w:rFonts w:hint="cs"/>
                <w:rtl/>
              </w:rPr>
              <w:t>;</w:t>
            </w:r>
          </w:p>
        </w:tc>
      </w:tr>
      <w:tr w:rsidR="00C4269E" w:rsidRPr="00F25B85" w14:paraId="2726D7BC" w14:textId="77777777" w:rsidTr="009E51DA">
        <w:tc>
          <w:tcPr>
            <w:tcW w:w="664" w:type="pct"/>
            <w:shd w:val="clear" w:color="auto" w:fill="auto"/>
          </w:tcPr>
          <w:p w14:paraId="58AE533E" w14:textId="77777777" w:rsidR="000129DD" w:rsidRPr="00D23B24" w:rsidRDefault="000129DD" w:rsidP="000129DD">
            <w:pPr>
              <w:spacing w:line="276" w:lineRule="auto"/>
              <w:jc w:val="both"/>
              <w:rPr>
                <w:rFonts w:ascii="David" w:hAnsi="David"/>
                <w:b/>
                <w:bCs/>
                <w:sz w:val="26"/>
                <w:rtl/>
              </w:rPr>
            </w:pPr>
          </w:p>
        </w:tc>
        <w:tc>
          <w:tcPr>
            <w:tcW w:w="325" w:type="pct"/>
            <w:shd w:val="clear" w:color="auto" w:fill="auto"/>
          </w:tcPr>
          <w:p w14:paraId="32BC4B70" w14:textId="77777777" w:rsidR="000129DD" w:rsidRPr="00D23B24" w:rsidRDefault="000129DD" w:rsidP="000129DD">
            <w:pPr>
              <w:spacing w:line="276" w:lineRule="auto"/>
              <w:jc w:val="both"/>
              <w:rPr>
                <w:rFonts w:ascii="David" w:hAnsi="David"/>
                <w:sz w:val="26"/>
                <w:rtl/>
              </w:rPr>
            </w:pPr>
          </w:p>
        </w:tc>
        <w:tc>
          <w:tcPr>
            <w:tcW w:w="313" w:type="pct"/>
            <w:shd w:val="clear" w:color="auto" w:fill="auto"/>
          </w:tcPr>
          <w:p w14:paraId="7CA6E053" w14:textId="77777777" w:rsidR="000129DD" w:rsidRDefault="000129DD" w:rsidP="000129DD">
            <w:pPr>
              <w:spacing w:line="276" w:lineRule="auto"/>
              <w:ind w:left="29"/>
              <w:rPr>
                <w:rFonts w:ascii="David" w:hAnsi="David"/>
                <w:sz w:val="26"/>
                <w:rtl/>
              </w:rPr>
            </w:pPr>
          </w:p>
        </w:tc>
        <w:tc>
          <w:tcPr>
            <w:tcW w:w="487" w:type="pct"/>
            <w:gridSpan w:val="2"/>
            <w:shd w:val="clear" w:color="auto" w:fill="auto"/>
          </w:tcPr>
          <w:p w14:paraId="28F8CBC9" w14:textId="77777777" w:rsidR="000129DD" w:rsidRDefault="000129DD" w:rsidP="000129DD">
            <w:pPr>
              <w:spacing w:line="276" w:lineRule="auto"/>
              <w:ind w:left="29"/>
              <w:jc w:val="both"/>
              <w:rPr>
                <w:rFonts w:ascii="David" w:hAnsi="David"/>
                <w:sz w:val="26"/>
                <w:rtl/>
              </w:rPr>
            </w:pPr>
          </w:p>
        </w:tc>
        <w:tc>
          <w:tcPr>
            <w:tcW w:w="3210" w:type="pct"/>
            <w:gridSpan w:val="3"/>
            <w:shd w:val="clear" w:color="auto" w:fill="auto"/>
          </w:tcPr>
          <w:p w14:paraId="6BAEACC4" w14:textId="77777777" w:rsidR="000129DD" w:rsidRPr="00D41F27" w:rsidRDefault="000129DD" w:rsidP="000129DD">
            <w:pPr>
              <w:spacing w:line="276" w:lineRule="auto"/>
              <w:ind w:left="29"/>
              <w:jc w:val="both"/>
              <w:rPr>
                <w:rtl/>
              </w:rPr>
            </w:pPr>
          </w:p>
        </w:tc>
      </w:tr>
      <w:tr w:rsidR="00C4269E" w:rsidRPr="00F25B85" w14:paraId="45756C87" w14:textId="77777777" w:rsidTr="009E51DA">
        <w:tc>
          <w:tcPr>
            <w:tcW w:w="664" w:type="pct"/>
            <w:shd w:val="clear" w:color="auto" w:fill="auto"/>
          </w:tcPr>
          <w:p w14:paraId="77EEB1CA" w14:textId="77777777" w:rsidR="000129DD" w:rsidRPr="00D23B24" w:rsidRDefault="000129DD" w:rsidP="000129DD">
            <w:pPr>
              <w:spacing w:line="276" w:lineRule="auto"/>
              <w:jc w:val="both"/>
              <w:rPr>
                <w:rFonts w:ascii="David" w:hAnsi="David"/>
                <w:b/>
                <w:bCs/>
                <w:sz w:val="26"/>
                <w:rtl/>
              </w:rPr>
            </w:pPr>
          </w:p>
        </w:tc>
        <w:tc>
          <w:tcPr>
            <w:tcW w:w="325" w:type="pct"/>
            <w:shd w:val="clear" w:color="auto" w:fill="auto"/>
          </w:tcPr>
          <w:p w14:paraId="1B2793A3" w14:textId="77777777" w:rsidR="000129DD" w:rsidRPr="00D23B24" w:rsidRDefault="000129DD" w:rsidP="000129DD">
            <w:pPr>
              <w:spacing w:line="276" w:lineRule="auto"/>
              <w:jc w:val="both"/>
              <w:rPr>
                <w:rFonts w:ascii="David" w:hAnsi="David"/>
                <w:sz w:val="26"/>
                <w:rtl/>
              </w:rPr>
            </w:pPr>
          </w:p>
        </w:tc>
        <w:tc>
          <w:tcPr>
            <w:tcW w:w="313" w:type="pct"/>
            <w:shd w:val="clear" w:color="auto" w:fill="auto"/>
          </w:tcPr>
          <w:p w14:paraId="5857946D" w14:textId="77777777" w:rsidR="000129DD" w:rsidRDefault="000129DD" w:rsidP="000129DD">
            <w:pPr>
              <w:spacing w:line="276" w:lineRule="auto"/>
              <w:ind w:left="29"/>
              <w:rPr>
                <w:rFonts w:ascii="David" w:hAnsi="David"/>
                <w:sz w:val="26"/>
                <w:rtl/>
              </w:rPr>
            </w:pPr>
          </w:p>
        </w:tc>
        <w:tc>
          <w:tcPr>
            <w:tcW w:w="487" w:type="pct"/>
            <w:gridSpan w:val="2"/>
            <w:shd w:val="clear" w:color="auto" w:fill="auto"/>
          </w:tcPr>
          <w:p w14:paraId="32E60CFD" w14:textId="7BD0EE26" w:rsidR="000129DD" w:rsidRDefault="000129DD" w:rsidP="000129DD">
            <w:pPr>
              <w:spacing w:line="276" w:lineRule="auto"/>
              <w:ind w:left="29"/>
              <w:jc w:val="both"/>
              <w:rPr>
                <w:rFonts w:ascii="David" w:hAnsi="David"/>
                <w:sz w:val="26"/>
                <w:rtl/>
              </w:rPr>
            </w:pPr>
            <w:r>
              <w:rPr>
                <w:rFonts w:ascii="David" w:hAnsi="David" w:hint="cs"/>
                <w:sz w:val="26"/>
                <w:rtl/>
              </w:rPr>
              <w:t>(2)</w:t>
            </w:r>
          </w:p>
        </w:tc>
        <w:tc>
          <w:tcPr>
            <w:tcW w:w="3210" w:type="pct"/>
            <w:gridSpan w:val="3"/>
            <w:shd w:val="clear" w:color="auto" w:fill="auto"/>
          </w:tcPr>
          <w:p w14:paraId="3E8D1542" w14:textId="194D211E" w:rsidR="000129DD" w:rsidRPr="00D41F27" w:rsidRDefault="000129DD" w:rsidP="000129DD">
            <w:pPr>
              <w:spacing w:line="276" w:lineRule="auto"/>
              <w:ind w:left="29"/>
              <w:jc w:val="both"/>
              <w:rPr>
                <w:rtl/>
              </w:rPr>
            </w:pPr>
            <w:r w:rsidRPr="00D41F27">
              <w:rPr>
                <w:rtl/>
              </w:rPr>
              <w:t>קנס המוטל על תאגיד לפי סעיפים קטנים (א) ו־(ב) לא יפחת מ־20,000 שקלים חדשים, אלא אם כן החליט בית המשפט, מטעמים מיוחדים שיירשמו, להקל בעונש</w:t>
            </w:r>
            <w:r>
              <w:rPr>
                <w:rFonts w:hint="cs"/>
                <w:rtl/>
              </w:rPr>
              <w:t>;</w:t>
            </w:r>
          </w:p>
        </w:tc>
      </w:tr>
      <w:tr w:rsidR="00C037A2" w:rsidRPr="00F25B85" w14:paraId="1BA40E4C" w14:textId="77777777" w:rsidTr="009E51DA">
        <w:tc>
          <w:tcPr>
            <w:tcW w:w="664" w:type="pct"/>
            <w:shd w:val="clear" w:color="auto" w:fill="auto"/>
          </w:tcPr>
          <w:p w14:paraId="293E53EA" w14:textId="77777777" w:rsidR="00C037A2" w:rsidRPr="00D23B24" w:rsidRDefault="00C037A2" w:rsidP="000129DD">
            <w:pPr>
              <w:spacing w:line="276" w:lineRule="auto"/>
              <w:jc w:val="both"/>
              <w:rPr>
                <w:rFonts w:ascii="David" w:hAnsi="David"/>
                <w:b/>
                <w:bCs/>
                <w:sz w:val="26"/>
                <w:rtl/>
              </w:rPr>
            </w:pPr>
          </w:p>
        </w:tc>
        <w:tc>
          <w:tcPr>
            <w:tcW w:w="325" w:type="pct"/>
            <w:shd w:val="clear" w:color="auto" w:fill="auto"/>
          </w:tcPr>
          <w:p w14:paraId="5725FC31" w14:textId="77777777" w:rsidR="00C037A2" w:rsidRPr="00D23B24" w:rsidRDefault="00C037A2" w:rsidP="000129DD">
            <w:pPr>
              <w:spacing w:line="276" w:lineRule="auto"/>
              <w:jc w:val="both"/>
              <w:rPr>
                <w:rFonts w:ascii="David" w:hAnsi="David"/>
                <w:sz w:val="26"/>
                <w:rtl/>
              </w:rPr>
            </w:pPr>
          </w:p>
        </w:tc>
        <w:tc>
          <w:tcPr>
            <w:tcW w:w="313" w:type="pct"/>
            <w:shd w:val="clear" w:color="auto" w:fill="auto"/>
          </w:tcPr>
          <w:p w14:paraId="6748C8E1" w14:textId="77777777" w:rsidR="00C037A2" w:rsidRDefault="00C037A2" w:rsidP="000129DD">
            <w:pPr>
              <w:spacing w:line="276" w:lineRule="auto"/>
              <w:ind w:left="29"/>
              <w:rPr>
                <w:rFonts w:ascii="David" w:hAnsi="David"/>
                <w:sz w:val="26"/>
                <w:rtl/>
              </w:rPr>
            </w:pPr>
          </w:p>
        </w:tc>
        <w:tc>
          <w:tcPr>
            <w:tcW w:w="487" w:type="pct"/>
            <w:gridSpan w:val="2"/>
            <w:shd w:val="clear" w:color="auto" w:fill="auto"/>
          </w:tcPr>
          <w:p w14:paraId="6E4F3AD9" w14:textId="77777777" w:rsidR="00C037A2" w:rsidRDefault="00C037A2" w:rsidP="000129DD">
            <w:pPr>
              <w:spacing w:line="276" w:lineRule="auto"/>
              <w:ind w:left="29"/>
              <w:jc w:val="both"/>
              <w:rPr>
                <w:rFonts w:ascii="David" w:hAnsi="David"/>
                <w:sz w:val="26"/>
                <w:rtl/>
              </w:rPr>
            </w:pPr>
          </w:p>
        </w:tc>
        <w:tc>
          <w:tcPr>
            <w:tcW w:w="3210" w:type="pct"/>
            <w:gridSpan w:val="3"/>
            <w:shd w:val="clear" w:color="auto" w:fill="auto"/>
          </w:tcPr>
          <w:p w14:paraId="7091923C" w14:textId="77777777" w:rsidR="00C037A2" w:rsidRPr="00D41F27" w:rsidRDefault="00C037A2" w:rsidP="000129DD">
            <w:pPr>
              <w:spacing w:line="276" w:lineRule="auto"/>
              <w:ind w:left="29"/>
              <w:jc w:val="both"/>
              <w:rPr>
                <w:rtl/>
              </w:rPr>
            </w:pPr>
          </w:p>
        </w:tc>
      </w:tr>
      <w:tr w:rsidR="00C4269E" w:rsidRPr="00F25B85" w14:paraId="0BCBFFCE" w14:textId="77777777" w:rsidTr="009E51DA">
        <w:tc>
          <w:tcPr>
            <w:tcW w:w="664" w:type="pct"/>
            <w:shd w:val="clear" w:color="auto" w:fill="auto"/>
          </w:tcPr>
          <w:p w14:paraId="094AAF6A" w14:textId="77777777" w:rsidR="004A46C3" w:rsidRPr="00D23B24" w:rsidRDefault="004A46C3" w:rsidP="004A46C3">
            <w:pPr>
              <w:spacing w:line="276" w:lineRule="auto"/>
              <w:jc w:val="both"/>
              <w:rPr>
                <w:rFonts w:ascii="David" w:hAnsi="David"/>
                <w:b/>
                <w:bCs/>
                <w:sz w:val="26"/>
                <w:rtl/>
              </w:rPr>
            </w:pPr>
          </w:p>
        </w:tc>
        <w:tc>
          <w:tcPr>
            <w:tcW w:w="325" w:type="pct"/>
            <w:shd w:val="clear" w:color="auto" w:fill="auto"/>
          </w:tcPr>
          <w:p w14:paraId="11382910" w14:textId="77777777" w:rsidR="004A46C3" w:rsidRPr="00D23B24" w:rsidRDefault="004A46C3" w:rsidP="004A46C3">
            <w:pPr>
              <w:spacing w:line="276" w:lineRule="auto"/>
              <w:jc w:val="both"/>
              <w:rPr>
                <w:rFonts w:ascii="David" w:hAnsi="David"/>
                <w:sz w:val="26"/>
                <w:rtl/>
              </w:rPr>
            </w:pPr>
          </w:p>
        </w:tc>
        <w:tc>
          <w:tcPr>
            <w:tcW w:w="313" w:type="pct"/>
            <w:shd w:val="clear" w:color="auto" w:fill="auto"/>
          </w:tcPr>
          <w:p w14:paraId="328BFD17" w14:textId="77777777" w:rsidR="004A46C3" w:rsidRDefault="004A46C3" w:rsidP="004A46C3">
            <w:pPr>
              <w:spacing w:line="276" w:lineRule="auto"/>
              <w:ind w:left="29"/>
              <w:rPr>
                <w:rFonts w:ascii="David" w:hAnsi="David"/>
                <w:sz w:val="26"/>
                <w:rtl/>
              </w:rPr>
            </w:pPr>
          </w:p>
        </w:tc>
        <w:tc>
          <w:tcPr>
            <w:tcW w:w="487" w:type="pct"/>
            <w:gridSpan w:val="2"/>
            <w:shd w:val="clear" w:color="auto" w:fill="auto"/>
          </w:tcPr>
          <w:p w14:paraId="3F7930A0" w14:textId="5C66A734" w:rsidR="004A46C3" w:rsidRDefault="004A46C3" w:rsidP="004A46C3">
            <w:pPr>
              <w:spacing w:line="276" w:lineRule="auto"/>
              <w:ind w:left="29"/>
              <w:jc w:val="both"/>
              <w:rPr>
                <w:rFonts w:ascii="David" w:hAnsi="David"/>
                <w:sz w:val="26"/>
                <w:rtl/>
              </w:rPr>
            </w:pPr>
            <w:r>
              <w:rPr>
                <w:rFonts w:ascii="David" w:hAnsi="David" w:hint="cs"/>
                <w:sz w:val="26"/>
                <w:rtl/>
              </w:rPr>
              <w:t>(3)</w:t>
            </w:r>
          </w:p>
        </w:tc>
        <w:tc>
          <w:tcPr>
            <w:tcW w:w="3210" w:type="pct"/>
            <w:gridSpan w:val="3"/>
            <w:shd w:val="clear" w:color="auto" w:fill="auto"/>
          </w:tcPr>
          <w:p w14:paraId="274B38BA" w14:textId="69295097" w:rsidR="004A46C3" w:rsidRPr="00D41F27" w:rsidRDefault="004A46C3" w:rsidP="004A46C3">
            <w:pPr>
              <w:spacing w:line="276" w:lineRule="auto"/>
              <w:ind w:left="29"/>
              <w:jc w:val="both"/>
              <w:rPr>
                <w:rtl/>
              </w:rPr>
            </w:pPr>
            <w:r w:rsidRPr="00723BC9">
              <w:rPr>
                <w:rtl/>
              </w:rPr>
              <w:t>הוראות סעיף קטן זה יעמדו בתוקפן עד יום כ"ד בניסן התשפ"ז (1 במאי 2027).</w:t>
            </w:r>
          </w:p>
        </w:tc>
      </w:tr>
      <w:tr w:rsidR="00C4269E" w:rsidRPr="00F25B85" w14:paraId="74543F66" w14:textId="77777777" w:rsidTr="009E51DA">
        <w:tc>
          <w:tcPr>
            <w:tcW w:w="664" w:type="pct"/>
            <w:shd w:val="clear" w:color="auto" w:fill="auto"/>
          </w:tcPr>
          <w:p w14:paraId="1BC4D088" w14:textId="77777777" w:rsidR="004A46C3" w:rsidRPr="00D23B24" w:rsidRDefault="004A46C3" w:rsidP="004A46C3">
            <w:pPr>
              <w:spacing w:line="276" w:lineRule="auto"/>
              <w:jc w:val="both"/>
              <w:rPr>
                <w:rFonts w:ascii="David" w:hAnsi="David"/>
                <w:b/>
                <w:bCs/>
                <w:sz w:val="26"/>
                <w:rtl/>
              </w:rPr>
            </w:pPr>
          </w:p>
        </w:tc>
        <w:tc>
          <w:tcPr>
            <w:tcW w:w="325" w:type="pct"/>
            <w:shd w:val="clear" w:color="auto" w:fill="auto"/>
          </w:tcPr>
          <w:p w14:paraId="6880B07E" w14:textId="77777777" w:rsidR="004A46C3" w:rsidRPr="00D23B24" w:rsidRDefault="004A46C3" w:rsidP="004A46C3">
            <w:pPr>
              <w:spacing w:line="276" w:lineRule="auto"/>
              <w:jc w:val="both"/>
              <w:rPr>
                <w:rFonts w:ascii="David" w:hAnsi="David"/>
                <w:sz w:val="26"/>
                <w:rtl/>
              </w:rPr>
            </w:pPr>
          </w:p>
        </w:tc>
        <w:tc>
          <w:tcPr>
            <w:tcW w:w="313" w:type="pct"/>
            <w:shd w:val="clear" w:color="auto" w:fill="auto"/>
          </w:tcPr>
          <w:p w14:paraId="2BFFCFBB" w14:textId="77777777" w:rsidR="004A46C3" w:rsidRDefault="004A46C3" w:rsidP="004A46C3">
            <w:pPr>
              <w:spacing w:line="276" w:lineRule="auto"/>
              <w:ind w:left="29"/>
              <w:rPr>
                <w:rFonts w:ascii="David" w:hAnsi="David"/>
                <w:sz w:val="26"/>
                <w:rtl/>
              </w:rPr>
            </w:pPr>
          </w:p>
        </w:tc>
        <w:tc>
          <w:tcPr>
            <w:tcW w:w="487" w:type="pct"/>
            <w:gridSpan w:val="2"/>
            <w:shd w:val="clear" w:color="auto" w:fill="auto"/>
          </w:tcPr>
          <w:p w14:paraId="0FD0F960" w14:textId="77777777" w:rsidR="004A46C3" w:rsidRDefault="004A46C3" w:rsidP="004A46C3">
            <w:pPr>
              <w:spacing w:line="276" w:lineRule="auto"/>
              <w:ind w:left="29"/>
              <w:jc w:val="both"/>
              <w:rPr>
                <w:rFonts w:ascii="David" w:hAnsi="David"/>
                <w:sz w:val="26"/>
                <w:rtl/>
              </w:rPr>
            </w:pPr>
          </w:p>
        </w:tc>
        <w:tc>
          <w:tcPr>
            <w:tcW w:w="3210" w:type="pct"/>
            <w:gridSpan w:val="3"/>
            <w:shd w:val="clear" w:color="auto" w:fill="auto"/>
          </w:tcPr>
          <w:p w14:paraId="5EFB9371" w14:textId="77777777" w:rsidR="004A46C3" w:rsidRPr="00723BC9" w:rsidRDefault="004A46C3" w:rsidP="004A46C3">
            <w:pPr>
              <w:spacing w:line="276" w:lineRule="auto"/>
              <w:ind w:left="29"/>
              <w:jc w:val="both"/>
              <w:rPr>
                <w:rtl/>
              </w:rPr>
            </w:pPr>
          </w:p>
        </w:tc>
      </w:tr>
      <w:tr w:rsidR="00C4269E" w:rsidRPr="00F25B85" w14:paraId="3FE78065" w14:textId="77777777" w:rsidTr="009E51DA">
        <w:tc>
          <w:tcPr>
            <w:tcW w:w="664" w:type="pct"/>
            <w:shd w:val="clear" w:color="auto" w:fill="auto"/>
          </w:tcPr>
          <w:p w14:paraId="419940C8" w14:textId="0C231F7B" w:rsidR="004A46C3" w:rsidRPr="00D23B24" w:rsidRDefault="004A46C3" w:rsidP="004A46C3">
            <w:pPr>
              <w:spacing w:line="276" w:lineRule="auto"/>
              <w:jc w:val="both"/>
              <w:rPr>
                <w:rFonts w:ascii="David" w:hAnsi="David"/>
                <w:b/>
                <w:bCs/>
                <w:sz w:val="26"/>
                <w:rtl/>
              </w:rPr>
            </w:pPr>
            <w:r w:rsidRPr="00D23B24">
              <w:rPr>
                <w:rFonts w:ascii="David" w:hAnsi="David"/>
                <w:b/>
                <w:bCs/>
                <w:sz w:val="26"/>
                <w:rtl/>
              </w:rPr>
              <w:t>הלנה בנסיבות מחמירות</w:t>
            </w:r>
          </w:p>
        </w:tc>
        <w:tc>
          <w:tcPr>
            <w:tcW w:w="325" w:type="pct"/>
            <w:shd w:val="clear" w:color="auto" w:fill="auto"/>
          </w:tcPr>
          <w:p w14:paraId="2F56FF9D" w14:textId="71660BD2" w:rsidR="004A46C3" w:rsidRPr="00D23B24" w:rsidRDefault="004A46C3" w:rsidP="004A46C3">
            <w:pPr>
              <w:spacing w:line="276" w:lineRule="auto"/>
              <w:jc w:val="both"/>
              <w:rPr>
                <w:rFonts w:ascii="David" w:hAnsi="David"/>
                <w:sz w:val="26"/>
                <w:rtl/>
              </w:rPr>
            </w:pPr>
            <w:r w:rsidRPr="00D23B24">
              <w:rPr>
                <w:rFonts w:ascii="David" w:hAnsi="David"/>
                <w:sz w:val="26"/>
                <w:rtl/>
              </w:rPr>
              <w:t>3.</w:t>
            </w:r>
          </w:p>
        </w:tc>
        <w:tc>
          <w:tcPr>
            <w:tcW w:w="313" w:type="pct"/>
            <w:shd w:val="clear" w:color="auto" w:fill="auto"/>
          </w:tcPr>
          <w:p w14:paraId="37990466" w14:textId="72E06116" w:rsidR="004A46C3" w:rsidRDefault="004A46C3" w:rsidP="004A46C3">
            <w:pPr>
              <w:spacing w:line="276" w:lineRule="auto"/>
              <w:ind w:left="29"/>
              <w:rPr>
                <w:rFonts w:ascii="David" w:hAnsi="David"/>
                <w:sz w:val="26"/>
                <w:rtl/>
              </w:rPr>
            </w:pPr>
            <w:r w:rsidRPr="00D23B24">
              <w:rPr>
                <w:rFonts w:ascii="David" w:hAnsi="David"/>
                <w:sz w:val="26"/>
                <w:rtl/>
              </w:rPr>
              <w:t>(א)</w:t>
            </w:r>
          </w:p>
        </w:tc>
        <w:tc>
          <w:tcPr>
            <w:tcW w:w="3698" w:type="pct"/>
            <w:gridSpan w:val="5"/>
            <w:shd w:val="clear" w:color="auto" w:fill="auto"/>
          </w:tcPr>
          <w:p w14:paraId="3CE1DCFC" w14:textId="24F9751E" w:rsidR="004A46C3" w:rsidRPr="00723BC9" w:rsidRDefault="004A46C3" w:rsidP="004A46C3">
            <w:pPr>
              <w:spacing w:line="276" w:lineRule="auto"/>
              <w:ind w:left="29"/>
              <w:jc w:val="both"/>
            </w:pPr>
            <w:r w:rsidRPr="00D23B24">
              <w:rPr>
                <w:rFonts w:ascii="David" w:hAnsi="David"/>
                <w:sz w:val="26"/>
                <w:rtl/>
              </w:rPr>
              <w:t xml:space="preserve">נעברה עבירה לפי סעיף 2(א) לצו זה באחת מהנסיבות המנויות להלן, דינו של עובר העבירה – מאסר </w:t>
            </w:r>
            <w:r>
              <w:rPr>
                <w:rFonts w:ascii="David" w:hAnsi="David" w:hint="cs"/>
                <w:sz w:val="26"/>
                <w:rtl/>
              </w:rPr>
              <w:t>שבע</w:t>
            </w:r>
            <w:r w:rsidRPr="00D23B24">
              <w:rPr>
                <w:rFonts w:ascii="David" w:hAnsi="David"/>
                <w:sz w:val="26"/>
                <w:rtl/>
              </w:rPr>
              <w:t xml:space="preserve"> שנים או הקנס הקבוע בסעיף 61(א)(4) לחוק העונשין</w:t>
            </w:r>
            <w:r w:rsidRPr="00D23B24">
              <w:rPr>
                <w:rFonts w:ascii="David" w:hAnsi="David"/>
                <w:sz w:val="26"/>
              </w:rPr>
              <w:t>:</w:t>
            </w:r>
          </w:p>
        </w:tc>
      </w:tr>
      <w:tr w:rsidR="00C4269E" w:rsidRPr="00F25B85" w14:paraId="6E459843" w14:textId="77777777" w:rsidTr="009E51DA">
        <w:tc>
          <w:tcPr>
            <w:tcW w:w="664" w:type="pct"/>
            <w:shd w:val="clear" w:color="auto" w:fill="auto"/>
          </w:tcPr>
          <w:p w14:paraId="48CCEB83" w14:textId="77777777" w:rsidR="004A46C3" w:rsidRPr="00D23B24" w:rsidRDefault="004A46C3" w:rsidP="004A46C3">
            <w:pPr>
              <w:spacing w:line="276" w:lineRule="auto"/>
              <w:jc w:val="both"/>
              <w:rPr>
                <w:rFonts w:ascii="David" w:hAnsi="David"/>
                <w:b/>
                <w:bCs/>
                <w:sz w:val="26"/>
                <w:rtl/>
              </w:rPr>
            </w:pPr>
          </w:p>
        </w:tc>
        <w:tc>
          <w:tcPr>
            <w:tcW w:w="325" w:type="pct"/>
            <w:shd w:val="clear" w:color="auto" w:fill="auto"/>
          </w:tcPr>
          <w:p w14:paraId="7873DD93" w14:textId="77777777" w:rsidR="004A46C3" w:rsidRPr="00D23B24" w:rsidRDefault="004A46C3" w:rsidP="004A46C3">
            <w:pPr>
              <w:spacing w:line="276" w:lineRule="auto"/>
              <w:jc w:val="both"/>
              <w:rPr>
                <w:rFonts w:ascii="David" w:hAnsi="David"/>
                <w:sz w:val="26"/>
                <w:rtl/>
              </w:rPr>
            </w:pPr>
          </w:p>
        </w:tc>
        <w:tc>
          <w:tcPr>
            <w:tcW w:w="313" w:type="pct"/>
            <w:shd w:val="clear" w:color="auto" w:fill="auto"/>
          </w:tcPr>
          <w:p w14:paraId="10083A34" w14:textId="77777777" w:rsidR="004A46C3" w:rsidRPr="00D23B24" w:rsidRDefault="004A46C3" w:rsidP="004A46C3">
            <w:pPr>
              <w:spacing w:line="276" w:lineRule="auto"/>
              <w:ind w:left="29"/>
              <w:rPr>
                <w:rFonts w:ascii="David" w:hAnsi="David"/>
                <w:sz w:val="26"/>
                <w:rtl/>
              </w:rPr>
            </w:pPr>
          </w:p>
        </w:tc>
        <w:tc>
          <w:tcPr>
            <w:tcW w:w="3698" w:type="pct"/>
            <w:gridSpan w:val="5"/>
            <w:shd w:val="clear" w:color="auto" w:fill="auto"/>
          </w:tcPr>
          <w:p w14:paraId="26ADA2A7" w14:textId="77777777" w:rsidR="004A46C3" w:rsidRPr="00D23B24" w:rsidRDefault="004A46C3" w:rsidP="004A46C3">
            <w:pPr>
              <w:spacing w:line="276" w:lineRule="auto"/>
              <w:ind w:left="29"/>
              <w:jc w:val="both"/>
              <w:rPr>
                <w:rFonts w:ascii="David" w:hAnsi="David"/>
                <w:sz w:val="26"/>
                <w:rtl/>
              </w:rPr>
            </w:pPr>
          </w:p>
        </w:tc>
      </w:tr>
      <w:tr w:rsidR="00C4269E" w:rsidRPr="00F25B85" w14:paraId="089BB5B3" w14:textId="77777777" w:rsidTr="009E51DA">
        <w:tc>
          <w:tcPr>
            <w:tcW w:w="664" w:type="pct"/>
            <w:shd w:val="clear" w:color="auto" w:fill="auto"/>
          </w:tcPr>
          <w:p w14:paraId="5915E11F"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376A411F"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02511A75" w14:textId="77777777" w:rsidR="00960D83" w:rsidRPr="00D23B24" w:rsidRDefault="00960D83" w:rsidP="00960D83">
            <w:pPr>
              <w:spacing w:line="276" w:lineRule="auto"/>
              <w:ind w:left="29"/>
              <w:rPr>
                <w:rFonts w:ascii="David" w:hAnsi="David"/>
                <w:sz w:val="26"/>
                <w:rtl/>
              </w:rPr>
            </w:pPr>
          </w:p>
        </w:tc>
        <w:tc>
          <w:tcPr>
            <w:tcW w:w="395" w:type="pct"/>
            <w:shd w:val="clear" w:color="auto" w:fill="auto"/>
          </w:tcPr>
          <w:p w14:paraId="5B38DF25" w14:textId="46CFBA20" w:rsidR="00960D83" w:rsidRPr="00D23B24" w:rsidRDefault="00960D83" w:rsidP="00960D83">
            <w:pPr>
              <w:spacing w:line="276" w:lineRule="auto"/>
              <w:ind w:left="29"/>
              <w:jc w:val="both"/>
              <w:rPr>
                <w:rFonts w:ascii="David" w:hAnsi="David"/>
                <w:sz w:val="26"/>
                <w:rtl/>
              </w:rPr>
            </w:pPr>
            <w:r w:rsidRPr="00D23B24">
              <w:rPr>
                <w:rFonts w:ascii="David" w:hAnsi="David"/>
                <w:sz w:val="26"/>
                <w:rtl/>
              </w:rPr>
              <w:t>(1)</w:t>
            </w:r>
          </w:p>
        </w:tc>
        <w:tc>
          <w:tcPr>
            <w:tcW w:w="3303" w:type="pct"/>
            <w:gridSpan w:val="4"/>
            <w:shd w:val="clear" w:color="auto" w:fill="auto"/>
          </w:tcPr>
          <w:p w14:paraId="7C70A5F5" w14:textId="48CA14EA" w:rsidR="00960D83" w:rsidRPr="00D23B24" w:rsidRDefault="00960D83" w:rsidP="00960D83">
            <w:pPr>
              <w:spacing w:line="276" w:lineRule="auto"/>
              <w:ind w:left="29"/>
              <w:jc w:val="both"/>
              <w:rPr>
                <w:rFonts w:ascii="David" w:hAnsi="David"/>
                <w:sz w:val="26"/>
                <w:rtl/>
              </w:rPr>
            </w:pPr>
            <w:r w:rsidRPr="00D23B24">
              <w:rPr>
                <w:rFonts w:ascii="David" w:hAnsi="David"/>
                <w:sz w:val="26"/>
                <w:rtl/>
              </w:rPr>
              <w:t xml:space="preserve">הלנה </w:t>
            </w:r>
            <w:r>
              <w:rPr>
                <w:rFonts w:ascii="David" w:hAnsi="David" w:hint="cs"/>
                <w:sz w:val="26"/>
                <w:rtl/>
              </w:rPr>
              <w:t xml:space="preserve">כאמור בסעיף 2(א) </w:t>
            </w:r>
            <w:r w:rsidRPr="00D23B24">
              <w:rPr>
                <w:rFonts w:ascii="David" w:hAnsi="David"/>
                <w:sz w:val="26"/>
                <w:rtl/>
              </w:rPr>
              <w:t>של שני שוהים לא חוקיים או יותר</w:t>
            </w:r>
            <w:r w:rsidRPr="00D23B24">
              <w:rPr>
                <w:rFonts w:ascii="David" w:hAnsi="David"/>
                <w:sz w:val="26"/>
              </w:rPr>
              <w:t>;</w:t>
            </w:r>
          </w:p>
        </w:tc>
      </w:tr>
      <w:tr w:rsidR="00C4269E" w:rsidRPr="00F25B85" w14:paraId="4642BA99" w14:textId="77777777" w:rsidTr="009E51DA">
        <w:tc>
          <w:tcPr>
            <w:tcW w:w="664" w:type="pct"/>
            <w:shd w:val="clear" w:color="auto" w:fill="auto"/>
          </w:tcPr>
          <w:p w14:paraId="39F677D7"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3F604108"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6AABA625" w14:textId="77777777" w:rsidR="00960D83" w:rsidRPr="00D23B24" w:rsidRDefault="00960D83" w:rsidP="00960D83">
            <w:pPr>
              <w:spacing w:line="276" w:lineRule="auto"/>
              <w:ind w:left="29"/>
              <w:rPr>
                <w:rFonts w:ascii="David" w:hAnsi="David"/>
                <w:sz w:val="26"/>
                <w:rtl/>
              </w:rPr>
            </w:pPr>
          </w:p>
        </w:tc>
        <w:tc>
          <w:tcPr>
            <w:tcW w:w="395" w:type="pct"/>
            <w:shd w:val="clear" w:color="auto" w:fill="auto"/>
          </w:tcPr>
          <w:p w14:paraId="5611DC44" w14:textId="77777777" w:rsidR="00960D83" w:rsidRDefault="00960D83" w:rsidP="00960D83">
            <w:pPr>
              <w:spacing w:line="276" w:lineRule="auto"/>
              <w:ind w:left="29"/>
              <w:jc w:val="both"/>
              <w:rPr>
                <w:rFonts w:ascii="David" w:hAnsi="David"/>
                <w:sz w:val="26"/>
                <w:rtl/>
              </w:rPr>
            </w:pPr>
          </w:p>
        </w:tc>
        <w:tc>
          <w:tcPr>
            <w:tcW w:w="3303" w:type="pct"/>
            <w:gridSpan w:val="4"/>
            <w:shd w:val="clear" w:color="auto" w:fill="auto"/>
          </w:tcPr>
          <w:p w14:paraId="063BFC17" w14:textId="77777777" w:rsidR="00960D83" w:rsidRPr="00D23B24" w:rsidRDefault="00960D83" w:rsidP="00960D83">
            <w:pPr>
              <w:spacing w:line="276" w:lineRule="auto"/>
              <w:ind w:left="29"/>
              <w:jc w:val="both"/>
              <w:rPr>
                <w:rFonts w:ascii="David" w:hAnsi="David"/>
                <w:sz w:val="26"/>
                <w:rtl/>
              </w:rPr>
            </w:pPr>
          </w:p>
        </w:tc>
      </w:tr>
      <w:tr w:rsidR="00C4269E" w:rsidRPr="00F25B85" w14:paraId="61248CC0" w14:textId="77777777" w:rsidTr="009E51DA">
        <w:tc>
          <w:tcPr>
            <w:tcW w:w="664" w:type="pct"/>
            <w:shd w:val="clear" w:color="auto" w:fill="auto"/>
          </w:tcPr>
          <w:p w14:paraId="6BEA1904"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0ECEA91D"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293A7E5A" w14:textId="77777777" w:rsidR="00960D83" w:rsidRPr="00D23B24" w:rsidRDefault="00960D83" w:rsidP="00960D83">
            <w:pPr>
              <w:spacing w:line="276" w:lineRule="auto"/>
              <w:ind w:left="29"/>
              <w:rPr>
                <w:rFonts w:ascii="David" w:hAnsi="David"/>
                <w:sz w:val="26"/>
                <w:rtl/>
              </w:rPr>
            </w:pPr>
          </w:p>
        </w:tc>
        <w:tc>
          <w:tcPr>
            <w:tcW w:w="395" w:type="pct"/>
            <w:shd w:val="clear" w:color="auto" w:fill="auto"/>
          </w:tcPr>
          <w:p w14:paraId="440DFABE" w14:textId="50C846ED" w:rsidR="00960D83" w:rsidRDefault="00960D83" w:rsidP="00960D83">
            <w:pPr>
              <w:spacing w:line="276" w:lineRule="auto"/>
              <w:ind w:left="29"/>
              <w:jc w:val="both"/>
              <w:rPr>
                <w:rFonts w:ascii="David" w:hAnsi="David"/>
                <w:sz w:val="26"/>
                <w:rtl/>
              </w:rPr>
            </w:pPr>
            <w:r w:rsidRPr="00D23B24">
              <w:rPr>
                <w:rFonts w:ascii="David" w:hAnsi="David"/>
                <w:sz w:val="26"/>
                <w:rtl/>
              </w:rPr>
              <w:t>(2)</w:t>
            </w:r>
          </w:p>
        </w:tc>
        <w:tc>
          <w:tcPr>
            <w:tcW w:w="3303" w:type="pct"/>
            <w:gridSpan w:val="4"/>
            <w:shd w:val="clear" w:color="auto" w:fill="auto"/>
          </w:tcPr>
          <w:p w14:paraId="67591FC4" w14:textId="2E55CC2A" w:rsidR="00960D83" w:rsidRPr="00D23B24" w:rsidRDefault="00960D83" w:rsidP="00960D83">
            <w:pPr>
              <w:spacing w:line="276" w:lineRule="auto"/>
              <w:ind w:left="29"/>
              <w:jc w:val="both"/>
              <w:rPr>
                <w:rFonts w:ascii="David" w:hAnsi="David"/>
                <w:sz w:val="26"/>
              </w:rPr>
            </w:pPr>
            <w:r w:rsidRPr="00D23B24">
              <w:rPr>
                <w:rFonts w:ascii="David" w:hAnsi="David"/>
                <w:sz w:val="26"/>
                <w:rtl/>
              </w:rPr>
              <w:t>הלנה של שוהה לא חוקי</w:t>
            </w:r>
            <w:r>
              <w:rPr>
                <w:rFonts w:ascii="David" w:hAnsi="David" w:hint="cs"/>
                <w:sz w:val="26"/>
                <w:rtl/>
              </w:rPr>
              <w:t xml:space="preserve"> כאמור בסעיף 2(א) </w:t>
            </w:r>
            <w:r w:rsidRPr="00D23B24">
              <w:rPr>
                <w:rFonts w:ascii="David" w:hAnsi="David"/>
                <w:sz w:val="26"/>
                <w:rtl/>
              </w:rPr>
              <w:t>, למשך יומיים רצופים או יותר</w:t>
            </w:r>
            <w:r w:rsidRPr="00D23B24">
              <w:rPr>
                <w:rFonts w:ascii="David" w:hAnsi="David"/>
                <w:sz w:val="26"/>
              </w:rPr>
              <w:t>;</w:t>
            </w:r>
          </w:p>
        </w:tc>
      </w:tr>
      <w:tr w:rsidR="00C4269E" w:rsidRPr="00F25B85" w14:paraId="7E6206FB" w14:textId="77777777" w:rsidTr="009E51DA">
        <w:tc>
          <w:tcPr>
            <w:tcW w:w="664" w:type="pct"/>
            <w:shd w:val="clear" w:color="auto" w:fill="auto"/>
          </w:tcPr>
          <w:p w14:paraId="5137381D"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4E707EFC"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4CC46A34" w14:textId="77777777" w:rsidR="00960D83" w:rsidRPr="00D23B24" w:rsidRDefault="00960D83" w:rsidP="00960D83">
            <w:pPr>
              <w:spacing w:line="276" w:lineRule="auto"/>
              <w:ind w:left="29"/>
              <w:rPr>
                <w:rFonts w:ascii="David" w:hAnsi="David"/>
                <w:sz w:val="26"/>
                <w:rtl/>
              </w:rPr>
            </w:pPr>
          </w:p>
        </w:tc>
        <w:tc>
          <w:tcPr>
            <w:tcW w:w="395" w:type="pct"/>
            <w:shd w:val="clear" w:color="auto" w:fill="auto"/>
          </w:tcPr>
          <w:p w14:paraId="262B32DF" w14:textId="77777777" w:rsidR="00960D83" w:rsidRDefault="00960D83" w:rsidP="00960D83">
            <w:pPr>
              <w:spacing w:line="276" w:lineRule="auto"/>
              <w:ind w:left="29"/>
              <w:jc w:val="both"/>
              <w:rPr>
                <w:rFonts w:ascii="David" w:hAnsi="David"/>
                <w:sz w:val="26"/>
                <w:rtl/>
              </w:rPr>
            </w:pPr>
          </w:p>
        </w:tc>
        <w:tc>
          <w:tcPr>
            <w:tcW w:w="3303" w:type="pct"/>
            <w:gridSpan w:val="4"/>
            <w:shd w:val="clear" w:color="auto" w:fill="auto"/>
          </w:tcPr>
          <w:p w14:paraId="624B50A7" w14:textId="77777777" w:rsidR="00960D83" w:rsidRPr="00D23B24" w:rsidRDefault="00960D83" w:rsidP="00960D83">
            <w:pPr>
              <w:spacing w:line="276" w:lineRule="auto"/>
              <w:ind w:left="29"/>
              <w:jc w:val="both"/>
              <w:rPr>
                <w:rFonts w:ascii="David" w:hAnsi="David"/>
                <w:sz w:val="26"/>
                <w:rtl/>
              </w:rPr>
            </w:pPr>
          </w:p>
        </w:tc>
      </w:tr>
      <w:tr w:rsidR="00C4269E" w:rsidRPr="00F25B85" w14:paraId="2F19AA62" w14:textId="77777777" w:rsidTr="009E51DA">
        <w:tc>
          <w:tcPr>
            <w:tcW w:w="664" w:type="pct"/>
            <w:shd w:val="clear" w:color="auto" w:fill="auto"/>
          </w:tcPr>
          <w:p w14:paraId="74CB440B"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34FE4C90"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1ACBFFD0" w14:textId="77777777" w:rsidR="00960D83" w:rsidRPr="00D23B24" w:rsidRDefault="00960D83" w:rsidP="00960D83">
            <w:pPr>
              <w:spacing w:line="276" w:lineRule="auto"/>
              <w:ind w:left="29"/>
              <w:rPr>
                <w:rFonts w:ascii="David" w:hAnsi="David"/>
                <w:sz w:val="26"/>
                <w:rtl/>
              </w:rPr>
            </w:pPr>
          </w:p>
        </w:tc>
        <w:tc>
          <w:tcPr>
            <w:tcW w:w="395" w:type="pct"/>
            <w:shd w:val="clear" w:color="auto" w:fill="auto"/>
          </w:tcPr>
          <w:p w14:paraId="1F219DB0" w14:textId="2C862779" w:rsidR="00960D83" w:rsidRDefault="00960D83" w:rsidP="00960D83">
            <w:pPr>
              <w:spacing w:line="276" w:lineRule="auto"/>
              <w:ind w:left="29"/>
              <w:jc w:val="both"/>
              <w:rPr>
                <w:rFonts w:ascii="David" w:hAnsi="David"/>
                <w:sz w:val="26"/>
                <w:rtl/>
              </w:rPr>
            </w:pPr>
            <w:r w:rsidRPr="00D23B24">
              <w:rPr>
                <w:rFonts w:ascii="David" w:hAnsi="David"/>
                <w:sz w:val="26"/>
                <w:rtl/>
              </w:rPr>
              <w:t>(3)</w:t>
            </w:r>
          </w:p>
        </w:tc>
        <w:tc>
          <w:tcPr>
            <w:tcW w:w="3303" w:type="pct"/>
            <w:gridSpan w:val="4"/>
            <w:shd w:val="clear" w:color="auto" w:fill="auto"/>
          </w:tcPr>
          <w:p w14:paraId="67AB3B95" w14:textId="31A519FC" w:rsidR="00960D83" w:rsidRPr="00D23B24" w:rsidRDefault="00960D83" w:rsidP="00960D83">
            <w:pPr>
              <w:spacing w:line="276" w:lineRule="auto"/>
              <w:ind w:left="29"/>
              <w:jc w:val="both"/>
              <w:rPr>
                <w:rFonts w:ascii="David" w:hAnsi="David"/>
                <w:sz w:val="26"/>
                <w:rtl/>
              </w:rPr>
            </w:pPr>
            <w:r w:rsidRPr="00D23B24">
              <w:rPr>
                <w:rFonts w:ascii="David" w:hAnsi="David"/>
                <w:sz w:val="26"/>
                <w:rtl/>
              </w:rPr>
              <w:t xml:space="preserve">הלנה של שוהה לא חוקי </w:t>
            </w:r>
            <w:r>
              <w:rPr>
                <w:rFonts w:ascii="David" w:hAnsi="David" w:hint="cs"/>
                <w:sz w:val="26"/>
                <w:rtl/>
              </w:rPr>
              <w:t xml:space="preserve">כאמור בסעיף 2(א) </w:t>
            </w:r>
            <w:r w:rsidRPr="00D23B24">
              <w:rPr>
                <w:rFonts w:ascii="David" w:hAnsi="David"/>
                <w:sz w:val="26"/>
                <w:rtl/>
              </w:rPr>
              <w:t>במטרה להעסיקו</w:t>
            </w:r>
            <w:r w:rsidRPr="00D23B24">
              <w:rPr>
                <w:rFonts w:ascii="David" w:hAnsi="David"/>
                <w:sz w:val="26"/>
              </w:rPr>
              <w:t>.</w:t>
            </w:r>
          </w:p>
        </w:tc>
      </w:tr>
      <w:tr w:rsidR="00C4269E" w:rsidRPr="00F25B85" w14:paraId="189B6373" w14:textId="77777777" w:rsidTr="009E51DA">
        <w:tc>
          <w:tcPr>
            <w:tcW w:w="664" w:type="pct"/>
            <w:shd w:val="clear" w:color="auto" w:fill="auto"/>
          </w:tcPr>
          <w:p w14:paraId="4F6238D2"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062AC0D6"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31347E7A" w14:textId="77777777" w:rsidR="00960D83" w:rsidRPr="00D23B24" w:rsidRDefault="00960D83" w:rsidP="00960D83">
            <w:pPr>
              <w:spacing w:line="276" w:lineRule="auto"/>
              <w:ind w:left="29"/>
              <w:rPr>
                <w:rFonts w:ascii="David" w:hAnsi="David"/>
                <w:sz w:val="26"/>
                <w:rtl/>
              </w:rPr>
            </w:pPr>
          </w:p>
        </w:tc>
        <w:tc>
          <w:tcPr>
            <w:tcW w:w="395" w:type="pct"/>
            <w:shd w:val="clear" w:color="auto" w:fill="auto"/>
          </w:tcPr>
          <w:p w14:paraId="45E4D2A8" w14:textId="77777777" w:rsidR="00960D83" w:rsidRDefault="00960D83" w:rsidP="00960D83">
            <w:pPr>
              <w:spacing w:line="276" w:lineRule="auto"/>
              <w:ind w:left="29"/>
              <w:jc w:val="both"/>
              <w:rPr>
                <w:rFonts w:ascii="David" w:hAnsi="David"/>
                <w:sz w:val="26"/>
                <w:rtl/>
              </w:rPr>
            </w:pPr>
          </w:p>
        </w:tc>
        <w:tc>
          <w:tcPr>
            <w:tcW w:w="3303" w:type="pct"/>
            <w:gridSpan w:val="4"/>
            <w:shd w:val="clear" w:color="auto" w:fill="auto"/>
          </w:tcPr>
          <w:p w14:paraId="767243AE" w14:textId="77777777" w:rsidR="00960D83" w:rsidRPr="00D23B24" w:rsidRDefault="00960D83" w:rsidP="00960D83">
            <w:pPr>
              <w:spacing w:line="276" w:lineRule="auto"/>
              <w:ind w:left="29"/>
              <w:jc w:val="both"/>
              <w:rPr>
                <w:rFonts w:ascii="David" w:hAnsi="David"/>
                <w:sz w:val="26"/>
                <w:rtl/>
              </w:rPr>
            </w:pPr>
          </w:p>
        </w:tc>
      </w:tr>
      <w:tr w:rsidR="00C4269E" w:rsidRPr="00F25B85" w14:paraId="3D2B7D0A" w14:textId="77777777" w:rsidTr="009E51DA">
        <w:tc>
          <w:tcPr>
            <w:tcW w:w="664" w:type="pct"/>
            <w:shd w:val="clear" w:color="auto" w:fill="auto"/>
          </w:tcPr>
          <w:p w14:paraId="0DBAA331"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4C1335C3"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18026511" w14:textId="01DC2D7B" w:rsidR="00960D83" w:rsidRPr="00D23B24" w:rsidRDefault="00960D83" w:rsidP="00960D83">
            <w:pPr>
              <w:spacing w:line="276" w:lineRule="auto"/>
              <w:ind w:left="29"/>
              <w:rPr>
                <w:rFonts w:ascii="David" w:hAnsi="David"/>
                <w:sz w:val="26"/>
                <w:rtl/>
              </w:rPr>
            </w:pPr>
            <w:r>
              <w:rPr>
                <w:rFonts w:ascii="David" w:hAnsi="David" w:hint="cs"/>
                <w:sz w:val="26"/>
                <w:rtl/>
              </w:rPr>
              <w:t>(ב)</w:t>
            </w:r>
          </w:p>
        </w:tc>
        <w:tc>
          <w:tcPr>
            <w:tcW w:w="3698" w:type="pct"/>
            <w:gridSpan w:val="5"/>
            <w:shd w:val="clear" w:color="auto" w:fill="auto"/>
          </w:tcPr>
          <w:p w14:paraId="2C11AD20" w14:textId="4D1AFA9D" w:rsidR="00960D83" w:rsidRPr="00960D83" w:rsidRDefault="00960D83" w:rsidP="00960D83">
            <w:pPr>
              <w:spacing w:line="276" w:lineRule="auto"/>
              <w:ind w:left="29"/>
              <w:jc w:val="both"/>
              <w:rPr>
                <w:rFonts w:ascii="David" w:hAnsi="David"/>
                <w:sz w:val="26"/>
                <w:rtl/>
              </w:rPr>
            </w:pPr>
            <w:r w:rsidRPr="00D23B24">
              <w:rPr>
                <w:rFonts w:ascii="David" w:hAnsi="David"/>
                <w:sz w:val="26"/>
                <w:rtl/>
              </w:rPr>
              <w:t>נעברה עבירה לפי סעיף קטן (א) בידי תאגיד, דינו – כפל הקנס הקבוע בסעיף זה</w:t>
            </w:r>
            <w:r w:rsidRPr="00D23B24">
              <w:rPr>
                <w:rFonts w:ascii="David" w:hAnsi="David"/>
                <w:sz w:val="26"/>
              </w:rPr>
              <w:t>.</w:t>
            </w:r>
          </w:p>
        </w:tc>
      </w:tr>
      <w:tr w:rsidR="00C4269E" w:rsidRPr="00F25B85" w14:paraId="208ECA50" w14:textId="77777777" w:rsidTr="009E51DA">
        <w:tc>
          <w:tcPr>
            <w:tcW w:w="664" w:type="pct"/>
            <w:shd w:val="clear" w:color="auto" w:fill="auto"/>
          </w:tcPr>
          <w:p w14:paraId="178A8C3F"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3933187D"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783F57D0" w14:textId="77777777" w:rsidR="00960D83" w:rsidRDefault="00960D83" w:rsidP="00960D83">
            <w:pPr>
              <w:spacing w:line="276" w:lineRule="auto"/>
              <w:ind w:left="29"/>
              <w:rPr>
                <w:rFonts w:ascii="David" w:hAnsi="David"/>
                <w:sz w:val="26"/>
                <w:rtl/>
              </w:rPr>
            </w:pPr>
          </w:p>
        </w:tc>
        <w:tc>
          <w:tcPr>
            <w:tcW w:w="395" w:type="pct"/>
            <w:shd w:val="clear" w:color="auto" w:fill="auto"/>
          </w:tcPr>
          <w:p w14:paraId="3118AFB0" w14:textId="77777777" w:rsidR="00960D83" w:rsidRDefault="00960D83" w:rsidP="00960D83">
            <w:pPr>
              <w:spacing w:line="276" w:lineRule="auto"/>
              <w:ind w:left="29"/>
              <w:jc w:val="both"/>
              <w:rPr>
                <w:rFonts w:ascii="David" w:hAnsi="David"/>
                <w:sz w:val="26"/>
                <w:rtl/>
              </w:rPr>
            </w:pPr>
          </w:p>
        </w:tc>
        <w:tc>
          <w:tcPr>
            <w:tcW w:w="3303" w:type="pct"/>
            <w:gridSpan w:val="4"/>
            <w:shd w:val="clear" w:color="auto" w:fill="auto"/>
          </w:tcPr>
          <w:p w14:paraId="1B18C6C9" w14:textId="77777777" w:rsidR="00960D83" w:rsidRPr="00D23B24" w:rsidRDefault="00960D83" w:rsidP="00960D83">
            <w:pPr>
              <w:spacing w:line="276" w:lineRule="auto"/>
              <w:ind w:left="29"/>
              <w:jc w:val="both"/>
              <w:rPr>
                <w:rFonts w:ascii="David" w:hAnsi="David"/>
                <w:sz w:val="26"/>
                <w:rtl/>
              </w:rPr>
            </w:pPr>
          </w:p>
        </w:tc>
      </w:tr>
      <w:tr w:rsidR="00C4269E" w:rsidRPr="00F25B85" w14:paraId="5628456C" w14:textId="77777777" w:rsidTr="009E51DA">
        <w:tc>
          <w:tcPr>
            <w:tcW w:w="664" w:type="pct"/>
            <w:shd w:val="clear" w:color="auto" w:fill="auto"/>
          </w:tcPr>
          <w:p w14:paraId="00987750"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7425E205"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6C5CCF3A" w14:textId="582AEFC1" w:rsidR="00960D83" w:rsidRDefault="00960D83" w:rsidP="00960D83">
            <w:pPr>
              <w:spacing w:line="276" w:lineRule="auto"/>
              <w:ind w:left="29"/>
              <w:rPr>
                <w:rFonts w:ascii="David" w:hAnsi="David"/>
                <w:sz w:val="26"/>
                <w:rtl/>
              </w:rPr>
            </w:pPr>
            <w:r>
              <w:rPr>
                <w:rFonts w:ascii="David" w:hAnsi="David" w:hint="cs"/>
                <w:sz w:val="26"/>
                <w:rtl/>
              </w:rPr>
              <w:t>(ג)</w:t>
            </w:r>
          </w:p>
        </w:tc>
        <w:tc>
          <w:tcPr>
            <w:tcW w:w="395" w:type="pct"/>
            <w:shd w:val="clear" w:color="auto" w:fill="auto"/>
          </w:tcPr>
          <w:p w14:paraId="3F86E1BA" w14:textId="023C9DAD" w:rsidR="00960D83" w:rsidRDefault="00960D83" w:rsidP="00960D83">
            <w:pPr>
              <w:spacing w:line="276" w:lineRule="auto"/>
              <w:ind w:left="29"/>
              <w:jc w:val="both"/>
              <w:rPr>
                <w:rFonts w:ascii="David" w:hAnsi="David"/>
                <w:sz w:val="26"/>
                <w:rtl/>
              </w:rPr>
            </w:pPr>
            <w:r>
              <w:rPr>
                <w:rFonts w:ascii="David" w:hAnsi="David" w:hint="cs"/>
                <w:sz w:val="26"/>
                <w:rtl/>
              </w:rPr>
              <w:t>(1)</w:t>
            </w:r>
          </w:p>
        </w:tc>
        <w:tc>
          <w:tcPr>
            <w:tcW w:w="3303" w:type="pct"/>
            <w:gridSpan w:val="4"/>
            <w:shd w:val="clear" w:color="auto" w:fill="auto"/>
          </w:tcPr>
          <w:p w14:paraId="348E6793" w14:textId="6A79B22A" w:rsidR="00960D83" w:rsidRPr="00D23B24" w:rsidRDefault="00960D83" w:rsidP="00960D83">
            <w:pPr>
              <w:spacing w:line="276" w:lineRule="auto"/>
              <w:ind w:left="29"/>
              <w:jc w:val="both"/>
              <w:rPr>
                <w:rFonts w:ascii="David" w:hAnsi="David"/>
                <w:sz w:val="26"/>
                <w:rtl/>
              </w:rPr>
            </w:pPr>
            <w:r w:rsidRPr="00D41F27">
              <w:rPr>
                <w:rtl/>
              </w:rPr>
              <w:t>קנס המוטל לפי סעיף קטן (א) לא יפחת מ־10,000 שקלים חדשים, אלא אם כן החליט בית המשפט, מטעמים מיוחדים שיירשמו, להקל בעונש</w:t>
            </w:r>
            <w:r>
              <w:rPr>
                <w:rFonts w:ascii="David" w:hAnsi="David" w:hint="cs"/>
                <w:sz w:val="26"/>
                <w:rtl/>
              </w:rPr>
              <w:t>;</w:t>
            </w:r>
          </w:p>
        </w:tc>
      </w:tr>
      <w:tr w:rsidR="00C4269E" w:rsidRPr="00F25B85" w14:paraId="28F3B5C6" w14:textId="77777777" w:rsidTr="009E51DA">
        <w:tc>
          <w:tcPr>
            <w:tcW w:w="664" w:type="pct"/>
            <w:shd w:val="clear" w:color="auto" w:fill="auto"/>
          </w:tcPr>
          <w:p w14:paraId="3BB6D7DE"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7084367D"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1B2B4742" w14:textId="77777777" w:rsidR="00960D83" w:rsidRDefault="00960D83" w:rsidP="00960D83">
            <w:pPr>
              <w:spacing w:line="276" w:lineRule="auto"/>
              <w:ind w:left="29"/>
              <w:rPr>
                <w:rFonts w:ascii="David" w:hAnsi="David"/>
                <w:sz w:val="26"/>
                <w:rtl/>
              </w:rPr>
            </w:pPr>
          </w:p>
        </w:tc>
        <w:tc>
          <w:tcPr>
            <w:tcW w:w="395" w:type="pct"/>
            <w:shd w:val="clear" w:color="auto" w:fill="auto"/>
          </w:tcPr>
          <w:p w14:paraId="66596D8A" w14:textId="77777777" w:rsidR="00960D83" w:rsidRDefault="00960D83" w:rsidP="00960D83">
            <w:pPr>
              <w:spacing w:line="276" w:lineRule="auto"/>
              <w:ind w:left="29"/>
              <w:jc w:val="both"/>
              <w:rPr>
                <w:rFonts w:ascii="David" w:hAnsi="David"/>
                <w:sz w:val="26"/>
                <w:rtl/>
              </w:rPr>
            </w:pPr>
          </w:p>
        </w:tc>
        <w:tc>
          <w:tcPr>
            <w:tcW w:w="3303" w:type="pct"/>
            <w:gridSpan w:val="4"/>
            <w:shd w:val="clear" w:color="auto" w:fill="auto"/>
          </w:tcPr>
          <w:p w14:paraId="0FCC3AAD" w14:textId="77777777" w:rsidR="00960D83" w:rsidRPr="00D23B24" w:rsidRDefault="00960D83" w:rsidP="00960D83">
            <w:pPr>
              <w:spacing w:line="276" w:lineRule="auto"/>
              <w:ind w:left="29"/>
              <w:jc w:val="both"/>
              <w:rPr>
                <w:rFonts w:ascii="David" w:hAnsi="David"/>
                <w:sz w:val="26"/>
                <w:rtl/>
              </w:rPr>
            </w:pPr>
          </w:p>
        </w:tc>
      </w:tr>
      <w:tr w:rsidR="00C4269E" w:rsidRPr="00F25B85" w14:paraId="00656F1A" w14:textId="77777777" w:rsidTr="009E51DA">
        <w:tc>
          <w:tcPr>
            <w:tcW w:w="664" w:type="pct"/>
            <w:shd w:val="clear" w:color="auto" w:fill="auto"/>
          </w:tcPr>
          <w:p w14:paraId="135F4954"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498CE791"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3D9C8D87" w14:textId="77777777" w:rsidR="00960D83" w:rsidRDefault="00960D83" w:rsidP="00960D83">
            <w:pPr>
              <w:spacing w:line="276" w:lineRule="auto"/>
              <w:ind w:left="29"/>
              <w:rPr>
                <w:rFonts w:ascii="David" w:hAnsi="David"/>
                <w:sz w:val="26"/>
                <w:rtl/>
              </w:rPr>
            </w:pPr>
          </w:p>
        </w:tc>
        <w:tc>
          <w:tcPr>
            <w:tcW w:w="395" w:type="pct"/>
            <w:shd w:val="clear" w:color="auto" w:fill="auto"/>
          </w:tcPr>
          <w:p w14:paraId="39EE4471" w14:textId="59B4D791" w:rsidR="00960D83" w:rsidRDefault="00960D83" w:rsidP="00960D83">
            <w:pPr>
              <w:spacing w:line="276" w:lineRule="auto"/>
              <w:ind w:left="29"/>
              <w:jc w:val="both"/>
              <w:rPr>
                <w:rFonts w:ascii="David" w:hAnsi="David"/>
                <w:sz w:val="26"/>
                <w:rtl/>
              </w:rPr>
            </w:pPr>
            <w:r>
              <w:rPr>
                <w:rFonts w:ascii="David" w:hAnsi="David" w:hint="cs"/>
                <w:sz w:val="26"/>
                <w:rtl/>
              </w:rPr>
              <w:t>(2)</w:t>
            </w:r>
          </w:p>
        </w:tc>
        <w:tc>
          <w:tcPr>
            <w:tcW w:w="3303" w:type="pct"/>
            <w:gridSpan w:val="4"/>
            <w:shd w:val="clear" w:color="auto" w:fill="auto"/>
          </w:tcPr>
          <w:p w14:paraId="04C47913" w14:textId="09BEAC26" w:rsidR="00960D83" w:rsidRPr="00D23B24" w:rsidRDefault="00960D83" w:rsidP="00960D83">
            <w:pPr>
              <w:spacing w:line="276" w:lineRule="auto"/>
              <w:ind w:left="29"/>
              <w:jc w:val="both"/>
              <w:rPr>
                <w:rFonts w:ascii="David" w:hAnsi="David"/>
                <w:sz w:val="26"/>
                <w:rtl/>
              </w:rPr>
            </w:pPr>
            <w:r w:rsidRPr="00D41F27">
              <w:rPr>
                <w:rtl/>
              </w:rPr>
              <w:t>קנס המוטל על תאגיד לפי סעיפים קטנים (א) ו־(ב) לא יפחת מ־40,000 שקלים חדשים, אלא אם כן החליט בית המשפט, מטעמים מיוחדים שיירשמו, להקל בעונש</w:t>
            </w:r>
            <w:r>
              <w:rPr>
                <w:rFonts w:hint="cs"/>
                <w:rtl/>
              </w:rPr>
              <w:t>;</w:t>
            </w:r>
          </w:p>
        </w:tc>
      </w:tr>
      <w:tr w:rsidR="00C4269E" w:rsidRPr="00F25B85" w14:paraId="2D670707" w14:textId="77777777" w:rsidTr="009E51DA">
        <w:tc>
          <w:tcPr>
            <w:tcW w:w="664" w:type="pct"/>
            <w:shd w:val="clear" w:color="auto" w:fill="auto"/>
          </w:tcPr>
          <w:p w14:paraId="5BB57C1C"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5C672EB6"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7D77F593" w14:textId="77777777" w:rsidR="00960D83" w:rsidRDefault="00960D83" w:rsidP="00960D83">
            <w:pPr>
              <w:spacing w:line="276" w:lineRule="auto"/>
              <w:ind w:left="29"/>
              <w:rPr>
                <w:rFonts w:ascii="David" w:hAnsi="David"/>
                <w:sz w:val="26"/>
                <w:rtl/>
              </w:rPr>
            </w:pPr>
          </w:p>
        </w:tc>
        <w:tc>
          <w:tcPr>
            <w:tcW w:w="395" w:type="pct"/>
            <w:shd w:val="clear" w:color="auto" w:fill="auto"/>
          </w:tcPr>
          <w:p w14:paraId="7E14F319" w14:textId="77777777" w:rsidR="00960D83" w:rsidRDefault="00960D83" w:rsidP="00960D83">
            <w:pPr>
              <w:spacing w:line="276" w:lineRule="auto"/>
              <w:ind w:left="29"/>
              <w:jc w:val="both"/>
              <w:rPr>
                <w:rFonts w:ascii="David" w:hAnsi="David"/>
                <w:sz w:val="26"/>
                <w:rtl/>
              </w:rPr>
            </w:pPr>
          </w:p>
        </w:tc>
        <w:tc>
          <w:tcPr>
            <w:tcW w:w="3303" w:type="pct"/>
            <w:gridSpan w:val="4"/>
            <w:shd w:val="clear" w:color="auto" w:fill="auto"/>
          </w:tcPr>
          <w:p w14:paraId="04BEF91A" w14:textId="77777777" w:rsidR="00960D83" w:rsidRPr="00D23B24" w:rsidRDefault="00960D83" w:rsidP="00960D83">
            <w:pPr>
              <w:spacing w:line="276" w:lineRule="auto"/>
              <w:ind w:left="29"/>
              <w:jc w:val="both"/>
              <w:rPr>
                <w:rFonts w:ascii="David" w:hAnsi="David"/>
                <w:sz w:val="26"/>
                <w:rtl/>
              </w:rPr>
            </w:pPr>
          </w:p>
        </w:tc>
      </w:tr>
      <w:tr w:rsidR="00C4269E" w:rsidRPr="00F25B85" w14:paraId="21A238A4" w14:textId="77777777" w:rsidTr="009E51DA">
        <w:tc>
          <w:tcPr>
            <w:tcW w:w="664" w:type="pct"/>
            <w:shd w:val="clear" w:color="auto" w:fill="auto"/>
          </w:tcPr>
          <w:p w14:paraId="665A1615"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290E00EB"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1945F052" w14:textId="77777777" w:rsidR="00960D83" w:rsidRDefault="00960D83" w:rsidP="00960D83">
            <w:pPr>
              <w:spacing w:line="276" w:lineRule="auto"/>
              <w:ind w:left="29"/>
              <w:rPr>
                <w:rFonts w:ascii="David" w:hAnsi="David"/>
                <w:sz w:val="26"/>
                <w:rtl/>
              </w:rPr>
            </w:pPr>
          </w:p>
        </w:tc>
        <w:tc>
          <w:tcPr>
            <w:tcW w:w="395" w:type="pct"/>
            <w:shd w:val="clear" w:color="auto" w:fill="auto"/>
          </w:tcPr>
          <w:p w14:paraId="2B212F11" w14:textId="72DED271" w:rsidR="00960D83" w:rsidRDefault="00960D83" w:rsidP="00960D83">
            <w:pPr>
              <w:spacing w:line="276" w:lineRule="auto"/>
              <w:ind w:left="29"/>
              <w:jc w:val="both"/>
              <w:rPr>
                <w:rFonts w:ascii="David" w:hAnsi="David"/>
                <w:sz w:val="26"/>
                <w:rtl/>
              </w:rPr>
            </w:pPr>
            <w:r>
              <w:rPr>
                <w:rFonts w:ascii="David" w:hAnsi="David" w:hint="cs"/>
                <w:sz w:val="26"/>
                <w:rtl/>
              </w:rPr>
              <w:t>(3)</w:t>
            </w:r>
          </w:p>
        </w:tc>
        <w:tc>
          <w:tcPr>
            <w:tcW w:w="3303" w:type="pct"/>
            <w:gridSpan w:val="4"/>
            <w:shd w:val="clear" w:color="auto" w:fill="auto"/>
          </w:tcPr>
          <w:p w14:paraId="33175846" w14:textId="693C326F" w:rsidR="00960D83" w:rsidRPr="00D23B24" w:rsidRDefault="00960D83" w:rsidP="00960D83">
            <w:pPr>
              <w:spacing w:line="276" w:lineRule="auto"/>
              <w:ind w:left="29"/>
              <w:jc w:val="both"/>
              <w:rPr>
                <w:rFonts w:ascii="David" w:hAnsi="David"/>
                <w:sz w:val="26"/>
                <w:rtl/>
              </w:rPr>
            </w:pPr>
            <w:r w:rsidRPr="00723BC9">
              <w:rPr>
                <w:rtl/>
              </w:rPr>
              <w:t>הוראות סעיף קטן זה יעמדו בתוקפן עד יום כ"ד בניסן התשפ"ז (1 במאי 2027).</w:t>
            </w:r>
          </w:p>
        </w:tc>
      </w:tr>
      <w:tr w:rsidR="00C4269E" w:rsidRPr="00F25B85" w14:paraId="62AAC3A8" w14:textId="77777777" w:rsidTr="009E51DA">
        <w:tc>
          <w:tcPr>
            <w:tcW w:w="664" w:type="pct"/>
            <w:shd w:val="clear" w:color="auto" w:fill="auto"/>
          </w:tcPr>
          <w:p w14:paraId="2A02DAFE"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4A980496"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44F4BED1" w14:textId="77777777" w:rsidR="00960D83" w:rsidRDefault="00960D83" w:rsidP="00960D83">
            <w:pPr>
              <w:spacing w:line="276" w:lineRule="auto"/>
              <w:ind w:left="29"/>
              <w:rPr>
                <w:rFonts w:ascii="David" w:hAnsi="David"/>
                <w:sz w:val="26"/>
                <w:rtl/>
              </w:rPr>
            </w:pPr>
          </w:p>
        </w:tc>
        <w:tc>
          <w:tcPr>
            <w:tcW w:w="395" w:type="pct"/>
            <w:shd w:val="clear" w:color="auto" w:fill="auto"/>
          </w:tcPr>
          <w:p w14:paraId="7C4926F9" w14:textId="77777777" w:rsidR="00960D83" w:rsidRDefault="00960D83" w:rsidP="00960D83">
            <w:pPr>
              <w:spacing w:line="276" w:lineRule="auto"/>
              <w:ind w:left="29"/>
              <w:jc w:val="both"/>
              <w:rPr>
                <w:rFonts w:ascii="David" w:hAnsi="David"/>
                <w:sz w:val="26"/>
                <w:rtl/>
              </w:rPr>
            </w:pPr>
          </w:p>
        </w:tc>
        <w:tc>
          <w:tcPr>
            <w:tcW w:w="3303" w:type="pct"/>
            <w:gridSpan w:val="4"/>
            <w:shd w:val="clear" w:color="auto" w:fill="auto"/>
          </w:tcPr>
          <w:p w14:paraId="1D691080" w14:textId="77777777" w:rsidR="00960D83" w:rsidRPr="00D23B24" w:rsidRDefault="00960D83" w:rsidP="00960D83">
            <w:pPr>
              <w:spacing w:line="276" w:lineRule="auto"/>
              <w:ind w:left="29"/>
              <w:jc w:val="both"/>
              <w:rPr>
                <w:rFonts w:ascii="David" w:hAnsi="David"/>
                <w:sz w:val="26"/>
                <w:rtl/>
              </w:rPr>
            </w:pPr>
          </w:p>
        </w:tc>
      </w:tr>
      <w:tr w:rsidR="00C4269E" w:rsidRPr="00F25B85" w14:paraId="3A52715C" w14:textId="77777777" w:rsidTr="009E51DA">
        <w:tc>
          <w:tcPr>
            <w:tcW w:w="664" w:type="pct"/>
            <w:shd w:val="clear" w:color="auto" w:fill="auto"/>
          </w:tcPr>
          <w:p w14:paraId="251CAE1D" w14:textId="4315189C" w:rsidR="00960D83" w:rsidRPr="00D23B24" w:rsidRDefault="00960D83" w:rsidP="00960D83">
            <w:pPr>
              <w:spacing w:line="276" w:lineRule="auto"/>
              <w:jc w:val="both"/>
              <w:rPr>
                <w:rFonts w:ascii="David" w:hAnsi="David"/>
                <w:b/>
                <w:bCs/>
                <w:sz w:val="26"/>
                <w:rtl/>
              </w:rPr>
            </w:pPr>
            <w:r w:rsidRPr="00D23B24">
              <w:rPr>
                <w:rFonts w:ascii="David" w:hAnsi="David"/>
                <w:b/>
                <w:bCs/>
                <w:sz w:val="26"/>
                <w:rtl/>
              </w:rPr>
              <w:lastRenderedPageBreak/>
              <w:t>חזקה</w:t>
            </w:r>
          </w:p>
        </w:tc>
        <w:tc>
          <w:tcPr>
            <w:tcW w:w="325" w:type="pct"/>
            <w:shd w:val="clear" w:color="auto" w:fill="auto"/>
          </w:tcPr>
          <w:p w14:paraId="585056C4" w14:textId="08E1839A" w:rsidR="00960D83" w:rsidRPr="00D23B24" w:rsidRDefault="00960D83" w:rsidP="00960D83">
            <w:pPr>
              <w:spacing w:line="276" w:lineRule="auto"/>
              <w:jc w:val="both"/>
              <w:rPr>
                <w:rFonts w:ascii="David" w:hAnsi="David"/>
                <w:sz w:val="26"/>
                <w:rtl/>
              </w:rPr>
            </w:pPr>
            <w:r w:rsidRPr="00D23B24">
              <w:rPr>
                <w:rFonts w:ascii="David" w:hAnsi="David"/>
                <w:sz w:val="26"/>
                <w:rtl/>
              </w:rPr>
              <w:t>4.</w:t>
            </w:r>
          </w:p>
        </w:tc>
        <w:tc>
          <w:tcPr>
            <w:tcW w:w="4011" w:type="pct"/>
            <w:gridSpan w:val="6"/>
            <w:shd w:val="clear" w:color="auto" w:fill="auto"/>
          </w:tcPr>
          <w:p w14:paraId="615CA5D3" w14:textId="4E82605E" w:rsidR="00960D83" w:rsidRPr="00D23B24" w:rsidRDefault="00960D83" w:rsidP="00960D83">
            <w:pPr>
              <w:spacing w:line="276" w:lineRule="auto"/>
              <w:ind w:left="29"/>
              <w:jc w:val="both"/>
              <w:rPr>
                <w:rFonts w:ascii="David" w:hAnsi="David"/>
                <w:sz w:val="26"/>
                <w:rtl/>
              </w:rPr>
            </w:pPr>
            <w:r w:rsidRPr="00D23B24">
              <w:rPr>
                <w:rFonts w:ascii="David" w:hAnsi="David"/>
                <w:sz w:val="26"/>
                <w:rtl/>
              </w:rPr>
              <w:t>מי שעשה מעשה כאמור בסעיפים 2 או 3, והוכחה מודעותו לכך שהלן</w:t>
            </w:r>
            <w:r>
              <w:rPr>
                <w:rFonts w:ascii="David" w:hAnsi="David" w:hint="cs"/>
                <w:sz w:val="26"/>
                <w:rtl/>
              </w:rPr>
              <w:t xml:space="preserve"> </w:t>
            </w:r>
            <w:r w:rsidRPr="00D23B24">
              <w:rPr>
                <w:rFonts w:ascii="David" w:hAnsi="David"/>
                <w:sz w:val="26"/>
                <w:rtl/>
              </w:rPr>
              <w:t>הוא שוהה לא חוקי, עליו הראיה שהמעשה נעשה באחת מאלה:</w:t>
            </w:r>
          </w:p>
        </w:tc>
      </w:tr>
      <w:tr w:rsidR="00C4269E" w:rsidRPr="00F25B85" w14:paraId="091D26E1" w14:textId="77777777" w:rsidTr="009E51DA">
        <w:tc>
          <w:tcPr>
            <w:tcW w:w="664" w:type="pct"/>
            <w:shd w:val="clear" w:color="auto" w:fill="auto"/>
          </w:tcPr>
          <w:p w14:paraId="058E85C6"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47AEA3AB"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11C9AD71" w14:textId="77777777" w:rsidR="00960D83" w:rsidRDefault="00960D83" w:rsidP="00960D83">
            <w:pPr>
              <w:spacing w:line="276" w:lineRule="auto"/>
              <w:ind w:left="29"/>
              <w:rPr>
                <w:rFonts w:ascii="David" w:hAnsi="David"/>
                <w:sz w:val="26"/>
                <w:rtl/>
              </w:rPr>
            </w:pPr>
          </w:p>
        </w:tc>
        <w:tc>
          <w:tcPr>
            <w:tcW w:w="395" w:type="pct"/>
            <w:shd w:val="clear" w:color="auto" w:fill="auto"/>
          </w:tcPr>
          <w:p w14:paraId="010F851F" w14:textId="77777777" w:rsidR="00960D83" w:rsidRDefault="00960D83" w:rsidP="00960D83">
            <w:pPr>
              <w:spacing w:line="276" w:lineRule="auto"/>
              <w:ind w:left="29"/>
              <w:jc w:val="both"/>
              <w:rPr>
                <w:rFonts w:ascii="David" w:hAnsi="David"/>
                <w:sz w:val="26"/>
                <w:rtl/>
              </w:rPr>
            </w:pPr>
          </w:p>
        </w:tc>
        <w:tc>
          <w:tcPr>
            <w:tcW w:w="3303" w:type="pct"/>
            <w:gridSpan w:val="4"/>
            <w:shd w:val="clear" w:color="auto" w:fill="auto"/>
          </w:tcPr>
          <w:p w14:paraId="4B72AB29" w14:textId="77777777" w:rsidR="00960D83" w:rsidRPr="00D23B24" w:rsidRDefault="00960D83" w:rsidP="00960D83">
            <w:pPr>
              <w:spacing w:line="276" w:lineRule="auto"/>
              <w:ind w:left="29"/>
              <w:jc w:val="both"/>
              <w:rPr>
                <w:rFonts w:ascii="David" w:hAnsi="David"/>
                <w:sz w:val="26"/>
                <w:rtl/>
              </w:rPr>
            </w:pPr>
          </w:p>
        </w:tc>
      </w:tr>
      <w:tr w:rsidR="00C4269E" w:rsidRPr="00F25B85" w14:paraId="7BA9494A" w14:textId="77777777" w:rsidTr="009E51DA">
        <w:tc>
          <w:tcPr>
            <w:tcW w:w="664" w:type="pct"/>
            <w:shd w:val="clear" w:color="auto" w:fill="auto"/>
          </w:tcPr>
          <w:p w14:paraId="5AE1113D"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075F2CF3"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694C2D4F" w14:textId="5C1A9798" w:rsidR="00960D83" w:rsidRDefault="00960D83" w:rsidP="00960D83">
            <w:pPr>
              <w:spacing w:line="276" w:lineRule="auto"/>
              <w:ind w:left="29"/>
              <w:rPr>
                <w:rFonts w:ascii="David" w:hAnsi="David"/>
                <w:sz w:val="26"/>
                <w:rtl/>
              </w:rPr>
            </w:pPr>
            <w:r w:rsidRPr="00D23B24">
              <w:rPr>
                <w:rFonts w:ascii="David" w:hAnsi="David"/>
                <w:sz w:val="26"/>
                <w:rtl/>
              </w:rPr>
              <w:t>(1)</w:t>
            </w:r>
          </w:p>
        </w:tc>
        <w:tc>
          <w:tcPr>
            <w:tcW w:w="3698" w:type="pct"/>
            <w:gridSpan w:val="5"/>
            <w:shd w:val="clear" w:color="auto" w:fill="auto"/>
          </w:tcPr>
          <w:p w14:paraId="1B6137E0" w14:textId="03369B4F" w:rsidR="00960D83" w:rsidRPr="00D23B24" w:rsidRDefault="00960D83" w:rsidP="00960D83">
            <w:pPr>
              <w:spacing w:line="276" w:lineRule="auto"/>
              <w:ind w:left="29"/>
              <w:jc w:val="both"/>
              <w:rPr>
                <w:rFonts w:ascii="David" w:hAnsi="David"/>
                <w:sz w:val="26"/>
                <w:rtl/>
              </w:rPr>
            </w:pPr>
            <w:r w:rsidRPr="00D23B24">
              <w:rPr>
                <w:rFonts w:ascii="David" w:hAnsi="David"/>
                <w:sz w:val="26"/>
                <w:rtl/>
              </w:rPr>
              <w:t>לאחר שבדק שבידי השוהה הלא חוקי מסמכים, שלפיהם הוא נכנס כדין ויושב במקום כדין;</w:t>
            </w:r>
          </w:p>
        </w:tc>
      </w:tr>
      <w:tr w:rsidR="00C4269E" w:rsidRPr="00F25B85" w14:paraId="145D4E0A" w14:textId="77777777" w:rsidTr="009E51DA">
        <w:tc>
          <w:tcPr>
            <w:tcW w:w="664" w:type="pct"/>
            <w:shd w:val="clear" w:color="auto" w:fill="auto"/>
          </w:tcPr>
          <w:p w14:paraId="22926435"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651AF847"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56B3B061" w14:textId="77777777" w:rsidR="00960D83" w:rsidRDefault="00960D83" w:rsidP="00960D83">
            <w:pPr>
              <w:spacing w:line="276" w:lineRule="auto"/>
              <w:ind w:left="29"/>
              <w:rPr>
                <w:rFonts w:ascii="David" w:hAnsi="David"/>
                <w:sz w:val="26"/>
                <w:rtl/>
              </w:rPr>
            </w:pPr>
          </w:p>
        </w:tc>
        <w:tc>
          <w:tcPr>
            <w:tcW w:w="3698" w:type="pct"/>
            <w:gridSpan w:val="5"/>
            <w:shd w:val="clear" w:color="auto" w:fill="auto"/>
          </w:tcPr>
          <w:p w14:paraId="46826B5B" w14:textId="77777777" w:rsidR="00960D83" w:rsidRPr="00D23B24" w:rsidRDefault="00960D83" w:rsidP="00960D83">
            <w:pPr>
              <w:spacing w:line="276" w:lineRule="auto"/>
              <w:ind w:left="29"/>
              <w:jc w:val="both"/>
              <w:rPr>
                <w:rFonts w:ascii="David" w:hAnsi="David"/>
                <w:sz w:val="26"/>
                <w:rtl/>
              </w:rPr>
            </w:pPr>
          </w:p>
        </w:tc>
      </w:tr>
      <w:tr w:rsidR="00C4269E" w:rsidRPr="00F25B85" w14:paraId="39D00008" w14:textId="77777777" w:rsidTr="009E51DA">
        <w:tc>
          <w:tcPr>
            <w:tcW w:w="664" w:type="pct"/>
            <w:shd w:val="clear" w:color="auto" w:fill="auto"/>
          </w:tcPr>
          <w:p w14:paraId="51B4973E"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181B0522"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5FA0BA7F" w14:textId="60F0C731" w:rsidR="00960D83" w:rsidRDefault="00960D83" w:rsidP="00960D83">
            <w:pPr>
              <w:spacing w:line="276" w:lineRule="auto"/>
              <w:ind w:left="29"/>
              <w:rPr>
                <w:rFonts w:ascii="David" w:hAnsi="David"/>
                <w:sz w:val="26"/>
                <w:rtl/>
              </w:rPr>
            </w:pPr>
            <w:r w:rsidRPr="00D23B24">
              <w:rPr>
                <w:rFonts w:ascii="David" w:hAnsi="David"/>
                <w:sz w:val="26"/>
                <w:rtl/>
              </w:rPr>
              <w:t>(2)</w:t>
            </w:r>
          </w:p>
        </w:tc>
        <w:tc>
          <w:tcPr>
            <w:tcW w:w="3698" w:type="pct"/>
            <w:gridSpan w:val="5"/>
            <w:shd w:val="clear" w:color="auto" w:fill="auto"/>
          </w:tcPr>
          <w:p w14:paraId="341F8F7A" w14:textId="10168410" w:rsidR="00960D83" w:rsidRPr="00D23B24" w:rsidRDefault="00960D83" w:rsidP="00960D83">
            <w:pPr>
              <w:spacing w:line="276" w:lineRule="auto"/>
              <w:ind w:left="29"/>
              <w:jc w:val="both"/>
              <w:rPr>
                <w:rFonts w:ascii="David" w:hAnsi="David"/>
                <w:sz w:val="26"/>
                <w:rtl/>
              </w:rPr>
            </w:pPr>
            <w:r w:rsidRPr="00D23B24">
              <w:rPr>
                <w:rFonts w:ascii="David" w:hAnsi="David"/>
                <w:sz w:val="26"/>
                <w:rtl/>
              </w:rPr>
              <w:t>בנסיבות שבהן הוא לא חשד שהשוהה הלא חוקי נכנס שלא כדין או שהוא שוהה בה שלא כדין.</w:t>
            </w:r>
          </w:p>
        </w:tc>
      </w:tr>
      <w:tr w:rsidR="00C4269E" w:rsidRPr="00F25B85" w14:paraId="2127C6B1" w14:textId="77777777" w:rsidTr="009E51DA">
        <w:tc>
          <w:tcPr>
            <w:tcW w:w="664" w:type="pct"/>
            <w:shd w:val="clear" w:color="auto" w:fill="auto"/>
          </w:tcPr>
          <w:p w14:paraId="2B0B3E1C"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695A77C9"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4EB23C06" w14:textId="77777777" w:rsidR="00960D83" w:rsidRDefault="00960D83" w:rsidP="00960D83">
            <w:pPr>
              <w:spacing w:line="276" w:lineRule="auto"/>
              <w:ind w:left="29"/>
              <w:rPr>
                <w:rFonts w:ascii="David" w:hAnsi="David"/>
                <w:sz w:val="26"/>
                <w:rtl/>
              </w:rPr>
            </w:pPr>
          </w:p>
        </w:tc>
        <w:tc>
          <w:tcPr>
            <w:tcW w:w="3698" w:type="pct"/>
            <w:gridSpan w:val="5"/>
            <w:shd w:val="clear" w:color="auto" w:fill="auto"/>
          </w:tcPr>
          <w:p w14:paraId="26B5A280" w14:textId="77777777" w:rsidR="00960D83" w:rsidRPr="00D23B24" w:rsidRDefault="00960D83" w:rsidP="00960D83">
            <w:pPr>
              <w:spacing w:line="276" w:lineRule="auto"/>
              <w:ind w:left="29"/>
              <w:jc w:val="both"/>
              <w:rPr>
                <w:rFonts w:ascii="David" w:hAnsi="David"/>
                <w:sz w:val="26"/>
                <w:rtl/>
              </w:rPr>
            </w:pPr>
          </w:p>
        </w:tc>
      </w:tr>
      <w:tr w:rsidR="00C4269E" w:rsidRPr="00F25B85" w14:paraId="6DD37286" w14:textId="77777777" w:rsidTr="009E51DA">
        <w:tc>
          <w:tcPr>
            <w:tcW w:w="664" w:type="pct"/>
            <w:shd w:val="clear" w:color="auto" w:fill="auto"/>
          </w:tcPr>
          <w:p w14:paraId="6C3ED2F0" w14:textId="2BE8028A" w:rsidR="00960D83" w:rsidRPr="00D23B24" w:rsidRDefault="00960D83" w:rsidP="00960D83">
            <w:pPr>
              <w:spacing w:line="276" w:lineRule="auto"/>
              <w:jc w:val="both"/>
              <w:rPr>
                <w:rFonts w:ascii="David" w:hAnsi="David"/>
                <w:b/>
                <w:bCs/>
                <w:sz w:val="26"/>
                <w:rtl/>
              </w:rPr>
            </w:pPr>
            <w:r w:rsidRPr="00D23B24">
              <w:rPr>
                <w:rFonts w:ascii="David" w:hAnsi="David"/>
                <w:b/>
                <w:bCs/>
                <w:sz w:val="26"/>
                <w:rtl/>
              </w:rPr>
              <w:t>צו מינהלי להגבלת שימוש במקום</w:t>
            </w:r>
          </w:p>
        </w:tc>
        <w:tc>
          <w:tcPr>
            <w:tcW w:w="325" w:type="pct"/>
            <w:shd w:val="clear" w:color="auto" w:fill="auto"/>
          </w:tcPr>
          <w:p w14:paraId="412F43A3" w14:textId="18E7D423" w:rsidR="00960D83" w:rsidRPr="00D23B24" w:rsidRDefault="00960D83" w:rsidP="00960D83">
            <w:pPr>
              <w:spacing w:line="276" w:lineRule="auto"/>
              <w:jc w:val="both"/>
              <w:rPr>
                <w:rFonts w:ascii="David" w:hAnsi="David"/>
                <w:sz w:val="26"/>
                <w:rtl/>
              </w:rPr>
            </w:pPr>
            <w:r w:rsidRPr="00D23B24">
              <w:rPr>
                <w:rFonts w:ascii="David" w:hAnsi="David"/>
                <w:sz w:val="26"/>
                <w:rtl/>
              </w:rPr>
              <w:t>5.</w:t>
            </w:r>
          </w:p>
        </w:tc>
        <w:tc>
          <w:tcPr>
            <w:tcW w:w="313" w:type="pct"/>
            <w:shd w:val="clear" w:color="auto" w:fill="auto"/>
          </w:tcPr>
          <w:p w14:paraId="4D42A732" w14:textId="10C20FAB" w:rsidR="00960D83" w:rsidRDefault="00960D83" w:rsidP="00960D83">
            <w:pPr>
              <w:spacing w:line="276" w:lineRule="auto"/>
              <w:ind w:left="29"/>
              <w:rPr>
                <w:rFonts w:ascii="David" w:hAnsi="David"/>
                <w:sz w:val="26"/>
                <w:rtl/>
              </w:rPr>
            </w:pPr>
            <w:r w:rsidRPr="00D23B24">
              <w:rPr>
                <w:rFonts w:ascii="David" w:hAnsi="David"/>
                <w:sz w:val="26"/>
                <w:rtl/>
              </w:rPr>
              <w:t>(א)</w:t>
            </w:r>
          </w:p>
        </w:tc>
        <w:tc>
          <w:tcPr>
            <w:tcW w:w="3698" w:type="pct"/>
            <w:gridSpan w:val="5"/>
            <w:shd w:val="clear" w:color="auto" w:fill="auto"/>
          </w:tcPr>
          <w:p w14:paraId="111500FC" w14:textId="7FDFDB80" w:rsidR="00960D83" w:rsidRPr="00D23B24" w:rsidRDefault="00960D83" w:rsidP="00960D83">
            <w:pPr>
              <w:spacing w:line="276" w:lineRule="auto"/>
              <w:ind w:left="29"/>
              <w:jc w:val="both"/>
              <w:rPr>
                <w:rFonts w:ascii="David" w:hAnsi="David"/>
                <w:sz w:val="26"/>
              </w:rPr>
            </w:pPr>
            <w:r w:rsidRPr="00D23B24">
              <w:rPr>
                <w:rFonts w:ascii="David" w:hAnsi="David"/>
                <w:sz w:val="26"/>
                <w:rtl/>
              </w:rPr>
              <w:t xml:space="preserve">היה </w:t>
            </w:r>
            <w:r w:rsidRPr="00FA7715">
              <w:rPr>
                <w:rFonts w:ascii="David" w:hAnsi="David"/>
                <w:sz w:val="26"/>
                <w:rtl/>
              </w:rPr>
              <w:t>לקצין משטרה מוסמך</w:t>
            </w:r>
            <w:r w:rsidRPr="00D23B24">
              <w:rPr>
                <w:rFonts w:ascii="David" w:hAnsi="David"/>
                <w:sz w:val="26"/>
                <w:rtl/>
              </w:rPr>
              <w:t xml:space="preserve"> יסוד סביר להניח כי מקום משמש לביצוע עבירה </w:t>
            </w:r>
            <w:r w:rsidRPr="00FA7715">
              <w:rPr>
                <w:rFonts w:ascii="David" w:hAnsi="David"/>
                <w:sz w:val="26"/>
                <w:rtl/>
              </w:rPr>
              <w:t>לפי סעיפים 2 או 3 לצו זה</w:t>
            </w:r>
            <w:r w:rsidRPr="00FA7715">
              <w:rPr>
                <w:rFonts w:ascii="David" w:hAnsi="David" w:hint="cs"/>
                <w:sz w:val="26"/>
                <w:rtl/>
              </w:rPr>
              <w:t xml:space="preserve"> או</w:t>
            </w:r>
            <w:r w:rsidRPr="00FA7715">
              <w:rPr>
                <w:rFonts w:ascii="David" w:hAnsi="David"/>
                <w:sz w:val="26"/>
                <w:rtl/>
              </w:rPr>
              <w:t xml:space="preserve"> עבירה לפי סעיף 6</w:t>
            </w:r>
            <w:r>
              <w:rPr>
                <w:rFonts w:ascii="David" w:hAnsi="David" w:hint="cs"/>
                <w:sz w:val="26"/>
                <w:rtl/>
              </w:rPr>
              <w:t>(ב)</w:t>
            </w:r>
            <w:r w:rsidRPr="00FA7715">
              <w:rPr>
                <w:rFonts w:ascii="David" w:hAnsi="David"/>
                <w:sz w:val="26"/>
                <w:rtl/>
              </w:rPr>
              <w:t xml:space="preserve"> לצו</w:t>
            </w:r>
            <w:r w:rsidRPr="00D23B24">
              <w:rPr>
                <w:rFonts w:ascii="David" w:hAnsi="David"/>
                <w:sz w:val="26"/>
                <w:rtl/>
              </w:rPr>
              <w:t xml:space="preserve"> בדבר העסקת עובדים במקומות מסויימים , וכן יסוד סביר לחשש שהמקום ימשיך לשמש לביצוע עבירה כאמור אם לא יוגבל השימוש במקום באופן מיידי, רשאי הוא לתת צו להגבלת השימוש במקום, לתקופה שיקבע בצו, ורשאי הוא להאריך את תוקפו של הצו לתקופות נוספות, ובלבד שסך כל התקופות לא יעלה על 30 ימים (להלן – צו הגבלה מינהלי)</w:t>
            </w:r>
            <w:r w:rsidRPr="00D23B24">
              <w:rPr>
                <w:rFonts w:ascii="David" w:hAnsi="David"/>
                <w:sz w:val="26"/>
              </w:rPr>
              <w:t>.</w:t>
            </w:r>
          </w:p>
        </w:tc>
      </w:tr>
      <w:tr w:rsidR="00C4269E" w:rsidRPr="00F25B85" w14:paraId="16649D3F" w14:textId="77777777" w:rsidTr="009E51DA">
        <w:tc>
          <w:tcPr>
            <w:tcW w:w="664" w:type="pct"/>
            <w:shd w:val="clear" w:color="auto" w:fill="auto"/>
          </w:tcPr>
          <w:p w14:paraId="59C1D3E8"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7BEB62CA"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1039D4B9" w14:textId="77777777" w:rsidR="00960D83" w:rsidRDefault="00960D83" w:rsidP="00960D83">
            <w:pPr>
              <w:spacing w:line="276" w:lineRule="auto"/>
              <w:ind w:left="29"/>
              <w:rPr>
                <w:rFonts w:ascii="David" w:hAnsi="David"/>
                <w:sz w:val="26"/>
                <w:rtl/>
              </w:rPr>
            </w:pPr>
          </w:p>
        </w:tc>
        <w:tc>
          <w:tcPr>
            <w:tcW w:w="3698" w:type="pct"/>
            <w:gridSpan w:val="5"/>
            <w:shd w:val="clear" w:color="auto" w:fill="auto"/>
          </w:tcPr>
          <w:p w14:paraId="15A28212" w14:textId="77777777" w:rsidR="00960D83" w:rsidRPr="00D23B24" w:rsidRDefault="00960D83" w:rsidP="00960D83">
            <w:pPr>
              <w:spacing w:line="276" w:lineRule="auto"/>
              <w:ind w:left="29"/>
              <w:jc w:val="both"/>
              <w:rPr>
                <w:rFonts w:ascii="David" w:hAnsi="David"/>
                <w:sz w:val="26"/>
                <w:rtl/>
              </w:rPr>
            </w:pPr>
          </w:p>
        </w:tc>
      </w:tr>
      <w:tr w:rsidR="00C4269E" w:rsidRPr="00F25B85" w14:paraId="01EBF7C8" w14:textId="77777777" w:rsidTr="009E51DA">
        <w:tc>
          <w:tcPr>
            <w:tcW w:w="664" w:type="pct"/>
            <w:shd w:val="clear" w:color="auto" w:fill="auto"/>
          </w:tcPr>
          <w:p w14:paraId="4DF75D52"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25C3E2AA"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66DB5F5C" w14:textId="683BAAF1" w:rsidR="00960D83" w:rsidRDefault="00960D83" w:rsidP="00960D83">
            <w:pPr>
              <w:spacing w:line="276" w:lineRule="auto"/>
              <w:ind w:left="29"/>
              <w:rPr>
                <w:rFonts w:ascii="David" w:hAnsi="David"/>
                <w:sz w:val="26"/>
                <w:rtl/>
              </w:rPr>
            </w:pPr>
            <w:r w:rsidRPr="00D23B24">
              <w:rPr>
                <w:rFonts w:ascii="David" w:hAnsi="David"/>
                <w:sz w:val="26"/>
                <w:rtl/>
              </w:rPr>
              <w:t>(ב)</w:t>
            </w:r>
          </w:p>
        </w:tc>
        <w:tc>
          <w:tcPr>
            <w:tcW w:w="3698" w:type="pct"/>
            <w:gridSpan w:val="5"/>
            <w:shd w:val="clear" w:color="auto" w:fill="auto"/>
          </w:tcPr>
          <w:p w14:paraId="08E630D4" w14:textId="5419E11A" w:rsidR="00960D83" w:rsidRPr="00D23B24" w:rsidRDefault="00960D83" w:rsidP="00960D83">
            <w:pPr>
              <w:spacing w:line="276" w:lineRule="auto"/>
              <w:ind w:left="29"/>
              <w:jc w:val="both"/>
              <w:rPr>
                <w:rFonts w:ascii="David" w:hAnsi="David"/>
                <w:sz w:val="26"/>
              </w:rPr>
            </w:pPr>
            <w:r w:rsidRPr="00D23B24">
              <w:rPr>
                <w:rFonts w:ascii="David" w:hAnsi="David"/>
                <w:sz w:val="26"/>
                <w:rtl/>
              </w:rPr>
              <w:t>עותק של צו הגבלה מינהלי יוצג במקום שעליו הוא חל ויומצא לבעלים של המקום ולמחזיק במקום אם ניתן לאתרם בשקידה סבירה בנסיבות העניין</w:t>
            </w:r>
            <w:r w:rsidRPr="00D23B24">
              <w:rPr>
                <w:rFonts w:ascii="David" w:hAnsi="David"/>
                <w:sz w:val="26"/>
              </w:rPr>
              <w:t>.</w:t>
            </w:r>
          </w:p>
        </w:tc>
      </w:tr>
      <w:tr w:rsidR="00C4269E" w:rsidRPr="00F25B85" w14:paraId="474D0AC0" w14:textId="77777777" w:rsidTr="009E51DA">
        <w:tc>
          <w:tcPr>
            <w:tcW w:w="664" w:type="pct"/>
            <w:shd w:val="clear" w:color="auto" w:fill="auto"/>
          </w:tcPr>
          <w:p w14:paraId="57110700"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43466A4F"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7F693455" w14:textId="77777777" w:rsidR="00960D83" w:rsidRDefault="00960D83" w:rsidP="00960D83">
            <w:pPr>
              <w:spacing w:line="276" w:lineRule="auto"/>
              <w:ind w:left="29"/>
              <w:rPr>
                <w:rFonts w:ascii="David" w:hAnsi="David"/>
                <w:sz w:val="26"/>
                <w:rtl/>
              </w:rPr>
            </w:pPr>
          </w:p>
        </w:tc>
        <w:tc>
          <w:tcPr>
            <w:tcW w:w="3698" w:type="pct"/>
            <w:gridSpan w:val="5"/>
            <w:shd w:val="clear" w:color="auto" w:fill="auto"/>
          </w:tcPr>
          <w:p w14:paraId="0209A6B4" w14:textId="77777777" w:rsidR="00960D83" w:rsidRPr="00D23B24" w:rsidRDefault="00960D83" w:rsidP="00960D83">
            <w:pPr>
              <w:spacing w:line="276" w:lineRule="auto"/>
              <w:ind w:left="29"/>
              <w:jc w:val="both"/>
              <w:rPr>
                <w:rFonts w:ascii="David" w:hAnsi="David"/>
                <w:sz w:val="26"/>
                <w:rtl/>
              </w:rPr>
            </w:pPr>
          </w:p>
        </w:tc>
      </w:tr>
      <w:tr w:rsidR="00C4269E" w:rsidRPr="00F25B85" w14:paraId="0DEA9A3D" w14:textId="77777777" w:rsidTr="009E51DA">
        <w:tc>
          <w:tcPr>
            <w:tcW w:w="664" w:type="pct"/>
            <w:shd w:val="clear" w:color="auto" w:fill="auto"/>
          </w:tcPr>
          <w:p w14:paraId="31F5B2D1"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39D9B8D8"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709503CB" w14:textId="7FDD7E74" w:rsidR="00960D83" w:rsidRDefault="00960D83" w:rsidP="00960D83">
            <w:pPr>
              <w:spacing w:line="276" w:lineRule="auto"/>
              <w:ind w:left="29"/>
              <w:rPr>
                <w:rFonts w:ascii="David" w:hAnsi="David"/>
                <w:sz w:val="26"/>
                <w:rtl/>
              </w:rPr>
            </w:pPr>
            <w:r w:rsidRPr="00D23B24">
              <w:rPr>
                <w:rFonts w:ascii="David" w:hAnsi="David"/>
                <w:sz w:val="26"/>
                <w:rtl/>
              </w:rPr>
              <w:t>(ג)</w:t>
            </w:r>
          </w:p>
        </w:tc>
        <w:tc>
          <w:tcPr>
            <w:tcW w:w="3698" w:type="pct"/>
            <w:gridSpan w:val="5"/>
            <w:shd w:val="clear" w:color="auto" w:fill="auto"/>
          </w:tcPr>
          <w:p w14:paraId="1FBF6DF9" w14:textId="6F492A70" w:rsidR="00960D83" w:rsidRPr="00D23B24" w:rsidRDefault="00960D83" w:rsidP="00960D83">
            <w:pPr>
              <w:spacing w:line="276" w:lineRule="auto"/>
              <w:ind w:left="29"/>
              <w:jc w:val="both"/>
              <w:rPr>
                <w:rFonts w:ascii="David" w:hAnsi="David"/>
                <w:sz w:val="26"/>
              </w:rPr>
            </w:pPr>
            <w:r w:rsidRPr="00D23B24">
              <w:rPr>
                <w:rFonts w:ascii="David" w:hAnsi="David"/>
                <w:sz w:val="26"/>
                <w:rtl/>
              </w:rPr>
              <w:t>ניתן צו הגבלה מינהלי, רשאי מי שרואה את עצמו נפגע מהצו לפנות לקצין משטרה מוסמך בבקשה לטעון לפניו את טענותיו בעניין; קצין המשטרה המוסמך ייתן את החלטתו בתוך 72 שעות מעת הגשת הבקשה</w:t>
            </w:r>
            <w:r w:rsidRPr="00D23B24">
              <w:rPr>
                <w:rFonts w:ascii="David" w:hAnsi="David"/>
                <w:sz w:val="26"/>
              </w:rPr>
              <w:t>.</w:t>
            </w:r>
          </w:p>
        </w:tc>
      </w:tr>
      <w:tr w:rsidR="00C4269E" w:rsidRPr="00F25B85" w14:paraId="62D82C9E" w14:textId="77777777" w:rsidTr="009E51DA">
        <w:tc>
          <w:tcPr>
            <w:tcW w:w="664" w:type="pct"/>
            <w:shd w:val="clear" w:color="auto" w:fill="auto"/>
          </w:tcPr>
          <w:p w14:paraId="2425C387"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57CAD64D"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1B8C3406" w14:textId="77777777" w:rsidR="00960D83" w:rsidRDefault="00960D83" w:rsidP="00960D83">
            <w:pPr>
              <w:spacing w:line="276" w:lineRule="auto"/>
              <w:ind w:left="29"/>
              <w:rPr>
                <w:rFonts w:ascii="David" w:hAnsi="David"/>
                <w:sz w:val="26"/>
                <w:rtl/>
              </w:rPr>
            </w:pPr>
          </w:p>
        </w:tc>
        <w:tc>
          <w:tcPr>
            <w:tcW w:w="3698" w:type="pct"/>
            <w:gridSpan w:val="5"/>
            <w:shd w:val="clear" w:color="auto" w:fill="auto"/>
          </w:tcPr>
          <w:p w14:paraId="6CB47ACE" w14:textId="77777777" w:rsidR="00960D83" w:rsidRPr="00D23B24" w:rsidRDefault="00960D83" w:rsidP="00960D83">
            <w:pPr>
              <w:spacing w:line="276" w:lineRule="auto"/>
              <w:ind w:left="29"/>
              <w:jc w:val="both"/>
              <w:rPr>
                <w:rFonts w:ascii="David" w:hAnsi="David"/>
                <w:sz w:val="26"/>
                <w:rtl/>
              </w:rPr>
            </w:pPr>
          </w:p>
        </w:tc>
      </w:tr>
      <w:tr w:rsidR="00C4269E" w:rsidRPr="00F25B85" w14:paraId="707E1928" w14:textId="77777777" w:rsidTr="009E51DA">
        <w:tc>
          <w:tcPr>
            <w:tcW w:w="664" w:type="pct"/>
            <w:shd w:val="clear" w:color="auto" w:fill="auto"/>
          </w:tcPr>
          <w:p w14:paraId="52C227A7"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7D7812FF"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027DBEF8" w14:textId="64EE0618" w:rsidR="00960D83" w:rsidRDefault="00960D83" w:rsidP="00960D83">
            <w:pPr>
              <w:spacing w:line="276" w:lineRule="auto"/>
              <w:ind w:left="29"/>
              <w:rPr>
                <w:rFonts w:ascii="David" w:hAnsi="David"/>
                <w:sz w:val="26"/>
                <w:rtl/>
              </w:rPr>
            </w:pPr>
            <w:r w:rsidRPr="00D23B24">
              <w:rPr>
                <w:rFonts w:ascii="David" w:hAnsi="David"/>
                <w:sz w:val="26"/>
                <w:rtl/>
              </w:rPr>
              <w:t>(ד)</w:t>
            </w:r>
          </w:p>
        </w:tc>
        <w:tc>
          <w:tcPr>
            <w:tcW w:w="3698" w:type="pct"/>
            <w:gridSpan w:val="5"/>
            <w:shd w:val="clear" w:color="auto" w:fill="auto"/>
          </w:tcPr>
          <w:p w14:paraId="2D13ED29" w14:textId="1A6CA6DB" w:rsidR="00960D83" w:rsidRPr="00D23B24" w:rsidRDefault="00960D83" w:rsidP="00960D83">
            <w:pPr>
              <w:spacing w:line="276" w:lineRule="auto"/>
              <w:ind w:left="29"/>
              <w:jc w:val="both"/>
              <w:rPr>
                <w:rFonts w:ascii="David" w:hAnsi="David"/>
                <w:sz w:val="26"/>
              </w:rPr>
            </w:pPr>
            <w:r w:rsidRPr="00D23B24">
              <w:rPr>
                <w:rFonts w:ascii="David" w:hAnsi="David"/>
                <w:sz w:val="26"/>
                <w:rtl/>
              </w:rPr>
              <w:t>הרואה את עצמו נפגע מצו הגבלה מינהלי רשאי לערער עליו לבית משפט, שיהיה מוסמך לבטלו או לשנות תנאים בו</w:t>
            </w:r>
            <w:r w:rsidRPr="00D23B24">
              <w:rPr>
                <w:rFonts w:ascii="David" w:hAnsi="David"/>
                <w:sz w:val="26"/>
              </w:rPr>
              <w:t>.</w:t>
            </w:r>
          </w:p>
        </w:tc>
      </w:tr>
      <w:tr w:rsidR="00C4269E" w:rsidRPr="00F25B85" w14:paraId="08934C71" w14:textId="77777777" w:rsidTr="009E51DA">
        <w:tc>
          <w:tcPr>
            <w:tcW w:w="664" w:type="pct"/>
            <w:shd w:val="clear" w:color="auto" w:fill="auto"/>
          </w:tcPr>
          <w:p w14:paraId="4BC73B8E"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354498D1"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23A768C9" w14:textId="77777777" w:rsidR="00960D83" w:rsidRDefault="00960D83" w:rsidP="00960D83">
            <w:pPr>
              <w:spacing w:line="276" w:lineRule="auto"/>
              <w:ind w:left="29"/>
              <w:rPr>
                <w:rFonts w:ascii="David" w:hAnsi="David"/>
                <w:sz w:val="26"/>
                <w:rtl/>
              </w:rPr>
            </w:pPr>
          </w:p>
        </w:tc>
        <w:tc>
          <w:tcPr>
            <w:tcW w:w="3698" w:type="pct"/>
            <w:gridSpan w:val="5"/>
            <w:shd w:val="clear" w:color="auto" w:fill="auto"/>
          </w:tcPr>
          <w:p w14:paraId="686BBF35" w14:textId="77777777" w:rsidR="00960D83" w:rsidRPr="00D23B24" w:rsidRDefault="00960D83" w:rsidP="00960D83">
            <w:pPr>
              <w:spacing w:line="276" w:lineRule="auto"/>
              <w:ind w:left="29"/>
              <w:jc w:val="both"/>
              <w:rPr>
                <w:rFonts w:ascii="David" w:hAnsi="David"/>
                <w:sz w:val="26"/>
                <w:rtl/>
              </w:rPr>
            </w:pPr>
          </w:p>
        </w:tc>
      </w:tr>
      <w:tr w:rsidR="00C4269E" w:rsidRPr="00F25B85" w14:paraId="611C92EF" w14:textId="77777777" w:rsidTr="009E51DA">
        <w:tc>
          <w:tcPr>
            <w:tcW w:w="664" w:type="pct"/>
            <w:shd w:val="clear" w:color="auto" w:fill="auto"/>
          </w:tcPr>
          <w:p w14:paraId="598F1A55" w14:textId="4606E16F" w:rsidR="00960D83" w:rsidRPr="00D23B24" w:rsidRDefault="00960D83" w:rsidP="00960D83">
            <w:pPr>
              <w:spacing w:line="276" w:lineRule="auto"/>
              <w:jc w:val="both"/>
              <w:rPr>
                <w:rFonts w:ascii="David" w:hAnsi="David"/>
                <w:b/>
                <w:bCs/>
                <w:sz w:val="26"/>
                <w:rtl/>
              </w:rPr>
            </w:pPr>
            <w:r w:rsidRPr="00D23B24">
              <w:rPr>
                <w:rFonts w:ascii="David" w:hAnsi="David"/>
                <w:b/>
                <w:bCs/>
                <w:sz w:val="26"/>
                <w:rtl/>
              </w:rPr>
              <w:t>צו שיפוטי להגבלת שימוש במקום</w:t>
            </w:r>
          </w:p>
        </w:tc>
        <w:tc>
          <w:tcPr>
            <w:tcW w:w="325" w:type="pct"/>
            <w:shd w:val="clear" w:color="auto" w:fill="auto"/>
          </w:tcPr>
          <w:p w14:paraId="61F20725" w14:textId="42E01B80" w:rsidR="00960D83" w:rsidRPr="00D23B24" w:rsidRDefault="00960D83" w:rsidP="00960D83">
            <w:pPr>
              <w:spacing w:line="276" w:lineRule="auto"/>
              <w:jc w:val="both"/>
              <w:rPr>
                <w:rFonts w:ascii="David" w:hAnsi="David"/>
                <w:sz w:val="26"/>
                <w:rtl/>
              </w:rPr>
            </w:pPr>
            <w:r w:rsidRPr="00D23B24">
              <w:rPr>
                <w:rFonts w:ascii="David" w:hAnsi="David"/>
                <w:sz w:val="26"/>
                <w:rtl/>
              </w:rPr>
              <w:t>6.</w:t>
            </w:r>
          </w:p>
        </w:tc>
        <w:tc>
          <w:tcPr>
            <w:tcW w:w="313" w:type="pct"/>
            <w:shd w:val="clear" w:color="auto" w:fill="auto"/>
          </w:tcPr>
          <w:p w14:paraId="1D08EF3C" w14:textId="2A8BD4F1" w:rsidR="00960D83" w:rsidRDefault="00960D83" w:rsidP="00960D83">
            <w:pPr>
              <w:spacing w:line="276" w:lineRule="auto"/>
              <w:ind w:left="29"/>
              <w:rPr>
                <w:rFonts w:ascii="David" w:hAnsi="David"/>
                <w:sz w:val="26"/>
                <w:rtl/>
              </w:rPr>
            </w:pPr>
            <w:r w:rsidRPr="00D23B24">
              <w:rPr>
                <w:rFonts w:ascii="David" w:hAnsi="David"/>
                <w:sz w:val="26"/>
                <w:rtl/>
              </w:rPr>
              <w:t>(א)</w:t>
            </w:r>
          </w:p>
        </w:tc>
        <w:tc>
          <w:tcPr>
            <w:tcW w:w="3698" w:type="pct"/>
            <w:gridSpan w:val="5"/>
            <w:shd w:val="clear" w:color="auto" w:fill="auto"/>
          </w:tcPr>
          <w:p w14:paraId="7ACE8DA3" w14:textId="5174FA6A" w:rsidR="00960D83" w:rsidRPr="00D23B24" w:rsidRDefault="00960D83" w:rsidP="00960D83">
            <w:pPr>
              <w:spacing w:line="276" w:lineRule="auto"/>
              <w:ind w:left="29"/>
              <w:jc w:val="both"/>
              <w:rPr>
                <w:rFonts w:ascii="David" w:hAnsi="David"/>
                <w:sz w:val="26"/>
                <w:rtl/>
              </w:rPr>
            </w:pPr>
            <w:r w:rsidRPr="00D23B24">
              <w:rPr>
                <w:rFonts w:ascii="David" w:hAnsi="David"/>
                <w:sz w:val="26"/>
                <w:rtl/>
              </w:rPr>
              <w:t>בית משפט רשאי, על פי בקשה בכתב של הממונה על החקירה, לצוות על הארכת תוקפו של צו הגבלה מינהלי, לתקופה נוספת שלא תעלה על 60 ימים, אם שוכנע כי הגבלת השימוש במקום חיונית למניעת המשך ביצוע העבירה שבשלה הוצא הצו, ורשאי הוא לחזור ולצוות כאמור מזמן לזמן.</w:t>
            </w:r>
          </w:p>
        </w:tc>
      </w:tr>
      <w:tr w:rsidR="00C4269E" w:rsidRPr="00F25B85" w14:paraId="5B4B9C05" w14:textId="77777777" w:rsidTr="009E51DA">
        <w:tc>
          <w:tcPr>
            <w:tcW w:w="664" w:type="pct"/>
            <w:shd w:val="clear" w:color="auto" w:fill="auto"/>
          </w:tcPr>
          <w:p w14:paraId="159A5DA2"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5E06BD55"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439A4989" w14:textId="77777777" w:rsidR="00960D83" w:rsidRDefault="00960D83" w:rsidP="00960D83">
            <w:pPr>
              <w:spacing w:line="276" w:lineRule="auto"/>
              <w:ind w:left="29"/>
              <w:rPr>
                <w:rFonts w:ascii="David" w:hAnsi="David"/>
                <w:sz w:val="26"/>
                <w:rtl/>
              </w:rPr>
            </w:pPr>
          </w:p>
        </w:tc>
        <w:tc>
          <w:tcPr>
            <w:tcW w:w="3698" w:type="pct"/>
            <w:gridSpan w:val="5"/>
            <w:shd w:val="clear" w:color="auto" w:fill="auto"/>
          </w:tcPr>
          <w:p w14:paraId="1103D694" w14:textId="77777777" w:rsidR="00960D83" w:rsidRPr="00D23B24" w:rsidRDefault="00960D83" w:rsidP="00960D83">
            <w:pPr>
              <w:spacing w:line="276" w:lineRule="auto"/>
              <w:ind w:left="29"/>
              <w:jc w:val="both"/>
              <w:rPr>
                <w:rFonts w:ascii="David" w:hAnsi="David"/>
                <w:sz w:val="26"/>
                <w:rtl/>
              </w:rPr>
            </w:pPr>
          </w:p>
        </w:tc>
      </w:tr>
      <w:tr w:rsidR="00C4269E" w:rsidRPr="00F25B85" w14:paraId="43686FED" w14:textId="77777777" w:rsidTr="009E51DA">
        <w:tc>
          <w:tcPr>
            <w:tcW w:w="664" w:type="pct"/>
            <w:shd w:val="clear" w:color="auto" w:fill="auto"/>
          </w:tcPr>
          <w:p w14:paraId="503E7F94"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08B12D4E"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1023C954" w14:textId="0FB79EAF" w:rsidR="00960D83" w:rsidRDefault="00960D83" w:rsidP="00960D83">
            <w:pPr>
              <w:spacing w:line="276" w:lineRule="auto"/>
              <w:ind w:left="29"/>
              <w:rPr>
                <w:rFonts w:ascii="David" w:hAnsi="David"/>
                <w:sz w:val="26"/>
                <w:rtl/>
              </w:rPr>
            </w:pPr>
            <w:r w:rsidRPr="00D23B24">
              <w:rPr>
                <w:rFonts w:ascii="David" w:hAnsi="David"/>
                <w:sz w:val="26"/>
                <w:rtl/>
              </w:rPr>
              <w:t>(ב)</w:t>
            </w:r>
          </w:p>
        </w:tc>
        <w:tc>
          <w:tcPr>
            <w:tcW w:w="3698" w:type="pct"/>
            <w:gridSpan w:val="5"/>
            <w:shd w:val="clear" w:color="auto" w:fill="auto"/>
          </w:tcPr>
          <w:p w14:paraId="47EF53A3" w14:textId="124F61D0" w:rsidR="00960D83" w:rsidRPr="00D23B24" w:rsidRDefault="00960D83" w:rsidP="00960D83">
            <w:pPr>
              <w:spacing w:line="276" w:lineRule="auto"/>
              <w:ind w:left="29"/>
              <w:jc w:val="both"/>
              <w:rPr>
                <w:rFonts w:ascii="David" w:hAnsi="David"/>
                <w:sz w:val="26"/>
                <w:rtl/>
              </w:rPr>
            </w:pPr>
            <w:r w:rsidRPr="00D23B24">
              <w:rPr>
                <w:rFonts w:ascii="David" w:hAnsi="David"/>
                <w:sz w:val="26"/>
                <w:rtl/>
              </w:rPr>
              <w:t>הוגש כתב אישום בעבירות כאמור בסעיפים 2 או 3 לצו זה או סעיף 6</w:t>
            </w:r>
            <w:r>
              <w:rPr>
                <w:rFonts w:ascii="David" w:hAnsi="David" w:hint="cs"/>
                <w:sz w:val="26"/>
                <w:rtl/>
              </w:rPr>
              <w:t>(ב)</w:t>
            </w:r>
            <w:r w:rsidRPr="00D23B24">
              <w:rPr>
                <w:rFonts w:ascii="David" w:hAnsi="David"/>
                <w:sz w:val="26"/>
                <w:rtl/>
              </w:rPr>
              <w:t xml:space="preserve"> לצו בדבר העסקת עובדים במקומות מסויימים, רשאי בית המשפט, לבקשת תובע</w:t>
            </w:r>
            <w:r w:rsidRPr="00D23B24">
              <w:rPr>
                <w:rFonts w:ascii="David" w:hAnsi="David"/>
                <w:sz w:val="26"/>
              </w:rPr>
              <w:t xml:space="preserve"> – </w:t>
            </w:r>
          </w:p>
        </w:tc>
      </w:tr>
      <w:tr w:rsidR="00C4269E" w:rsidRPr="00F25B85" w14:paraId="27851273" w14:textId="77777777" w:rsidTr="009E51DA">
        <w:tc>
          <w:tcPr>
            <w:tcW w:w="664" w:type="pct"/>
            <w:shd w:val="clear" w:color="auto" w:fill="auto"/>
          </w:tcPr>
          <w:p w14:paraId="54448712"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63FEA0F8"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3A72255B" w14:textId="77777777" w:rsidR="00960D83" w:rsidRDefault="00960D83" w:rsidP="00960D83">
            <w:pPr>
              <w:spacing w:line="276" w:lineRule="auto"/>
              <w:ind w:left="29"/>
              <w:rPr>
                <w:rFonts w:ascii="David" w:hAnsi="David"/>
                <w:sz w:val="26"/>
                <w:rtl/>
              </w:rPr>
            </w:pPr>
          </w:p>
        </w:tc>
        <w:tc>
          <w:tcPr>
            <w:tcW w:w="3698" w:type="pct"/>
            <w:gridSpan w:val="5"/>
            <w:shd w:val="clear" w:color="auto" w:fill="auto"/>
          </w:tcPr>
          <w:p w14:paraId="480FF70A" w14:textId="77777777" w:rsidR="00960D83" w:rsidRPr="00D23B24" w:rsidRDefault="00960D83" w:rsidP="00960D83">
            <w:pPr>
              <w:spacing w:line="276" w:lineRule="auto"/>
              <w:ind w:left="29"/>
              <w:jc w:val="both"/>
              <w:rPr>
                <w:rFonts w:ascii="David" w:hAnsi="David"/>
                <w:sz w:val="26"/>
                <w:rtl/>
              </w:rPr>
            </w:pPr>
          </w:p>
        </w:tc>
      </w:tr>
      <w:tr w:rsidR="00C4269E" w:rsidRPr="00F25B85" w14:paraId="727B3EFE" w14:textId="77777777" w:rsidTr="009E51DA">
        <w:tc>
          <w:tcPr>
            <w:tcW w:w="664" w:type="pct"/>
            <w:shd w:val="clear" w:color="auto" w:fill="auto"/>
          </w:tcPr>
          <w:p w14:paraId="09582027"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14D622A8"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75FC3A21" w14:textId="77777777" w:rsidR="00960D83" w:rsidRDefault="00960D83" w:rsidP="00960D83">
            <w:pPr>
              <w:spacing w:line="276" w:lineRule="auto"/>
              <w:ind w:left="29"/>
              <w:rPr>
                <w:rFonts w:ascii="David" w:hAnsi="David"/>
                <w:sz w:val="26"/>
                <w:rtl/>
              </w:rPr>
            </w:pPr>
          </w:p>
        </w:tc>
        <w:tc>
          <w:tcPr>
            <w:tcW w:w="395" w:type="pct"/>
            <w:shd w:val="clear" w:color="auto" w:fill="auto"/>
          </w:tcPr>
          <w:p w14:paraId="684EFF8B" w14:textId="2339C9C4" w:rsidR="00960D83" w:rsidRDefault="00960D83" w:rsidP="00960D83">
            <w:pPr>
              <w:spacing w:line="276" w:lineRule="auto"/>
              <w:ind w:left="29"/>
              <w:jc w:val="both"/>
              <w:rPr>
                <w:rFonts w:ascii="David" w:hAnsi="David"/>
                <w:sz w:val="26"/>
                <w:rtl/>
              </w:rPr>
            </w:pPr>
            <w:r w:rsidRPr="00D23B24">
              <w:rPr>
                <w:rFonts w:ascii="David" w:hAnsi="David"/>
                <w:sz w:val="26"/>
                <w:rtl/>
              </w:rPr>
              <w:t>(1)</w:t>
            </w:r>
          </w:p>
        </w:tc>
        <w:tc>
          <w:tcPr>
            <w:tcW w:w="3303" w:type="pct"/>
            <w:gridSpan w:val="4"/>
            <w:shd w:val="clear" w:color="auto" w:fill="auto"/>
          </w:tcPr>
          <w:p w14:paraId="39AE6591" w14:textId="7AFE295C" w:rsidR="00960D83" w:rsidRPr="00D23B24" w:rsidRDefault="00960D83" w:rsidP="00960D83">
            <w:pPr>
              <w:spacing w:line="276" w:lineRule="auto"/>
              <w:ind w:left="29"/>
              <w:jc w:val="both"/>
              <w:rPr>
                <w:rFonts w:ascii="David" w:hAnsi="David"/>
                <w:sz w:val="26"/>
                <w:rtl/>
              </w:rPr>
            </w:pPr>
            <w:r w:rsidRPr="00D23B24">
              <w:rPr>
                <w:rFonts w:ascii="David" w:hAnsi="David"/>
                <w:sz w:val="26"/>
                <w:rtl/>
              </w:rPr>
              <w:t>אם ניתן בקשר לעבירה צו הגבלה מינהלי – לצוות על הארכת תוקפו של הצו עד תום ההליכים או עד למועד מוקדם יותר שיקבע</w:t>
            </w:r>
            <w:r w:rsidRPr="00D23B24">
              <w:rPr>
                <w:rFonts w:ascii="David" w:hAnsi="David"/>
                <w:sz w:val="26"/>
              </w:rPr>
              <w:t>;</w:t>
            </w:r>
          </w:p>
        </w:tc>
      </w:tr>
      <w:tr w:rsidR="00C4269E" w:rsidRPr="00F25B85" w14:paraId="745D8EE1" w14:textId="77777777" w:rsidTr="009E51DA">
        <w:tc>
          <w:tcPr>
            <w:tcW w:w="664" w:type="pct"/>
            <w:shd w:val="clear" w:color="auto" w:fill="auto"/>
          </w:tcPr>
          <w:p w14:paraId="05CBEC46"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7B33F332"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1305C718" w14:textId="77777777" w:rsidR="00960D83" w:rsidRDefault="00960D83" w:rsidP="00960D83">
            <w:pPr>
              <w:spacing w:line="276" w:lineRule="auto"/>
              <w:ind w:left="29"/>
              <w:rPr>
                <w:rFonts w:ascii="David" w:hAnsi="David"/>
                <w:sz w:val="26"/>
                <w:rtl/>
              </w:rPr>
            </w:pPr>
          </w:p>
        </w:tc>
        <w:tc>
          <w:tcPr>
            <w:tcW w:w="395" w:type="pct"/>
            <w:shd w:val="clear" w:color="auto" w:fill="auto"/>
          </w:tcPr>
          <w:p w14:paraId="5FB395FE" w14:textId="77777777" w:rsidR="00960D83" w:rsidRDefault="00960D83" w:rsidP="00960D83">
            <w:pPr>
              <w:spacing w:line="276" w:lineRule="auto"/>
              <w:ind w:left="29"/>
              <w:jc w:val="both"/>
              <w:rPr>
                <w:rFonts w:ascii="David" w:hAnsi="David"/>
                <w:sz w:val="26"/>
                <w:rtl/>
              </w:rPr>
            </w:pPr>
          </w:p>
        </w:tc>
        <w:tc>
          <w:tcPr>
            <w:tcW w:w="3303" w:type="pct"/>
            <w:gridSpan w:val="4"/>
            <w:shd w:val="clear" w:color="auto" w:fill="auto"/>
          </w:tcPr>
          <w:p w14:paraId="078E2CE9" w14:textId="77777777" w:rsidR="00960D83" w:rsidRPr="00D23B24" w:rsidRDefault="00960D83" w:rsidP="00960D83">
            <w:pPr>
              <w:spacing w:line="276" w:lineRule="auto"/>
              <w:ind w:left="29"/>
              <w:jc w:val="both"/>
              <w:rPr>
                <w:rFonts w:ascii="David" w:hAnsi="David"/>
                <w:sz w:val="26"/>
                <w:rtl/>
              </w:rPr>
            </w:pPr>
          </w:p>
        </w:tc>
      </w:tr>
      <w:tr w:rsidR="00C4269E" w:rsidRPr="00F25B85" w14:paraId="038B513F" w14:textId="77777777" w:rsidTr="009E51DA">
        <w:tc>
          <w:tcPr>
            <w:tcW w:w="664" w:type="pct"/>
            <w:shd w:val="clear" w:color="auto" w:fill="auto"/>
          </w:tcPr>
          <w:p w14:paraId="3E22AE1B"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537E107C"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264B343F" w14:textId="77777777" w:rsidR="00960D83" w:rsidRDefault="00960D83" w:rsidP="00960D83">
            <w:pPr>
              <w:spacing w:line="276" w:lineRule="auto"/>
              <w:ind w:left="29"/>
              <w:rPr>
                <w:rFonts w:ascii="David" w:hAnsi="David"/>
                <w:sz w:val="26"/>
                <w:rtl/>
              </w:rPr>
            </w:pPr>
          </w:p>
        </w:tc>
        <w:tc>
          <w:tcPr>
            <w:tcW w:w="395" w:type="pct"/>
            <w:shd w:val="clear" w:color="auto" w:fill="auto"/>
          </w:tcPr>
          <w:p w14:paraId="2E202E81" w14:textId="0385A15E" w:rsidR="00960D83" w:rsidRDefault="00960D83" w:rsidP="00960D83">
            <w:pPr>
              <w:spacing w:line="276" w:lineRule="auto"/>
              <w:ind w:left="29"/>
              <w:jc w:val="both"/>
              <w:rPr>
                <w:rFonts w:ascii="David" w:hAnsi="David"/>
                <w:sz w:val="26"/>
                <w:rtl/>
              </w:rPr>
            </w:pPr>
            <w:r w:rsidRPr="00D23B24">
              <w:rPr>
                <w:rFonts w:ascii="David" w:hAnsi="David"/>
                <w:sz w:val="26"/>
                <w:rtl/>
              </w:rPr>
              <w:t>(2)</w:t>
            </w:r>
          </w:p>
        </w:tc>
        <w:tc>
          <w:tcPr>
            <w:tcW w:w="3303" w:type="pct"/>
            <w:gridSpan w:val="4"/>
            <w:shd w:val="clear" w:color="auto" w:fill="auto"/>
          </w:tcPr>
          <w:p w14:paraId="23A4C7A2" w14:textId="388C38D7" w:rsidR="00960D83" w:rsidRPr="00D23B24" w:rsidRDefault="00960D83" w:rsidP="00960D83">
            <w:pPr>
              <w:spacing w:line="276" w:lineRule="auto"/>
              <w:ind w:left="29"/>
              <w:jc w:val="both"/>
              <w:rPr>
                <w:rFonts w:ascii="David" w:hAnsi="David"/>
                <w:sz w:val="26"/>
                <w:rtl/>
              </w:rPr>
            </w:pPr>
            <w:r w:rsidRPr="00D23B24">
              <w:rPr>
                <w:rFonts w:ascii="David" w:hAnsi="David"/>
                <w:sz w:val="26"/>
                <w:rtl/>
              </w:rPr>
              <w:t>אם לא ניתן בקשר לעבירה צו הגבלה מינהלי – לתת צו הגבלת שימוש במקום עד תום ההליכים או עד למועד מוקדם יותר שיקבע</w:t>
            </w:r>
            <w:r w:rsidRPr="00D23B24">
              <w:rPr>
                <w:rFonts w:ascii="David" w:hAnsi="David"/>
                <w:sz w:val="26"/>
              </w:rPr>
              <w:t>.</w:t>
            </w:r>
          </w:p>
        </w:tc>
      </w:tr>
      <w:tr w:rsidR="00C4269E" w:rsidRPr="00F25B85" w14:paraId="7E7115EF" w14:textId="77777777" w:rsidTr="009E51DA">
        <w:tc>
          <w:tcPr>
            <w:tcW w:w="664" w:type="pct"/>
            <w:shd w:val="clear" w:color="auto" w:fill="auto"/>
          </w:tcPr>
          <w:p w14:paraId="13486603"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5B7E3012"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1306F81C" w14:textId="77777777" w:rsidR="00960D83" w:rsidRDefault="00960D83" w:rsidP="00960D83">
            <w:pPr>
              <w:spacing w:line="276" w:lineRule="auto"/>
              <w:ind w:left="29"/>
              <w:rPr>
                <w:rFonts w:ascii="David" w:hAnsi="David"/>
                <w:sz w:val="26"/>
                <w:rtl/>
              </w:rPr>
            </w:pPr>
          </w:p>
        </w:tc>
        <w:tc>
          <w:tcPr>
            <w:tcW w:w="395" w:type="pct"/>
            <w:shd w:val="clear" w:color="auto" w:fill="auto"/>
          </w:tcPr>
          <w:p w14:paraId="0D690E49" w14:textId="77777777" w:rsidR="00960D83" w:rsidRDefault="00960D83" w:rsidP="00960D83">
            <w:pPr>
              <w:spacing w:line="276" w:lineRule="auto"/>
              <w:ind w:left="29"/>
              <w:jc w:val="both"/>
              <w:rPr>
                <w:rFonts w:ascii="David" w:hAnsi="David"/>
                <w:sz w:val="26"/>
                <w:rtl/>
              </w:rPr>
            </w:pPr>
          </w:p>
        </w:tc>
        <w:tc>
          <w:tcPr>
            <w:tcW w:w="3303" w:type="pct"/>
            <w:gridSpan w:val="4"/>
            <w:shd w:val="clear" w:color="auto" w:fill="auto"/>
          </w:tcPr>
          <w:p w14:paraId="1255BE45" w14:textId="77777777" w:rsidR="00960D83" w:rsidRPr="00D23B24" w:rsidRDefault="00960D83" w:rsidP="00960D83">
            <w:pPr>
              <w:spacing w:line="276" w:lineRule="auto"/>
              <w:ind w:left="29"/>
              <w:jc w:val="both"/>
              <w:rPr>
                <w:rFonts w:ascii="David" w:hAnsi="David"/>
                <w:sz w:val="26"/>
                <w:rtl/>
              </w:rPr>
            </w:pPr>
          </w:p>
        </w:tc>
      </w:tr>
      <w:tr w:rsidR="00C4269E" w:rsidRPr="00F25B85" w14:paraId="61B2503C" w14:textId="77777777" w:rsidTr="009E51DA">
        <w:tc>
          <w:tcPr>
            <w:tcW w:w="664" w:type="pct"/>
            <w:shd w:val="clear" w:color="auto" w:fill="auto"/>
          </w:tcPr>
          <w:p w14:paraId="699D4FAD"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53069615"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3EB89598" w14:textId="201FC930" w:rsidR="00960D83" w:rsidRDefault="00960D83" w:rsidP="00960D83">
            <w:pPr>
              <w:spacing w:line="276" w:lineRule="auto"/>
              <w:ind w:left="29"/>
              <w:rPr>
                <w:rFonts w:ascii="David" w:hAnsi="David"/>
                <w:sz w:val="26"/>
                <w:rtl/>
              </w:rPr>
            </w:pPr>
            <w:r w:rsidRPr="00D23B24">
              <w:rPr>
                <w:rFonts w:ascii="David" w:hAnsi="David"/>
                <w:sz w:val="26"/>
                <w:rtl/>
              </w:rPr>
              <w:t>(ג)</w:t>
            </w:r>
          </w:p>
        </w:tc>
        <w:tc>
          <w:tcPr>
            <w:tcW w:w="3698" w:type="pct"/>
            <w:gridSpan w:val="5"/>
            <w:shd w:val="clear" w:color="auto" w:fill="auto"/>
          </w:tcPr>
          <w:p w14:paraId="7269D8E2" w14:textId="1127B34E" w:rsidR="00960D83" w:rsidRPr="00D23B24" w:rsidRDefault="00960D83" w:rsidP="00960D83">
            <w:pPr>
              <w:spacing w:line="276" w:lineRule="auto"/>
              <w:ind w:left="29"/>
              <w:jc w:val="both"/>
              <w:rPr>
                <w:rFonts w:ascii="David" w:hAnsi="David"/>
                <w:sz w:val="26"/>
                <w:rtl/>
              </w:rPr>
            </w:pPr>
            <w:r w:rsidRPr="00D23B24">
              <w:rPr>
                <w:rFonts w:ascii="David" w:hAnsi="David"/>
                <w:sz w:val="26"/>
                <w:rtl/>
              </w:rPr>
              <w:t>בקשה לפי סעיף קטן (ב) תידון ככל האפשר לפני שופט שאינו דן באישום</w:t>
            </w:r>
            <w:r w:rsidRPr="00D23B24">
              <w:rPr>
                <w:rFonts w:ascii="David" w:hAnsi="David"/>
                <w:sz w:val="26"/>
              </w:rPr>
              <w:t>.</w:t>
            </w:r>
          </w:p>
        </w:tc>
      </w:tr>
      <w:tr w:rsidR="00C4269E" w:rsidRPr="00F25B85" w14:paraId="73E5784D" w14:textId="77777777" w:rsidTr="009E51DA">
        <w:tc>
          <w:tcPr>
            <w:tcW w:w="664" w:type="pct"/>
            <w:shd w:val="clear" w:color="auto" w:fill="auto"/>
          </w:tcPr>
          <w:p w14:paraId="225DD642"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04F15BE6"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3A5F49B1" w14:textId="77777777" w:rsidR="00960D83" w:rsidRDefault="00960D83" w:rsidP="00960D83">
            <w:pPr>
              <w:spacing w:line="276" w:lineRule="auto"/>
              <w:ind w:left="29"/>
              <w:rPr>
                <w:rFonts w:ascii="David" w:hAnsi="David"/>
                <w:sz w:val="26"/>
                <w:rtl/>
              </w:rPr>
            </w:pPr>
          </w:p>
        </w:tc>
        <w:tc>
          <w:tcPr>
            <w:tcW w:w="3698" w:type="pct"/>
            <w:gridSpan w:val="5"/>
            <w:shd w:val="clear" w:color="auto" w:fill="auto"/>
          </w:tcPr>
          <w:p w14:paraId="749ADB8C" w14:textId="77777777" w:rsidR="00960D83" w:rsidRPr="00D23B24" w:rsidRDefault="00960D83" w:rsidP="00960D83">
            <w:pPr>
              <w:spacing w:line="276" w:lineRule="auto"/>
              <w:ind w:left="29"/>
              <w:jc w:val="both"/>
              <w:rPr>
                <w:rFonts w:ascii="David" w:hAnsi="David"/>
                <w:sz w:val="26"/>
                <w:rtl/>
              </w:rPr>
            </w:pPr>
          </w:p>
        </w:tc>
      </w:tr>
      <w:tr w:rsidR="00C4269E" w:rsidRPr="00F25B85" w14:paraId="63296A55" w14:textId="77777777" w:rsidTr="009E51DA">
        <w:tc>
          <w:tcPr>
            <w:tcW w:w="664" w:type="pct"/>
            <w:shd w:val="clear" w:color="auto" w:fill="auto"/>
          </w:tcPr>
          <w:p w14:paraId="2B0293EF"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1CF1FC63"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0A6C1D29" w14:textId="7C6D83F2" w:rsidR="00960D83" w:rsidRDefault="00960D83" w:rsidP="00960D83">
            <w:pPr>
              <w:spacing w:line="276" w:lineRule="auto"/>
              <w:ind w:left="29"/>
              <w:rPr>
                <w:rFonts w:ascii="David" w:hAnsi="David"/>
                <w:sz w:val="26"/>
                <w:rtl/>
              </w:rPr>
            </w:pPr>
            <w:r w:rsidRPr="00D23B24">
              <w:rPr>
                <w:rFonts w:ascii="David" w:hAnsi="David"/>
                <w:sz w:val="26"/>
                <w:rtl/>
              </w:rPr>
              <w:t>(ד)</w:t>
            </w:r>
          </w:p>
        </w:tc>
        <w:tc>
          <w:tcPr>
            <w:tcW w:w="3698" w:type="pct"/>
            <w:gridSpan w:val="5"/>
            <w:shd w:val="clear" w:color="auto" w:fill="auto"/>
          </w:tcPr>
          <w:p w14:paraId="70A77466" w14:textId="106BD606" w:rsidR="00960D83" w:rsidRPr="00D23B24" w:rsidRDefault="00960D83" w:rsidP="00960D83">
            <w:pPr>
              <w:spacing w:line="276" w:lineRule="auto"/>
              <w:ind w:left="29"/>
              <w:jc w:val="both"/>
              <w:rPr>
                <w:rFonts w:ascii="David" w:hAnsi="David"/>
                <w:sz w:val="26"/>
                <w:rtl/>
              </w:rPr>
            </w:pPr>
            <w:r w:rsidRPr="00D23B24">
              <w:rPr>
                <w:rFonts w:ascii="David" w:hAnsi="David"/>
                <w:sz w:val="26"/>
                <w:rtl/>
              </w:rPr>
              <w:t>הוגשה בקשה להארכת תוקפו של צו הגבלה מינהלי לפי סעיף קטן (א) או (ב)(1), יתקיים הדיון בבקשת ההארכה בהקדם האפשרי, והצו המקורי יישאר בתוקפו לתקופה נוספת של 30 ימים מתום התקופה שעליה הורה הקצין המוסמך, אלא אם כן קבע בית המשפט אחרת</w:t>
            </w:r>
            <w:r w:rsidRPr="00D23B24">
              <w:rPr>
                <w:rFonts w:ascii="David" w:hAnsi="David"/>
                <w:sz w:val="26"/>
              </w:rPr>
              <w:t>.</w:t>
            </w:r>
          </w:p>
        </w:tc>
      </w:tr>
      <w:tr w:rsidR="00C4269E" w:rsidRPr="00F25B85" w14:paraId="1111B75D" w14:textId="77777777" w:rsidTr="009E51DA">
        <w:tc>
          <w:tcPr>
            <w:tcW w:w="664" w:type="pct"/>
            <w:shd w:val="clear" w:color="auto" w:fill="auto"/>
          </w:tcPr>
          <w:p w14:paraId="143A61C2"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1EC50DAB"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08AA29D3" w14:textId="77777777" w:rsidR="00960D83" w:rsidRDefault="00960D83" w:rsidP="00960D83">
            <w:pPr>
              <w:spacing w:line="276" w:lineRule="auto"/>
              <w:ind w:left="29"/>
              <w:rPr>
                <w:rFonts w:ascii="David" w:hAnsi="David"/>
                <w:sz w:val="26"/>
                <w:rtl/>
              </w:rPr>
            </w:pPr>
          </w:p>
        </w:tc>
        <w:tc>
          <w:tcPr>
            <w:tcW w:w="3698" w:type="pct"/>
            <w:gridSpan w:val="5"/>
            <w:shd w:val="clear" w:color="auto" w:fill="auto"/>
          </w:tcPr>
          <w:p w14:paraId="031328D2" w14:textId="77777777" w:rsidR="00960D83" w:rsidRPr="00D23B24" w:rsidRDefault="00960D83" w:rsidP="00960D83">
            <w:pPr>
              <w:spacing w:line="276" w:lineRule="auto"/>
              <w:ind w:left="29"/>
              <w:jc w:val="both"/>
              <w:rPr>
                <w:rFonts w:ascii="David" w:hAnsi="David"/>
                <w:sz w:val="26"/>
                <w:rtl/>
              </w:rPr>
            </w:pPr>
          </w:p>
        </w:tc>
      </w:tr>
      <w:tr w:rsidR="00C4269E" w:rsidRPr="00F25B85" w14:paraId="42F54BDE" w14:textId="77777777" w:rsidTr="009E51DA">
        <w:tc>
          <w:tcPr>
            <w:tcW w:w="664" w:type="pct"/>
            <w:shd w:val="clear" w:color="auto" w:fill="auto"/>
          </w:tcPr>
          <w:p w14:paraId="25AEEB2A"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42806DD8"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5402CB2A" w14:textId="13FE6871" w:rsidR="00960D83" w:rsidRDefault="00960D83" w:rsidP="00960D83">
            <w:pPr>
              <w:spacing w:line="276" w:lineRule="auto"/>
              <w:ind w:left="29"/>
              <w:rPr>
                <w:rFonts w:ascii="David" w:hAnsi="David"/>
                <w:sz w:val="26"/>
                <w:rtl/>
              </w:rPr>
            </w:pPr>
            <w:r w:rsidRPr="00D23B24">
              <w:rPr>
                <w:rFonts w:ascii="David" w:hAnsi="David"/>
                <w:sz w:val="26"/>
                <w:rtl/>
              </w:rPr>
              <w:t>(ה)</w:t>
            </w:r>
          </w:p>
        </w:tc>
        <w:tc>
          <w:tcPr>
            <w:tcW w:w="3698" w:type="pct"/>
            <w:gridSpan w:val="5"/>
            <w:shd w:val="clear" w:color="auto" w:fill="auto"/>
          </w:tcPr>
          <w:p w14:paraId="0A38DFFB" w14:textId="3B1BE018" w:rsidR="00960D83" w:rsidRPr="00D23B24" w:rsidRDefault="00960D83" w:rsidP="00960D83">
            <w:pPr>
              <w:spacing w:line="276" w:lineRule="auto"/>
              <w:ind w:left="29"/>
              <w:jc w:val="both"/>
              <w:rPr>
                <w:rFonts w:ascii="David" w:hAnsi="David"/>
                <w:sz w:val="26"/>
                <w:rtl/>
              </w:rPr>
            </w:pPr>
            <w:r w:rsidRPr="00D23B24">
              <w:rPr>
                <w:rFonts w:ascii="David" w:hAnsi="David"/>
                <w:sz w:val="26"/>
                <w:rtl/>
              </w:rPr>
              <w:t>בית המשפט רשאי לדון מחדש בצו הגבלה שיפוטי שנתן</w:t>
            </w:r>
            <w:r w:rsidR="00745581">
              <w:rPr>
                <w:rFonts w:ascii="David" w:hAnsi="David" w:hint="cs"/>
                <w:sz w:val="26"/>
                <w:rtl/>
              </w:rPr>
              <w:t>,</w:t>
            </w:r>
            <w:r w:rsidRPr="00D23B24">
              <w:rPr>
                <w:rFonts w:ascii="David" w:hAnsi="David"/>
                <w:sz w:val="26"/>
                <w:rtl/>
              </w:rPr>
              <w:t xml:space="preserve"> אם ראה כי הדבר מוצדק בשל נסיבות שהשתנו או עובדות שהתגלו לאחר מתן הצו</w:t>
            </w:r>
            <w:r w:rsidRPr="00D23B24">
              <w:rPr>
                <w:rFonts w:ascii="David" w:hAnsi="David"/>
                <w:sz w:val="26"/>
              </w:rPr>
              <w:t>.</w:t>
            </w:r>
          </w:p>
        </w:tc>
      </w:tr>
      <w:tr w:rsidR="00C4269E" w:rsidRPr="00F25B85" w14:paraId="76E5153B" w14:textId="77777777" w:rsidTr="009E51DA">
        <w:tc>
          <w:tcPr>
            <w:tcW w:w="664" w:type="pct"/>
            <w:shd w:val="clear" w:color="auto" w:fill="auto"/>
          </w:tcPr>
          <w:p w14:paraId="603D5631"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2C2073D6"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7408B101" w14:textId="77777777" w:rsidR="00960D83" w:rsidRDefault="00960D83" w:rsidP="00960D83">
            <w:pPr>
              <w:spacing w:line="276" w:lineRule="auto"/>
              <w:ind w:left="29"/>
              <w:rPr>
                <w:rFonts w:ascii="David" w:hAnsi="David"/>
                <w:sz w:val="26"/>
                <w:rtl/>
              </w:rPr>
            </w:pPr>
          </w:p>
        </w:tc>
        <w:tc>
          <w:tcPr>
            <w:tcW w:w="3698" w:type="pct"/>
            <w:gridSpan w:val="5"/>
            <w:shd w:val="clear" w:color="auto" w:fill="auto"/>
          </w:tcPr>
          <w:p w14:paraId="0C7B7285" w14:textId="77777777" w:rsidR="00960D83" w:rsidRPr="00D23B24" w:rsidRDefault="00960D83" w:rsidP="00960D83">
            <w:pPr>
              <w:spacing w:line="276" w:lineRule="auto"/>
              <w:ind w:left="29"/>
              <w:jc w:val="both"/>
              <w:rPr>
                <w:rFonts w:ascii="David" w:hAnsi="David"/>
                <w:sz w:val="26"/>
                <w:rtl/>
              </w:rPr>
            </w:pPr>
          </w:p>
        </w:tc>
      </w:tr>
      <w:tr w:rsidR="00C4269E" w:rsidRPr="00F25B85" w14:paraId="332F1681" w14:textId="77777777" w:rsidTr="009E51DA">
        <w:tc>
          <w:tcPr>
            <w:tcW w:w="664" w:type="pct"/>
            <w:shd w:val="clear" w:color="auto" w:fill="auto"/>
          </w:tcPr>
          <w:p w14:paraId="555FE239"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5A769267"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11DB6744" w14:textId="7B330F49" w:rsidR="00960D83" w:rsidRDefault="00960D83" w:rsidP="00960D83">
            <w:pPr>
              <w:spacing w:line="276" w:lineRule="auto"/>
              <w:ind w:left="29"/>
              <w:rPr>
                <w:rFonts w:ascii="David" w:hAnsi="David"/>
                <w:sz w:val="26"/>
                <w:rtl/>
              </w:rPr>
            </w:pPr>
            <w:r w:rsidRPr="00D23B24">
              <w:rPr>
                <w:rFonts w:ascii="David" w:hAnsi="David"/>
                <w:sz w:val="26"/>
                <w:rtl/>
              </w:rPr>
              <w:t>(ו)</w:t>
            </w:r>
          </w:p>
        </w:tc>
        <w:tc>
          <w:tcPr>
            <w:tcW w:w="3698" w:type="pct"/>
            <w:gridSpan w:val="5"/>
            <w:shd w:val="clear" w:color="auto" w:fill="auto"/>
          </w:tcPr>
          <w:p w14:paraId="29155A1F" w14:textId="70DE5F4C" w:rsidR="00960D83" w:rsidRPr="00D23B24" w:rsidRDefault="00960D83" w:rsidP="00960D83">
            <w:pPr>
              <w:spacing w:line="276" w:lineRule="auto"/>
              <w:ind w:left="29"/>
              <w:jc w:val="both"/>
              <w:rPr>
                <w:rFonts w:ascii="David" w:hAnsi="David"/>
                <w:sz w:val="26"/>
                <w:rtl/>
              </w:rPr>
            </w:pPr>
            <w:r w:rsidRPr="00D23B24">
              <w:rPr>
                <w:rFonts w:ascii="David" w:hAnsi="David"/>
                <w:sz w:val="26"/>
                <w:rtl/>
              </w:rPr>
              <w:t>הממונה על החקירה, תובע, בעלים של מקום או מחזיק בו, רשאים לערער על החלטת בית משפט לפי סעיף זה בתוך 30 ימים ממועד מתן ההחלטה, לפני בית משפט לעניינים מקומיים של ערכאת ערעור כמשמעותו בתקנון המועצות המקומיות, אשר ידון בערעור בשופט אחד</w:t>
            </w:r>
            <w:r w:rsidRPr="00D23B24">
              <w:rPr>
                <w:rFonts w:ascii="David" w:hAnsi="David"/>
                <w:sz w:val="26"/>
              </w:rPr>
              <w:t>.</w:t>
            </w:r>
          </w:p>
        </w:tc>
      </w:tr>
      <w:tr w:rsidR="00C4269E" w:rsidRPr="00F25B85" w14:paraId="0DAF0563" w14:textId="77777777" w:rsidTr="009E51DA">
        <w:tc>
          <w:tcPr>
            <w:tcW w:w="664" w:type="pct"/>
            <w:shd w:val="clear" w:color="auto" w:fill="auto"/>
          </w:tcPr>
          <w:p w14:paraId="7BF8BA49"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100F7CF5"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3D396EFD" w14:textId="77777777" w:rsidR="00960D83" w:rsidRDefault="00960D83" w:rsidP="00960D83">
            <w:pPr>
              <w:spacing w:line="276" w:lineRule="auto"/>
              <w:ind w:left="29"/>
              <w:rPr>
                <w:rFonts w:ascii="David" w:hAnsi="David"/>
                <w:sz w:val="26"/>
                <w:rtl/>
              </w:rPr>
            </w:pPr>
          </w:p>
        </w:tc>
        <w:tc>
          <w:tcPr>
            <w:tcW w:w="3698" w:type="pct"/>
            <w:gridSpan w:val="5"/>
            <w:shd w:val="clear" w:color="auto" w:fill="auto"/>
          </w:tcPr>
          <w:p w14:paraId="5F63AB49" w14:textId="77777777" w:rsidR="00960D83" w:rsidRPr="00D23B24" w:rsidRDefault="00960D83" w:rsidP="00960D83">
            <w:pPr>
              <w:spacing w:line="276" w:lineRule="auto"/>
              <w:ind w:left="29"/>
              <w:jc w:val="both"/>
              <w:rPr>
                <w:rFonts w:ascii="David" w:hAnsi="David"/>
                <w:sz w:val="26"/>
                <w:rtl/>
              </w:rPr>
            </w:pPr>
          </w:p>
        </w:tc>
      </w:tr>
      <w:tr w:rsidR="00572FA5" w:rsidRPr="00F25B85" w14:paraId="222B6025" w14:textId="77777777" w:rsidTr="009E51DA">
        <w:tc>
          <w:tcPr>
            <w:tcW w:w="664" w:type="pct"/>
            <w:vMerge w:val="restart"/>
            <w:shd w:val="clear" w:color="auto" w:fill="auto"/>
          </w:tcPr>
          <w:p w14:paraId="39974E30" w14:textId="6F4120E1" w:rsidR="00572FA5" w:rsidRPr="00D23B24" w:rsidRDefault="00572FA5" w:rsidP="00960D83">
            <w:pPr>
              <w:spacing w:line="276" w:lineRule="auto"/>
              <w:jc w:val="both"/>
              <w:rPr>
                <w:rFonts w:ascii="David" w:hAnsi="David"/>
                <w:b/>
                <w:bCs/>
                <w:sz w:val="26"/>
                <w:rtl/>
              </w:rPr>
            </w:pPr>
            <w:r w:rsidRPr="00D23B24">
              <w:rPr>
                <w:rFonts w:ascii="David" w:hAnsi="David"/>
                <w:b/>
                <w:bCs/>
                <w:sz w:val="26"/>
                <w:rtl/>
              </w:rPr>
              <w:t>שיקולים למתן צו הגבלת שימוש במקום</w:t>
            </w:r>
          </w:p>
        </w:tc>
        <w:tc>
          <w:tcPr>
            <w:tcW w:w="325" w:type="pct"/>
            <w:shd w:val="clear" w:color="auto" w:fill="auto"/>
          </w:tcPr>
          <w:p w14:paraId="7C9F4BFE" w14:textId="309747E8" w:rsidR="00572FA5" w:rsidRPr="00D23B24" w:rsidRDefault="00572FA5" w:rsidP="00960D83">
            <w:pPr>
              <w:spacing w:line="276" w:lineRule="auto"/>
              <w:jc w:val="both"/>
              <w:rPr>
                <w:rFonts w:ascii="David" w:hAnsi="David"/>
                <w:sz w:val="26"/>
                <w:rtl/>
              </w:rPr>
            </w:pPr>
            <w:r w:rsidRPr="00D23B24">
              <w:rPr>
                <w:rFonts w:ascii="David" w:hAnsi="David"/>
                <w:sz w:val="26"/>
                <w:rtl/>
              </w:rPr>
              <w:t>7.</w:t>
            </w:r>
          </w:p>
        </w:tc>
        <w:tc>
          <w:tcPr>
            <w:tcW w:w="4011" w:type="pct"/>
            <w:gridSpan w:val="6"/>
            <w:shd w:val="clear" w:color="auto" w:fill="auto"/>
          </w:tcPr>
          <w:p w14:paraId="7AA4DFD1" w14:textId="36AE65F9" w:rsidR="00572FA5" w:rsidRPr="00D23B24" w:rsidRDefault="00572FA5" w:rsidP="00960D83">
            <w:pPr>
              <w:spacing w:line="276" w:lineRule="auto"/>
              <w:ind w:left="29"/>
              <w:jc w:val="both"/>
              <w:rPr>
                <w:rFonts w:ascii="David" w:hAnsi="David"/>
                <w:sz w:val="26"/>
                <w:rtl/>
              </w:rPr>
            </w:pPr>
            <w:r w:rsidRPr="00D23B24">
              <w:rPr>
                <w:rFonts w:ascii="David" w:hAnsi="David"/>
                <w:sz w:val="26"/>
                <w:rtl/>
              </w:rPr>
              <w:t>בבוא קצין משטרה מוסמך לתת צו הגבלה מינהלי או בית משפט לתת צו הגבלה שיפוטי, ישקול בין השאר את אלה</w:t>
            </w:r>
            <w:r w:rsidRPr="00D23B24">
              <w:rPr>
                <w:rFonts w:ascii="David" w:hAnsi="David"/>
                <w:sz w:val="26"/>
              </w:rPr>
              <w:t>:</w:t>
            </w:r>
          </w:p>
        </w:tc>
      </w:tr>
      <w:tr w:rsidR="00572FA5" w:rsidRPr="00F25B85" w14:paraId="30174AA9" w14:textId="77777777" w:rsidTr="009E51DA">
        <w:tc>
          <w:tcPr>
            <w:tcW w:w="664" w:type="pct"/>
            <w:vMerge/>
            <w:shd w:val="clear" w:color="auto" w:fill="auto"/>
          </w:tcPr>
          <w:p w14:paraId="0BF2EE53" w14:textId="77777777" w:rsidR="00572FA5" w:rsidRPr="00D23B24" w:rsidRDefault="00572FA5" w:rsidP="00960D83">
            <w:pPr>
              <w:spacing w:line="276" w:lineRule="auto"/>
              <w:jc w:val="both"/>
              <w:rPr>
                <w:rFonts w:ascii="David" w:hAnsi="David"/>
                <w:b/>
                <w:bCs/>
                <w:sz w:val="26"/>
                <w:rtl/>
              </w:rPr>
            </w:pPr>
          </w:p>
        </w:tc>
        <w:tc>
          <w:tcPr>
            <w:tcW w:w="325" w:type="pct"/>
            <w:shd w:val="clear" w:color="auto" w:fill="auto"/>
          </w:tcPr>
          <w:p w14:paraId="01ADA565" w14:textId="77777777" w:rsidR="00572FA5" w:rsidRPr="00D23B24" w:rsidRDefault="00572FA5" w:rsidP="00960D83">
            <w:pPr>
              <w:spacing w:line="276" w:lineRule="auto"/>
              <w:jc w:val="both"/>
              <w:rPr>
                <w:rFonts w:ascii="David" w:hAnsi="David"/>
                <w:sz w:val="26"/>
                <w:rtl/>
              </w:rPr>
            </w:pPr>
          </w:p>
        </w:tc>
        <w:tc>
          <w:tcPr>
            <w:tcW w:w="313" w:type="pct"/>
            <w:shd w:val="clear" w:color="auto" w:fill="auto"/>
          </w:tcPr>
          <w:p w14:paraId="7DAED2DA" w14:textId="77777777" w:rsidR="00572FA5" w:rsidRDefault="00572FA5" w:rsidP="00960D83">
            <w:pPr>
              <w:spacing w:line="276" w:lineRule="auto"/>
              <w:ind w:left="29"/>
              <w:rPr>
                <w:rFonts w:ascii="David" w:hAnsi="David"/>
                <w:sz w:val="26"/>
                <w:rtl/>
              </w:rPr>
            </w:pPr>
          </w:p>
        </w:tc>
        <w:tc>
          <w:tcPr>
            <w:tcW w:w="3698" w:type="pct"/>
            <w:gridSpan w:val="5"/>
            <w:shd w:val="clear" w:color="auto" w:fill="auto"/>
          </w:tcPr>
          <w:p w14:paraId="36DBFA1F" w14:textId="77777777" w:rsidR="00572FA5" w:rsidRPr="00D23B24" w:rsidRDefault="00572FA5" w:rsidP="00960D83">
            <w:pPr>
              <w:spacing w:line="276" w:lineRule="auto"/>
              <w:ind w:left="29"/>
              <w:jc w:val="both"/>
              <w:rPr>
                <w:rFonts w:ascii="David" w:hAnsi="David"/>
                <w:sz w:val="26"/>
                <w:rtl/>
              </w:rPr>
            </w:pPr>
          </w:p>
        </w:tc>
      </w:tr>
      <w:tr w:rsidR="00572FA5" w:rsidRPr="00F25B85" w14:paraId="16108502" w14:textId="77777777" w:rsidTr="009E51DA">
        <w:tc>
          <w:tcPr>
            <w:tcW w:w="664" w:type="pct"/>
            <w:vMerge/>
            <w:shd w:val="clear" w:color="auto" w:fill="auto"/>
          </w:tcPr>
          <w:p w14:paraId="69D2A832" w14:textId="77777777" w:rsidR="00572FA5" w:rsidRPr="00D23B24" w:rsidRDefault="00572FA5" w:rsidP="00960D83">
            <w:pPr>
              <w:spacing w:line="276" w:lineRule="auto"/>
              <w:jc w:val="both"/>
              <w:rPr>
                <w:rFonts w:ascii="David" w:hAnsi="David"/>
                <w:b/>
                <w:bCs/>
                <w:sz w:val="26"/>
                <w:rtl/>
              </w:rPr>
            </w:pPr>
          </w:p>
        </w:tc>
        <w:tc>
          <w:tcPr>
            <w:tcW w:w="325" w:type="pct"/>
            <w:shd w:val="clear" w:color="auto" w:fill="auto"/>
          </w:tcPr>
          <w:p w14:paraId="518B665F" w14:textId="77777777" w:rsidR="00572FA5" w:rsidRPr="00D23B24" w:rsidRDefault="00572FA5" w:rsidP="00960D83">
            <w:pPr>
              <w:spacing w:line="276" w:lineRule="auto"/>
              <w:jc w:val="both"/>
              <w:rPr>
                <w:rFonts w:ascii="David" w:hAnsi="David"/>
                <w:sz w:val="26"/>
                <w:rtl/>
              </w:rPr>
            </w:pPr>
          </w:p>
        </w:tc>
        <w:tc>
          <w:tcPr>
            <w:tcW w:w="313" w:type="pct"/>
            <w:shd w:val="clear" w:color="auto" w:fill="auto"/>
          </w:tcPr>
          <w:p w14:paraId="6BE32D0A" w14:textId="67A30CA6" w:rsidR="00572FA5" w:rsidRDefault="00572FA5" w:rsidP="00960D83">
            <w:pPr>
              <w:spacing w:line="276" w:lineRule="auto"/>
              <w:ind w:left="29"/>
              <w:rPr>
                <w:rFonts w:ascii="David" w:hAnsi="David"/>
                <w:sz w:val="26"/>
                <w:rtl/>
              </w:rPr>
            </w:pPr>
            <w:r w:rsidRPr="00D23B24">
              <w:rPr>
                <w:rFonts w:ascii="David" w:hAnsi="David"/>
                <w:sz w:val="26"/>
                <w:rtl/>
              </w:rPr>
              <w:t>(1)</w:t>
            </w:r>
          </w:p>
        </w:tc>
        <w:tc>
          <w:tcPr>
            <w:tcW w:w="3698" w:type="pct"/>
            <w:gridSpan w:val="5"/>
            <w:shd w:val="clear" w:color="auto" w:fill="auto"/>
          </w:tcPr>
          <w:p w14:paraId="0543D35F" w14:textId="75292294" w:rsidR="00572FA5" w:rsidRPr="00D23B24" w:rsidRDefault="00572FA5" w:rsidP="00960D83">
            <w:pPr>
              <w:spacing w:line="276" w:lineRule="auto"/>
              <w:ind w:left="29"/>
              <w:jc w:val="both"/>
              <w:rPr>
                <w:rFonts w:ascii="David" w:hAnsi="David"/>
                <w:sz w:val="26"/>
                <w:rtl/>
              </w:rPr>
            </w:pPr>
            <w:r w:rsidRPr="00D23B24">
              <w:rPr>
                <w:rFonts w:ascii="David" w:hAnsi="David"/>
                <w:sz w:val="26"/>
                <w:rtl/>
              </w:rPr>
              <w:t>ביצוע עבירות קודמות במקום</w:t>
            </w:r>
            <w:r w:rsidRPr="00D23B24">
              <w:rPr>
                <w:rFonts w:ascii="David" w:hAnsi="David"/>
                <w:sz w:val="26"/>
              </w:rPr>
              <w:t>;</w:t>
            </w:r>
          </w:p>
        </w:tc>
      </w:tr>
      <w:tr w:rsidR="00572FA5" w:rsidRPr="00F25B85" w14:paraId="229E1F23" w14:textId="77777777" w:rsidTr="009E51DA">
        <w:tc>
          <w:tcPr>
            <w:tcW w:w="664" w:type="pct"/>
            <w:vMerge/>
            <w:shd w:val="clear" w:color="auto" w:fill="auto"/>
          </w:tcPr>
          <w:p w14:paraId="76B0CFC1" w14:textId="77777777" w:rsidR="00572FA5" w:rsidRPr="00D23B24" w:rsidRDefault="00572FA5" w:rsidP="00960D83">
            <w:pPr>
              <w:spacing w:line="276" w:lineRule="auto"/>
              <w:jc w:val="both"/>
              <w:rPr>
                <w:rFonts w:ascii="David" w:hAnsi="David"/>
                <w:b/>
                <w:bCs/>
                <w:sz w:val="26"/>
                <w:rtl/>
              </w:rPr>
            </w:pPr>
          </w:p>
        </w:tc>
        <w:tc>
          <w:tcPr>
            <w:tcW w:w="325" w:type="pct"/>
            <w:shd w:val="clear" w:color="auto" w:fill="auto"/>
          </w:tcPr>
          <w:p w14:paraId="781F11C0" w14:textId="77777777" w:rsidR="00572FA5" w:rsidRPr="00D23B24" w:rsidRDefault="00572FA5" w:rsidP="00960D83">
            <w:pPr>
              <w:spacing w:line="276" w:lineRule="auto"/>
              <w:jc w:val="both"/>
              <w:rPr>
                <w:rFonts w:ascii="David" w:hAnsi="David"/>
                <w:sz w:val="26"/>
                <w:rtl/>
              </w:rPr>
            </w:pPr>
          </w:p>
        </w:tc>
        <w:tc>
          <w:tcPr>
            <w:tcW w:w="313" w:type="pct"/>
            <w:shd w:val="clear" w:color="auto" w:fill="auto"/>
          </w:tcPr>
          <w:p w14:paraId="5AF8EFA7" w14:textId="77777777" w:rsidR="00572FA5" w:rsidRDefault="00572FA5" w:rsidP="00960D83">
            <w:pPr>
              <w:spacing w:line="276" w:lineRule="auto"/>
              <w:ind w:left="29"/>
              <w:rPr>
                <w:rFonts w:ascii="David" w:hAnsi="David"/>
                <w:sz w:val="26"/>
                <w:rtl/>
              </w:rPr>
            </w:pPr>
          </w:p>
        </w:tc>
        <w:tc>
          <w:tcPr>
            <w:tcW w:w="3698" w:type="pct"/>
            <w:gridSpan w:val="5"/>
            <w:shd w:val="clear" w:color="auto" w:fill="auto"/>
          </w:tcPr>
          <w:p w14:paraId="1B0ED215" w14:textId="77777777" w:rsidR="00572FA5" w:rsidRPr="00D23B24" w:rsidRDefault="00572FA5" w:rsidP="00960D83">
            <w:pPr>
              <w:spacing w:line="276" w:lineRule="auto"/>
              <w:ind w:left="29"/>
              <w:jc w:val="both"/>
              <w:rPr>
                <w:rFonts w:ascii="David" w:hAnsi="David"/>
                <w:sz w:val="26"/>
                <w:rtl/>
              </w:rPr>
            </w:pPr>
          </w:p>
        </w:tc>
      </w:tr>
      <w:tr w:rsidR="00572FA5" w:rsidRPr="00F25B85" w14:paraId="67152BA9" w14:textId="77777777" w:rsidTr="009E51DA">
        <w:tc>
          <w:tcPr>
            <w:tcW w:w="664" w:type="pct"/>
            <w:vMerge/>
            <w:shd w:val="clear" w:color="auto" w:fill="auto"/>
          </w:tcPr>
          <w:p w14:paraId="45B86EF6" w14:textId="77777777" w:rsidR="00572FA5" w:rsidRPr="00D23B24" w:rsidRDefault="00572FA5" w:rsidP="00960D83">
            <w:pPr>
              <w:spacing w:line="276" w:lineRule="auto"/>
              <w:jc w:val="both"/>
              <w:rPr>
                <w:rFonts w:ascii="David" w:hAnsi="David"/>
                <w:b/>
                <w:bCs/>
                <w:sz w:val="26"/>
                <w:rtl/>
              </w:rPr>
            </w:pPr>
          </w:p>
        </w:tc>
        <w:tc>
          <w:tcPr>
            <w:tcW w:w="325" w:type="pct"/>
            <w:shd w:val="clear" w:color="auto" w:fill="auto"/>
          </w:tcPr>
          <w:p w14:paraId="4F859DB2" w14:textId="77777777" w:rsidR="00572FA5" w:rsidRPr="00D23B24" w:rsidRDefault="00572FA5" w:rsidP="00960D83">
            <w:pPr>
              <w:spacing w:line="276" w:lineRule="auto"/>
              <w:jc w:val="both"/>
              <w:rPr>
                <w:rFonts w:ascii="David" w:hAnsi="David"/>
                <w:sz w:val="26"/>
                <w:rtl/>
              </w:rPr>
            </w:pPr>
          </w:p>
        </w:tc>
        <w:tc>
          <w:tcPr>
            <w:tcW w:w="313" w:type="pct"/>
            <w:shd w:val="clear" w:color="auto" w:fill="auto"/>
          </w:tcPr>
          <w:p w14:paraId="53FF96B2" w14:textId="462085A5" w:rsidR="00572FA5" w:rsidRDefault="00572FA5" w:rsidP="00960D83">
            <w:pPr>
              <w:spacing w:line="276" w:lineRule="auto"/>
              <w:ind w:left="29"/>
              <w:rPr>
                <w:rFonts w:ascii="David" w:hAnsi="David"/>
                <w:sz w:val="26"/>
                <w:rtl/>
              </w:rPr>
            </w:pPr>
            <w:r w:rsidRPr="00D23B24">
              <w:rPr>
                <w:rFonts w:ascii="David" w:hAnsi="David"/>
                <w:sz w:val="26"/>
                <w:rtl/>
              </w:rPr>
              <w:t>(2)</w:t>
            </w:r>
          </w:p>
        </w:tc>
        <w:tc>
          <w:tcPr>
            <w:tcW w:w="3698" w:type="pct"/>
            <w:gridSpan w:val="5"/>
            <w:shd w:val="clear" w:color="auto" w:fill="auto"/>
          </w:tcPr>
          <w:p w14:paraId="0F450D20" w14:textId="68B3EAC6" w:rsidR="00572FA5" w:rsidRPr="00D23B24" w:rsidRDefault="00572FA5" w:rsidP="00960D83">
            <w:pPr>
              <w:spacing w:line="276" w:lineRule="auto"/>
              <w:ind w:left="29"/>
              <w:jc w:val="both"/>
              <w:rPr>
                <w:rFonts w:ascii="David" w:hAnsi="David"/>
                <w:sz w:val="26"/>
                <w:rtl/>
              </w:rPr>
            </w:pPr>
            <w:r w:rsidRPr="00D23B24">
              <w:rPr>
                <w:rFonts w:ascii="David" w:hAnsi="David"/>
                <w:sz w:val="26"/>
                <w:rtl/>
              </w:rPr>
              <w:t>ידיעת הבעלים של המקום או המחזיק בו על ביצוע עבירה במקום או על הכוונה לבצע עבירה במקום</w:t>
            </w:r>
            <w:r w:rsidRPr="00D23B24">
              <w:rPr>
                <w:rFonts w:ascii="David" w:hAnsi="David"/>
                <w:sz w:val="26"/>
              </w:rPr>
              <w:t>;</w:t>
            </w:r>
          </w:p>
        </w:tc>
      </w:tr>
      <w:tr w:rsidR="00C4269E" w:rsidRPr="00F25B85" w14:paraId="22E19275" w14:textId="77777777" w:rsidTr="009E51DA">
        <w:tc>
          <w:tcPr>
            <w:tcW w:w="664" w:type="pct"/>
            <w:shd w:val="clear" w:color="auto" w:fill="auto"/>
          </w:tcPr>
          <w:p w14:paraId="2A909A9B"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08880926"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65D3AC4D" w14:textId="77777777" w:rsidR="00960D83" w:rsidRDefault="00960D83" w:rsidP="00960D83">
            <w:pPr>
              <w:spacing w:line="276" w:lineRule="auto"/>
              <w:ind w:left="29"/>
              <w:rPr>
                <w:rFonts w:ascii="David" w:hAnsi="David"/>
                <w:sz w:val="26"/>
                <w:rtl/>
              </w:rPr>
            </w:pPr>
          </w:p>
        </w:tc>
        <w:tc>
          <w:tcPr>
            <w:tcW w:w="3698" w:type="pct"/>
            <w:gridSpan w:val="5"/>
            <w:shd w:val="clear" w:color="auto" w:fill="auto"/>
          </w:tcPr>
          <w:p w14:paraId="0485FA57" w14:textId="77777777" w:rsidR="00960D83" w:rsidRPr="00D23B24" w:rsidRDefault="00960D83" w:rsidP="00960D83">
            <w:pPr>
              <w:spacing w:line="276" w:lineRule="auto"/>
              <w:ind w:left="29"/>
              <w:jc w:val="both"/>
              <w:rPr>
                <w:rFonts w:ascii="David" w:hAnsi="David"/>
                <w:sz w:val="26"/>
                <w:rtl/>
              </w:rPr>
            </w:pPr>
          </w:p>
        </w:tc>
      </w:tr>
      <w:tr w:rsidR="00C4269E" w:rsidRPr="00F25B85" w14:paraId="137F9B54" w14:textId="77777777" w:rsidTr="009E51DA">
        <w:tc>
          <w:tcPr>
            <w:tcW w:w="664" w:type="pct"/>
            <w:shd w:val="clear" w:color="auto" w:fill="auto"/>
          </w:tcPr>
          <w:p w14:paraId="1C809A3D"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0CA9D840"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6AD9CAAA" w14:textId="594293FB" w:rsidR="00960D83" w:rsidRDefault="00960D83" w:rsidP="00960D83">
            <w:pPr>
              <w:spacing w:line="276" w:lineRule="auto"/>
              <w:ind w:left="29"/>
              <w:rPr>
                <w:rFonts w:ascii="David" w:hAnsi="David"/>
                <w:sz w:val="26"/>
                <w:rtl/>
              </w:rPr>
            </w:pPr>
            <w:r w:rsidRPr="00D23B24">
              <w:rPr>
                <w:rFonts w:ascii="David" w:hAnsi="David"/>
                <w:sz w:val="26"/>
                <w:rtl/>
              </w:rPr>
              <w:t>(3)</w:t>
            </w:r>
          </w:p>
        </w:tc>
        <w:tc>
          <w:tcPr>
            <w:tcW w:w="3698" w:type="pct"/>
            <w:gridSpan w:val="5"/>
            <w:shd w:val="clear" w:color="auto" w:fill="auto"/>
          </w:tcPr>
          <w:p w14:paraId="4040DD89" w14:textId="6A33ED28" w:rsidR="00960D83" w:rsidRPr="00D23B24" w:rsidRDefault="00960D83" w:rsidP="00960D83">
            <w:pPr>
              <w:spacing w:line="276" w:lineRule="auto"/>
              <w:ind w:left="29"/>
              <w:jc w:val="both"/>
              <w:rPr>
                <w:rFonts w:ascii="David" w:hAnsi="David"/>
                <w:sz w:val="26"/>
                <w:rtl/>
              </w:rPr>
            </w:pPr>
            <w:r w:rsidRPr="00D23B24">
              <w:rPr>
                <w:rFonts w:ascii="David" w:hAnsi="David"/>
                <w:sz w:val="26"/>
                <w:rtl/>
              </w:rPr>
              <w:t>מידת הפגיעה שתיגרם לבעלים של המקום או למחזיק בו מהוצאת הצו</w:t>
            </w:r>
            <w:r w:rsidRPr="00D23B24">
              <w:rPr>
                <w:rFonts w:ascii="David" w:hAnsi="David"/>
                <w:sz w:val="26"/>
              </w:rPr>
              <w:t>.</w:t>
            </w:r>
          </w:p>
        </w:tc>
      </w:tr>
      <w:tr w:rsidR="00C4269E" w:rsidRPr="00F25B85" w14:paraId="734E51DC" w14:textId="77777777" w:rsidTr="009E51DA">
        <w:tc>
          <w:tcPr>
            <w:tcW w:w="664" w:type="pct"/>
            <w:shd w:val="clear" w:color="auto" w:fill="auto"/>
          </w:tcPr>
          <w:p w14:paraId="0C622684"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2C6C51F9"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529183E4" w14:textId="77777777" w:rsidR="00960D83" w:rsidRDefault="00960D83" w:rsidP="00960D83">
            <w:pPr>
              <w:spacing w:line="276" w:lineRule="auto"/>
              <w:ind w:left="29"/>
              <w:rPr>
                <w:rFonts w:ascii="David" w:hAnsi="David"/>
                <w:sz w:val="26"/>
                <w:rtl/>
              </w:rPr>
            </w:pPr>
          </w:p>
        </w:tc>
        <w:tc>
          <w:tcPr>
            <w:tcW w:w="3698" w:type="pct"/>
            <w:gridSpan w:val="5"/>
            <w:shd w:val="clear" w:color="auto" w:fill="auto"/>
          </w:tcPr>
          <w:p w14:paraId="337D91C7" w14:textId="77777777" w:rsidR="00960D83" w:rsidRPr="00D23B24" w:rsidRDefault="00960D83" w:rsidP="00960D83">
            <w:pPr>
              <w:spacing w:line="276" w:lineRule="auto"/>
              <w:ind w:left="29"/>
              <w:jc w:val="both"/>
              <w:rPr>
                <w:rFonts w:ascii="David" w:hAnsi="David"/>
                <w:sz w:val="26"/>
                <w:rtl/>
              </w:rPr>
            </w:pPr>
          </w:p>
        </w:tc>
      </w:tr>
      <w:tr w:rsidR="00C4269E" w:rsidRPr="00F25B85" w14:paraId="634FA6F9" w14:textId="77777777" w:rsidTr="009E51DA">
        <w:tc>
          <w:tcPr>
            <w:tcW w:w="664" w:type="pct"/>
            <w:shd w:val="clear" w:color="auto" w:fill="auto"/>
          </w:tcPr>
          <w:p w14:paraId="720267C2" w14:textId="3E975F10" w:rsidR="00960D83" w:rsidRPr="00D23B24" w:rsidRDefault="00960D83" w:rsidP="00960D83">
            <w:pPr>
              <w:spacing w:line="276" w:lineRule="auto"/>
              <w:jc w:val="both"/>
              <w:rPr>
                <w:rFonts w:ascii="David" w:hAnsi="David"/>
                <w:b/>
                <w:bCs/>
                <w:sz w:val="26"/>
                <w:rtl/>
              </w:rPr>
            </w:pPr>
            <w:r w:rsidRPr="00D23B24">
              <w:rPr>
                <w:rFonts w:ascii="David" w:hAnsi="David"/>
                <w:b/>
                <w:bCs/>
                <w:sz w:val="26"/>
                <w:rtl/>
              </w:rPr>
              <w:t>תוכנו של צו הגבלת שימוש במקום</w:t>
            </w:r>
          </w:p>
        </w:tc>
        <w:tc>
          <w:tcPr>
            <w:tcW w:w="325" w:type="pct"/>
            <w:shd w:val="clear" w:color="auto" w:fill="auto"/>
          </w:tcPr>
          <w:p w14:paraId="615364F3" w14:textId="5026B58A" w:rsidR="00960D83" w:rsidRPr="00D23B24" w:rsidRDefault="00960D83" w:rsidP="00960D83">
            <w:pPr>
              <w:spacing w:line="276" w:lineRule="auto"/>
              <w:jc w:val="both"/>
              <w:rPr>
                <w:rFonts w:ascii="David" w:hAnsi="David"/>
                <w:sz w:val="26"/>
                <w:rtl/>
              </w:rPr>
            </w:pPr>
            <w:r w:rsidRPr="00D23B24">
              <w:rPr>
                <w:rFonts w:ascii="David" w:hAnsi="David"/>
                <w:sz w:val="26"/>
                <w:rtl/>
              </w:rPr>
              <w:t>8.</w:t>
            </w:r>
          </w:p>
        </w:tc>
        <w:tc>
          <w:tcPr>
            <w:tcW w:w="313" w:type="pct"/>
            <w:shd w:val="clear" w:color="auto" w:fill="auto"/>
          </w:tcPr>
          <w:p w14:paraId="5754B8A2" w14:textId="780F48F8" w:rsidR="00960D83" w:rsidRDefault="00960D83" w:rsidP="00960D83">
            <w:pPr>
              <w:spacing w:line="276" w:lineRule="auto"/>
              <w:ind w:left="29"/>
              <w:rPr>
                <w:rFonts w:ascii="David" w:hAnsi="David"/>
                <w:sz w:val="26"/>
                <w:rtl/>
              </w:rPr>
            </w:pPr>
            <w:r w:rsidRPr="00D23B24">
              <w:rPr>
                <w:rFonts w:ascii="David" w:hAnsi="David"/>
                <w:sz w:val="26"/>
                <w:rtl/>
              </w:rPr>
              <w:t>(א)</w:t>
            </w:r>
          </w:p>
        </w:tc>
        <w:tc>
          <w:tcPr>
            <w:tcW w:w="3698" w:type="pct"/>
            <w:gridSpan w:val="5"/>
            <w:shd w:val="clear" w:color="auto" w:fill="auto"/>
          </w:tcPr>
          <w:p w14:paraId="683C1071" w14:textId="7D6F4A20" w:rsidR="00960D83" w:rsidRPr="00D23B24" w:rsidRDefault="00960D83" w:rsidP="00960D83">
            <w:pPr>
              <w:spacing w:line="276" w:lineRule="auto"/>
              <w:ind w:left="29"/>
              <w:jc w:val="both"/>
              <w:rPr>
                <w:rFonts w:ascii="David" w:hAnsi="David"/>
                <w:sz w:val="26"/>
                <w:rtl/>
              </w:rPr>
            </w:pPr>
            <w:r w:rsidRPr="00D23B24">
              <w:rPr>
                <w:rFonts w:ascii="David" w:hAnsi="David"/>
                <w:sz w:val="26"/>
                <w:rtl/>
              </w:rPr>
              <w:t>צו הגבלה מינהלי או צו הגבלה שיפוטי יקבע תנאים, הגבלות או איסורים על השימוש במקום, לרבות סגירת המקום לתקופה הנקובה בצו, והכול במידה שלא תעלה על הנדרש בנסיבות העניין כדי למנוע המשך ביצוע עבירה במקום</w:t>
            </w:r>
            <w:r w:rsidRPr="00D23B24">
              <w:rPr>
                <w:rFonts w:ascii="David" w:hAnsi="David"/>
                <w:sz w:val="26"/>
              </w:rPr>
              <w:t>.</w:t>
            </w:r>
          </w:p>
        </w:tc>
      </w:tr>
      <w:tr w:rsidR="00C4269E" w:rsidRPr="00F25B85" w14:paraId="0C5D345D" w14:textId="77777777" w:rsidTr="009E51DA">
        <w:tc>
          <w:tcPr>
            <w:tcW w:w="664" w:type="pct"/>
            <w:shd w:val="clear" w:color="auto" w:fill="auto"/>
          </w:tcPr>
          <w:p w14:paraId="2E37FB4E"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34B0AF10"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7938C1FA" w14:textId="77777777" w:rsidR="00960D83" w:rsidRDefault="00960D83" w:rsidP="00960D83">
            <w:pPr>
              <w:spacing w:line="276" w:lineRule="auto"/>
              <w:ind w:left="29"/>
              <w:rPr>
                <w:rFonts w:ascii="David" w:hAnsi="David"/>
                <w:sz w:val="26"/>
                <w:rtl/>
              </w:rPr>
            </w:pPr>
          </w:p>
        </w:tc>
        <w:tc>
          <w:tcPr>
            <w:tcW w:w="3698" w:type="pct"/>
            <w:gridSpan w:val="5"/>
            <w:shd w:val="clear" w:color="auto" w:fill="auto"/>
          </w:tcPr>
          <w:p w14:paraId="11768F1E" w14:textId="77777777" w:rsidR="00960D83" w:rsidRPr="00D23B24" w:rsidRDefault="00960D83" w:rsidP="00960D83">
            <w:pPr>
              <w:spacing w:line="276" w:lineRule="auto"/>
              <w:ind w:left="29"/>
              <w:jc w:val="both"/>
              <w:rPr>
                <w:rFonts w:ascii="David" w:hAnsi="David"/>
                <w:sz w:val="26"/>
                <w:rtl/>
              </w:rPr>
            </w:pPr>
          </w:p>
        </w:tc>
      </w:tr>
      <w:tr w:rsidR="00C4269E" w:rsidRPr="00F25B85" w14:paraId="6443E791" w14:textId="77777777" w:rsidTr="009E51DA">
        <w:tc>
          <w:tcPr>
            <w:tcW w:w="664" w:type="pct"/>
            <w:shd w:val="clear" w:color="auto" w:fill="auto"/>
          </w:tcPr>
          <w:p w14:paraId="7C74BE0E"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25AC1DB7"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56FCCE6B" w14:textId="317BAD87" w:rsidR="00960D83" w:rsidRDefault="00960D83" w:rsidP="00960D83">
            <w:pPr>
              <w:spacing w:line="276" w:lineRule="auto"/>
              <w:ind w:left="29"/>
              <w:rPr>
                <w:rFonts w:ascii="David" w:hAnsi="David"/>
                <w:sz w:val="26"/>
                <w:rtl/>
              </w:rPr>
            </w:pPr>
            <w:r w:rsidRPr="00D23B24">
              <w:rPr>
                <w:rFonts w:ascii="David" w:hAnsi="David"/>
                <w:sz w:val="26"/>
                <w:rtl/>
              </w:rPr>
              <w:t>(ב)</w:t>
            </w:r>
          </w:p>
        </w:tc>
        <w:tc>
          <w:tcPr>
            <w:tcW w:w="3698" w:type="pct"/>
            <w:gridSpan w:val="5"/>
            <w:shd w:val="clear" w:color="auto" w:fill="auto"/>
          </w:tcPr>
          <w:p w14:paraId="3B87D003" w14:textId="70BCF047" w:rsidR="00960D83" w:rsidRPr="00D23B24" w:rsidRDefault="00960D83" w:rsidP="00960D83">
            <w:pPr>
              <w:spacing w:line="276" w:lineRule="auto"/>
              <w:ind w:left="29"/>
              <w:jc w:val="both"/>
              <w:rPr>
                <w:rFonts w:ascii="David" w:hAnsi="David"/>
                <w:sz w:val="26"/>
                <w:rtl/>
              </w:rPr>
            </w:pPr>
            <w:r w:rsidRPr="00D23B24">
              <w:rPr>
                <w:rFonts w:ascii="David" w:hAnsi="David"/>
                <w:sz w:val="26"/>
              </w:rPr>
              <w:t> </w:t>
            </w:r>
            <w:r w:rsidRPr="00D23B24">
              <w:rPr>
                <w:rFonts w:ascii="David" w:hAnsi="David"/>
                <w:sz w:val="26"/>
                <w:rtl/>
              </w:rPr>
              <w:t>צו הגבלה מינהלי או צו הגבלה שיפוטי יכול שיכלול גם דרישה למתן ערובה להבטחת קיום התנאים, ההגבלות או האיסורים שנקבעו בצו</w:t>
            </w:r>
            <w:r w:rsidRPr="00D23B24">
              <w:rPr>
                <w:rFonts w:ascii="David" w:hAnsi="David"/>
                <w:sz w:val="26"/>
              </w:rPr>
              <w:t>.</w:t>
            </w:r>
          </w:p>
        </w:tc>
      </w:tr>
      <w:tr w:rsidR="00C4269E" w:rsidRPr="00F25B85" w14:paraId="0113F066" w14:textId="77777777" w:rsidTr="009E51DA">
        <w:tc>
          <w:tcPr>
            <w:tcW w:w="664" w:type="pct"/>
            <w:shd w:val="clear" w:color="auto" w:fill="auto"/>
          </w:tcPr>
          <w:p w14:paraId="46EB620E"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4F1D916C"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3C60AA03" w14:textId="77777777" w:rsidR="00960D83" w:rsidRDefault="00960D83" w:rsidP="00960D83">
            <w:pPr>
              <w:spacing w:line="276" w:lineRule="auto"/>
              <w:ind w:left="29"/>
              <w:rPr>
                <w:rFonts w:ascii="David" w:hAnsi="David"/>
                <w:sz w:val="26"/>
                <w:rtl/>
              </w:rPr>
            </w:pPr>
          </w:p>
        </w:tc>
        <w:tc>
          <w:tcPr>
            <w:tcW w:w="3698" w:type="pct"/>
            <w:gridSpan w:val="5"/>
            <w:shd w:val="clear" w:color="auto" w:fill="auto"/>
          </w:tcPr>
          <w:p w14:paraId="6366FD65" w14:textId="77777777" w:rsidR="00960D83" w:rsidRPr="00D23B24" w:rsidRDefault="00960D83" w:rsidP="00960D83">
            <w:pPr>
              <w:spacing w:line="276" w:lineRule="auto"/>
              <w:ind w:left="29"/>
              <w:jc w:val="both"/>
              <w:rPr>
                <w:rFonts w:ascii="David" w:hAnsi="David"/>
                <w:sz w:val="26"/>
                <w:rtl/>
              </w:rPr>
            </w:pPr>
          </w:p>
        </w:tc>
      </w:tr>
      <w:tr w:rsidR="00C4269E" w:rsidRPr="00F25B85" w14:paraId="2D3CE102" w14:textId="77777777" w:rsidTr="009E51DA">
        <w:tc>
          <w:tcPr>
            <w:tcW w:w="664" w:type="pct"/>
            <w:shd w:val="clear" w:color="auto" w:fill="auto"/>
          </w:tcPr>
          <w:p w14:paraId="5C0EEC81"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43940839"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210C5A1C" w14:textId="1B5AC4A3" w:rsidR="00960D83" w:rsidRDefault="00960D83" w:rsidP="00960D83">
            <w:pPr>
              <w:spacing w:line="276" w:lineRule="auto"/>
              <w:ind w:left="29"/>
              <w:rPr>
                <w:rFonts w:ascii="David" w:hAnsi="David"/>
                <w:sz w:val="26"/>
                <w:rtl/>
              </w:rPr>
            </w:pPr>
            <w:r w:rsidRPr="00D23B24">
              <w:rPr>
                <w:rFonts w:ascii="David" w:hAnsi="David"/>
                <w:sz w:val="26"/>
                <w:rtl/>
              </w:rPr>
              <w:t>(ג)</w:t>
            </w:r>
          </w:p>
        </w:tc>
        <w:tc>
          <w:tcPr>
            <w:tcW w:w="3698" w:type="pct"/>
            <w:gridSpan w:val="5"/>
            <w:shd w:val="clear" w:color="auto" w:fill="auto"/>
          </w:tcPr>
          <w:p w14:paraId="71E9B11F" w14:textId="043669F9" w:rsidR="00960D83" w:rsidRPr="00D23B24" w:rsidRDefault="00960D83" w:rsidP="00960D83">
            <w:pPr>
              <w:spacing w:line="276" w:lineRule="auto"/>
              <w:ind w:left="29"/>
              <w:jc w:val="both"/>
              <w:rPr>
                <w:rFonts w:ascii="David" w:hAnsi="David"/>
                <w:sz w:val="26"/>
                <w:rtl/>
              </w:rPr>
            </w:pPr>
            <w:r w:rsidRPr="00D23B24">
              <w:rPr>
                <w:rFonts w:ascii="David" w:hAnsi="David"/>
                <w:sz w:val="26"/>
                <w:rtl/>
              </w:rPr>
              <w:t>בסעיף זה, "ערובה" – עירבון כספי או ערבות עצמית של הבעלים של המקום או המחזיק בו, בין לבדם ובין בצירוף ערבות מכל סוג שהוא, ערבות או עירבון כספי של ערבים, והכול כפי שיורה קצין המשטרה המוסמך או בית המשפט, בצו ההגבלה המינהלי או בצו ההגבלה השיפוטי, לפי העניין</w:t>
            </w:r>
            <w:r w:rsidRPr="00D23B24">
              <w:rPr>
                <w:rFonts w:ascii="David" w:hAnsi="David"/>
                <w:sz w:val="26"/>
              </w:rPr>
              <w:t>.</w:t>
            </w:r>
          </w:p>
        </w:tc>
      </w:tr>
      <w:tr w:rsidR="00C4269E" w:rsidRPr="00F25B85" w14:paraId="45E3F17A" w14:textId="77777777" w:rsidTr="009E51DA">
        <w:tc>
          <w:tcPr>
            <w:tcW w:w="664" w:type="pct"/>
            <w:shd w:val="clear" w:color="auto" w:fill="auto"/>
          </w:tcPr>
          <w:p w14:paraId="2CE89AB6" w14:textId="77777777" w:rsidR="00960D83" w:rsidRPr="00D23B24" w:rsidRDefault="00960D83" w:rsidP="00960D83">
            <w:pPr>
              <w:spacing w:line="276" w:lineRule="auto"/>
              <w:jc w:val="both"/>
              <w:rPr>
                <w:rFonts w:ascii="David" w:hAnsi="David"/>
                <w:b/>
                <w:bCs/>
                <w:sz w:val="26"/>
                <w:rtl/>
              </w:rPr>
            </w:pPr>
          </w:p>
        </w:tc>
        <w:tc>
          <w:tcPr>
            <w:tcW w:w="325" w:type="pct"/>
            <w:shd w:val="clear" w:color="auto" w:fill="auto"/>
          </w:tcPr>
          <w:p w14:paraId="728407B0" w14:textId="77777777" w:rsidR="00960D83" w:rsidRPr="00D23B24" w:rsidRDefault="00960D83" w:rsidP="00960D83">
            <w:pPr>
              <w:spacing w:line="276" w:lineRule="auto"/>
              <w:jc w:val="both"/>
              <w:rPr>
                <w:rFonts w:ascii="David" w:hAnsi="David"/>
                <w:sz w:val="26"/>
                <w:rtl/>
              </w:rPr>
            </w:pPr>
          </w:p>
        </w:tc>
        <w:tc>
          <w:tcPr>
            <w:tcW w:w="313" w:type="pct"/>
            <w:shd w:val="clear" w:color="auto" w:fill="auto"/>
          </w:tcPr>
          <w:p w14:paraId="4E27E765" w14:textId="77777777" w:rsidR="00960D83" w:rsidRDefault="00960D83" w:rsidP="00960D83">
            <w:pPr>
              <w:spacing w:line="276" w:lineRule="auto"/>
              <w:ind w:left="29"/>
              <w:rPr>
                <w:rFonts w:ascii="David" w:hAnsi="David"/>
                <w:sz w:val="26"/>
                <w:rtl/>
              </w:rPr>
            </w:pPr>
          </w:p>
        </w:tc>
        <w:tc>
          <w:tcPr>
            <w:tcW w:w="3698" w:type="pct"/>
            <w:gridSpan w:val="5"/>
            <w:shd w:val="clear" w:color="auto" w:fill="auto"/>
          </w:tcPr>
          <w:p w14:paraId="6BE4DC4A" w14:textId="77777777" w:rsidR="00960D83" w:rsidRPr="00D23B24" w:rsidRDefault="00960D83" w:rsidP="00960D83">
            <w:pPr>
              <w:spacing w:line="276" w:lineRule="auto"/>
              <w:ind w:left="29"/>
              <w:jc w:val="both"/>
              <w:rPr>
                <w:rFonts w:ascii="David" w:hAnsi="David"/>
                <w:sz w:val="26"/>
                <w:rtl/>
              </w:rPr>
            </w:pPr>
          </w:p>
        </w:tc>
      </w:tr>
      <w:tr w:rsidR="00C4269E" w:rsidRPr="00F25B85" w14:paraId="1DF632B3" w14:textId="77777777" w:rsidTr="009E51DA">
        <w:tc>
          <w:tcPr>
            <w:tcW w:w="664" w:type="pct"/>
            <w:shd w:val="clear" w:color="auto" w:fill="auto"/>
          </w:tcPr>
          <w:p w14:paraId="3CCB8D5C" w14:textId="230AB2FE" w:rsidR="00960D83" w:rsidRPr="00D23B24" w:rsidRDefault="00960D83" w:rsidP="00960D83">
            <w:pPr>
              <w:spacing w:line="276" w:lineRule="auto"/>
              <w:jc w:val="both"/>
              <w:rPr>
                <w:rFonts w:ascii="David" w:hAnsi="David"/>
                <w:b/>
                <w:bCs/>
                <w:sz w:val="26"/>
                <w:rtl/>
              </w:rPr>
            </w:pPr>
            <w:r w:rsidRPr="00D23B24">
              <w:rPr>
                <w:rFonts w:ascii="David" w:hAnsi="David"/>
                <w:b/>
                <w:bCs/>
                <w:sz w:val="26"/>
                <w:rtl/>
              </w:rPr>
              <w:t>ביצוע צו הגבלת שימוש במקום</w:t>
            </w:r>
          </w:p>
        </w:tc>
        <w:tc>
          <w:tcPr>
            <w:tcW w:w="325" w:type="pct"/>
            <w:shd w:val="clear" w:color="auto" w:fill="auto"/>
          </w:tcPr>
          <w:p w14:paraId="67FAD118" w14:textId="3CC68BA3" w:rsidR="00960D83" w:rsidRPr="00D23B24" w:rsidRDefault="00960D83" w:rsidP="00960D83">
            <w:pPr>
              <w:spacing w:line="276" w:lineRule="auto"/>
              <w:jc w:val="both"/>
              <w:rPr>
                <w:rFonts w:ascii="David" w:hAnsi="David"/>
                <w:sz w:val="26"/>
                <w:rtl/>
              </w:rPr>
            </w:pPr>
            <w:r w:rsidRPr="00D23B24">
              <w:rPr>
                <w:rFonts w:ascii="David" w:hAnsi="David"/>
                <w:sz w:val="26"/>
                <w:rtl/>
              </w:rPr>
              <w:t>9.</w:t>
            </w:r>
          </w:p>
        </w:tc>
        <w:tc>
          <w:tcPr>
            <w:tcW w:w="4011" w:type="pct"/>
            <w:gridSpan w:val="6"/>
            <w:shd w:val="clear" w:color="auto" w:fill="auto"/>
          </w:tcPr>
          <w:p w14:paraId="246A52C6" w14:textId="589197E4" w:rsidR="00960D83" w:rsidRPr="00D23B24" w:rsidRDefault="00960D83" w:rsidP="00960D83">
            <w:pPr>
              <w:spacing w:line="276" w:lineRule="auto"/>
              <w:ind w:left="29"/>
              <w:jc w:val="both"/>
              <w:rPr>
                <w:rFonts w:ascii="David" w:hAnsi="David"/>
                <w:sz w:val="26"/>
                <w:rtl/>
              </w:rPr>
            </w:pPr>
            <w:r w:rsidRPr="00D23B24">
              <w:rPr>
                <w:rFonts w:ascii="David" w:hAnsi="David"/>
                <w:sz w:val="26"/>
                <w:rtl/>
              </w:rPr>
              <w:t>ניתן צו הגבלה מינהלי או צו הגבלה שיפוטי, רשאי שוטר להיכנס למקום שלגביו ניתן הצו ולנקוט אמצעים סבירים, לרבות שימוש בכוח, הדרושים כדי להבטיח את קיום הצו</w:t>
            </w:r>
            <w:r w:rsidRPr="00D23B24">
              <w:rPr>
                <w:rFonts w:ascii="David" w:hAnsi="David"/>
                <w:sz w:val="26"/>
              </w:rPr>
              <w:t>.</w:t>
            </w:r>
          </w:p>
        </w:tc>
      </w:tr>
      <w:tr w:rsidR="00C4269E" w:rsidRPr="00F25B85" w14:paraId="47651329" w14:textId="77777777" w:rsidTr="009E51DA">
        <w:tc>
          <w:tcPr>
            <w:tcW w:w="664" w:type="pct"/>
            <w:shd w:val="clear" w:color="auto" w:fill="auto"/>
          </w:tcPr>
          <w:p w14:paraId="529B42A9" w14:textId="77777777" w:rsidR="00021522" w:rsidRPr="00D23B24" w:rsidRDefault="00021522" w:rsidP="00960D83">
            <w:pPr>
              <w:spacing w:line="276" w:lineRule="auto"/>
              <w:jc w:val="both"/>
              <w:rPr>
                <w:rFonts w:ascii="David" w:hAnsi="David"/>
                <w:b/>
                <w:bCs/>
                <w:sz w:val="26"/>
                <w:rtl/>
              </w:rPr>
            </w:pPr>
          </w:p>
        </w:tc>
        <w:tc>
          <w:tcPr>
            <w:tcW w:w="325" w:type="pct"/>
            <w:shd w:val="clear" w:color="auto" w:fill="auto"/>
          </w:tcPr>
          <w:p w14:paraId="29593373" w14:textId="77777777" w:rsidR="00021522" w:rsidRPr="00D23B24" w:rsidRDefault="00021522" w:rsidP="00960D83">
            <w:pPr>
              <w:spacing w:line="276" w:lineRule="auto"/>
              <w:jc w:val="both"/>
              <w:rPr>
                <w:rFonts w:ascii="David" w:hAnsi="David"/>
                <w:sz w:val="26"/>
                <w:rtl/>
              </w:rPr>
            </w:pPr>
          </w:p>
        </w:tc>
        <w:tc>
          <w:tcPr>
            <w:tcW w:w="4011" w:type="pct"/>
            <w:gridSpan w:val="6"/>
            <w:shd w:val="clear" w:color="auto" w:fill="auto"/>
          </w:tcPr>
          <w:p w14:paraId="5E178563" w14:textId="77777777" w:rsidR="00021522" w:rsidRPr="00D23B24" w:rsidRDefault="00021522" w:rsidP="00960D83">
            <w:pPr>
              <w:spacing w:line="276" w:lineRule="auto"/>
              <w:ind w:left="29"/>
              <w:jc w:val="both"/>
              <w:rPr>
                <w:rFonts w:ascii="David" w:hAnsi="David"/>
                <w:sz w:val="26"/>
                <w:rtl/>
              </w:rPr>
            </w:pPr>
          </w:p>
        </w:tc>
      </w:tr>
      <w:tr w:rsidR="00C4269E" w:rsidRPr="00F25B85" w14:paraId="33AEE602" w14:textId="77777777" w:rsidTr="009E51DA">
        <w:tc>
          <w:tcPr>
            <w:tcW w:w="664" w:type="pct"/>
            <w:shd w:val="clear" w:color="auto" w:fill="auto"/>
          </w:tcPr>
          <w:p w14:paraId="2B4F6024" w14:textId="5D9DB9BF" w:rsidR="00021522" w:rsidRDefault="00021522" w:rsidP="00021522">
            <w:pPr>
              <w:spacing w:line="276" w:lineRule="auto"/>
              <w:jc w:val="both"/>
              <w:rPr>
                <w:rFonts w:ascii="David" w:hAnsi="David"/>
                <w:b/>
                <w:bCs/>
                <w:sz w:val="26"/>
                <w:rtl/>
              </w:rPr>
            </w:pPr>
            <w:r w:rsidRPr="00021522">
              <w:rPr>
                <w:rFonts w:ascii="David" w:hAnsi="David"/>
                <w:b/>
                <w:bCs/>
                <w:sz w:val="26"/>
                <w:rtl/>
              </w:rPr>
              <w:t>צו התליית רישיון או היתר עיסוק</w:t>
            </w:r>
          </w:p>
        </w:tc>
        <w:tc>
          <w:tcPr>
            <w:tcW w:w="325" w:type="pct"/>
            <w:shd w:val="clear" w:color="auto" w:fill="auto"/>
          </w:tcPr>
          <w:p w14:paraId="1F28043F" w14:textId="06EBC588" w:rsidR="00021522" w:rsidRDefault="00021522" w:rsidP="00021522">
            <w:pPr>
              <w:spacing w:line="276" w:lineRule="auto"/>
              <w:jc w:val="both"/>
              <w:rPr>
                <w:rFonts w:ascii="David" w:hAnsi="David"/>
                <w:sz w:val="26"/>
                <w:rtl/>
              </w:rPr>
            </w:pPr>
            <w:r>
              <w:rPr>
                <w:rFonts w:ascii="David" w:hAnsi="David" w:hint="cs"/>
                <w:sz w:val="26"/>
                <w:rtl/>
              </w:rPr>
              <w:t>10.</w:t>
            </w:r>
          </w:p>
        </w:tc>
        <w:tc>
          <w:tcPr>
            <w:tcW w:w="313" w:type="pct"/>
            <w:shd w:val="clear" w:color="auto" w:fill="auto"/>
          </w:tcPr>
          <w:p w14:paraId="5D379D15" w14:textId="6C390A96" w:rsidR="00021522" w:rsidRDefault="00021522" w:rsidP="00021522">
            <w:pPr>
              <w:spacing w:line="276" w:lineRule="auto"/>
              <w:ind w:left="29"/>
              <w:jc w:val="both"/>
              <w:rPr>
                <w:rFonts w:ascii="David" w:eastAsia="Calibri" w:hAnsi="David"/>
                <w:sz w:val="26"/>
                <w:rtl/>
                <w:lang w:eastAsia="en-US"/>
              </w:rPr>
            </w:pPr>
            <w:r>
              <w:rPr>
                <w:rFonts w:ascii="David" w:eastAsia="Calibri" w:hAnsi="David" w:hint="cs"/>
                <w:sz w:val="26"/>
                <w:rtl/>
                <w:lang w:eastAsia="en-US"/>
              </w:rPr>
              <w:t>(א)</w:t>
            </w:r>
          </w:p>
        </w:tc>
        <w:tc>
          <w:tcPr>
            <w:tcW w:w="3698" w:type="pct"/>
            <w:gridSpan w:val="5"/>
            <w:shd w:val="clear" w:color="auto" w:fill="auto"/>
          </w:tcPr>
          <w:p w14:paraId="3992114F" w14:textId="5B8D03DE" w:rsidR="00021522" w:rsidRPr="00D41F27" w:rsidRDefault="00021522" w:rsidP="00021522">
            <w:pPr>
              <w:spacing w:line="276" w:lineRule="auto"/>
              <w:ind w:left="29"/>
              <w:jc w:val="both"/>
              <w:rPr>
                <w:rtl/>
              </w:rPr>
            </w:pPr>
            <w:r w:rsidRPr="00021522">
              <w:rPr>
                <w:rtl/>
              </w:rPr>
              <w:t xml:space="preserve">בית משפט רשאי, על פי בקשה בכתב של הממונה על החקירה, לצוות על התליית רישיון או היתר עיסוק שניתנו לפי כל דין, של מי שחשוד בביצוע עבירה כאמור בסעיפים </w:t>
            </w:r>
            <w:r>
              <w:rPr>
                <w:rFonts w:hint="cs"/>
                <w:rtl/>
              </w:rPr>
              <w:t>2</w:t>
            </w:r>
            <w:r w:rsidRPr="00021522">
              <w:rPr>
                <w:rtl/>
              </w:rPr>
              <w:t xml:space="preserve"> או 3</w:t>
            </w:r>
            <w:r w:rsidR="00F30591">
              <w:rPr>
                <w:rFonts w:hint="cs"/>
                <w:rtl/>
              </w:rPr>
              <w:t xml:space="preserve"> או סעיף 6(ב) לצו בדבר העסקת עובדים במקומות מסויימים</w:t>
            </w:r>
            <w:r w:rsidRPr="00021522">
              <w:rPr>
                <w:rtl/>
              </w:rPr>
              <w:t>, בעיסוק הקשור בעבירה, אם מתקיים יסוד סביר לחשש שהמשך העיסוק מהווה סכנה לשלום הציבור או לביטחונו או עלול להקל על ביצוע עבירה דומה, לתקופה שיקבע בצו, ורשאי הוא להאריך את תוקפו של הצו לתקופות נוספות, ובלבד שסך כל התקופות לא יעלה על 30 ימים</w:t>
            </w:r>
            <w:r>
              <w:rPr>
                <w:rFonts w:hint="cs"/>
                <w:rtl/>
              </w:rPr>
              <w:t>.</w:t>
            </w:r>
          </w:p>
        </w:tc>
      </w:tr>
      <w:tr w:rsidR="00C4269E" w:rsidRPr="00F25B85" w14:paraId="4DF4F605" w14:textId="77777777" w:rsidTr="009E51DA">
        <w:tc>
          <w:tcPr>
            <w:tcW w:w="664" w:type="pct"/>
            <w:shd w:val="clear" w:color="auto" w:fill="auto"/>
          </w:tcPr>
          <w:p w14:paraId="2A95E3ED" w14:textId="77777777" w:rsidR="00021522" w:rsidRDefault="00021522" w:rsidP="00021522">
            <w:pPr>
              <w:spacing w:line="276" w:lineRule="auto"/>
              <w:jc w:val="both"/>
              <w:rPr>
                <w:rFonts w:ascii="David" w:hAnsi="David"/>
                <w:b/>
                <w:bCs/>
                <w:sz w:val="26"/>
                <w:rtl/>
              </w:rPr>
            </w:pPr>
          </w:p>
        </w:tc>
        <w:tc>
          <w:tcPr>
            <w:tcW w:w="325" w:type="pct"/>
            <w:shd w:val="clear" w:color="auto" w:fill="auto"/>
          </w:tcPr>
          <w:p w14:paraId="5355B803" w14:textId="77777777" w:rsidR="00021522" w:rsidRDefault="00021522" w:rsidP="00021522">
            <w:pPr>
              <w:spacing w:line="276" w:lineRule="auto"/>
              <w:jc w:val="both"/>
              <w:rPr>
                <w:rFonts w:ascii="David" w:hAnsi="David"/>
                <w:sz w:val="26"/>
                <w:rtl/>
              </w:rPr>
            </w:pPr>
          </w:p>
        </w:tc>
        <w:tc>
          <w:tcPr>
            <w:tcW w:w="313" w:type="pct"/>
            <w:shd w:val="clear" w:color="auto" w:fill="auto"/>
          </w:tcPr>
          <w:p w14:paraId="1A813EC8" w14:textId="77777777" w:rsidR="00021522" w:rsidRDefault="00021522" w:rsidP="00021522">
            <w:pPr>
              <w:spacing w:line="276" w:lineRule="auto"/>
              <w:ind w:left="29"/>
              <w:jc w:val="both"/>
              <w:rPr>
                <w:rFonts w:ascii="David" w:eastAsia="Calibri" w:hAnsi="David"/>
                <w:sz w:val="26"/>
                <w:rtl/>
                <w:lang w:eastAsia="en-US"/>
              </w:rPr>
            </w:pPr>
          </w:p>
        </w:tc>
        <w:tc>
          <w:tcPr>
            <w:tcW w:w="3698" w:type="pct"/>
            <w:gridSpan w:val="5"/>
            <w:shd w:val="clear" w:color="auto" w:fill="auto"/>
          </w:tcPr>
          <w:p w14:paraId="6B524383" w14:textId="77777777" w:rsidR="00021522" w:rsidRPr="00D41F27" w:rsidRDefault="00021522" w:rsidP="00021522">
            <w:pPr>
              <w:spacing w:line="276" w:lineRule="auto"/>
              <w:ind w:left="29"/>
              <w:jc w:val="both"/>
              <w:rPr>
                <w:rtl/>
              </w:rPr>
            </w:pPr>
          </w:p>
        </w:tc>
      </w:tr>
      <w:tr w:rsidR="00C4269E" w:rsidRPr="00F25B85" w14:paraId="3D94DDC5" w14:textId="77777777" w:rsidTr="009E51DA">
        <w:tc>
          <w:tcPr>
            <w:tcW w:w="664" w:type="pct"/>
            <w:shd w:val="clear" w:color="auto" w:fill="auto"/>
          </w:tcPr>
          <w:p w14:paraId="0C928522" w14:textId="77777777" w:rsidR="00021522" w:rsidRDefault="00021522" w:rsidP="00021522">
            <w:pPr>
              <w:spacing w:line="276" w:lineRule="auto"/>
              <w:jc w:val="both"/>
              <w:rPr>
                <w:rFonts w:ascii="David" w:hAnsi="David"/>
                <w:b/>
                <w:bCs/>
                <w:sz w:val="26"/>
                <w:rtl/>
              </w:rPr>
            </w:pPr>
          </w:p>
        </w:tc>
        <w:tc>
          <w:tcPr>
            <w:tcW w:w="325" w:type="pct"/>
            <w:shd w:val="clear" w:color="auto" w:fill="auto"/>
          </w:tcPr>
          <w:p w14:paraId="6C0A2F68" w14:textId="77777777" w:rsidR="00021522" w:rsidRDefault="00021522" w:rsidP="00021522">
            <w:pPr>
              <w:spacing w:line="276" w:lineRule="auto"/>
              <w:jc w:val="both"/>
              <w:rPr>
                <w:rFonts w:ascii="David" w:hAnsi="David"/>
                <w:sz w:val="26"/>
                <w:rtl/>
              </w:rPr>
            </w:pPr>
          </w:p>
        </w:tc>
        <w:tc>
          <w:tcPr>
            <w:tcW w:w="313" w:type="pct"/>
            <w:shd w:val="clear" w:color="auto" w:fill="auto"/>
          </w:tcPr>
          <w:p w14:paraId="5DC9A29D" w14:textId="5752A290" w:rsidR="00021522" w:rsidRDefault="00021522" w:rsidP="00021522">
            <w:pPr>
              <w:spacing w:line="276" w:lineRule="auto"/>
              <w:ind w:left="29"/>
              <w:jc w:val="both"/>
              <w:rPr>
                <w:rFonts w:ascii="David" w:eastAsia="Calibri" w:hAnsi="David"/>
                <w:sz w:val="26"/>
                <w:rtl/>
                <w:lang w:eastAsia="en-US"/>
              </w:rPr>
            </w:pPr>
            <w:r>
              <w:rPr>
                <w:rFonts w:ascii="David" w:eastAsia="Calibri" w:hAnsi="David" w:hint="cs"/>
                <w:sz w:val="26"/>
                <w:rtl/>
                <w:lang w:eastAsia="en-US"/>
              </w:rPr>
              <w:t>(ב)</w:t>
            </w:r>
          </w:p>
        </w:tc>
        <w:tc>
          <w:tcPr>
            <w:tcW w:w="3698" w:type="pct"/>
            <w:gridSpan w:val="5"/>
            <w:shd w:val="clear" w:color="auto" w:fill="auto"/>
          </w:tcPr>
          <w:p w14:paraId="1B70485D" w14:textId="6FB1D544" w:rsidR="00021522" w:rsidRPr="00D41F27" w:rsidRDefault="00021522" w:rsidP="00021522">
            <w:pPr>
              <w:spacing w:line="276" w:lineRule="auto"/>
              <w:ind w:left="29"/>
              <w:jc w:val="both"/>
              <w:rPr>
                <w:rtl/>
              </w:rPr>
            </w:pPr>
            <w:r w:rsidRPr="00021522">
              <w:rPr>
                <w:rtl/>
              </w:rPr>
              <w:t xml:space="preserve">הוגש כתב אישום בעבירה לפי סעיפים </w:t>
            </w:r>
            <w:r w:rsidR="00F30591">
              <w:rPr>
                <w:rFonts w:hint="cs"/>
                <w:rtl/>
              </w:rPr>
              <w:t>2</w:t>
            </w:r>
            <w:r w:rsidR="00F30591" w:rsidRPr="00021522">
              <w:rPr>
                <w:rtl/>
              </w:rPr>
              <w:t xml:space="preserve"> או 3</w:t>
            </w:r>
            <w:r w:rsidR="00F30591">
              <w:rPr>
                <w:rFonts w:hint="cs"/>
                <w:rtl/>
              </w:rPr>
              <w:t xml:space="preserve"> או סעיף 6(ב) לצו בדבר העסקת עובדים במקומות מסויימים</w:t>
            </w:r>
            <w:r w:rsidRPr="00021522">
              <w:rPr>
                <w:rtl/>
              </w:rPr>
              <w:t>, רשאי בית המשפט לבקשת תובע, לתת צו כאמור בסעיף קטן (א) עד תום ההליכים או עד למועד מוקדם יותר שיקבע, אם שוכנע כי קיים יסוד סביר לחשש שהמשך העיסוק הקשור בעבירה מהווה סכנה לשלום הציבור או לביטחונו או עלול להקל על ביצוע עבירה דומה.</w:t>
            </w:r>
          </w:p>
        </w:tc>
      </w:tr>
      <w:tr w:rsidR="00C4269E" w:rsidRPr="00F25B85" w14:paraId="289EC5EE" w14:textId="77777777" w:rsidTr="009E51DA">
        <w:tc>
          <w:tcPr>
            <w:tcW w:w="664" w:type="pct"/>
            <w:shd w:val="clear" w:color="auto" w:fill="auto"/>
          </w:tcPr>
          <w:p w14:paraId="5F04A133" w14:textId="77777777" w:rsidR="00021522" w:rsidRDefault="00021522" w:rsidP="00021522">
            <w:pPr>
              <w:spacing w:line="276" w:lineRule="auto"/>
              <w:jc w:val="both"/>
              <w:rPr>
                <w:rFonts w:ascii="David" w:hAnsi="David"/>
                <w:b/>
                <w:bCs/>
                <w:sz w:val="26"/>
                <w:rtl/>
              </w:rPr>
            </w:pPr>
          </w:p>
        </w:tc>
        <w:tc>
          <w:tcPr>
            <w:tcW w:w="325" w:type="pct"/>
            <w:shd w:val="clear" w:color="auto" w:fill="auto"/>
          </w:tcPr>
          <w:p w14:paraId="4FA91391" w14:textId="77777777" w:rsidR="00021522" w:rsidRDefault="00021522" w:rsidP="00021522">
            <w:pPr>
              <w:spacing w:line="276" w:lineRule="auto"/>
              <w:jc w:val="both"/>
              <w:rPr>
                <w:rFonts w:ascii="David" w:hAnsi="David"/>
                <w:sz w:val="26"/>
                <w:rtl/>
              </w:rPr>
            </w:pPr>
          </w:p>
        </w:tc>
        <w:tc>
          <w:tcPr>
            <w:tcW w:w="313" w:type="pct"/>
            <w:shd w:val="clear" w:color="auto" w:fill="auto"/>
          </w:tcPr>
          <w:p w14:paraId="24608D0D" w14:textId="77777777" w:rsidR="00021522" w:rsidRDefault="00021522" w:rsidP="00021522">
            <w:pPr>
              <w:spacing w:line="276" w:lineRule="auto"/>
              <w:ind w:left="29"/>
              <w:jc w:val="both"/>
              <w:rPr>
                <w:rFonts w:ascii="David" w:eastAsia="Calibri" w:hAnsi="David"/>
                <w:sz w:val="26"/>
                <w:rtl/>
                <w:lang w:eastAsia="en-US"/>
              </w:rPr>
            </w:pPr>
          </w:p>
        </w:tc>
        <w:tc>
          <w:tcPr>
            <w:tcW w:w="3698" w:type="pct"/>
            <w:gridSpan w:val="5"/>
            <w:shd w:val="clear" w:color="auto" w:fill="auto"/>
          </w:tcPr>
          <w:p w14:paraId="270FEA5D" w14:textId="77777777" w:rsidR="00021522" w:rsidRPr="00D41F27" w:rsidRDefault="00021522" w:rsidP="00021522">
            <w:pPr>
              <w:spacing w:line="276" w:lineRule="auto"/>
              <w:ind w:left="29"/>
              <w:jc w:val="both"/>
              <w:rPr>
                <w:rtl/>
              </w:rPr>
            </w:pPr>
          </w:p>
        </w:tc>
      </w:tr>
      <w:tr w:rsidR="00C4269E" w:rsidRPr="00F25B85" w14:paraId="04140DA1" w14:textId="77777777" w:rsidTr="009E51DA">
        <w:tc>
          <w:tcPr>
            <w:tcW w:w="664" w:type="pct"/>
            <w:shd w:val="clear" w:color="auto" w:fill="auto"/>
          </w:tcPr>
          <w:p w14:paraId="2A935D8C" w14:textId="77777777" w:rsidR="00021522" w:rsidRDefault="00021522" w:rsidP="00021522">
            <w:pPr>
              <w:spacing w:line="276" w:lineRule="auto"/>
              <w:jc w:val="both"/>
              <w:rPr>
                <w:rFonts w:ascii="David" w:hAnsi="David"/>
                <w:b/>
                <w:bCs/>
                <w:sz w:val="26"/>
                <w:rtl/>
              </w:rPr>
            </w:pPr>
          </w:p>
        </w:tc>
        <w:tc>
          <w:tcPr>
            <w:tcW w:w="325" w:type="pct"/>
            <w:shd w:val="clear" w:color="auto" w:fill="auto"/>
          </w:tcPr>
          <w:p w14:paraId="727899E0" w14:textId="77777777" w:rsidR="00021522" w:rsidRDefault="00021522" w:rsidP="00021522">
            <w:pPr>
              <w:spacing w:line="276" w:lineRule="auto"/>
              <w:jc w:val="both"/>
              <w:rPr>
                <w:rFonts w:ascii="David" w:hAnsi="David"/>
                <w:sz w:val="26"/>
                <w:rtl/>
              </w:rPr>
            </w:pPr>
          </w:p>
        </w:tc>
        <w:tc>
          <w:tcPr>
            <w:tcW w:w="313" w:type="pct"/>
            <w:shd w:val="clear" w:color="auto" w:fill="auto"/>
          </w:tcPr>
          <w:p w14:paraId="17B4144C" w14:textId="7241CDFA" w:rsidR="00021522" w:rsidRDefault="00F30591" w:rsidP="00021522">
            <w:pPr>
              <w:spacing w:line="276" w:lineRule="auto"/>
              <w:ind w:left="29"/>
              <w:jc w:val="both"/>
              <w:rPr>
                <w:rFonts w:ascii="David" w:eastAsia="Calibri" w:hAnsi="David"/>
                <w:sz w:val="26"/>
                <w:rtl/>
                <w:lang w:eastAsia="en-US"/>
              </w:rPr>
            </w:pPr>
            <w:r>
              <w:rPr>
                <w:rFonts w:ascii="David" w:eastAsia="Calibri" w:hAnsi="David" w:hint="cs"/>
                <w:sz w:val="26"/>
                <w:rtl/>
                <w:lang w:eastAsia="en-US"/>
              </w:rPr>
              <w:t>(ג)</w:t>
            </w:r>
          </w:p>
        </w:tc>
        <w:tc>
          <w:tcPr>
            <w:tcW w:w="3698" w:type="pct"/>
            <w:gridSpan w:val="5"/>
            <w:shd w:val="clear" w:color="auto" w:fill="auto"/>
          </w:tcPr>
          <w:p w14:paraId="727B6D11" w14:textId="3AA4BF8D" w:rsidR="00021522" w:rsidRPr="00D41F27" w:rsidRDefault="00F30591" w:rsidP="00021522">
            <w:pPr>
              <w:spacing w:line="276" w:lineRule="auto"/>
              <w:ind w:left="29"/>
              <w:jc w:val="both"/>
              <w:rPr>
                <w:rtl/>
              </w:rPr>
            </w:pPr>
            <w:r w:rsidRPr="00F30591">
              <w:rPr>
                <w:rtl/>
              </w:rPr>
              <w:t>הממונה על החקירה, תובע וחשוד או נאשם שניתן נגדו צו לפי סעיפים קטנים (א) או (ב), רשאים לערער על החלטת בית המשפט לפי סעיפים קטנים (א) או (ב), בתוך 30 ימים ממועד מתן ההחלטה, לפני בית משפט שלערעור אשר ידון בערעור בשופט אחד.</w:t>
            </w:r>
          </w:p>
        </w:tc>
      </w:tr>
      <w:tr w:rsidR="00C4269E" w:rsidRPr="00F25B85" w14:paraId="500F01BE" w14:textId="77777777" w:rsidTr="009E51DA">
        <w:tc>
          <w:tcPr>
            <w:tcW w:w="664" w:type="pct"/>
            <w:shd w:val="clear" w:color="auto" w:fill="auto"/>
          </w:tcPr>
          <w:p w14:paraId="32D2E677" w14:textId="77777777" w:rsidR="00F30591" w:rsidRDefault="00F30591" w:rsidP="00021522">
            <w:pPr>
              <w:spacing w:line="276" w:lineRule="auto"/>
              <w:jc w:val="both"/>
              <w:rPr>
                <w:rFonts w:ascii="David" w:hAnsi="David"/>
                <w:b/>
                <w:bCs/>
                <w:sz w:val="26"/>
                <w:rtl/>
              </w:rPr>
            </w:pPr>
          </w:p>
        </w:tc>
        <w:tc>
          <w:tcPr>
            <w:tcW w:w="325" w:type="pct"/>
            <w:shd w:val="clear" w:color="auto" w:fill="auto"/>
          </w:tcPr>
          <w:p w14:paraId="5FE02730" w14:textId="77777777" w:rsidR="00F30591" w:rsidRDefault="00F30591" w:rsidP="00021522">
            <w:pPr>
              <w:spacing w:line="276" w:lineRule="auto"/>
              <w:jc w:val="both"/>
              <w:rPr>
                <w:rFonts w:ascii="David" w:hAnsi="David"/>
                <w:sz w:val="26"/>
                <w:rtl/>
              </w:rPr>
            </w:pPr>
          </w:p>
        </w:tc>
        <w:tc>
          <w:tcPr>
            <w:tcW w:w="313" w:type="pct"/>
            <w:shd w:val="clear" w:color="auto" w:fill="auto"/>
          </w:tcPr>
          <w:p w14:paraId="354C52FA" w14:textId="77777777" w:rsidR="00F30591" w:rsidRDefault="00F30591" w:rsidP="00021522">
            <w:pPr>
              <w:spacing w:line="276" w:lineRule="auto"/>
              <w:ind w:left="29"/>
              <w:jc w:val="both"/>
              <w:rPr>
                <w:rFonts w:ascii="David" w:eastAsia="Calibri" w:hAnsi="David"/>
                <w:sz w:val="26"/>
                <w:rtl/>
                <w:lang w:eastAsia="en-US"/>
              </w:rPr>
            </w:pPr>
          </w:p>
        </w:tc>
        <w:tc>
          <w:tcPr>
            <w:tcW w:w="3698" w:type="pct"/>
            <w:gridSpan w:val="5"/>
            <w:shd w:val="clear" w:color="auto" w:fill="auto"/>
          </w:tcPr>
          <w:p w14:paraId="4C1801EF" w14:textId="77777777" w:rsidR="00F30591" w:rsidRPr="00F30591" w:rsidRDefault="00F30591" w:rsidP="00021522">
            <w:pPr>
              <w:spacing w:line="276" w:lineRule="auto"/>
              <w:ind w:left="29"/>
              <w:jc w:val="both"/>
              <w:rPr>
                <w:rtl/>
              </w:rPr>
            </w:pPr>
          </w:p>
        </w:tc>
      </w:tr>
      <w:tr w:rsidR="00C4269E" w:rsidRPr="00F25B85" w14:paraId="0EFBE921" w14:textId="77777777" w:rsidTr="009E51DA">
        <w:tc>
          <w:tcPr>
            <w:tcW w:w="664" w:type="pct"/>
            <w:shd w:val="clear" w:color="auto" w:fill="auto"/>
          </w:tcPr>
          <w:p w14:paraId="0CE43FC8" w14:textId="20F79A57" w:rsidR="00F30591" w:rsidRDefault="00F30591" w:rsidP="00021522">
            <w:pPr>
              <w:spacing w:line="276" w:lineRule="auto"/>
              <w:jc w:val="both"/>
              <w:rPr>
                <w:rFonts w:ascii="David" w:hAnsi="David"/>
                <w:b/>
                <w:bCs/>
                <w:sz w:val="26"/>
                <w:rtl/>
              </w:rPr>
            </w:pPr>
          </w:p>
        </w:tc>
        <w:tc>
          <w:tcPr>
            <w:tcW w:w="325" w:type="pct"/>
            <w:shd w:val="clear" w:color="auto" w:fill="auto"/>
          </w:tcPr>
          <w:p w14:paraId="2B6F9BA6" w14:textId="55E8B081" w:rsidR="00F30591" w:rsidRDefault="00F30591" w:rsidP="00021522">
            <w:pPr>
              <w:spacing w:line="276" w:lineRule="auto"/>
              <w:jc w:val="both"/>
              <w:rPr>
                <w:rFonts w:ascii="David" w:hAnsi="David"/>
                <w:sz w:val="26"/>
                <w:rtl/>
              </w:rPr>
            </w:pPr>
          </w:p>
        </w:tc>
        <w:tc>
          <w:tcPr>
            <w:tcW w:w="4011" w:type="pct"/>
            <w:gridSpan w:val="6"/>
            <w:shd w:val="clear" w:color="auto" w:fill="auto"/>
          </w:tcPr>
          <w:p w14:paraId="31651C50" w14:textId="7B366EAA" w:rsidR="00F30591" w:rsidRPr="00F30591" w:rsidRDefault="00F30591" w:rsidP="00021522">
            <w:pPr>
              <w:spacing w:line="276" w:lineRule="auto"/>
              <w:ind w:left="29"/>
              <w:jc w:val="both"/>
              <w:rPr>
                <w:rtl/>
              </w:rPr>
            </w:pPr>
          </w:p>
        </w:tc>
      </w:tr>
      <w:tr w:rsidR="00572FA5" w:rsidRPr="00F25B85" w14:paraId="2B71C0D9" w14:textId="77777777" w:rsidTr="009E51DA">
        <w:tc>
          <w:tcPr>
            <w:tcW w:w="664" w:type="pct"/>
            <w:vMerge w:val="restart"/>
            <w:shd w:val="clear" w:color="auto" w:fill="auto"/>
          </w:tcPr>
          <w:p w14:paraId="6A901073" w14:textId="7C131F1B" w:rsidR="00572FA5" w:rsidRDefault="00572FA5" w:rsidP="001C02EB">
            <w:pPr>
              <w:spacing w:line="276" w:lineRule="auto"/>
              <w:jc w:val="both"/>
              <w:rPr>
                <w:rFonts w:ascii="David" w:hAnsi="David"/>
                <w:b/>
                <w:bCs/>
                <w:sz w:val="26"/>
                <w:rtl/>
              </w:rPr>
            </w:pPr>
            <w:r w:rsidRPr="00F30591">
              <w:rPr>
                <w:rFonts w:ascii="David" w:hAnsi="David"/>
                <w:b/>
                <w:bCs/>
                <w:sz w:val="26"/>
                <w:rtl/>
              </w:rPr>
              <w:t>הטלת עונש של התליית רישיון או היתר עיסוק</w:t>
            </w:r>
          </w:p>
        </w:tc>
        <w:tc>
          <w:tcPr>
            <w:tcW w:w="325" w:type="pct"/>
            <w:shd w:val="clear" w:color="auto" w:fill="auto"/>
          </w:tcPr>
          <w:p w14:paraId="33D3F4D4" w14:textId="049D5A8E" w:rsidR="00572FA5" w:rsidRDefault="00572FA5" w:rsidP="001C02EB">
            <w:pPr>
              <w:spacing w:line="276" w:lineRule="auto"/>
              <w:jc w:val="both"/>
              <w:rPr>
                <w:rFonts w:ascii="David" w:hAnsi="David"/>
                <w:sz w:val="26"/>
                <w:rtl/>
              </w:rPr>
            </w:pPr>
            <w:r>
              <w:rPr>
                <w:rFonts w:ascii="David" w:hAnsi="David" w:hint="cs"/>
                <w:sz w:val="26"/>
                <w:rtl/>
              </w:rPr>
              <w:t>11.</w:t>
            </w:r>
          </w:p>
        </w:tc>
        <w:tc>
          <w:tcPr>
            <w:tcW w:w="313" w:type="pct"/>
            <w:shd w:val="clear" w:color="auto" w:fill="auto"/>
          </w:tcPr>
          <w:p w14:paraId="656435D1" w14:textId="640008D6" w:rsidR="00572FA5" w:rsidRDefault="00572FA5" w:rsidP="001C02EB">
            <w:pPr>
              <w:spacing w:line="276" w:lineRule="auto"/>
              <w:ind w:left="29"/>
              <w:jc w:val="both"/>
              <w:rPr>
                <w:rFonts w:ascii="David" w:eastAsia="Calibri" w:hAnsi="David"/>
                <w:sz w:val="26"/>
                <w:rtl/>
                <w:lang w:eastAsia="en-US"/>
              </w:rPr>
            </w:pPr>
            <w:r>
              <w:rPr>
                <w:rFonts w:ascii="David" w:eastAsia="Calibri" w:hAnsi="David" w:hint="cs"/>
                <w:sz w:val="26"/>
                <w:rtl/>
                <w:lang w:eastAsia="en-US"/>
              </w:rPr>
              <w:t>(א)</w:t>
            </w:r>
          </w:p>
        </w:tc>
        <w:tc>
          <w:tcPr>
            <w:tcW w:w="3698" w:type="pct"/>
            <w:gridSpan w:val="5"/>
            <w:shd w:val="clear" w:color="auto" w:fill="auto"/>
          </w:tcPr>
          <w:p w14:paraId="507173BC" w14:textId="7BD0E347" w:rsidR="00572FA5" w:rsidRPr="00F30591" w:rsidRDefault="00572FA5" w:rsidP="001C02EB">
            <w:pPr>
              <w:spacing w:line="276" w:lineRule="auto"/>
              <w:ind w:left="29"/>
              <w:jc w:val="both"/>
              <w:rPr>
                <w:rtl/>
              </w:rPr>
            </w:pPr>
            <w:r w:rsidRPr="001C02EB">
              <w:rPr>
                <w:rtl/>
              </w:rPr>
              <w:t xml:space="preserve">הורשע יחיד או תאגיד בעבירה לפי סעיף </w:t>
            </w:r>
            <w:r>
              <w:rPr>
                <w:rFonts w:hint="cs"/>
                <w:rtl/>
              </w:rPr>
              <w:t>2</w:t>
            </w:r>
            <w:r w:rsidRPr="001C02EB">
              <w:rPr>
                <w:rtl/>
              </w:rPr>
              <w:t>, רשאי בית המשפט, נוסף על כל עונש אחר, לצוות על התליית רישיון או היתר עיסוק שניתנו על פי כל דין, בעיסוק הקשור בעבירה, לתקופה שלא תעלה על שישה חודשים.</w:t>
            </w:r>
          </w:p>
        </w:tc>
      </w:tr>
      <w:tr w:rsidR="00572FA5" w:rsidRPr="00F25B85" w14:paraId="3ECBD82B" w14:textId="77777777" w:rsidTr="009E51DA">
        <w:tc>
          <w:tcPr>
            <w:tcW w:w="664" w:type="pct"/>
            <w:vMerge/>
            <w:shd w:val="clear" w:color="auto" w:fill="auto"/>
          </w:tcPr>
          <w:p w14:paraId="70B6A6A5" w14:textId="77777777" w:rsidR="00572FA5" w:rsidRDefault="00572FA5" w:rsidP="001C02EB">
            <w:pPr>
              <w:spacing w:line="276" w:lineRule="auto"/>
              <w:jc w:val="both"/>
              <w:rPr>
                <w:rFonts w:ascii="David" w:hAnsi="David"/>
                <w:b/>
                <w:bCs/>
                <w:sz w:val="26"/>
                <w:rtl/>
              </w:rPr>
            </w:pPr>
          </w:p>
        </w:tc>
        <w:tc>
          <w:tcPr>
            <w:tcW w:w="325" w:type="pct"/>
            <w:shd w:val="clear" w:color="auto" w:fill="auto"/>
          </w:tcPr>
          <w:p w14:paraId="2A23F138" w14:textId="77777777" w:rsidR="00572FA5" w:rsidRDefault="00572FA5" w:rsidP="001C02EB">
            <w:pPr>
              <w:spacing w:line="276" w:lineRule="auto"/>
              <w:jc w:val="both"/>
              <w:rPr>
                <w:rFonts w:ascii="David" w:hAnsi="David"/>
                <w:sz w:val="26"/>
                <w:rtl/>
              </w:rPr>
            </w:pPr>
          </w:p>
        </w:tc>
        <w:tc>
          <w:tcPr>
            <w:tcW w:w="313" w:type="pct"/>
            <w:shd w:val="clear" w:color="auto" w:fill="auto"/>
          </w:tcPr>
          <w:p w14:paraId="3FE9ACC3" w14:textId="77777777" w:rsidR="00572FA5" w:rsidRDefault="00572FA5" w:rsidP="001C02EB">
            <w:pPr>
              <w:spacing w:line="276" w:lineRule="auto"/>
              <w:ind w:left="29"/>
              <w:jc w:val="both"/>
              <w:rPr>
                <w:rFonts w:ascii="David" w:eastAsia="Calibri" w:hAnsi="David"/>
                <w:sz w:val="26"/>
                <w:rtl/>
                <w:lang w:eastAsia="en-US"/>
              </w:rPr>
            </w:pPr>
          </w:p>
        </w:tc>
        <w:tc>
          <w:tcPr>
            <w:tcW w:w="3698" w:type="pct"/>
            <w:gridSpan w:val="5"/>
            <w:shd w:val="clear" w:color="auto" w:fill="auto"/>
          </w:tcPr>
          <w:p w14:paraId="02959042" w14:textId="77777777" w:rsidR="00572FA5" w:rsidRPr="00F30591" w:rsidRDefault="00572FA5" w:rsidP="001C02EB">
            <w:pPr>
              <w:spacing w:line="276" w:lineRule="auto"/>
              <w:ind w:left="29"/>
              <w:jc w:val="both"/>
              <w:rPr>
                <w:rtl/>
              </w:rPr>
            </w:pPr>
          </w:p>
        </w:tc>
      </w:tr>
      <w:tr w:rsidR="00572FA5" w:rsidRPr="00F25B85" w14:paraId="28CBE415" w14:textId="77777777" w:rsidTr="009E51DA">
        <w:tc>
          <w:tcPr>
            <w:tcW w:w="664" w:type="pct"/>
            <w:vMerge/>
            <w:shd w:val="clear" w:color="auto" w:fill="auto"/>
          </w:tcPr>
          <w:p w14:paraId="13AACAF0" w14:textId="77777777" w:rsidR="00572FA5" w:rsidRDefault="00572FA5" w:rsidP="001C02EB">
            <w:pPr>
              <w:spacing w:line="276" w:lineRule="auto"/>
              <w:jc w:val="both"/>
              <w:rPr>
                <w:rFonts w:ascii="David" w:hAnsi="David"/>
                <w:b/>
                <w:bCs/>
                <w:sz w:val="26"/>
                <w:rtl/>
              </w:rPr>
            </w:pPr>
          </w:p>
        </w:tc>
        <w:tc>
          <w:tcPr>
            <w:tcW w:w="325" w:type="pct"/>
            <w:shd w:val="clear" w:color="auto" w:fill="auto"/>
          </w:tcPr>
          <w:p w14:paraId="1A381BE0" w14:textId="77777777" w:rsidR="00572FA5" w:rsidRDefault="00572FA5" w:rsidP="001C02EB">
            <w:pPr>
              <w:spacing w:line="276" w:lineRule="auto"/>
              <w:jc w:val="both"/>
              <w:rPr>
                <w:rFonts w:ascii="David" w:hAnsi="David"/>
                <w:sz w:val="26"/>
                <w:rtl/>
              </w:rPr>
            </w:pPr>
          </w:p>
        </w:tc>
        <w:tc>
          <w:tcPr>
            <w:tcW w:w="313" w:type="pct"/>
            <w:shd w:val="clear" w:color="auto" w:fill="auto"/>
          </w:tcPr>
          <w:p w14:paraId="75922D2C" w14:textId="76AC989D" w:rsidR="00572FA5" w:rsidRDefault="00572FA5" w:rsidP="001C02EB">
            <w:pPr>
              <w:spacing w:line="276" w:lineRule="auto"/>
              <w:ind w:left="29"/>
              <w:jc w:val="both"/>
              <w:rPr>
                <w:rFonts w:ascii="David" w:eastAsia="Calibri" w:hAnsi="David"/>
                <w:sz w:val="26"/>
                <w:rtl/>
                <w:lang w:eastAsia="en-US"/>
              </w:rPr>
            </w:pPr>
            <w:r>
              <w:rPr>
                <w:rFonts w:ascii="David" w:eastAsia="Calibri" w:hAnsi="David" w:hint="cs"/>
                <w:sz w:val="26"/>
                <w:rtl/>
                <w:lang w:eastAsia="en-US"/>
              </w:rPr>
              <w:t>(ב)</w:t>
            </w:r>
          </w:p>
        </w:tc>
        <w:tc>
          <w:tcPr>
            <w:tcW w:w="3698" w:type="pct"/>
            <w:gridSpan w:val="5"/>
            <w:shd w:val="clear" w:color="auto" w:fill="auto"/>
          </w:tcPr>
          <w:p w14:paraId="03DBF829" w14:textId="5D4AB34B" w:rsidR="00572FA5" w:rsidRPr="00F30591" w:rsidRDefault="00572FA5" w:rsidP="001C02EB">
            <w:pPr>
              <w:spacing w:line="276" w:lineRule="auto"/>
              <w:ind w:left="29"/>
              <w:jc w:val="both"/>
              <w:rPr>
                <w:rtl/>
              </w:rPr>
            </w:pPr>
            <w:r w:rsidRPr="00F30591">
              <w:rPr>
                <w:rtl/>
              </w:rPr>
              <w:t>הורשע יחיד או תאגיד בעבירה לפי סעיף 3, יצווה בית המשפט, נוסף על כל עונש אחר, על התליית רישיון או היתר עיסוק שניתנו על פי כל דין, בעיסוק הקשר בעבירה, לתקופה שלא תעלה על שנה, אלא אם כן סבר שלא לעשות כן מטעמים מיוחדים שיירשמו.</w:t>
            </w:r>
          </w:p>
        </w:tc>
      </w:tr>
      <w:tr w:rsidR="00E10195" w:rsidRPr="00F25B85" w14:paraId="19B89096" w14:textId="77777777" w:rsidTr="009E51DA">
        <w:tc>
          <w:tcPr>
            <w:tcW w:w="664" w:type="pct"/>
            <w:shd w:val="clear" w:color="auto" w:fill="auto"/>
          </w:tcPr>
          <w:p w14:paraId="757B5364" w14:textId="77777777" w:rsidR="001C02EB" w:rsidRDefault="001C02EB" w:rsidP="001C02EB">
            <w:pPr>
              <w:spacing w:line="276" w:lineRule="auto"/>
              <w:jc w:val="both"/>
              <w:rPr>
                <w:rFonts w:ascii="David" w:hAnsi="David"/>
                <w:b/>
                <w:bCs/>
                <w:sz w:val="26"/>
                <w:rtl/>
              </w:rPr>
            </w:pPr>
          </w:p>
        </w:tc>
        <w:tc>
          <w:tcPr>
            <w:tcW w:w="325" w:type="pct"/>
            <w:shd w:val="clear" w:color="auto" w:fill="auto"/>
          </w:tcPr>
          <w:p w14:paraId="173B0975" w14:textId="77777777" w:rsidR="001C02EB" w:rsidRDefault="001C02EB" w:rsidP="001C02EB">
            <w:pPr>
              <w:spacing w:line="276" w:lineRule="auto"/>
              <w:jc w:val="both"/>
              <w:rPr>
                <w:rFonts w:ascii="David" w:hAnsi="David"/>
                <w:sz w:val="26"/>
                <w:rtl/>
              </w:rPr>
            </w:pPr>
          </w:p>
        </w:tc>
        <w:tc>
          <w:tcPr>
            <w:tcW w:w="313" w:type="pct"/>
            <w:shd w:val="clear" w:color="auto" w:fill="auto"/>
          </w:tcPr>
          <w:p w14:paraId="4EE69728" w14:textId="77777777" w:rsidR="001C02EB" w:rsidRDefault="001C02EB" w:rsidP="001C02EB">
            <w:pPr>
              <w:spacing w:line="276" w:lineRule="auto"/>
              <w:ind w:left="29"/>
              <w:jc w:val="both"/>
              <w:rPr>
                <w:rFonts w:ascii="David" w:eastAsia="Calibri" w:hAnsi="David"/>
                <w:sz w:val="26"/>
                <w:rtl/>
                <w:lang w:eastAsia="en-US"/>
              </w:rPr>
            </w:pPr>
          </w:p>
        </w:tc>
        <w:tc>
          <w:tcPr>
            <w:tcW w:w="3698" w:type="pct"/>
            <w:gridSpan w:val="5"/>
            <w:shd w:val="clear" w:color="auto" w:fill="auto"/>
          </w:tcPr>
          <w:p w14:paraId="7F41C892" w14:textId="77777777" w:rsidR="001C02EB" w:rsidRPr="00F30591" w:rsidRDefault="001C02EB" w:rsidP="001C02EB">
            <w:pPr>
              <w:spacing w:line="276" w:lineRule="auto"/>
              <w:ind w:left="29"/>
              <w:jc w:val="both"/>
              <w:rPr>
                <w:rtl/>
              </w:rPr>
            </w:pPr>
          </w:p>
        </w:tc>
      </w:tr>
      <w:tr w:rsidR="00C4269E" w:rsidRPr="00F25B85" w14:paraId="0091F478" w14:textId="77777777" w:rsidTr="009E51DA">
        <w:tc>
          <w:tcPr>
            <w:tcW w:w="664" w:type="pct"/>
            <w:shd w:val="clear" w:color="auto" w:fill="auto"/>
          </w:tcPr>
          <w:p w14:paraId="04BE6460" w14:textId="4D7F6FCD" w:rsidR="001C02EB" w:rsidRPr="00F30591" w:rsidRDefault="001C02EB" w:rsidP="001C02EB">
            <w:pPr>
              <w:spacing w:line="276" w:lineRule="auto"/>
              <w:jc w:val="both"/>
              <w:rPr>
                <w:rFonts w:ascii="David" w:hAnsi="David"/>
                <w:b/>
                <w:bCs/>
                <w:sz w:val="26"/>
                <w:rtl/>
              </w:rPr>
            </w:pPr>
            <w:r w:rsidRPr="00F30591">
              <w:rPr>
                <w:rFonts w:ascii="David" w:hAnsi="David"/>
                <w:b/>
                <w:bCs/>
                <w:sz w:val="26"/>
                <w:rtl/>
              </w:rPr>
              <w:t>הפרת צו הגבלת שימוש במקום</w:t>
            </w:r>
          </w:p>
        </w:tc>
        <w:tc>
          <w:tcPr>
            <w:tcW w:w="325" w:type="pct"/>
            <w:shd w:val="clear" w:color="auto" w:fill="auto"/>
          </w:tcPr>
          <w:p w14:paraId="171D7811" w14:textId="4BCB2C1E" w:rsidR="001C02EB" w:rsidRDefault="001C02EB" w:rsidP="001C02EB">
            <w:pPr>
              <w:spacing w:line="276" w:lineRule="auto"/>
              <w:jc w:val="both"/>
              <w:rPr>
                <w:rFonts w:ascii="David" w:hAnsi="David"/>
                <w:sz w:val="26"/>
                <w:rtl/>
              </w:rPr>
            </w:pPr>
            <w:r>
              <w:rPr>
                <w:rFonts w:ascii="David" w:hAnsi="David" w:hint="cs"/>
                <w:sz w:val="26"/>
                <w:rtl/>
              </w:rPr>
              <w:t>12.</w:t>
            </w:r>
          </w:p>
        </w:tc>
        <w:tc>
          <w:tcPr>
            <w:tcW w:w="313" w:type="pct"/>
            <w:shd w:val="clear" w:color="auto" w:fill="auto"/>
          </w:tcPr>
          <w:p w14:paraId="6093D8B3" w14:textId="46388255" w:rsidR="001C02EB" w:rsidRDefault="001C02EB" w:rsidP="001C02EB">
            <w:pPr>
              <w:spacing w:line="276" w:lineRule="auto"/>
              <w:ind w:left="29"/>
              <w:jc w:val="both"/>
              <w:rPr>
                <w:rFonts w:ascii="David" w:eastAsia="Calibri" w:hAnsi="David"/>
                <w:sz w:val="26"/>
                <w:rtl/>
                <w:lang w:eastAsia="en-US"/>
              </w:rPr>
            </w:pPr>
            <w:r>
              <w:rPr>
                <w:rFonts w:ascii="David" w:eastAsia="Calibri" w:hAnsi="David" w:hint="cs"/>
                <w:sz w:val="26"/>
                <w:rtl/>
                <w:lang w:eastAsia="en-US"/>
              </w:rPr>
              <w:t>(א)</w:t>
            </w:r>
          </w:p>
        </w:tc>
        <w:tc>
          <w:tcPr>
            <w:tcW w:w="3698" w:type="pct"/>
            <w:gridSpan w:val="5"/>
            <w:shd w:val="clear" w:color="auto" w:fill="auto"/>
          </w:tcPr>
          <w:p w14:paraId="22ED3188" w14:textId="78C5B9F5" w:rsidR="001C02EB" w:rsidRPr="00F30591" w:rsidRDefault="001C02EB" w:rsidP="001C02EB">
            <w:pPr>
              <w:spacing w:line="276" w:lineRule="auto"/>
              <w:ind w:left="29"/>
              <w:jc w:val="both"/>
              <w:rPr>
                <w:rtl/>
              </w:rPr>
            </w:pPr>
            <w:r w:rsidRPr="00F30591">
              <w:rPr>
                <w:rtl/>
              </w:rPr>
              <w:t>הופרו הוראות צו הגבלה מינהלי או צו הגבלה שיפוטי, ובכלל זה דרישה למתן ערובה, רשאי קצין משטרה מוסמך להורות על סגירת המקום שלגביו ניתן הצו כאמור, לאלתר, לתקופה שתסתיים לא יאוחר מתום תקופת תוקפו של צו ההגבלה שניתן.</w:t>
            </w:r>
          </w:p>
        </w:tc>
      </w:tr>
      <w:tr w:rsidR="00C4269E" w:rsidRPr="00F25B85" w14:paraId="462F1DBE" w14:textId="77777777" w:rsidTr="009E51DA">
        <w:tc>
          <w:tcPr>
            <w:tcW w:w="664" w:type="pct"/>
            <w:shd w:val="clear" w:color="auto" w:fill="auto"/>
          </w:tcPr>
          <w:p w14:paraId="579AF915" w14:textId="77777777" w:rsidR="001C02EB" w:rsidRDefault="001C02EB" w:rsidP="001C02EB">
            <w:pPr>
              <w:spacing w:line="276" w:lineRule="auto"/>
              <w:jc w:val="both"/>
              <w:rPr>
                <w:rFonts w:ascii="David" w:hAnsi="David"/>
                <w:b/>
                <w:bCs/>
                <w:sz w:val="26"/>
                <w:rtl/>
              </w:rPr>
            </w:pPr>
          </w:p>
        </w:tc>
        <w:tc>
          <w:tcPr>
            <w:tcW w:w="325" w:type="pct"/>
            <w:shd w:val="clear" w:color="auto" w:fill="auto"/>
          </w:tcPr>
          <w:p w14:paraId="6F526D0C" w14:textId="77777777" w:rsidR="001C02EB" w:rsidRDefault="001C02EB" w:rsidP="001C02EB">
            <w:pPr>
              <w:spacing w:line="276" w:lineRule="auto"/>
              <w:jc w:val="both"/>
              <w:rPr>
                <w:rFonts w:ascii="David" w:hAnsi="David"/>
                <w:sz w:val="26"/>
                <w:rtl/>
              </w:rPr>
            </w:pPr>
          </w:p>
        </w:tc>
        <w:tc>
          <w:tcPr>
            <w:tcW w:w="313" w:type="pct"/>
            <w:shd w:val="clear" w:color="auto" w:fill="auto"/>
          </w:tcPr>
          <w:p w14:paraId="482E5E12" w14:textId="77777777" w:rsidR="001C02EB" w:rsidRDefault="001C02EB" w:rsidP="001C02EB">
            <w:pPr>
              <w:spacing w:line="276" w:lineRule="auto"/>
              <w:ind w:left="29"/>
              <w:jc w:val="both"/>
              <w:rPr>
                <w:rFonts w:ascii="David" w:eastAsia="Calibri" w:hAnsi="David"/>
                <w:sz w:val="26"/>
                <w:rtl/>
                <w:lang w:eastAsia="en-US"/>
              </w:rPr>
            </w:pPr>
          </w:p>
        </w:tc>
        <w:tc>
          <w:tcPr>
            <w:tcW w:w="3698" w:type="pct"/>
            <w:gridSpan w:val="5"/>
            <w:shd w:val="clear" w:color="auto" w:fill="auto"/>
          </w:tcPr>
          <w:p w14:paraId="35DBA3FE" w14:textId="77777777" w:rsidR="001C02EB" w:rsidRPr="00F30591" w:rsidRDefault="001C02EB" w:rsidP="001C02EB">
            <w:pPr>
              <w:spacing w:line="276" w:lineRule="auto"/>
              <w:ind w:left="29"/>
              <w:jc w:val="both"/>
              <w:rPr>
                <w:rtl/>
              </w:rPr>
            </w:pPr>
          </w:p>
        </w:tc>
      </w:tr>
      <w:tr w:rsidR="00C4269E" w:rsidRPr="00F25B85" w14:paraId="5829A650" w14:textId="77777777" w:rsidTr="009E51DA">
        <w:tc>
          <w:tcPr>
            <w:tcW w:w="664" w:type="pct"/>
            <w:shd w:val="clear" w:color="auto" w:fill="auto"/>
          </w:tcPr>
          <w:p w14:paraId="180B2611" w14:textId="77777777" w:rsidR="001C02EB" w:rsidRDefault="001C02EB" w:rsidP="001C02EB">
            <w:pPr>
              <w:spacing w:line="276" w:lineRule="auto"/>
              <w:jc w:val="both"/>
              <w:rPr>
                <w:rFonts w:ascii="David" w:hAnsi="David"/>
                <w:b/>
                <w:bCs/>
                <w:sz w:val="26"/>
                <w:rtl/>
              </w:rPr>
            </w:pPr>
          </w:p>
        </w:tc>
        <w:tc>
          <w:tcPr>
            <w:tcW w:w="325" w:type="pct"/>
            <w:shd w:val="clear" w:color="auto" w:fill="auto"/>
          </w:tcPr>
          <w:p w14:paraId="7EC00D20" w14:textId="77777777" w:rsidR="001C02EB" w:rsidRDefault="001C02EB" w:rsidP="001C02EB">
            <w:pPr>
              <w:spacing w:line="276" w:lineRule="auto"/>
              <w:jc w:val="both"/>
              <w:rPr>
                <w:rFonts w:ascii="David" w:hAnsi="David"/>
                <w:sz w:val="26"/>
                <w:rtl/>
              </w:rPr>
            </w:pPr>
          </w:p>
        </w:tc>
        <w:tc>
          <w:tcPr>
            <w:tcW w:w="313" w:type="pct"/>
            <w:shd w:val="clear" w:color="auto" w:fill="auto"/>
          </w:tcPr>
          <w:p w14:paraId="28C4723F" w14:textId="404DCDBA" w:rsidR="001C02EB" w:rsidRDefault="001C02EB" w:rsidP="001C02EB">
            <w:pPr>
              <w:spacing w:line="276" w:lineRule="auto"/>
              <w:ind w:left="29"/>
              <w:jc w:val="both"/>
              <w:rPr>
                <w:rFonts w:ascii="David" w:eastAsia="Calibri" w:hAnsi="David"/>
                <w:sz w:val="26"/>
                <w:rtl/>
                <w:lang w:eastAsia="en-US"/>
              </w:rPr>
            </w:pPr>
            <w:r>
              <w:rPr>
                <w:rFonts w:ascii="David" w:eastAsia="Calibri" w:hAnsi="David" w:hint="cs"/>
                <w:sz w:val="26"/>
                <w:rtl/>
                <w:lang w:eastAsia="en-US"/>
              </w:rPr>
              <w:t>(ב)</w:t>
            </w:r>
          </w:p>
        </w:tc>
        <w:tc>
          <w:tcPr>
            <w:tcW w:w="3698" w:type="pct"/>
            <w:gridSpan w:val="5"/>
            <w:shd w:val="clear" w:color="auto" w:fill="auto"/>
          </w:tcPr>
          <w:p w14:paraId="135FAAD7" w14:textId="34D6AACA" w:rsidR="001C02EB" w:rsidRPr="00F30591" w:rsidRDefault="001C02EB" w:rsidP="001C02EB">
            <w:pPr>
              <w:spacing w:line="276" w:lineRule="auto"/>
              <w:ind w:left="29"/>
              <w:jc w:val="both"/>
              <w:rPr>
                <w:rtl/>
              </w:rPr>
            </w:pPr>
            <w:r w:rsidRPr="00F30591">
              <w:rPr>
                <w:rtl/>
              </w:rPr>
              <w:t>המפר הוראות צו הגבלה מינהלי או צו הגבלה שיפוטי, דינו – מאסר שנתיים.</w:t>
            </w:r>
          </w:p>
        </w:tc>
      </w:tr>
      <w:tr w:rsidR="00C4269E" w:rsidRPr="00F25B85" w14:paraId="60FB025F" w14:textId="77777777" w:rsidTr="009E51DA">
        <w:tc>
          <w:tcPr>
            <w:tcW w:w="664" w:type="pct"/>
            <w:shd w:val="clear" w:color="auto" w:fill="auto"/>
          </w:tcPr>
          <w:p w14:paraId="78F499F7" w14:textId="77777777" w:rsidR="001C02EB" w:rsidRDefault="001C02EB" w:rsidP="001C02EB">
            <w:pPr>
              <w:spacing w:line="276" w:lineRule="auto"/>
              <w:jc w:val="both"/>
              <w:rPr>
                <w:rFonts w:ascii="David" w:hAnsi="David"/>
                <w:b/>
                <w:bCs/>
                <w:sz w:val="26"/>
                <w:rtl/>
              </w:rPr>
            </w:pPr>
          </w:p>
        </w:tc>
        <w:tc>
          <w:tcPr>
            <w:tcW w:w="325" w:type="pct"/>
            <w:shd w:val="clear" w:color="auto" w:fill="auto"/>
          </w:tcPr>
          <w:p w14:paraId="5AC38693" w14:textId="77777777" w:rsidR="001C02EB" w:rsidRDefault="001C02EB" w:rsidP="001C02EB">
            <w:pPr>
              <w:spacing w:line="276" w:lineRule="auto"/>
              <w:jc w:val="both"/>
              <w:rPr>
                <w:rFonts w:ascii="David" w:hAnsi="David"/>
                <w:sz w:val="26"/>
                <w:rtl/>
              </w:rPr>
            </w:pPr>
          </w:p>
        </w:tc>
        <w:tc>
          <w:tcPr>
            <w:tcW w:w="313" w:type="pct"/>
            <w:shd w:val="clear" w:color="auto" w:fill="auto"/>
          </w:tcPr>
          <w:p w14:paraId="1A0E9A55" w14:textId="77777777" w:rsidR="001C02EB" w:rsidRDefault="001C02EB" w:rsidP="001C02EB">
            <w:pPr>
              <w:spacing w:line="276" w:lineRule="auto"/>
              <w:ind w:left="29"/>
              <w:jc w:val="both"/>
              <w:rPr>
                <w:rFonts w:ascii="David" w:eastAsia="Calibri" w:hAnsi="David"/>
                <w:sz w:val="26"/>
                <w:rtl/>
                <w:lang w:eastAsia="en-US"/>
              </w:rPr>
            </w:pPr>
          </w:p>
        </w:tc>
        <w:tc>
          <w:tcPr>
            <w:tcW w:w="3698" w:type="pct"/>
            <w:gridSpan w:val="5"/>
            <w:shd w:val="clear" w:color="auto" w:fill="auto"/>
          </w:tcPr>
          <w:p w14:paraId="3D437C0E" w14:textId="77777777" w:rsidR="001C02EB" w:rsidRPr="00F30591" w:rsidRDefault="001C02EB" w:rsidP="001C02EB">
            <w:pPr>
              <w:spacing w:line="276" w:lineRule="auto"/>
              <w:ind w:left="29"/>
              <w:jc w:val="both"/>
              <w:rPr>
                <w:rtl/>
              </w:rPr>
            </w:pPr>
          </w:p>
        </w:tc>
      </w:tr>
      <w:tr w:rsidR="00C4269E" w:rsidRPr="00F25B85" w14:paraId="6B8A33F8" w14:textId="77777777" w:rsidTr="009E51DA">
        <w:tc>
          <w:tcPr>
            <w:tcW w:w="664" w:type="pct"/>
            <w:shd w:val="clear" w:color="auto" w:fill="auto"/>
          </w:tcPr>
          <w:p w14:paraId="6D6BC7DA" w14:textId="77777777" w:rsidR="001C02EB" w:rsidRDefault="001C02EB" w:rsidP="001C02EB">
            <w:pPr>
              <w:spacing w:line="276" w:lineRule="auto"/>
              <w:jc w:val="both"/>
              <w:rPr>
                <w:rFonts w:ascii="David" w:hAnsi="David"/>
                <w:b/>
                <w:bCs/>
                <w:sz w:val="26"/>
                <w:rtl/>
              </w:rPr>
            </w:pPr>
          </w:p>
        </w:tc>
        <w:tc>
          <w:tcPr>
            <w:tcW w:w="325" w:type="pct"/>
            <w:shd w:val="clear" w:color="auto" w:fill="auto"/>
          </w:tcPr>
          <w:p w14:paraId="5ADED846" w14:textId="77777777" w:rsidR="001C02EB" w:rsidRDefault="001C02EB" w:rsidP="001C02EB">
            <w:pPr>
              <w:spacing w:line="276" w:lineRule="auto"/>
              <w:jc w:val="both"/>
              <w:rPr>
                <w:rFonts w:ascii="David" w:hAnsi="David"/>
                <w:sz w:val="26"/>
                <w:rtl/>
              </w:rPr>
            </w:pPr>
          </w:p>
        </w:tc>
        <w:tc>
          <w:tcPr>
            <w:tcW w:w="313" w:type="pct"/>
            <w:shd w:val="clear" w:color="auto" w:fill="auto"/>
          </w:tcPr>
          <w:p w14:paraId="321BECCB" w14:textId="4AB4D276" w:rsidR="001C02EB" w:rsidRDefault="001C02EB" w:rsidP="001C02EB">
            <w:pPr>
              <w:spacing w:line="276" w:lineRule="auto"/>
              <w:ind w:left="29"/>
              <w:jc w:val="both"/>
              <w:rPr>
                <w:rFonts w:ascii="David" w:eastAsia="Calibri" w:hAnsi="David"/>
                <w:sz w:val="26"/>
                <w:rtl/>
                <w:lang w:eastAsia="en-US"/>
              </w:rPr>
            </w:pPr>
            <w:r>
              <w:rPr>
                <w:rFonts w:ascii="David" w:eastAsia="Calibri" w:hAnsi="David" w:hint="cs"/>
                <w:sz w:val="26"/>
                <w:rtl/>
                <w:lang w:eastAsia="en-US"/>
              </w:rPr>
              <w:t>(ג)</w:t>
            </w:r>
          </w:p>
        </w:tc>
        <w:tc>
          <w:tcPr>
            <w:tcW w:w="3698" w:type="pct"/>
            <w:gridSpan w:val="5"/>
            <w:shd w:val="clear" w:color="auto" w:fill="auto"/>
          </w:tcPr>
          <w:p w14:paraId="7457E8C8" w14:textId="0E5D095D" w:rsidR="001C02EB" w:rsidRPr="00F30591" w:rsidRDefault="001C02EB" w:rsidP="001C02EB">
            <w:pPr>
              <w:spacing w:line="276" w:lineRule="auto"/>
              <w:ind w:left="29"/>
              <w:jc w:val="both"/>
              <w:rPr>
                <w:rtl/>
              </w:rPr>
            </w:pPr>
            <w:r w:rsidRPr="00F30591">
              <w:rPr>
                <w:rtl/>
              </w:rPr>
              <w:t>שופט הדן בעניינו של מפר צו הגבלה מינהלי או צו הגבלה שיפוטי רשאי, נוסף על כל עונש, להורות על חילוט הערובה שנדרשה בצו; ואולם בקשה לחילוט ערובה שניתנה על ידי ערב לא תידון אלא לאחר שניתנה לערב הזדמנות להשמיע את טענותיו.</w:t>
            </w:r>
          </w:p>
        </w:tc>
      </w:tr>
      <w:tr w:rsidR="00C4269E" w:rsidRPr="00F25B85" w14:paraId="0DAE56AA" w14:textId="77777777" w:rsidTr="009E51DA">
        <w:tc>
          <w:tcPr>
            <w:tcW w:w="664" w:type="pct"/>
            <w:shd w:val="clear" w:color="auto" w:fill="auto"/>
          </w:tcPr>
          <w:p w14:paraId="67F79658" w14:textId="77777777" w:rsidR="001C02EB" w:rsidRDefault="001C02EB" w:rsidP="001C02EB">
            <w:pPr>
              <w:spacing w:line="276" w:lineRule="auto"/>
              <w:jc w:val="both"/>
              <w:rPr>
                <w:rFonts w:ascii="David" w:hAnsi="David"/>
                <w:b/>
                <w:bCs/>
                <w:sz w:val="26"/>
                <w:rtl/>
              </w:rPr>
            </w:pPr>
          </w:p>
        </w:tc>
        <w:tc>
          <w:tcPr>
            <w:tcW w:w="325" w:type="pct"/>
            <w:shd w:val="clear" w:color="auto" w:fill="auto"/>
          </w:tcPr>
          <w:p w14:paraId="204F9DFD" w14:textId="77777777" w:rsidR="001C02EB" w:rsidRDefault="001C02EB" w:rsidP="001C02EB">
            <w:pPr>
              <w:spacing w:line="276" w:lineRule="auto"/>
              <w:jc w:val="both"/>
              <w:rPr>
                <w:rFonts w:ascii="David" w:hAnsi="David"/>
                <w:sz w:val="26"/>
                <w:rtl/>
              </w:rPr>
            </w:pPr>
          </w:p>
        </w:tc>
        <w:tc>
          <w:tcPr>
            <w:tcW w:w="313" w:type="pct"/>
            <w:shd w:val="clear" w:color="auto" w:fill="auto"/>
          </w:tcPr>
          <w:p w14:paraId="296CBB98" w14:textId="77777777" w:rsidR="001C02EB" w:rsidRDefault="001C02EB" w:rsidP="001C02EB">
            <w:pPr>
              <w:spacing w:line="276" w:lineRule="auto"/>
              <w:ind w:left="29"/>
              <w:jc w:val="both"/>
              <w:rPr>
                <w:rFonts w:ascii="David" w:eastAsia="Calibri" w:hAnsi="David"/>
                <w:sz w:val="26"/>
                <w:rtl/>
                <w:lang w:eastAsia="en-US"/>
              </w:rPr>
            </w:pPr>
          </w:p>
        </w:tc>
        <w:tc>
          <w:tcPr>
            <w:tcW w:w="3698" w:type="pct"/>
            <w:gridSpan w:val="5"/>
            <w:shd w:val="clear" w:color="auto" w:fill="auto"/>
          </w:tcPr>
          <w:p w14:paraId="4B657109" w14:textId="77777777" w:rsidR="001C02EB" w:rsidRPr="00D41F27" w:rsidRDefault="001C02EB" w:rsidP="001C02EB">
            <w:pPr>
              <w:spacing w:line="276" w:lineRule="auto"/>
              <w:ind w:left="29"/>
              <w:jc w:val="both"/>
              <w:rPr>
                <w:rtl/>
              </w:rPr>
            </w:pPr>
          </w:p>
        </w:tc>
      </w:tr>
      <w:tr w:rsidR="00C4269E" w:rsidRPr="00F25B85" w14:paraId="2FA07EBF" w14:textId="77777777" w:rsidTr="009E51DA">
        <w:tc>
          <w:tcPr>
            <w:tcW w:w="664" w:type="pct"/>
            <w:shd w:val="clear" w:color="auto" w:fill="auto"/>
          </w:tcPr>
          <w:p w14:paraId="75CE5159" w14:textId="05D09642" w:rsidR="001C02EB" w:rsidRPr="00D23B24" w:rsidRDefault="001C02EB" w:rsidP="001C02EB">
            <w:pPr>
              <w:spacing w:line="276" w:lineRule="auto"/>
              <w:jc w:val="both"/>
              <w:rPr>
                <w:rFonts w:ascii="David" w:hAnsi="David"/>
                <w:b/>
                <w:bCs/>
                <w:sz w:val="26"/>
                <w:rtl/>
              </w:rPr>
            </w:pPr>
            <w:r>
              <w:rPr>
                <w:rFonts w:ascii="David" w:hAnsi="David" w:hint="cs"/>
                <w:b/>
                <w:bCs/>
                <w:sz w:val="26"/>
                <w:rtl/>
              </w:rPr>
              <w:lastRenderedPageBreak/>
              <w:t xml:space="preserve">קביעת עונש מזערי </w:t>
            </w:r>
            <w:r>
              <w:rPr>
                <w:rFonts w:ascii="David" w:hAnsi="David"/>
                <w:b/>
                <w:bCs/>
                <w:sz w:val="26"/>
                <w:rtl/>
              </w:rPr>
              <w:t>–</w:t>
            </w:r>
            <w:r>
              <w:rPr>
                <w:rFonts w:ascii="David" w:hAnsi="David" w:hint="cs"/>
                <w:b/>
                <w:bCs/>
                <w:sz w:val="26"/>
                <w:rtl/>
              </w:rPr>
              <w:t xml:space="preserve"> הוראת שעה</w:t>
            </w:r>
          </w:p>
        </w:tc>
        <w:tc>
          <w:tcPr>
            <w:tcW w:w="325" w:type="pct"/>
            <w:shd w:val="clear" w:color="auto" w:fill="auto"/>
          </w:tcPr>
          <w:p w14:paraId="0713B9A6" w14:textId="67C2C491" w:rsidR="001C02EB" w:rsidRPr="00D23B24" w:rsidRDefault="001C02EB" w:rsidP="001C02EB">
            <w:pPr>
              <w:spacing w:line="276" w:lineRule="auto"/>
              <w:jc w:val="both"/>
              <w:rPr>
                <w:rFonts w:ascii="David" w:hAnsi="David"/>
                <w:sz w:val="26"/>
                <w:rtl/>
              </w:rPr>
            </w:pPr>
            <w:r>
              <w:rPr>
                <w:rFonts w:ascii="David" w:hAnsi="David" w:hint="cs"/>
                <w:sz w:val="26"/>
                <w:rtl/>
              </w:rPr>
              <w:t>13.</w:t>
            </w:r>
          </w:p>
        </w:tc>
        <w:tc>
          <w:tcPr>
            <w:tcW w:w="313" w:type="pct"/>
            <w:shd w:val="clear" w:color="auto" w:fill="auto"/>
          </w:tcPr>
          <w:p w14:paraId="7E7CDC19" w14:textId="69B1E9AD" w:rsidR="001C02EB" w:rsidRPr="00D23B24" w:rsidRDefault="001C02EB" w:rsidP="001C02EB">
            <w:pPr>
              <w:spacing w:line="276" w:lineRule="auto"/>
              <w:ind w:left="29"/>
              <w:jc w:val="both"/>
              <w:rPr>
                <w:rFonts w:ascii="David" w:hAnsi="David"/>
                <w:sz w:val="26"/>
                <w:rtl/>
              </w:rPr>
            </w:pPr>
            <w:r>
              <w:rPr>
                <w:rFonts w:ascii="David" w:eastAsia="Calibri" w:hAnsi="David" w:hint="cs"/>
                <w:sz w:val="26"/>
                <w:rtl/>
                <w:lang w:eastAsia="en-US"/>
              </w:rPr>
              <w:t>(א)</w:t>
            </w:r>
          </w:p>
        </w:tc>
        <w:tc>
          <w:tcPr>
            <w:tcW w:w="3698" w:type="pct"/>
            <w:gridSpan w:val="5"/>
            <w:shd w:val="clear" w:color="auto" w:fill="auto"/>
          </w:tcPr>
          <w:p w14:paraId="1AC5C197" w14:textId="695E7A85" w:rsidR="001C02EB" w:rsidRPr="00D23B24" w:rsidRDefault="001C02EB" w:rsidP="001C02EB">
            <w:pPr>
              <w:spacing w:line="276" w:lineRule="auto"/>
              <w:ind w:left="29"/>
              <w:jc w:val="both"/>
              <w:rPr>
                <w:rFonts w:ascii="David" w:hAnsi="David"/>
                <w:sz w:val="26"/>
                <w:rtl/>
              </w:rPr>
            </w:pPr>
            <w:r w:rsidRPr="00D41F27">
              <w:rPr>
                <w:rtl/>
              </w:rPr>
              <w:t xml:space="preserve">הורשע אדם בעבירה לפי סעיפים </w:t>
            </w:r>
            <w:r>
              <w:rPr>
                <w:rFonts w:hint="cs"/>
                <w:rtl/>
              </w:rPr>
              <w:t>2 או 3 לצו זה</w:t>
            </w:r>
            <w:r w:rsidRPr="00D41F27">
              <w:rPr>
                <w:rtl/>
              </w:rPr>
              <w:t>, לא יפחת עונשו מרבע העונש המרבי שנקבע לאותה עבירה, אלא אם כן החליט בית המשפט, מטעמים מיוחדים שיירשמו, להקל בעונשו; עונש מאסר לפי סעיף קטן זה לא יהיה, בהיעדר טעמים מיוחדים, כולו על־תנאי</w:t>
            </w:r>
            <w:r>
              <w:rPr>
                <w:rFonts w:ascii="David" w:eastAsia="Calibri" w:hAnsi="David" w:hint="cs"/>
                <w:sz w:val="26"/>
                <w:rtl/>
                <w:lang w:eastAsia="en-US"/>
              </w:rPr>
              <w:t>.</w:t>
            </w:r>
          </w:p>
        </w:tc>
      </w:tr>
      <w:tr w:rsidR="00C4269E" w:rsidRPr="00F25B85" w14:paraId="59DDBA4E" w14:textId="77777777" w:rsidTr="009E51DA">
        <w:tc>
          <w:tcPr>
            <w:tcW w:w="664" w:type="pct"/>
            <w:shd w:val="clear" w:color="auto" w:fill="auto"/>
          </w:tcPr>
          <w:p w14:paraId="472BF5EB"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7C862563"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4155522F" w14:textId="77777777" w:rsidR="001C02EB" w:rsidRPr="00D23B24" w:rsidRDefault="001C02EB" w:rsidP="001C02EB">
            <w:pPr>
              <w:spacing w:line="276" w:lineRule="auto"/>
              <w:ind w:left="29"/>
              <w:jc w:val="both"/>
              <w:rPr>
                <w:rFonts w:ascii="David" w:hAnsi="David"/>
                <w:sz w:val="26"/>
                <w:rtl/>
              </w:rPr>
            </w:pPr>
          </w:p>
        </w:tc>
        <w:tc>
          <w:tcPr>
            <w:tcW w:w="3698" w:type="pct"/>
            <w:gridSpan w:val="5"/>
            <w:shd w:val="clear" w:color="auto" w:fill="auto"/>
          </w:tcPr>
          <w:p w14:paraId="013E9B70" w14:textId="77777777" w:rsidR="001C02EB" w:rsidRPr="00D23B24" w:rsidRDefault="001C02EB" w:rsidP="001C02EB">
            <w:pPr>
              <w:spacing w:line="276" w:lineRule="auto"/>
              <w:ind w:left="29"/>
              <w:jc w:val="both"/>
              <w:rPr>
                <w:rFonts w:ascii="David" w:hAnsi="David"/>
                <w:sz w:val="26"/>
                <w:rtl/>
              </w:rPr>
            </w:pPr>
          </w:p>
        </w:tc>
      </w:tr>
      <w:tr w:rsidR="00C4269E" w:rsidRPr="00F25B85" w14:paraId="0C891A74" w14:textId="77777777" w:rsidTr="009E51DA">
        <w:tc>
          <w:tcPr>
            <w:tcW w:w="664" w:type="pct"/>
            <w:shd w:val="clear" w:color="auto" w:fill="auto"/>
          </w:tcPr>
          <w:p w14:paraId="082B03F7"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7543D40C"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462ACED7" w14:textId="688F3700" w:rsidR="001C02EB" w:rsidRPr="00D23B24" w:rsidRDefault="001C02EB" w:rsidP="001C02EB">
            <w:pPr>
              <w:spacing w:line="276" w:lineRule="auto"/>
              <w:ind w:left="29"/>
              <w:jc w:val="both"/>
              <w:rPr>
                <w:rFonts w:ascii="David" w:hAnsi="David"/>
                <w:sz w:val="26"/>
                <w:rtl/>
              </w:rPr>
            </w:pPr>
            <w:r>
              <w:rPr>
                <w:rFonts w:ascii="David" w:eastAsia="Calibri" w:hAnsi="David" w:hint="cs"/>
                <w:sz w:val="26"/>
                <w:rtl/>
                <w:lang w:eastAsia="en-US"/>
              </w:rPr>
              <w:t>(ב)</w:t>
            </w:r>
          </w:p>
        </w:tc>
        <w:tc>
          <w:tcPr>
            <w:tcW w:w="3698" w:type="pct"/>
            <w:gridSpan w:val="5"/>
            <w:shd w:val="clear" w:color="auto" w:fill="auto"/>
          </w:tcPr>
          <w:p w14:paraId="734DD8F5" w14:textId="593DF069" w:rsidR="001C02EB" w:rsidRPr="00D23B24" w:rsidRDefault="001C02EB" w:rsidP="001C02EB">
            <w:pPr>
              <w:spacing w:line="276" w:lineRule="auto"/>
              <w:ind w:left="29"/>
              <w:jc w:val="both"/>
              <w:rPr>
                <w:rFonts w:ascii="David" w:hAnsi="David"/>
                <w:sz w:val="26"/>
                <w:rtl/>
              </w:rPr>
            </w:pPr>
            <w:r w:rsidRPr="00D41F27">
              <w:rPr>
                <w:rtl/>
              </w:rPr>
              <w:t>הוראות סעיף זה יעמדו בתוקפן עד יום כ"ד בניסן התשפ"ז (1 במאי 2027).</w:t>
            </w:r>
          </w:p>
        </w:tc>
      </w:tr>
      <w:tr w:rsidR="00C4269E" w:rsidRPr="00F25B85" w14:paraId="16DE4D0B" w14:textId="77777777" w:rsidTr="009E51DA">
        <w:tc>
          <w:tcPr>
            <w:tcW w:w="664" w:type="pct"/>
            <w:shd w:val="clear" w:color="auto" w:fill="auto"/>
          </w:tcPr>
          <w:p w14:paraId="7C1B5718"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3FE92BC1"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6F4064A6" w14:textId="77777777" w:rsidR="001C02EB" w:rsidRPr="00D23B24" w:rsidRDefault="001C02EB" w:rsidP="001C02EB">
            <w:pPr>
              <w:spacing w:line="276" w:lineRule="auto"/>
              <w:ind w:left="29"/>
              <w:jc w:val="both"/>
              <w:rPr>
                <w:rFonts w:ascii="David" w:hAnsi="David"/>
                <w:sz w:val="26"/>
                <w:rtl/>
              </w:rPr>
            </w:pPr>
          </w:p>
        </w:tc>
        <w:tc>
          <w:tcPr>
            <w:tcW w:w="3698" w:type="pct"/>
            <w:gridSpan w:val="5"/>
            <w:shd w:val="clear" w:color="auto" w:fill="auto"/>
          </w:tcPr>
          <w:p w14:paraId="146236D5" w14:textId="77777777" w:rsidR="001C02EB" w:rsidRPr="00D23B24" w:rsidRDefault="001C02EB" w:rsidP="001C02EB">
            <w:pPr>
              <w:spacing w:line="276" w:lineRule="auto"/>
              <w:ind w:left="29"/>
              <w:jc w:val="both"/>
              <w:rPr>
                <w:rFonts w:ascii="David" w:hAnsi="David"/>
                <w:sz w:val="26"/>
                <w:rtl/>
              </w:rPr>
            </w:pPr>
          </w:p>
        </w:tc>
      </w:tr>
      <w:tr w:rsidR="00C4269E" w:rsidRPr="00F25B85" w14:paraId="21CED8AE" w14:textId="77777777" w:rsidTr="009E51DA">
        <w:tc>
          <w:tcPr>
            <w:tcW w:w="664" w:type="pct"/>
            <w:vMerge w:val="restart"/>
            <w:shd w:val="clear" w:color="auto" w:fill="auto"/>
          </w:tcPr>
          <w:p w14:paraId="28F17003" w14:textId="647CF997" w:rsidR="001C02EB" w:rsidRPr="00D23B24" w:rsidRDefault="001C02EB" w:rsidP="001C02EB">
            <w:pPr>
              <w:spacing w:line="276" w:lineRule="auto"/>
              <w:jc w:val="both"/>
              <w:rPr>
                <w:rFonts w:ascii="David" w:hAnsi="David"/>
                <w:b/>
                <w:bCs/>
                <w:sz w:val="26"/>
                <w:rtl/>
              </w:rPr>
            </w:pPr>
            <w:r w:rsidRPr="00D23B24">
              <w:rPr>
                <w:rFonts w:ascii="David" w:hAnsi="David"/>
                <w:b/>
                <w:bCs/>
                <w:sz w:val="26"/>
                <w:rtl/>
              </w:rPr>
              <w:t>צו בדבר העסקת עובדים במקומות מסוימים – תיקון עקיף</w:t>
            </w:r>
          </w:p>
        </w:tc>
        <w:tc>
          <w:tcPr>
            <w:tcW w:w="325" w:type="pct"/>
            <w:shd w:val="clear" w:color="auto" w:fill="auto"/>
          </w:tcPr>
          <w:p w14:paraId="5162DE22" w14:textId="385B70E8" w:rsidR="001C02EB" w:rsidRPr="00D23B24" w:rsidRDefault="001C02EB" w:rsidP="001C02EB">
            <w:pPr>
              <w:spacing w:line="276" w:lineRule="auto"/>
              <w:jc w:val="both"/>
              <w:rPr>
                <w:rFonts w:ascii="David" w:hAnsi="David"/>
                <w:sz w:val="26"/>
                <w:rtl/>
              </w:rPr>
            </w:pPr>
            <w:r>
              <w:rPr>
                <w:rFonts w:ascii="David" w:hAnsi="David" w:hint="cs"/>
                <w:sz w:val="26"/>
                <w:rtl/>
              </w:rPr>
              <w:t>14</w:t>
            </w:r>
            <w:r w:rsidRPr="00D23B24">
              <w:rPr>
                <w:rFonts w:ascii="David" w:hAnsi="David"/>
                <w:sz w:val="26"/>
                <w:rtl/>
              </w:rPr>
              <w:t>.</w:t>
            </w:r>
          </w:p>
        </w:tc>
        <w:tc>
          <w:tcPr>
            <w:tcW w:w="4011" w:type="pct"/>
            <w:gridSpan w:val="6"/>
            <w:shd w:val="clear" w:color="auto" w:fill="auto"/>
          </w:tcPr>
          <w:p w14:paraId="58F09D49" w14:textId="48647E3E" w:rsidR="001C02EB" w:rsidRPr="00D23B24" w:rsidRDefault="001C02EB" w:rsidP="001C02EB">
            <w:pPr>
              <w:spacing w:line="276" w:lineRule="auto"/>
              <w:ind w:left="29"/>
              <w:jc w:val="both"/>
              <w:rPr>
                <w:rFonts w:ascii="David" w:hAnsi="David"/>
                <w:sz w:val="26"/>
                <w:rtl/>
              </w:rPr>
            </w:pPr>
            <w:r w:rsidRPr="00D23B24">
              <w:rPr>
                <w:rFonts w:ascii="David" w:eastAsia="Calibri" w:hAnsi="David"/>
                <w:sz w:val="26"/>
                <w:rtl/>
                <w:lang w:eastAsia="en-US"/>
              </w:rPr>
              <w:t>בצו בדבר העסקת עובדים במקומות מסויימים</w:t>
            </w:r>
            <w:r w:rsidR="00572FA5">
              <w:rPr>
                <w:rFonts w:ascii="David" w:eastAsia="Calibri" w:hAnsi="David" w:hint="cs"/>
                <w:sz w:val="26"/>
                <w:rtl/>
                <w:lang w:eastAsia="en-US"/>
              </w:rPr>
              <w:t xml:space="preserve"> </w:t>
            </w:r>
            <w:r w:rsidR="00572FA5">
              <w:rPr>
                <w:rFonts w:ascii="David" w:eastAsia="Calibri" w:hAnsi="David"/>
                <w:sz w:val="26"/>
                <w:rtl/>
                <w:lang w:eastAsia="en-US"/>
              </w:rPr>
              <w:t>–</w:t>
            </w:r>
            <w:r w:rsidR="00572FA5">
              <w:rPr>
                <w:rFonts w:ascii="David" w:eastAsia="Calibri" w:hAnsi="David" w:hint="cs"/>
                <w:sz w:val="26"/>
                <w:rtl/>
                <w:lang w:eastAsia="en-US"/>
              </w:rPr>
              <w:t xml:space="preserve"> </w:t>
            </w:r>
          </w:p>
        </w:tc>
      </w:tr>
      <w:tr w:rsidR="00C4269E" w:rsidRPr="00F25B85" w14:paraId="2E79E8FF" w14:textId="77777777" w:rsidTr="009E51DA">
        <w:tc>
          <w:tcPr>
            <w:tcW w:w="664" w:type="pct"/>
            <w:vMerge/>
            <w:shd w:val="clear" w:color="auto" w:fill="auto"/>
          </w:tcPr>
          <w:p w14:paraId="01549C03"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25F1BF89" w14:textId="77777777" w:rsidR="001C02EB" w:rsidRPr="00D23B24" w:rsidRDefault="001C02EB" w:rsidP="001C02EB">
            <w:pPr>
              <w:spacing w:line="276" w:lineRule="auto"/>
              <w:jc w:val="both"/>
              <w:rPr>
                <w:rFonts w:ascii="David" w:hAnsi="David"/>
                <w:sz w:val="26"/>
                <w:rtl/>
              </w:rPr>
            </w:pPr>
          </w:p>
        </w:tc>
        <w:tc>
          <w:tcPr>
            <w:tcW w:w="4011" w:type="pct"/>
            <w:gridSpan w:val="6"/>
            <w:shd w:val="clear" w:color="auto" w:fill="auto"/>
          </w:tcPr>
          <w:p w14:paraId="464DB733" w14:textId="77777777" w:rsidR="001C02EB" w:rsidRPr="00D23B24" w:rsidRDefault="001C02EB" w:rsidP="001C02EB">
            <w:pPr>
              <w:spacing w:line="276" w:lineRule="auto"/>
              <w:ind w:left="29"/>
              <w:jc w:val="both"/>
              <w:rPr>
                <w:rFonts w:ascii="David" w:hAnsi="David"/>
                <w:sz w:val="26"/>
                <w:rtl/>
              </w:rPr>
            </w:pPr>
          </w:p>
        </w:tc>
      </w:tr>
      <w:tr w:rsidR="00C4269E" w:rsidRPr="00F25B85" w14:paraId="48B461DB" w14:textId="77777777" w:rsidTr="009E51DA">
        <w:tc>
          <w:tcPr>
            <w:tcW w:w="664" w:type="pct"/>
            <w:vMerge/>
            <w:shd w:val="clear" w:color="auto" w:fill="auto"/>
          </w:tcPr>
          <w:p w14:paraId="7EE112AE"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1B96A6B5"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7D862D37" w14:textId="73567493" w:rsidR="001C02EB" w:rsidRDefault="001C02EB" w:rsidP="001C02EB">
            <w:pPr>
              <w:spacing w:line="276" w:lineRule="auto"/>
              <w:ind w:left="29"/>
              <w:rPr>
                <w:rFonts w:ascii="David" w:hAnsi="David"/>
                <w:sz w:val="26"/>
                <w:rtl/>
              </w:rPr>
            </w:pPr>
            <w:r w:rsidRPr="00D23B24">
              <w:rPr>
                <w:rFonts w:ascii="David" w:eastAsia="Calibri" w:hAnsi="David"/>
                <w:sz w:val="26"/>
                <w:rtl/>
                <w:lang w:eastAsia="en-US"/>
              </w:rPr>
              <w:t>(א)</w:t>
            </w:r>
          </w:p>
        </w:tc>
        <w:tc>
          <w:tcPr>
            <w:tcW w:w="3698" w:type="pct"/>
            <w:gridSpan w:val="5"/>
            <w:shd w:val="clear" w:color="auto" w:fill="auto"/>
          </w:tcPr>
          <w:p w14:paraId="1F81916A" w14:textId="16E89C71" w:rsidR="001C02EB" w:rsidRPr="00D23B24" w:rsidRDefault="001C02EB" w:rsidP="001C02EB">
            <w:pPr>
              <w:spacing w:line="276" w:lineRule="auto"/>
              <w:ind w:left="29"/>
              <w:jc w:val="both"/>
              <w:rPr>
                <w:rFonts w:ascii="David" w:hAnsi="David"/>
                <w:sz w:val="26"/>
                <w:rtl/>
              </w:rPr>
            </w:pPr>
            <w:r>
              <w:rPr>
                <w:rFonts w:ascii="David" w:eastAsia="Calibri" w:hAnsi="David" w:hint="cs"/>
                <w:sz w:val="26"/>
                <w:rtl/>
                <w:lang w:eastAsia="en-US"/>
              </w:rPr>
              <w:t>ב</w:t>
            </w:r>
            <w:r w:rsidRPr="00D23B24">
              <w:rPr>
                <w:rFonts w:ascii="David" w:eastAsia="Calibri" w:hAnsi="David"/>
                <w:sz w:val="26"/>
                <w:rtl/>
                <w:lang w:eastAsia="en-US"/>
              </w:rPr>
              <w:t xml:space="preserve">סעיף 2 </w:t>
            </w:r>
            <w:r>
              <w:rPr>
                <w:rFonts w:ascii="David" w:eastAsia="Calibri" w:hAnsi="David" w:hint="cs"/>
                <w:sz w:val="26"/>
                <w:rtl/>
                <w:lang w:eastAsia="en-US"/>
              </w:rPr>
              <w:t xml:space="preserve"> אחרי "לא יעסיק אדם"</w:t>
            </w:r>
            <w:r w:rsidRPr="00D23B24">
              <w:rPr>
                <w:rFonts w:ascii="David" w:eastAsia="Calibri" w:hAnsi="David"/>
                <w:sz w:val="26"/>
                <w:rtl/>
                <w:lang w:eastAsia="en-US"/>
              </w:rPr>
              <w:t xml:space="preserve"> </w:t>
            </w:r>
            <w:r>
              <w:rPr>
                <w:rFonts w:ascii="David" w:eastAsia="Calibri" w:hAnsi="David" w:hint="cs"/>
                <w:sz w:val="26"/>
                <w:rtl/>
                <w:lang w:eastAsia="en-US"/>
              </w:rPr>
              <w:t xml:space="preserve">יבוא </w:t>
            </w:r>
            <w:r w:rsidRPr="00D23B24">
              <w:rPr>
                <w:rFonts w:ascii="David" w:eastAsia="Calibri" w:hAnsi="David"/>
                <w:sz w:val="26"/>
                <w:rtl/>
                <w:lang w:eastAsia="en-US"/>
              </w:rPr>
              <w:t>", בין במישרין ובין בעקיפין, בין בעצמו ובין על ידי אחר המועסק על ידו או מטעמו";</w:t>
            </w:r>
          </w:p>
        </w:tc>
      </w:tr>
      <w:tr w:rsidR="00C4269E" w:rsidRPr="00F25B85" w14:paraId="2579BD98" w14:textId="77777777" w:rsidTr="009E51DA">
        <w:tc>
          <w:tcPr>
            <w:tcW w:w="664" w:type="pct"/>
            <w:vMerge/>
            <w:shd w:val="clear" w:color="auto" w:fill="auto"/>
          </w:tcPr>
          <w:p w14:paraId="154AB5C2"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6E2B927D"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189FBC66" w14:textId="77777777" w:rsidR="001C02EB" w:rsidRDefault="001C02EB" w:rsidP="001C02EB">
            <w:pPr>
              <w:spacing w:line="276" w:lineRule="auto"/>
              <w:ind w:left="29"/>
              <w:rPr>
                <w:rFonts w:ascii="David" w:hAnsi="David"/>
                <w:sz w:val="26"/>
                <w:rtl/>
              </w:rPr>
            </w:pPr>
          </w:p>
        </w:tc>
        <w:tc>
          <w:tcPr>
            <w:tcW w:w="3698" w:type="pct"/>
            <w:gridSpan w:val="5"/>
            <w:shd w:val="clear" w:color="auto" w:fill="auto"/>
          </w:tcPr>
          <w:p w14:paraId="430B599D" w14:textId="77777777" w:rsidR="001C02EB" w:rsidRPr="00D23B24" w:rsidRDefault="001C02EB" w:rsidP="001C02EB">
            <w:pPr>
              <w:spacing w:line="276" w:lineRule="auto"/>
              <w:ind w:left="29"/>
              <w:jc w:val="both"/>
              <w:rPr>
                <w:rFonts w:ascii="David" w:hAnsi="David"/>
                <w:sz w:val="26"/>
                <w:rtl/>
              </w:rPr>
            </w:pPr>
          </w:p>
        </w:tc>
      </w:tr>
      <w:tr w:rsidR="00C4269E" w:rsidRPr="00F25B85" w14:paraId="4498682B" w14:textId="77777777" w:rsidTr="009E51DA">
        <w:trPr>
          <w:trHeight w:val="79"/>
        </w:trPr>
        <w:tc>
          <w:tcPr>
            <w:tcW w:w="664" w:type="pct"/>
            <w:vMerge/>
            <w:shd w:val="clear" w:color="auto" w:fill="auto"/>
          </w:tcPr>
          <w:p w14:paraId="0FFEC0BF"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3B351B08"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7F5ACBDB" w14:textId="5480BF13" w:rsidR="001C02EB" w:rsidRDefault="001C02EB" w:rsidP="001C02EB">
            <w:pPr>
              <w:spacing w:line="276" w:lineRule="auto"/>
              <w:ind w:left="29"/>
              <w:rPr>
                <w:rFonts w:ascii="David" w:hAnsi="David"/>
                <w:sz w:val="26"/>
                <w:rtl/>
              </w:rPr>
            </w:pPr>
            <w:r w:rsidRPr="00D23B24">
              <w:rPr>
                <w:rFonts w:ascii="David" w:eastAsia="Calibri" w:hAnsi="David"/>
                <w:sz w:val="26"/>
                <w:rtl/>
                <w:lang w:eastAsia="en-US"/>
              </w:rPr>
              <w:t>(ב)</w:t>
            </w:r>
          </w:p>
        </w:tc>
        <w:tc>
          <w:tcPr>
            <w:tcW w:w="3698" w:type="pct"/>
            <w:gridSpan w:val="5"/>
            <w:shd w:val="clear" w:color="auto" w:fill="auto"/>
          </w:tcPr>
          <w:p w14:paraId="594B9B79" w14:textId="3449FC0A" w:rsidR="001C02EB" w:rsidRPr="00960D83" w:rsidRDefault="001C02EB" w:rsidP="001C02EB">
            <w:pPr>
              <w:spacing w:line="276" w:lineRule="auto"/>
              <w:ind w:left="29"/>
              <w:jc w:val="both"/>
              <w:rPr>
                <w:rFonts w:ascii="David" w:eastAsia="Calibri" w:hAnsi="David"/>
                <w:sz w:val="26"/>
                <w:rtl/>
                <w:lang w:eastAsia="en-US"/>
              </w:rPr>
            </w:pPr>
            <w:r w:rsidRPr="00D23B24">
              <w:rPr>
                <w:rFonts w:ascii="David" w:eastAsia="Calibri" w:hAnsi="David"/>
                <w:sz w:val="26"/>
                <w:rtl/>
                <w:lang w:eastAsia="en-US"/>
              </w:rPr>
              <w:t xml:space="preserve">בסעיף 6, </w:t>
            </w:r>
            <w:r>
              <w:rPr>
                <w:rFonts w:ascii="David" w:eastAsia="Calibri" w:hAnsi="David" w:hint="cs"/>
                <w:sz w:val="26"/>
                <w:rtl/>
                <w:lang w:eastAsia="en-US"/>
              </w:rPr>
              <w:t xml:space="preserve"> האמור בו יסומן (א) ולאחר יבוא: </w:t>
            </w:r>
          </w:p>
        </w:tc>
      </w:tr>
      <w:tr w:rsidR="00C4269E" w:rsidRPr="00F25B85" w14:paraId="43D774DE" w14:textId="77777777" w:rsidTr="009E51DA">
        <w:tc>
          <w:tcPr>
            <w:tcW w:w="664" w:type="pct"/>
            <w:vMerge/>
            <w:shd w:val="clear" w:color="auto" w:fill="auto"/>
          </w:tcPr>
          <w:p w14:paraId="34857731"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7F3A52DC"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7B89CDBC" w14:textId="77777777" w:rsidR="001C02EB" w:rsidRDefault="001C02EB" w:rsidP="001C02EB">
            <w:pPr>
              <w:spacing w:line="276" w:lineRule="auto"/>
              <w:ind w:left="29"/>
              <w:rPr>
                <w:rFonts w:ascii="David" w:hAnsi="David"/>
                <w:sz w:val="26"/>
                <w:rtl/>
              </w:rPr>
            </w:pPr>
          </w:p>
        </w:tc>
        <w:tc>
          <w:tcPr>
            <w:tcW w:w="3698" w:type="pct"/>
            <w:gridSpan w:val="5"/>
            <w:shd w:val="clear" w:color="auto" w:fill="auto"/>
          </w:tcPr>
          <w:p w14:paraId="70A6A366" w14:textId="77777777" w:rsidR="001C02EB" w:rsidRPr="00D23B24" w:rsidRDefault="001C02EB" w:rsidP="001C02EB">
            <w:pPr>
              <w:spacing w:line="276" w:lineRule="auto"/>
              <w:ind w:left="29"/>
              <w:jc w:val="both"/>
              <w:rPr>
                <w:rFonts w:ascii="David" w:hAnsi="David"/>
                <w:sz w:val="26"/>
                <w:rtl/>
              </w:rPr>
            </w:pPr>
          </w:p>
        </w:tc>
      </w:tr>
      <w:tr w:rsidR="00C4269E" w:rsidRPr="00F25B85" w14:paraId="37CBEE17" w14:textId="77777777" w:rsidTr="009E51DA">
        <w:tc>
          <w:tcPr>
            <w:tcW w:w="664" w:type="pct"/>
            <w:shd w:val="clear" w:color="auto" w:fill="auto"/>
          </w:tcPr>
          <w:p w14:paraId="3A1E8F2A"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41671D58"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2BDD7FB4" w14:textId="77777777" w:rsidR="001C02EB" w:rsidRDefault="001C02EB" w:rsidP="001C02EB">
            <w:pPr>
              <w:spacing w:line="276" w:lineRule="auto"/>
              <w:ind w:left="29"/>
              <w:rPr>
                <w:rFonts w:ascii="David" w:hAnsi="David"/>
                <w:sz w:val="26"/>
                <w:rtl/>
              </w:rPr>
            </w:pPr>
          </w:p>
        </w:tc>
        <w:tc>
          <w:tcPr>
            <w:tcW w:w="395" w:type="pct"/>
            <w:shd w:val="clear" w:color="auto" w:fill="auto"/>
          </w:tcPr>
          <w:p w14:paraId="6B78E1D9" w14:textId="65C5B8BE" w:rsidR="001C02EB" w:rsidRDefault="001C02EB" w:rsidP="001C02EB">
            <w:pPr>
              <w:spacing w:line="276" w:lineRule="auto"/>
              <w:ind w:left="29"/>
              <w:jc w:val="both"/>
              <w:rPr>
                <w:rFonts w:ascii="David" w:hAnsi="David"/>
                <w:sz w:val="26"/>
                <w:rtl/>
              </w:rPr>
            </w:pPr>
            <w:r>
              <w:rPr>
                <w:rFonts w:ascii="David" w:eastAsia="Calibri" w:hAnsi="David" w:hint="cs"/>
                <w:sz w:val="26"/>
                <w:rtl/>
                <w:lang w:eastAsia="en-US"/>
              </w:rPr>
              <w:t>"(ב)</w:t>
            </w:r>
          </w:p>
        </w:tc>
        <w:tc>
          <w:tcPr>
            <w:tcW w:w="315" w:type="pct"/>
            <w:gridSpan w:val="2"/>
            <w:shd w:val="clear" w:color="auto" w:fill="auto"/>
          </w:tcPr>
          <w:p w14:paraId="2A741441" w14:textId="6D4D3EA4" w:rsidR="001C02EB" w:rsidRPr="00D23B24" w:rsidRDefault="001C02EB" w:rsidP="001C02EB">
            <w:pPr>
              <w:spacing w:line="276" w:lineRule="auto"/>
              <w:ind w:left="29"/>
              <w:jc w:val="both"/>
              <w:rPr>
                <w:rFonts w:ascii="David" w:hAnsi="David"/>
                <w:sz w:val="26"/>
                <w:rtl/>
              </w:rPr>
            </w:pPr>
            <w:r>
              <w:rPr>
                <w:rFonts w:ascii="David" w:hAnsi="David" w:hint="cs"/>
                <w:sz w:val="26"/>
                <w:rtl/>
              </w:rPr>
              <w:t>(1)</w:t>
            </w:r>
          </w:p>
        </w:tc>
        <w:tc>
          <w:tcPr>
            <w:tcW w:w="2988" w:type="pct"/>
            <w:gridSpan w:val="2"/>
            <w:shd w:val="clear" w:color="auto" w:fill="auto"/>
          </w:tcPr>
          <w:p w14:paraId="177D2A49" w14:textId="7240743A" w:rsidR="001C02EB" w:rsidRPr="00D23B24" w:rsidRDefault="001C02EB" w:rsidP="001C02EB">
            <w:pPr>
              <w:spacing w:line="276" w:lineRule="auto"/>
              <w:ind w:left="29"/>
              <w:jc w:val="both"/>
              <w:rPr>
                <w:rFonts w:ascii="David" w:hAnsi="David"/>
                <w:sz w:val="26"/>
                <w:rtl/>
              </w:rPr>
            </w:pPr>
            <w:r w:rsidRPr="00D23B24">
              <w:rPr>
                <w:rFonts w:ascii="David" w:hAnsi="David"/>
                <w:sz w:val="26"/>
                <w:rtl/>
              </w:rPr>
              <w:t>על אף האמור בכל דין ותחיקת ביטחון</w:t>
            </w:r>
            <w:r>
              <w:rPr>
                <w:rFonts w:ascii="David" w:eastAsia="Calibri" w:hAnsi="David" w:hint="cs"/>
                <w:sz w:val="26"/>
                <w:rtl/>
                <w:lang w:eastAsia="en-US"/>
              </w:rPr>
              <w:t xml:space="preserve">, </w:t>
            </w:r>
            <w:r w:rsidRPr="00666EF4">
              <w:rPr>
                <w:rFonts w:ascii="David" w:eastAsia="Calibri" w:hAnsi="David"/>
                <w:sz w:val="26"/>
                <w:rtl/>
                <w:lang w:eastAsia="en-US"/>
              </w:rPr>
              <w:t>מעביד המעסיק עובד</w:t>
            </w:r>
            <w:r>
              <w:rPr>
                <w:rFonts w:ascii="David" w:eastAsia="Calibri" w:hAnsi="David" w:hint="cs"/>
                <w:sz w:val="26"/>
                <w:rtl/>
                <w:lang w:eastAsia="en-US"/>
              </w:rPr>
              <w:t>,</w:t>
            </w:r>
            <w:r w:rsidRPr="00666EF4">
              <w:rPr>
                <w:rFonts w:ascii="David" w:eastAsia="Calibri" w:hAnsi="David"/>
                <w:sz w:val="26"/>
                <w:rtl/>
                <w:lang w:eastAsia="en-US"/>
              </w:rPr>
              <w:t xml:space="preserve"> שהוא תושב </w:t>
            </w:r>
            <w:r>
              <w:rPr>
                <w:rFonts w:ascii="David" w:eastAsia="Calibri" w:hAnsi="David" w:hint="cs"/>
                <w:sz w:val="26"/>
                <w:rtl/>
                <w:lang w:eastAsia="en-US"/>
              </w:rPr>
              <w:t>האזור,</w:t>
            </w:r>
            <w:r w:rsidRPr="00666EF4">
              <w:rPr>
                <w:rFonts w:ascii="David" w:eastAsia="Calibri" w:hAnsi="David"/>
                <w:sz w:val="26"/>
                <w:rtl/>
                <w:lang w:eastAsia="en-US"/>
              </w:rPr>
              <w:t xml:space="preserve"> </w:t>
            </w:r>
            <w:r>
              <w:rPr>
                <w:rFonts w:ascii="David" w:eastAsia="Calibri" w:hAnsi="David" w:hint="cs"/>
                <w:sz w:val="26"/>
                <w:rtl/>
                <w:lang w:eastAsia="en-US"/>
              </w:rPr>
              <w:t>בישוב שלא באמצעות לשכת העבודה, בניגוד להוראות סעיף 2</w:t>
            </w:r>
            <w:r>
              <w:rPr>
                <w:rFonts w:ascii="David" w:eastAsia="Calibri" w:hAnsi="David"/>
                <w:sz w:val="26"/>
                <w:rtl/>
                <w:lang w:eastAsia="en-US"/>
              </w:rPr>
              <w:t>–</w:t>
            </w:r>
            <w:r>
              <w:rPr>
                <w:rFonts w:ascii="David" w:eastAsia="Calibri" w:hAnsi="David" w:hint="cs"/>
                <w:sz w:val="26"/>
                <w:rtl/>
                <w:lang w:eastAsia="en-US"/>
              </w:rPr>
              <w:t xml:space="preserve"> דינו </w:t>
            </w:r>
            <w:r w:rsidRPr="00666EF4">
              <w:rPr>
                <w:rFonts w:ascii="David" w:eastAsia="Calibri" w:hAnsi="David"/>
                <w:sz w:val="26"/>
                <w:rtl/>
                <w:lang w:eastAsia="en-US"/>
              </w:rPr>
              <w:t xml:space="preserve">מאסר </w:t>
            </w:r>
            <w:r>
              <w:rPr>
                <w:rFonts w:ascii="David" w:eastAsia="Calibri" w:hAnsi="David" w:hint="cs"/>
                <w:sz w:val="26"/>
                <w:rtl/>
                <w:lang w:eastAsia="en-US"/>
              </w:rPr>
              <w:t>ארבע שנים</w:t>
            </w:r>
            <w:r w:rsidRPr="00666EF4">
              <w:rPr>
                <w:rFonts w:ascii="David" w:eastAsia="Calibri" w:hAnsi="David"/>
                <w:sz w:val="26"/>
                <w:rtl/>
                <w:lang w:eastAsia="en-US"/>
              </w:rPr>
              <w:t xml:space="preserve"> או הקנס הקבוע בסעיף 61(א)(3) לחוק העונשין</w:t>
            </w:r>
            <w:r>
              <w:rPr>
                <w:rFonts w:ascii="David" w:eastAsia="Calibri" w:hAnsi="David" w:hint="cs"/>
                <w:sz w:val="26"/>
                <w:rtl/>
                <w:lang w:eastAsia="en-US"/>
              </w:rPr>
              <w:t>;</w:t>
            </w:r>
          </w:p>
        </w:tc>
      </w:tr>
      <w:tr w:rsidR="00C4269E" w:rsidRPr="00F25B85" w14:paraId="4A2200D6" w14:textId="77777777" w:rsidTr="009E51DA">
        <w:tc>
          <w:tcPr>
            <w:tcW w:w="664" w:type="pct"/>
            <w:shd w:val="clear" w:color="auto" w:fill="auto"/>
          </w:tcPr>
          <w:p w14:paraId="06F50BC8"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01D1A597"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62CA5297" w14:textId="77777777" w:rsidR="001C02EB" w:rsidRDefault="001C02EB" w:rsidP="001C02EB">
            <w:pPr>
              <w:spacing w:line="276" w:lineRule="auto"/>
              <w:ind w:left="29"/>
              <w:rPr>
                <w:rFonts w:ascii="David" w:hAnsi="David"/>
                <w:sz w:val="26"/>
                <w:rtl/>
              </w:rPr>
            </w:pPr>
          </w:p>
        </w:tc>
        <w:tc>
          <w:tcPr>
            <w:tcW w:w="395" w:type="pct"/>
            <w:shd w:val="clear" w:color="auto" w:fill="auto"/>
          </w:tcPr>
          <w:p w14:paraId="06CF68AB"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5DEF0B43" w14:textId="77777777" w:rsidR="001C02EB" w:rsidRPr="00D23B24" w:rsidRDefault="001C02EB" w:rsidP="001C02EB">
            <w:pPr>
              <w:spacing w:line="276" w:lineRule="auto"/>
              <w:ind w:left="29"/>
              <w:jc w:val="both"/>
              <w:rPr>
                <w:rFonts w:ascii="David" w:hAnsi="David"/>
                <w:sz w:val="26"/>
                <w:rtl/>
              </w:rPr>
            </w:pPr>
          </w:p>
        </w:tc>
        <w:tc>
          <w:tcPr>
            <w:tcW w:w="2988" w:type="pct"/>
            <w:gridSpan w:val="2"/>
            <w:shd w:val="clear" w:color="auto" w:fill="auto"/>
          </w:tcPr>
          <w:p w14:paraId="368FEA73" w14:textId="77777777" w:rsidR="001C02EB" w:rsidRPr="00D23B24" w:rsidRDefault="001C02EB" w:rsidP="001C02EB">
            <w:pPr>
              <w:spacing w:line="276" w:lineRule="auto"/>
              <w:ind w:left="29"/>
              <w:jc w:val="both"/>
              <w:rPr>
                <w:rFonts w:ascii="David" w:hAnsi="David"/>
                <w:sz w:val="26"/>
                <w:rtl/>
              </w:rPr>
            </w:pPr>
          </w:p>
        </w:tc>
      </w:tr>
      <w:tr w:rsidR="00C4269E" w:rsidRPr="00F25B85" w14:paraId="7DA87287" w14:textId="77777777" w:rsidTr="009E51DA">
        <w:tc>
          <w:tcPr>
            <w:tcW w:w="664" w:type="pct"/>
            <w:shd w:val="clear" w:color="auto" w:fill="auto"/>
          </w:tcPr>
          <w:p w14:paraId="6E6886BE"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3B060C41"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7210DC5F" w14:textId="77777777" w:rsidR="001C02EB" w:rsidRDefault="001C02EB" w:rsidP="001C02EB">
            <w:pPr>
              <w:spacing w:line="276" w:lineRule="auto"/>
              <w:ind w:left="29"/>
              <w:rPr>
                <w:rFonts w:ascii="David" w:hAnsi="David"/>
                <w:sz w:val="26"/>
                <w:rtl/>
              </w:rPr>
            </w:pPr>
          </w:p>
        </w:tc>
        <w:tc>
          <w:tcPr>
            <w:tcW w:w="395" w:type="pct"/>
            <w:shd w:val="clear" w:color="auto" w:fill="auto"/>
          </w:tcPr>
          <w:p w14:paraId="0BE322A6"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23B4F0C8" w14:textId="7CE21B91" w:rsidR="001C02EB" w:rsidRPr="00D23B24" w:rsidRDefault="001C02EB" w:rsidP="001C02EB">
            <w:pPr>
              <w:spacing w:line="276" w:lineRule="auto"/>
              <w:ind w:left="29"/>
              <w:jc w:val="both"/>
              <w:rPr>
                <w:rFonts w:ascii="David" w:hAnsi="David"/>
                <w:sz w:val="26"/>
                <w:rtl/>
              </w:rPr>
            </w:pPr>
            <w:r>
              <w:rPr>
                <w:rFonts w:ascii="David" w:hAnsi="David" w:hint="cs"/>
                <w:sz w:val="26"/>
                <w:rtl/>
              </w:rPr>
              <w:t>(2)</w:t>
            </w:r>
          </w:p>
        </w:tc>
        <w:tc>
          <w:tcPr>
            <w:tcW w:w="2988" w:type="pct"/>
            <w:gridSpan w:val="2"/>
            <w:shd w:val="clear" w:color="auto" w:fill="auto"/>
          </w:tcPr>
          <w:p w14:paraId="6F85DE27" w14:textId="09487AE5" w:rsidR="001C02EB" w:rsidRPr="00D23B24" w:rsidRDefault="001C02EB" w:rsidP="001C02EB">
            <w:pPr>
              <w:spacing w:line="276" w:lineRule="auto"/>
              <w:ind w:left="29"/>
              <w:jc w:val="both"/>
              <w:rPr>
                <w:rFonts w:ascii="David" w:hAnsi="David"/>
                <w:sz w:val="26"/>
                <w:rtl/>
              </w:rPr>
            </w:pPr>
            <w:r w:rsidRPr="00D23B24">
              <w:rPr>
                <w:rFonts w:ascii="David" w:hAnsi="David"/>
                <w:sz w:val="26"/>
                <w:rtl/>
              </w:rPr>
              <w:t xml:space="preserve">נעברה עבירה לפי </w:t>
            </w:r>
            <w:r>
              <w:rPr>
                <w:rFonts w:ascii="David" w:hAnsi="David" w:hint="cs"/>
                <w:sz w:val="26"/>
                <w:rtl/>
              </w:rPr>
              <w:t>פסקה</w:t>
            </w:r>
            <w:r w:rsidRPr="00D23B24">
              <w:rPr>
                <w:rFonts w:ascii="David" w:hAnsi="David"/>
                <w:sz w:val="26"/>
                <w:rtl/>
              </w:rPr>
              <w:t xml:space="preserve"> (</w:t>
            </w:r>
            <w:r>
              <w:rPr>
                <w:rFonts w:ascii="David" w:hAnsi="David" w:hint="cs"/>
                <w:sz w:val="26"/>
                <w:rtl/>
              </w:rPr>
              <w:t>1</w:t>
            </w:r>
            <w:r w:rsidRPr="00D23B24">
              <w:rPr>
                <w:rFonts w:ascii="David" w:hAnsi="David"/>
                <w:sz w:val="26"/>
                <w:rtl/>
              </w:rPr>
              <w:t>) בידי תאגיד, דינו – קנס פי ארבעה מהקנס הקבוע בסעיף 61(א)(3) לחוק העונשין</w:t>
            </w:r>
            <w:r>
              <w:rPr>
                <w:rFonts w:ascii="David" w:hAnsi="David" w:hint="cs"/>
                <w:sz w:val="26"/>
                <w:rtl/>
              </w:rPr>
              <w:t>;</w:t>
            </w:r>
          </w:p>
        </w:tc>
      </w:tr>
      <w:tr w:rsidR="00C4269E" w:rsidRPr="00F25B85" w14:paraId="37B533D5" w14:textId="77777777" w:rsidTr="009E51DA">
        <w:tc>
          <w:tcPr>
            <w:tcW w:w="664" w:type="pct"/>
            <w:shd w:val="clear" w:color="auto" w:fill="auto"/>
          </w:tcPr>
          <w:p w14:paraId="6C568F4C"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4FC44F65"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3926A80A" w14:textId="77777777" w:rsidR="001C02EB" w:rsidRDefault="001C02EB" w:rsidP="001C02EB">
            <w:pPr>
              <w:spacing w:line="276" w:lineRule="auto"/>
              <w:ind w:left="29"/>
              <w:rPr>
                <w:rFonts w:ascii="David" w:hAnsi="David"/>
                <w:sz w:val="26"/>
                <w:rtl/>
              </w:rPr>
            </w:pPr>
          </w:p>
        </w:tc>
        <w:tc>
          <w:tcPr>
            <w:tcW w:w="395" w:type="pct"/>
            <w:shd w:val="clear" w:color="auto" w:fill="auto"/>
          </w:tcPr>
          <w:p w14:paraId="1B095303"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4FC26997" w14:textId="77777777" w:rsidR="001C02EB" w:rsidRPr="00D23B24" w:rsidRDefault="001C02EB" w:rsidP="001C02EB">
            <w:pPr>
              <w:spacing w:line="276" w:lineRule="auto"/>
              <w:ind w:left="29"/>
              <w:jc w:val="both"/>
              <w:rPr>
                <w:rFonts w:ascii="David" w:hAnsi="David"/>
                <w:sz w:val="26"/>
                <w:rtl/>
              </w:rPr>
            </w:pPr>
          </w:p>
        </w:tc>
        <w:tc>
          <w:tcPr>
            <w:tcW w:w="2988" w:type="pct"/>
            <w:gridSpan w:val="2"/>
            <w:shd w:val="clear" w:color="auto" w:fill="auto"/>
          </w:tcPr>
          <w:p w14:paraId="705994FA" w14:textId="77777777" w:rsidR="001C02EB" w:rsidRPr="00D23B24" w:rsidRDefault="001C02EB" w:rsidP="001C02EB">
            <w:pPr>
              <w:spacing w:line="276" w:lineRule="auto"/>
              <w:ind w:left="29"/>
              <w:jc w:val="both"/>
              <w:rPr>
                <w:rFonts w:ascii="David" w:hAnsi="David"/>
                <w:sz w:val="26"/>
                <w:rtl/>
              </w:rPr>
            </w:pPr>
          </w:p>
        </w:tc>
      </w:tr>
      <w:tr w:rsidR="00F659EE" w:rsidRPr="00F25B85" w14:paraId="14475D44" w14:textId="77777777" w:rsidTr="009E51DA">
        <w:tc>
          <w:tcPr>
            <w:tcW w:w="664" w:type="pct"/>
            <w:shd w:val="clear" w:color="auto" w:fill="auto"/>
          </w:tcPr>
          <w:p w14:paraId="2738D1F0"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49DAAFCA"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6596BCC9" w14:textId="77777777" w:rsidR="001C02EB" w:rsidRDefault="001C02EB" w:rsidP="001C02EB">
            <w:pPr>
              <w:spacing w:line="276" w:lineRule="auto"/>
              <w:ind w:left="29"/>
              <w:rPr>
                <w:rFonts w:ascii="David" w:hAnsi="David"/>
                <w:sz w:val="26"/>
                <w:rtl/>
              </w:rPr>
            </w:pPr>
          </w:p>
        </w:tc>
        <w:tc>
          <w:tcPr>
            <w:tcW w:w="395" w:type="pct"/>
            <w:shd w:val="clear" w:color="auto" w:fill="auto"/>
          </w:tcPr>
          <w:p w14:paraId="62D55424"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2D09E336" w14:textId="01645613" w:rsidR="001C02EB" w:rsidRPr="00D23B24" w:rsidRDefault="001C02EB" w:rsidP="001C02EB">
            <w:pPr>
              <w:spacing w:line="276" w:lineRule="auto"/>
              <w:ind w:left="29"/>
              <w:jc w:val="both"/>
              <w:rPr>
                <w:rFonts w:ascii="David" w:hAnsi="David"/>
                <w:sz w:val="26"/>
                <w:rtl/>
              </w:rPr>
            </w:pPr>
            <w:r>
              <w:rPr>
                <w:rFonts w:ascii="David" w:hAnsi="David" w:hint="cs"/>
                <w:sz w:val="26"/>
                <w:rtl/>
              </w:rPr>
              <w:t>(3)</w:t>
            </w:r>
          </w:p>
        </w:tc>
        <w:tc>
          <w:tcPr>
            <w:tcW w:w="314" w:type="pct"/>
            <w:shd w:val="clear" w:color="auto" w:fill="auto"/>
          </w:tcPr>
          <w:p w14:paraId="1F9F4284" w14:textId="0146C5BD" w:rsidR="001C02EB" w:rsidRPr="00D23B24" w:rsidRDefault="001C02EB" w:rsidP="001C02EB">
            <w:pPr>
              <w:spacing w:line="276" w:lineRule="auto"/>
              <w:ind w:left="29"/>
              <w:jc w:val="both"/>
              <w:rPr>
                <w:rFonts w:ascii="David" w:hAnsi="David"/>
                <w:sz w:val="26"/>
                <w:rtl/>
              </w:rPr>
            </w:pPr>
            <w:r>
              <w:rPr>
                <w:rFonts w:ascii="David" w:hAnsi="David" w:hint="cs"/>
                <w:sz w:val="26"/>
                <w:rtl/>
              </w:rPr>
              <w:t>(א)</w:t>
            </w:r>
          </w:p>
        </w:tc>
        <w:tc>
          <w:tcPr>
            <w:tcW w:w="2674" w:type="pct"/>
            <w:shd w:val="clear" w:color="auto" w:fill="auto"/>
          </w:tcPr>
          <w:p w14:paraId="6F5E6B4D" w14:textId="131C84EF" w:rsidR="001C02EB" w:rsidRPr="00D23B24" w:rsidRDefault="001C02EB" w:rsidP="001C02EB">
            <w:pPr>
              <w:spacing w:line="276" w:lineRule="auto"/>
              <w:ind w:left="29"/>
              <w:jc w:val="both"/>
              <w:rPr>
                <w:rFonts w:ascii="David" w:hAnsi="David"/>
                <w:sz w:val="26"/>
                <w:rtl/>
              </w:rPr>
            </w:pPr>
            <w:r w:rsidRPr="00D41F27">
              <w:rPr>
                <w:rtl/>
              </w:rPr>
              <w:t xml:space="preserve">קנס המוטל לפי </w:t>
            </w:r>
            <w:r>
              <w:rPr>
                <w:rFonts w:hint="cs"/>
                <w:rtl/>
              </w:rPr>
              <w:t>פסקה</w:t>
            </w:r>
            <w:r w:rsidRPr="00D41F27">
              <w:rPr>
                <w:rtl/>
              </w:rPr>
              <w:t xml:space="preserve"> (</w:t>
            </w:r>
            <w:r>
              <w:rPr>
                <w:rFonts w:hint="cs"/>
                <w:rtl/>
              </w:rPr>
              <w:t>1</w:t>
            </w:r>
            <w:r w:rsidRPr="00D41F27">
              <w:rPr>
                <w:rtl/>
              </w:rPr>
              <w:t>) לא יפחת מ־5,000 שקלים חדשים, אלא אם כן החליט בית המשפט, מטעמים מיוחדים שיירשמו, להקל בעונש</w:t>
            </w:r>
            <w:r>
              <w:rPr>
                <w:rFonts w:ascii="David" w:hAnsi="David" w:hint="cs"/>
                <w:sz w:val="26"/>
                <w:rtl/>
              </w:rPr>
              <w:t>;</w:t>
            </w:r>
          </w:p>
        </w:tc>
      </w:tr>
      <w:tr w:rsidR="00F659EE" w:rsidRPr="00F25B85" w14:paraId="0348B348" w14:textId="77777777" w:rsidTr="009E51DA">
        <w:tc>
          <w:tcPr>
            <w:tcW w:w="664" w:type="pct"/>
            <w:shd w:val="clear" w:color="auto" w:fill="auto"/>
          </w:tcPr>
          <w:p w14:paraId="4FE8ED68"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35E89B95"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37A563B8" w14:textId="77777777" w:rsidR="001C02EB" w:rsidRDefault="001C02EB" w:rsidP="001C02EB">
            <w:pPr>
              <w:spacing w:line="276" w:lineRule="auto"/>
              <w:ind w:left="29"/>
              <w:rPr>
                <w:rFonts w:ascii="David" w:hAnsi="David"/>
                <w:sz w:val="26"/>
                <w:rtl/>
              </w:rPr>
            </w:pPr>
          </w:p>
        </w:tc>
        <w:tc>
          <w:tcPr>
            <w:tcW w:w="395" w:type="pct"/>
            <w:shd w:val="clear" w:color="auto" w:fill="auto"/>
          </w:tcPr>
          <w:p w14:paraId="5EEF5359"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1E5D5E71"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7EFCD81C" w14:textId="77777777" w:rsidR="001C02EB" w:rsidRPr="00D23B24" w:rsidRDefault="001C02EB" w:rsidP="001C02EB">
            <w:pPr>
              <w:spacing w:line="276" w:lineRule="auto"/>
              <w:ind w:left="29"/>
              <w:jc w:val="both"/>
              <w:rPr>
                <w:rFonts w:ascii="David" w:hAnsi="David"/>
                <w:sz w:val="26"/>
                <w:rtl/>
              </w:rPr>
            </w:pPr>
          </w:p>
        </w:tc>
        <w:tc>
          <w:tcPr>
            <w:tcW w:w="2674" w:type="pct"/>
            <w:shd w:val="clear" w:color="auto" w:fill="auto"/>
          </w:tcPr>
          <w:p w14:paraId="44FB99D1" w14:textId="77777777" w:rsidR="001C02EB" w:rsidRPr="00D23B24" w:rsidRDefault="001C02EB" w:rsidP="001C02EB">
            <w:pPr>
              <w:spacing w:line="276" w:lineRule="auto"/>
              <w:ind w:left="29"/>
              <w:jc w:val="both"/>
              <w:rPr>
                <w:rFonts w:ascii="David" w:hAnsi="David"/>
                <w:sz w:val="26"/>
                <w:rtl/>
              </w:rPr>
            </w:pPr>
          </w:p>
        </w:tc>
      </w:tr>
      <w:tr w:rsidR="00F659EE" w:rsidRPr="00F25B85" w14:paraId="4C3EF485" w14:textId="77777777" w:rsidTr="009E51DA">
        <w:tc>
          <w:tcPr>
            <w:tcW w:w="664" w:type="pct"/>
            <w:shd w:val="clear" w:color="auto" w:fill="auto"/>
          </w:tcPr>
          <w:p w14:paraId="59846881"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47AA00BE"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5FEB57BB" w14:textId="77777777" w:rsidR="001C02EB" w:rsidRDefault="001C02EB" w:rsidP="001C02EB">
            <w:pPr>
              <w:spacing w:line="276" w:lineRule="auto"/>
              <w:ind w:left="29"/>
              <w:rPr>
                <w:rFonts w:ascii="David" w:hAnsi="David"/>
                <w:sz w:val="26"/>
                <w:rtl/>
              </w:rPr>
            </w:pPr>
          </w:p>
        </w:tc>
        <w:tc>
          <w:tcPr>
            <w:tcW w:w="395" w:type="pct"/>
            <w:shd w:val="clear" w:color="auto" w:fill="auto"/>
          </w:tcPr>
          <w:p w14:paraId="6291918D"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0589A84A"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0D09DF1A" w14:textId="48247650" w:rsidR="001C02EB" w:rsidRPr="00D23B24" w:rsidRDefault="001C02EB" w:rsidP="001C02EB">
            <w:pPr>
              <w:spacing w:line="276" w:lineRule="auto"/>
              <w:ind w:left="29"/>
              <w:jc w:val="both"/>
              <w:rPr>
                <w:rFonts w:ascii="David" w:hAnsi="David"/>
                <w:sz w:val="26"/>
                <w:rtl/>
              </w:rPr>
            </w:pPr>
            <w:r>
              <w:rPr>
                <w:rFonts w:ascii="David" w:hAnsi="David" w:hint="cs"/>
                <w:sz w:val="26"/>
                <w:rtl/>
              </w:rPr>
              <w:t>(ב)</w:t>
            </w:r>
          </w:p>
        </w:tc>
        <w:tc>
          <w:tcPr>
            <w:tcW w:w="2674" w:type="pct"/>
            <w:shd w:val="clear" w:color="auto" w:fill="auto"/>
          </w:tcPr>
          <w:p w14:paraId="4EC08F1C" w14:textId="3BFE6BF8" w:rsidR="001C02EB" w:rsidRPr="00D23B24" w:rsidRDefault="001C02EB" w:rsidP="001C02EB">
            <w:pPr>
              <w:spacing w:line="276" w:lineRule="auto"/>
              <w:ind w:left="29"/>
              <w:jc w:val="both"/>
              <w:rPr>
                <w:rFonts w:ascii="David" w:hAnsi="David"/>
                <w:sz w:val="26"/>
                <w:rtl/>
              </w:rPr>
            </w:pPr>
            <w:r w:rsidRPr="00D41F27">
              <w:rPr>
                <w:rtl/>
              </w:rPr>
              <w:t xml:space="preserve">קנס המוטל על תאגיד לפי </w:t>
            </w:r>
            <w:r>
              <w:rPr>
                <w:rFonts w:hint="cs"/>
                <w:rtl/>
              </w:rPr>
              <w:t>פסקאות</w:t>
            </w:r>
            <w:r w:rsidRPr="00D41F27">
              <w:rPr>
                <w:rtl/>
              </w:rPr>
              <w:t xml:space="preserve"> (</w:t>
            </w:r>
            <w:r>
              <w:rPr>
                <w:rFonts w:hint="cs"/>
                <w:rtl/>
              </w:rPr>
              <w:t>1</w:t>
            </w:r>
            <w:r w:rsidRPr="00D41F27">
              <w:rPr>
                <w:rtl/>
              </w:rPr>
              <w:t>) ו־(</w:t>
            </w:r>
            <w:r>
              <w:rPr>
                <w:rFonts w:hint="cs"/>
                <w:rtl/>
              </w:rPr>
              <w:t>2</w:t>
            </w:r>
            <w:r w:rsidRPr="00D41F27">
              <w:rPr>
                <w:rtl/>
              </w:rPr>
              <w:t>) לא יפחת מ־20,000 שקלים חדשים, אלא אם כן החליט בית המשפט, מטעמים מיוחדים שיירשמו, להקל בעונש</w:t>
            </w:r>
            <w:r>
              <w:rPr>
                <w:rFonts w:ascii="David" w:hAnsi="David" w:hint="cs"/>
                <w:sz w:val="26"/>
                <w:rtl/>
              </w:rPr>
              <w:t>;</w:t>
            </w:r>
          </w:p>
        </w:tc>
      </w:tr>
      <w:tr w:rsidR="00F659EE" w:rsidRPr="00F25B85" w14:paraId="7F52B5B7" w14:textId="77777777" w:rsidTr="009E51DA">
        <w:tc>
          <w:tcPr>
            <w:tcW w:w="664" w:type="pct"/>
            <w:shd w:val="clear" w:color="auto" w:fill="auto"/>
          </w:tcPr>
          <w:p w14:paraId="3B11019E"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1677CEA9"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0D3FEF15" w14:textId="77777777" w:rsidR="001C02EB" w:rsidRDefault="001C02EB" w:rsidP="001C02EB">
            <w:pPr>
              <w:spacing w:line="276" w:lineRule="auto"/>
              <w:ind w:left="29"/>
              <w:rPr>
                <w:rFonts w:ascii="David" w:hAnsi="David"/>
                <w:sz w:val="26"/>
                <w:rtl/>
              </w:rPr>
            </w:pPr>
          </w:p>
        </w:tc>
        <w:tc>
          <w:tcPr>
            <w:tcW w:w="395" w:type="pct"/>
            <w:shd w:val="clear" w:color="auto" w:fill="auto"/>
          </w:tcPr>
          <w:p w14:paraId="68C3A941"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35411E65"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1E37E53B" w14:textId="77777777" w:rsidR="001C02EB" w:rsidRPr="00D23B24" w:rsidRDefault="001C02EB" w:rsidP="001C02EB">
            <w:pPr>
              <w:spacing w:line="276" w:lineRule="auto"/>
              <w:ind w:left="29"/>
              <w:jc w:val="both"/>
              <w:rPr>
                <w:rFonts w:ascii="David" w:hAnsi="David"/>
                <w:sz w:val="26"/>
                <w:rtl/>
              </w:rPr>
            </w:pPr>
          </w:p>
        </w:tc>
        <w:tc>
          <w:tcPr>
            <w:tcW w:w="2674" w:type="pct"/>
            <w:shd w:val="clear" w:color="auto" w:fill="auto"/>
          </w:tcPr>
          <w:p w14:paraId="6161C86C" w14:textId="77777777" w:rsidR="001C02EB" w:rsidRPr="00D23B24" w:rsidRDefault="001C02EB" w:rsidP="001C02EB">
            <w:pPr>
              <w:spacing w:line="276" w:lineRule="auto"/>
              <w:ind w:left="29"/>
              <w:jc w:val="both"/>
              <w:rPr>
                <w:rFonts w:ascii="David" w:hAnsi="David"/>
                <w:sz w:val="26"/>
                <w:rtl/>
              </w:rPr>
            </w:pPr>
          </w:p>
        </w:tc>
      </w:tr>
      <w:tr w:rsidR="00F659EE" w:rsidRPr="00F25B85" w14:paraId="68242543" w14:textId="77777777" w:rsidTr="009E51DA">
        <w:tc>
          <w:tcPr>
            <w:tcW w:w="664" w:type="pct"/>
            <w:shd w:val="clear" w:color="auto" w:fill="auto"/>
          </w:tcPr>
          <w:p w14:paraId="098ED0D8"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46EE986E"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4A5A8303" w14:textId="77777777" w:rsidR="001C02EB" w:rsidRDefault="001C02EB" w:rsidP="001C02EB">
            <w:pPr>
              <w:spacing w:line="276" w:lineRule="auto"/>
              <w:ind w:left="29"/>
              <w:rPr>
                <w:rFonts w:ascii="David" w:hAnsi="David"/>
                <w:sz w:val="26"/>
                <w:rtl/>
              </w:rPr>
            </w:pPr>
          </w:p>
        </w:tc>
        <w:tc>
          <w:tcPr>
            <w:tcW w:w="395" w:type="pct"/>
            <w:shd w:val="clear" w:color="auto" w:fill="auto"/>
          </w:tcPr>
          <w:p w14:paraId="0D60D5C5"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56F5AB93"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29C40B68" w14:textId="282AA315" w:rsidR="001C02EB" w:rsidRPr="00D23B24" w:rsidRDefault="001C02EB" w:rsidP="001C02EB">
            <w:pPr>
              <w:spacing w:line="276" w:lineRule="auto"/>
              <w:ind w:left="29"/>
              <w:jc w:val="both"/>
              <w:rPr>
                <w:rFonts w:ascii="David" w:hAnsi="David"/>
                <w:sz w:val="26"/>
                <w:rtl/>
              </w:rPr>
            </w:pPr>
            <w:r>
              <w:rPr>
                <w:rFonts w:ascii="David" w:hAnsi="David" w:hint="cs"/>
                <w:sz w:val="26"/>
                <w:rtl/>
              </w:rPr>
              <w:t>(ג)</w:t>
            </w:r>
          </w:p>
        </w:tc>
        <w:tc>
          <w:tcPr>
            <w:tcW w:w="2674" w:type="pct"/>
            <w:shd w:val="clear" w:color="auto" w:fill="auto"/>
          </w:tcPr>
          <w:p w14:paraId="60F668ED" w14:textId="06BF1A4C" w:rsidR="001C02EB" w:rsidRPr="00D23B24" w:rsidRDefault="001C02EB" w:rsidP="001C02EB">
            <w:pPr>
              <w:spacing w:line="276" w:lineRule="auto"/>
              <w:ind w:left="29"/>
              <w:jc w:val="both"/>
              <w:rPr>
                <w:rFonts w:ascii="David" w:hAnsi="David"/>
                <w:sz w:val="26"/>
                <w:rtl/>
              </w:rPr>
            </w:pPr>
            <w:r w:rsidRPr="00723BC9">
              <w:rPr>
                <w:rtl/>
              </w:rPr>
              <w:t xml:space="preserve">הוראות </w:t>
            </w:r>
            <w:r>
              <w:rPr>
                <w:rFonts w:hint="cs"/>
                <w:rtl/>
              </w:rPr>
              <w:t>פסקה זו</w:t>
            </w:r>
            <w:r w:rsidRPr="00723BC9">
              <w:rPr>
                <w:rtl/>
              </w:rPr>
              <w:t xml:space="preserve"> יעמדו בתוקפן עד יום כ"ד בניסן התשפ"ז (1 במאי 2027)</w:t>
            </w:r>
            <w:r>
              <w:rPr>
                <w:rFonts w:hint="cs"/>
                <w:rtl/>
              </w:rPr>
              <w:t>;</w:t>
            </w:r>
          </w:p>
        </w:tc>
      </w:tr>
      <w:tr w:rsidR="00F659EE" w:rsidRPr="00F25B85" w14:paraId="4AAED875" w14:textId="77777777" w:rsidTr="009E51DA">
        <w:tc>
          <w:tcPr>
            <w:tcW w:w="664" w:type="pct"/>
            <w:shd w:val="clear" w:color="auto" w:fill="auto"/>
          </w:tcPr>
          <w:p w14:paraId="5CD28F7B"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14D74B1C"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22693A74" w14:textId="77777777" w:rsidR="001C02EB" w:rsidRDefault="001C02EB" w:rsidP="001C02EB">
            <w:pPr>
              <w:spacing w:line="276" w:lineRule="auto"/>
              <w:ind w:left="29"/>
              <w:rPr>
                <w:rFonts w:ascii="David" w:hAnsi="David"/>
                <w:sz w:val="26"/>
                <w:rtl/>
              </w:rPr>
            </w:pPr>
          </w:p>
        </w:tc>
        <w:tc>
          <w:tcPr>
            <w:tcW w:w="395" w:type="pct"/>
            <w:shd w:val="clear" w:color="auto" w:fill="auto"/>
          </w:tcPr>
          <w:p w14:paraId="39F44058"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6A553F64"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636DCDD8" w14:textId="77777777" w:rsidR="001C02EB" w:rsidRPr="00D23B24" w:rsidRDefault="001C02EB" w:rsidP="001C02EB">
            <w:pPr>
              <w:spacing w:line="276" w:lineRule="auto"/>
              <w:ind w:left="29"/>
              <w:jc w:val="both"/>
              <w:rPr>
                <w:rFonts w:ascii="David" w:hAnsi="David"/>
                <w:sz w:val="26"/>
                <w:rtl/>
              </w:rPr>
            </w:pPr>
          </w:p>
        </w:tc>
        <w:tc>
          <w:tcPr>
            <w:tcW w:w="2674" w:type="pct"/>
            <w:shd w:val="clear" w:color="auto" w:fill="auto"/>
          </w:tcPr>
          <w:p w14:paraId="067ED49A" w14:textId="77777777" w:rsidR="001C02EB" w:rsidRPr="00D23B24" w:rsidRDefault="001C02EB" w:rsidP="001C02EB">
            <w:pPr>
              <w:spacing w:line="276" w:lineRule="auto"/>
              <w:ind w:left="29"/>
              <w:jc w:val="both"/>
              <w:rPr>
                <w:rFonts w:ascii="David" w:hAnsi="David"/>
                <w:sz w:val="26"/>
                <w:rtl/>
              </w:rPr>
            </w:pPr>
          </w:p>
        </w:tc>
      </w:tr>
      <w:tr w:rsidR="00C4269E" w:rsidRPr="00F25B85" w14:paraId="00BAF2AC" w14:textId="77777777" w:rsidTr="009E51DA">
        <w:tc>
          <w:tcPr>
            <w:tcW w:w="664" w:type="pct"/>
            <w:shd w:val="clear" w:color="auto" w:fill="auto"/>
          </w:tcPr>
          <w:p w14:paraId="4E65D2C2"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33533C63"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1B4068A0" w14:textId="77777777" w:rsidR="001C02EB" w:rsidRDefault="001C02EB" w:rsidP="001C02EB">
            <w:pPr>
              <w:spacing w:line="276" w:lineRule="auto"/>
              <w:ind w:left="29"/>
              <w:rPr>
                <w:rFonts w:ascii="David" w:hAnsi="David"/>
                <w:sz w:val="26"/>
                <w:rtl/>
              </w:rPr>
            </w:pPr>
          </w:p>
        </w:tc>
        <w:tc>
          <w:tcPr>
            <w:tcW w:w="395" w:type="pct"/>
            <w:shd w:val="clear" w:color="auto" w:fill="auto"/>
          </w:tcPr>
          <w:p w14:paraId="10FA809E"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7524F39A" w14:textId="5C6327A3" w:rsidR="001C02EB" w:rsidRPr="00D23B24" w:rsidRDefault="001C02EB" w:rsidP="001C02EB">
            <w:pPr>
              <w:spacing w:line="276" w:lineRule="auto"/>
              <w:ind w:left="29"/>
              <w:jc w:val="both"/>
              <w:rPr>
                <w:rFonts w:ascii="David" w:hAnsi="David"/>
                <w:sz w:val="26"/>
                <w:rtl/>
              </w:rPr>
            </w:pPr>
            <w:r>
              <w:rPr>
                <w:rFonts w:ascii="David" w:hAnsi="David" w:hint="cs"/>
                <w:sz w:val="26"/>
                <w:rtl/>
              </w:rPr>
              <w:t>(4)</w:t>
            </w:r>
          </w:p>
        </w:tc>
        <w:tc>
          <w:tcPr>
            <w:tcW w:w="2988" w:type="pct"/>
            <w:gridSpan w:val="2"/>
            <w:shd w:val="clear" w:color="auto" w:fill="auto"/>
          </w:tcPr>
          <w:p w14:paraId="61B1E56A" w14:textId="56275C00" w:rsidR="001C02EB" w:rsidRPr="00D23B24" w:rsidRDefault="001C02EB" w:rsidP="001C02EB">
            <w:pPr>
              <w:spacing w:line="276" w:lineRule="auto"/>
              <w:ind w:left="29"/>
              <w:jc w:val="both"/>
              <w:rPr>
                <w:rFonts w:ascii="David" w:hAnsi="David"/>
                <w:sz w:val="26"/>
                <w:rtl/>
              </w:rPr>
            </w:pPr>
            <w:r w:rsidRPr="00D23B24">
              <w:rPr>
                <w:rFonts w:ascii="David" w:hAnsi="David"/>
                <w:sz w:val="26"/>
                <w:rtl/>
              </w:rPr>
              <w:t xml:space="preserve">נעברה עבירה לפי </w:t>
            </w:r>
            <w:r>
              <w:rPr>
                <w:rFonts w:ascii="David" w:hAnsi="David" w:hint="cs"/>
                <w:sz w:val="26"/>
                <w:rtl/>
              </w:rPr>
              <w:t>פסקה (1)</w:t>
            </w:r>
            <w:r w:rsidRPr="00D23B24">
              <w:rPr>
                <w:rFonts w:ascii="David" w:hAnsi="David"/>
                <w:sz w:val="26"/>
                <w:rtl/>
              </w:rPr>
              <w:t xml:space="preserve">, באחת מהנסיבות המנויות להלן, דינו של עובר העבירה – מאסר </w:t>
            </w:r>
            <w:r>
              <w:rPr>
                <w:rFonts w:ascii="David" w:hAnsi="David" w:hint="cs"/>
                <w:sz w:val="26"/>
                <w:rtl/>
              </w:rPr>
              <w:t>שבע</w:t>
            </w:r>
            <w:r w:rsidRPr="00D23B24">
              <w:rPr>
                <w:rFonts w:ascii="David" w:hAnsi="David"/>
                <w:sz w:val="26"/>
                <w:rtl/>
              </w:rPr>
              <w:t xml:space="preserve"> שנים או הקנס הקבוע בסעיף 61(א)(4) לחוק העונשין</w:t>
            </w:r>
            <w:r w:rsidRPr="00D23B24">
              <w:rPr>
                <w:rFonts w:ascii="David" w:hAnsi="David"/>
                <w:sz w:val="26"/>
              </w:rPr>
              <w:t>:</w:t>
            </w:r>
          </w:p>
        </w:tc>
      </w:tr>
      <w:tr w:rsidR="00F659EE" w:rsidRPr="00F25B85" w14:paraId="2FAAA992" w14:textId="77777777" w:rsidTr="009E51DA">
        <w:tc>
          <w:tcPr>
            <w:tcW w:w="664" w:type="pct"/>
            <w:shd w:val="clear" w:color="auto" w:fill="auto"/>
          </w:tcPr>
          <w:p w14:paraId="4423D3EF"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2D865569"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158771F7" w14:textId="77777777" w:rsidR="001C02EB" w:rsidRDefault="001C02EB" w:rsidP="001C02EB">
            <w:pPr>
              <w:spacing w:line="276" w:lineRule="auto"/>
              <w:ind w:left="29"/>
              <w:rPr>
                <w:rFonts w:ascii="David" w:hAnsi="David"/>
                <w:sz w:val="26"/>
                <w:rtl/>
              </w:rPr>
            </w:pPr>
          </w:p>
        </w:tc>
        <w:tc>
          <w:tcPr>
            <w:tcW w:w="395" w:type="pct"/>
            <w:shd w:val="clear" w:color="auto" w:fill="auto"/>
          </w:tcPr>
          <w:p w14:paraId="082BDBE3"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159F4E10"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1B8270F0" w14:textId="77777777" w:rsidR="001C02EB" w:rsidRPr="00D23B24" w:rsidRDefault="001C02EB" w:rsidP="001C02EB">
            <w:pPr>
              <w:spacing w:line="276" w:lineRule="auto"/>
              <w:ind w:left="29"/>
              <w:jc w:val="both"/>
              <w:rPr>
                <w:rFonts w:ascii="David" w:hAnsi="David"/>
                <w:sz w:val="26"/>
                <w:rtl/>
              </w:rPr>
            </w:pPr>
          </w:p>
        </w:tc>
        <w:tc>
          <w:tcPr>
            <w:tcW w:w="2674" w:type="pct"/>
            <w:shd w:val="clear" w:color="auto" w:fill="auto"/>
          </w:tcPr>
          <w:p w14:paraId="763378B5" w14:textId="77777777" w:rsidR="001C02EB" w:rsidRPr="00D23B24" w:rsidRDefault="001C02EB" w:rsidP="001C02EB">
            <w:pPr>
              <w:spacing w:line="276" w:lineRule="auto"/>
              <w:ind w:left="29"/>
              <w:jc w:val="both"/>
              <w:rPr>
                <w:rFonts w:ascii="David" w:hAnsi="David"/>
                <w:sz w:val="26"/>
                <w:rtl/>
              </w:rPr>
            </w:pPr>
          </w:p>
        </w:tc>
      </w:tr>
      <w:tr w:rsidR="00F659EE" w:rsidRPr="00F25B85" w14:paraId="20979C58" w14:textId="77777777" w:rsidTr="009E51DA">
        <w:tc>
          <w:tcPr>
            <w:tcW w:w="664" w:type="pct"/>
            <w:shd w:val="clear" w:color="auto" w:fill="auto"/>
          </w:tcPr>
          <w:p w14:paraId="182F8140"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717E29D2"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101758A0" w14:textId="77777777" w:rsidR="001C02EB" w:rsidRDefault="001C02EB" w:rsidP="001C02EB">
            <w:pPr>
              <w:spacing w:line="276" w:lineRule="auto"/>
              <w:ind w:left="29"/>
              <w:rPr>
                <w:rFonts w:ascii="David" w:hAnsi="David"/>
                <w:sz w:val="26"/>
                <w:rtl/>
              </w:rPr>
            </w:pPr>
          </w:p>
        </w:tc>
        <w:tc>
          <w:tcPr>
            <w:tcW w:w="395" w:type="pct"/>
            <w:shd w:val="clear" w:color="auto" w:fill="auto"/>
          </w:tcPr>
          <w:p w14:paraId="6AAFA500"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6F59D7A6"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64B2F5A9" w14:textId="27DA7E50" w:rsidR="001C02EB" w:rsidRPr="00D23B24" w:rsidRDefault="001C02EB" w:rsidP="001C02EB">
            <w:pPr>
              <w:spacing w:line="276" w:lineRule="auto"/>
              <w:ind w:left="29"/>
              <w:jc w:val="both"/>
              <w:rPr>
                <w:rFonts w:ascii="David" w:hAnsi="David"/>
                <w:sz w:val="26"/>
                <w:rtl/>
              </w:rPr>
            </w:pPr>
            <w:r w:rsidRPr="00D23B24">
              <w:rPr>
                <w:rFonts w:ascii="David" w:hAnsi="David"/>
                <w:sz w:val="26"/>
                <w:rtl/>
              </w:rPr>
              <w:t>(</w:t>
            </w:r>
            <w:r>
              <w:rPr>
                <w:rFonts w:ascii="David" w:hAnsi="David" w:hint="cs"/>
                <w:sz w:val="26"/>
                <w:rtl/>
              </w:rPr>
              <w:t>א</w:t>
            </w:r>
            <w:r w:rsidRPr="00D23B24">
              <w:rPr>
                <w:rFonts w:ascii="David" w:hAnsi="David"/>
                <w:sz w:val="26"/>
                <w:rtl/>
              </w:rPr>
              <w:t>)</w:t>
            </w:r>
          </w:p>
        </w:tc>
        <w:tc>
          <w:tcPr>
            <w:tcW w:w="2674" w:type="pct"/>
            <w:shd w:val="clear" w:color="auto" w:fill="auto"/>
          </w:tcPr>
          <w:p w14:paraId="40874610" w14:textId="042C993C" w:rsidR="001C02EB" w:rsidRPr="00D23B24" w:rsidRDefault="001C02EB" w:rsidP="001C02EB">
            <w:pPr>
              <w:spacing w:line="276" w:lineRule="auto"/>
              <w:ind w:left="29"/>
              <w:jc w:val="both"/>
              <w:rPr>
                <w:rFonts w:ascii="David" w:hAnsi="David"/>
                <w:sz w:val="26"/>
                <w:rtl/>
              </w:rPr>
            </w:pPr>
            <w:r w:rsidRPr="00D23B24">
              <w:rPr>
                <w:rFonts w:ascii="David" w:hAnsi="David"/>
                <w:sz w:val="26"/>
                <w:rtl/>
              </w:rPr>
              <w:t xml:space="preserve">העסקה </w:t>
            </w:r>
            <w:r>
              <w:rPr>
                <w:rFonts w:ascii="David" w:hAnsi="David" w:hint="cs"/>
                <w:sz w:val="26"/>
                <w:rtl/>
              </w:rPr>
              <w:t xml:space="preserve">כאמור בפסקה (1) </w:t>
            </w:r>
            <w:r w:rsidRPr="00D23B24">
              <w:rPr>
                <w:rFonts w:ascii="David" w:hAnsi="David"/>
                <w:sz w:val="26"/>
                <w:rtl/>
              </w:rPr>
              <w:t xml:space="preserve">של שני </w:t>
            </w:r>
            <w:r>
              <w:rPr>
                <w:rFonts w:ascii="David" w:hAnsi="David" w:hint="cs"/>
                <w:sz w:val="26"/>
                <w:rtl/>
              </w:rPr>
              <w:t>עובדים תושבים האזור</w:t>
            </w:r>
            <w:r w:rsidRPr="00D23B24">
              <w:rPr>
                <w:rFonts w:ascii="David" w:hAnsi="David"/>
                <w:sz w:val="26"/>
                <w:rtl/>
              </w:rPr>
              <w:t xml:space="preserve"> או יותר</w:t>
            </w:r>
            <w:r w:rsidRPr="00D23B24">
              <w:rPr>
                <w:rFonts w:ascii="David" w:hAnsi="David"/>
                <w:sz w:val="26"/>
              </w:rPr>
              <w:t>;</w:t>
            </w:r>
          </w:p>
        </w:tc>
      </w:tr>
      <w:tr w:rsidR="00F659EE" w:rsidRPr="00F25B85" w14:paraId="61D30E64" w14:textId="77777777" w:rsidTr="009E51DA">
        <w:tc>
          <w:tcPr>
            <w:tcW w:w="664" w:type="pct"/>
            <w:shd w:val="clear" w:color="auto" w:fill="auto"/>
          </w:tcPr>
          <w:p w14:paraId="7D0CAE55"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6A88EE49"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222A46A8" w14:textId="77777777" w:rsidR="001C02EB" w:rsidRDefault="001C02EB" w:rsidP="001C02EB">
            <w:pPr>
              <w:spacing w:line="276" w:lineRule="auto"/>
              <w:ind w:left="29"/>
              <w:rPr>
                <w:rFonts w:ascii="David" w:hAnsi="David"/>
                <w:sz w:val="26"/>
                <w:rtl/>
              </w:rPr>
            </w:pPr>
          </w:p>
        </w:tc>
        <w:tc>
          <w:tcPr>
            <w:tcW w:w="395" w:type="pct"/>
            <w:shd w:val="clear" w:color="auto" w:fill="auto"/>
          </w:tcPr>
          <w:p w14:paraId="4AE5503B"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5A43BFEC"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7426AE6D" w14:textId="77777777" w:rsidR="001C02EB" w:rsidRPr="00D23B24" w:rsidRDefault="001C02EB" w:rsidP="001C02EB">
            <w:pPr>
              <w:spacing w:line="276" w:lineRule="auto"/>
              <w:ind w:left="29"/>
              <w:jc w:val="both"/>
              <w:rPr>
                <w:rFonts w:ascii="David" w:hAnsi="David"/>
                <w:sz w:val="26"/>
                <w:rtl/>
              </w:rPr>
            </w:pPr>
          </w:p>
        </w:tc>
        <w:tc>
          <w:tcPr>
            <w:tcW w:w="2674" w:type="pct"/>
            <w:shd w:val="clear" w:color="auto" w:fill="auto"/>
          </w:tcPr>
          <w:p w14:paraId="0AFE88CE" w14:textId="77777777" w:rsidR="001C02EB" w:rsidRPr="00D23B24" w:rsidRDefault="001C02EB" w:rsidP="001C02EB">
            <w:pPr>
              <w:spacing w:line="276" w:lineRule="auto"/>
              <w:ind w:left="29"/>
              <w:jc w:val="both"/>
              <w:rPr>
                <w:rFonts w:ascii="David" w:hAnsi="David"/>
                <w:sz w:val="26"/>
                <w:rtl/>
              </w:rPr>
            </w:pPr>
          </w:p>
        </w:tc>
      </w:tr>
      <w:tr w:rsidR="00F659EE" w:rsidRPr="00F25B85" w14:paraId="7A7EA53D" w14:textId="77777777" w:rsidTr="009E51DA">
        <w:tc>
          <w:tcPr>
            <w:tcW w:w="664" w:type="pct"/>
            <w:shd w:val="clear" w:color="auto" w:fill="auto"/>
          </w:tcPr>
          <w:p w14:paraId="76648575"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0960DD4E"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6416C04B" w14:textId="77777777" w:rsidR="001C02EB" w:rsidRDefault="001C02EB" w:rsidP="001C02EB">
            <w:pPr>
              <w:spacing w:line="276" w:lineRule="auto"/>
              <w:ind w:left="29"/>
              <w:rPr>
                <w:rFonts w:ascii="David" w:hAnsi="David"/>
                <w:sz w:val="26"/>
                <w:rtl/>
              </w:rPr>
            </w:pPr>
          </w:p>
        </w:tc>
        <w:tc>
          <w:tcPr>
            <w:tcW w:w="395" w:type="pct"/>
            <w:shd w:val="clear" w:color="auto" w:fill="auto"/>
          </w:tcPr>
          <w:p w14:paraId="57DBD79C"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27EB57C3"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0A929063" w14:textId="3DFF41ED" w:rsidR="001C02EB" w:rsidRPr="00D23B24" w:rsidRDefault="001C02EB" w:rsidP="001C02EB">
            <w:pPr>
              <w:spacing w:line="276" w:lineRule="auto"/>
              <w:ind w:left="29"/>
              <w:jc w:val="both"/>
              <w:rPr>
                <w:rFonts w:ascii="David" w:hAnsi="David"/>
                <w:sz w:val="26"/>
                <w:rtl/>
              </w:rPr>
            </w:pPr>
            <w:r w:rsidRPr="00D23B24">
              <w:rPr>
                <w:rFonts w:ascii="David" w:hAnsi="David"/>
                <w:sz w:val="26"/>
                <w:rtl/>
              </w:rPr>
              <w:t>(</w:t>
            </w:r>
            <w:r>
              <w:rPr>
                <w:rFonts w:ascii="David" w:hAnsi="David" w:hint="cs"/>
                <w:sz w:val="26"/>
                <w:rtl/>
              </w:rPr>
              <w:t>ב</w:t>
            </w:r>
            <w:r w:rsidRPr="00D23B24">
              <w:rPr>
                <w:rFonts w:ascii="David" w:hAnsi="David"/>
                <w:sz w:val="26"/>
                <w:rtl/>
              </w:rPr>
              <w:t>)</w:t>
            </w:r>
          </w:p>
        </w:tc>
        <w:tc>
          <w:tcPr>
            <w:tcW w:w="2674" w:type="pct"/>
            <w:shd w:val="clear" w:color="auto" w:fill="auto"/>
          </w:tcPr>
          <w:p w14:paraId="33B9D073" w14:textId="4A6A6A2D" w:rsidR="001C02EB" w:rsidRPr="00D23B24" w:rsidRDefault="001C02EB" w:rsidP="001C02EB">
            <w:pPr>
              <w:spacing w:line="276" w:lineRule="auto"/>
              <w:ind w:left="29"/>
              <w:jc w:val="both"/>
              <w:rPr>
                <w:rFonts w:ascii="David" w:hAnsi="David"/>
                <w:sz w:val="26"/>
                <w:rtl/>
              </w:rPr>
            </w:pPr>
            <w:r w:rsidRPr="00D23B24">
              <w:rPr>
                <w:rFonts w:ascii="David" w:hAnsi="David"/>
                <w:sz w:val="26"/>
                <w:rtl/>
              </w:rPr>
              <w:t xml:space="preserve">העסקה של </w:t>
            </w:r>
            <w:r>
              <w:rPr>
                <w:rFonts w:ascii="David" w:hAnsi="David" w:hint="cs"/>
                <w:sz w:val="26"/>
                <w:rtl/>
              </w:rPr>
              <w:t>עובד שהוא תושב האזור כאמור בפסקה (1)</w:t>
            </w:r>
            <w:r w:rsidRPr="00D23B24">
              <w:rPr>
                <w:rFonts w:ascii="David" w:hAnsi="David"/>
                <w:sz w:val="26"/>
                <w:rtl/>
              </w:rPr>
              <w:t>, למשך יומיים רצופים או יותר</w:t>
            </w:r>
            <w:r>
              <w:rPr>
                <w:rFonts w:ascii="David" w:hAnsi="David" w:hint="cs"/>
                <w:sz w:val="26"/>
                <w:rtl/>
              </w:rPr>
              <w:t>;</w:t>
            </w:r>
          </w:p>
        </w:tc>
      </w:tr>
      <w:tr w:rsidR="00F659EE" w:rsidRPr="00F25B85" w14:paraId="740DF26A" w14:textId="77777777" w:rsidTr="009E51DA">
        <w:tc>
          <w:tcPr>
            <w:tcW w:w="664" w:type="pct"/>
            <w:shd w:val="clear" w:color="auto" w:fill="auto"/>
          </w:tcPr>
          <w:p w14:paraId="0560BC7A"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6B2B3EA7"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750F7E8E" w14:textId="77777777" w:rsidR="001C02EB" w:rsidRDefault="001C02EB" w:rsidP="001C02EB">
            <w:pPr>
              <w:spacing w:line="276" w:lineRule="auto"/>
              <w:ind w:left="29"/>
              <w:rPr>
                <w:rFonts w:ascii="David" w:hAnsi="David"/>
                <w:sz w:val="26"/>
                <w:rtl/>
              </w:rPr>
            </w:pPr>
          </w:p>
        </w:tc>
        <w:tc>
          <w:tcPr>
            <w:tcW w:w="395" w:type="pct"/>
            <w:shd w:val="clear" w:color="auto" w:fill="auto"/>
          </w:tcPr>
          <w:p w14:paraId="6E771162"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68E2C9EB"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5F693D2C" w14:textId="77777777" w:rsidR="001C02EB" w:rsidRPr="00D23B24" w:rsidRDefault="001C02EB" w:rsidP="001C02EB">
            <w:pPr>
              <w:spacing w:line="276" w:lineRule="auto"/>
              <w:ind w:left="29"/>
              <w:jc w:val="both"/>
              <w:rPr>
                <w:rFonts w:ascii="David" w:hAnsi="David"/>
                <w:sz w:val="26"/>
                <w:rtl/>
              </w:rPr>
            </w:pPr>
          </w:p>
        </w:tc>
        <w:tc>
          <w:tcPr>
            <w:tcW w:w="2674" w:type="pct"/>
            <w:shd w:val="clear" w:color="auto" w:fill="auto"/>
          </w:tcPr>
          <w:p w14:paraId="635CA40A" w14:textId="77777777" w:rsidR="001C02EB" w:rsidRPr="00D23B24" w:rsidRDefault="001C02EB" w:rsidP="001C02EB">
            <w:pPr>
              <w:spacing w:line="276" w:lineRule="auto"/>
              <w:ind w:left="29"/>
              <w:jc w:val="both"/>
              <w:rPr>
                <w:rFonts w:ascii="David" w:hAnsi="David"/>
                <w:sz w:val="26"/>
                <w:rtl/>
              </w:rPr>
            </w:pPr>
          </w:p>
        </w:tc>
      </w:tr>
      <w:tr w:rsidR="00C4269E" w:rsidRPr="00F25B85" w14:paraId="6840628B" w14:textId="77777777" w:rsidTr="009E51DA">
        <w:tc>
          <w:tcPr>
            <w:tcW w:w="664" w:type="pct"/>
            <w:shd w:val="clear" w:color="auto" w:fill="auto"/>
          </w:tcPr>
          <w:p w14:paraId="292F742E"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1C88D823"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48D87EDF" w14:textId="77777777" w:rsidR="001C02EB" w:rsidRDefault="001C02EB" w:rsidP="001C02EB">
            <w:pPr>
              <w:spacing w:line="276" w:lineRule="auto"/>
              <w:ind w:left="29"/>
              <w:rPr>
                <w:rFonts w:ascii="David" w:hAnsi="David"/>
                <w:sz w:val="26"/>
                <w:rtl/>
              </w:rPr>
            </w:pPr>
          </w:p>
        </w:tc>
        <w:tc>
          <w:tcPr>
            <w:tcW w:w="395" w:type="pct"/>
            <w:shd w:val="clear" w:color="auto" w:fill="auto"/>
          </w:tcPr>
          <w:p w14:paraId="348807C8"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619F442B" w14:textId="6CD0992E" w:rsidR="001C02EB" w:rsidRPr="00D23B24" w:rsidRDefault="001C02EB" w:rsidP="001C02EB">
            <w:pPr>
              <w:spacing w:line="276" w:lineRule="auto"/>
              <w:ind w:left="29"/>
              <w:jc w:val="both"/>
              <w:rPr>
                <w:rFonts w:ascii="David" w:hAnsi="David"/>
                <w:sz w:val="26"/>
                <w:rtl/>
              </w:rPr>
            </w:pPr>
            <w:r>
              <w:rPr>
                <w:rFonts w:ascii="David" w:hAnsi="David" w:hint="cs"/>
                <w:sz w:val="26"/>
                <w:rtl/>
              </w:rPr>
              <w:t>(5)</w:t>
            </w:r>
          </w:p>
        </w:tc>
        <w:tc>
          <w:tcPr>
            <w:tcW w:w="2988" w:type="pct"/>
            <w:gridSpan w:val="2"/>
            <w:shd w:val="clear" w:color="auto" w:fill="auto"/>
          </w:tcPr>
          <w:p w14:paraId="47C4E98B" w14:textId="79362369" w:rsidR="001C02EB" w:rsidRPr="00D23B24" w:rsidRDefault="001C02EB" w:rsidP="001C02EB">
            <w:pPr>
              <w:spacing w:line="276" w:lineRule="auto"/>
              <w:ind w:left="29"/>
              <w:jc w:val="both"/>
              <w:rPr>
                <w:rFonts w:ascii="David" w:hAnsi="David"/>
                <w:sz w:val="26"/>
                <w:rtl/>
              </w:rPr>
            </w:pPr>
            <w:r w:rsidRPr="00D23B24">
              <w:rPr>
                <w:rFonts w:ascii="David" w:hAnsi="David"/>
                <w:sz w:val="26"/>
                <w:rtl/>
              </w:rPr>
              <w:t xml:space="preserve">נעברה עבירה לפי </w:t>
            </w:r>
            <w:r>
              <w:rPr>
                <w:rFonts w:ascii="David" w:hAnsi="David" w:hint="cs"/>
                <w:sz w:val="26"/>
                <w:rtl/>
              </w:rPr>
              <w:t>פסקה (4)</w:t>
            </w:r>
            <w:r w:rsidRPr="00D23B24">
              <w:rPr>
                <w:rFonts w:ascii="David" w:hAnsi="David"/>
                <w:sz w:val="26"/>
                <w:rtl/>
              </w:rPr>
              <w:t xml:space="preserve"> בידי תאגיד, דינו – כפל הקנס הקבוע </w:t>
            </w:r>
            <w:r>
              <w:rPr>
                <w:rFonts w:ascii="David" w:hAnsi="David" w:hint="cs"/>
                <w:sz w:val="26"/>
                <w:rtl/>
              </w:rPr>
              <w:t>בפסקה זו;</w:t>
            </w:r>
          </w:p>
        </w:tc>
      </w:tr>
      <w:tr w:rsidR="00F659EE" w:rsidRPr="00F25B85" w14:paraId="28F5BF3D" w14:textId="77777777" w:rsidTr="009E51DA">
        <w:tc>
          <w:tcPr>
            <w:tcW w:w="664" w:type="pct"/>
            <w:shd w:val="clear" w:color="auto" w:fill="auto"/>
          </w:tcPr>
          <w:p w14:paraId="09DB1744"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351844A6"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7F0E6FF0" w14:textId="77777777" w:rsidR="001C02EB" w:rsidRDefault="001C02EB" w:rsidP="001C02EB">
            <w:pPr>
              <w:spacing w:line="276" w:lineRule="auto"/>
              <w:ind w:left="29"/>
              <w:rPr>
                <w:rFonts w:ascii="David" w:hAnsi="David"/>
                <w:sz w:val="26"/>
                <w:rtl/>
              </w:rPr>
            </w:pPr>
          </w:p>
        </w:tc>
        <w:tc>
          <w:tcPr>
            <w:tcW w:w="395" w:type="pct"/>
            <w:shd w:val="clear" w:color="auto" w:fill="auto"/>
          </w:tcPr>
          <w:p w14:paraId="67E95002"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7CAF4672"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6B2E8EEE" w14:textId="77777777" w:rsidR="001C02EB" w:rsidRPr="00D23B24" w:rsidRDefault="001C02EB" w:rsidP="001C02EB">
            <w:pPr>
              <w:spacing w:line="276" w:lineRule="auto"/>
              <w:ind w:left="29"/>
              <w:jc w:val="both"/>
              <w:rPr>
                <w:rFonts w:ascii="David" w:hAnsi="David"/>
                <w:sz w:val="26"/>
                <w:rtl/>
              </w:rPr>
            </w:pPr>
          </w:p>
        </w:tc>
        <w:tc>
          <w:tcPr>
            <w:tcW w:w="2674" w:type="pct"/>
            <w:shd w:val="clear" w:color="auto" w:fill="auto"/>
          </w:tcPr>
          <w:p w14:paraId="742E22B0" w14:textId="77777777" w:rsidR="001C02EB" w:rsidRPr="00D23B24" w:rsidRDefault="001C02EB" w:rsidP="001C02EB">
            <w:pPr>
              <w:spacing w:line="276" w:lineRule="auto"/>
              <w:ind w:left="29"/>
              <w:jc w:val="both"/>
              <w:rPr>
                <w:rFonts w:ascii="David" w:hAnsi="David"/>
                <w:sz w:val="26"/>
                <w:rtl/>
              </w:rPr>
            </w:pPr>
          </w:p>
        </w:tc>
      </w:tr>
      <w:tr w:rsidR="00F659EE" w:rsidRPr="00F25B85" w14:paraId="392580E4" w14:textId="77777777" w:rsidTr="009E51DA">
        <w:tc>
          <w:tcPr>
            <w:tcW w:w="664" w:type="pct"/>
            <w:shd w:val="clear" w:color="auto" w:fill="auto"/>
          </w:tcPr>
          <w:p w14:paraId="7C64ABEB"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3D24415F"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32EC9BAD" w14:textId="77777777" w:rsidR="001C02EB" w:rsidRDefault="001C02EB" w:rsidP="001C02EB">
            <w:pPr>
              <w:spacing w:line="276" w:lineRule="auto"/>
              <w:ind w:left="29"/>
              <w:rPr>
                <w:rFonts w:ascii="David" w:hAnsi="David"/>
                <w:sz w:val="26"/>
                <w:rtl/>
              </w:rPr>
            </w:pPr>
          </w:p>
        </w:tc>
        <w:tc>
          <w:tcPr>
            <w:tcW w:w="395" w:type="pct"/>
            <w:shd w:val="clear" w:color="auto" w:fill="auto"/>
          </w:tcPr>
          <w:p w14:paraId="3A1CFE3C"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05521B18" w14:textId="0D23459B" w:rsidR="001C02EB" w:rsidRPr="00D23B24" w:rsidRDefault="001C02EB" w:rsidP="001C02EB">
            <w:pPr>
              <w:spacing w:line="276" w:lineRule="auto"/>
              <w:ind w:left="29"/>
              <w:jc w:val="both"/>
              <w:rPr>
                <w:rFonts w:ascii="David" w:hAnsi="David"/>
                <w:sz w:val="26"/>
                <w:rtl/>
              </w:rPr>
            </w:pPr>
            <w:r>
              <w:rPr>
                <w:rFonts w:ascii="David" w:hAnsi="David" w:hint="cs"/>
                <w:sz w:val="26"/>
                <w:rtl/>
              </w:rPr>
              <w:t>(6)</w:t>
            </w:r>
          </w:p>
        </w:tc>
        <w:tc>
          <w:tcPr>
            <w:tcW w:w="314" w:type="pct"/>
            <w:shd w:val="clear" w:color="auto" w:fill="auto"/>
          </w:tcPr>
          <w:p w14:paraId="39E60C49" w14:textId="1D320468" w:rsidR="001C02EB" w:rsidRPr="00D23B24" w:rsidRDefault="001C02EB" w:rsidP="001C02EB">
            <w:pPr>
              <w:spacing w:line="276" w:lineRule="auto"/>
              <w:ind w:left="29"/>
              <w:jc w:val="both"/>
              <w:rPr>
                <w:rFonts w:ascii="David" w:hAnsi="David"/>
                <w:sz w:val="26"/>
                <w:rtl/>
              </w:rPr>
            </w:pPr>
            <w:r>
              <w:rPr>
                <w:rFonts w:ascii="David" w:hAnsi="David" w:hint="cs"/>
                <w:sz w:val="26"/>
                <w:rtl/>
              </w:rPr>
              <w:t>(א)</w:t>
            </w:r>
          </w:p>
        </w:tc>
        <w:tc>
          <w:tcPr>
            <w:tcW w:w="2674" w:type="pct"/>
            <w:shd w:val="clear" w:color="auto" w:fill="auto"/>
          </w:tcPr>
          <w:p w14:paraId="49721892" w14:textId="22DFCCFE" w:rsidR="001C02EB" w:rsidRPr="00D23B24" w:rsidRDefault="001C02EB" w:rsidP="001C02EB">
            <w:pPr>
              <w:spacing w:line="276" w:lineRule="auto"/>
              <w:ind w:left="29"/>
              <w:jc w:val="both"/>
              <w:rPr>
                <w:rFonts w:ascii="David" w:hAnsi="David"/>
                <w:sz w:val="26"/>
                <w:rtl/>
              </w:rPr>
            </w:pPr>
            <w:r w:rsidRPr="00D41F27">
              <w:rPr>
                <w:rtl/>
              </w:rPr>
              <w:t xml:space="preserve">קנס המוטל לפי </w:t>
            </w:r>
            <w:r>
              <w:rPr>
                <w:rFonts w:hint="cs"/>
                <w:rtl/>
              </w:rPr>
              <w:t>פסקה</w:t>
            </w:r>
            <w:r w:rsidRPr="00D41F27">
              <w:rPr>
                <w:rtl/>
              </w:rPr>
              <w:t xml:space="preserve"> (</w:t>
            </w:r>
            <w:r>
              <w:rPr>
                <w:rFonts w:hint="cs"/>
                <w:rtl/>
              </w:rPr>
              <w:t>4</w:t>
            </w:r>
            <w:r w:rsidRPr="00D41F27">
              <w:rPr>
                <w:rtl/>
              </w:rPr>
              <w:t>) לא יפחת מ־10,000 שקלים חדשים, אלא אם כן החליט בית המשפט, מטעמים מיוחדים שיירשמו, להקל בעונש</w:t>
            </w:r>
            <w:r>
              <w:rPr>
                <w:rFonts w:ascii="David" w:hAnsi="David" w:hint="cs"/>
                <w:sz w:val="26"/>
                <w:rtl/>
              </w:rPr>
              <w:t>;</w:t>
            </w:r>
          </w:p>
        </w:tc>
      </w:tr>
      <w:tr w:rsidR="00F659EE" w:rsidRPr="00F25B85" w14:paraId="498BFBFC" w14:textId="77777777" w:rsidTr="009E51DA">
        <w:tc>
          <w:tcPr>
            <w:tcW w:w="664" w:type="pct"/>
            <w:shd w:val="clear" w:color="auto" w:fill="auto"/>
          </w:tcPr>
          <w:p w14:paraId="671EE65F"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2778A7B9"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5AC73C8C" w14:textId="77777777" w:rsidR="001C02EB" w:rsidRDefault="001C02EB" w:rsidP="001C02EB">
            <w:pPr>
              <w:spacing w:line="276" w:lineRule="auto"/>
              <w:ind w:left="29"/>
              <w:rPr>
                <w:rFonts w:ascii="David" w:hAnsi="David"/>
                <w:sz w:val="26"/>
                <w:rtl/>
              </w:rPr>
            </w:pPr>
          </w:p>
        </w:tc>
        <w:tc>
          <w:tcPr>
            <w:tcW w:w="395" w:type="pct"/>
            <w:shd w:val="clear" w:color="auto" w:fill="auto"/>
          </w:tcPr>
          <w:p w14:paraId="286AA69F"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1E86DA7C"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36788DC8" w14:textId="77777777" w:rsidR="001C02EB" w:rsidRPr="00D23B24" w:rsidRDefault="001C02EB" w:rsidP="001C02EB">
            <w:pPr>
              <w:spacing w:line="276" w:lineRule="auto"/>
              <w:ind w:left="29"/>
              <w:jc w:val="both"/>
              <w:rPr>
                <w:rFonts w:ascii="David" w:hAnsi="David"/>
                <w:sz w:val="26"/>
                <w:rtl/>
              </w:rPr>
            </w:pPr>
          </w:p>
        </w:tc>
        <w:tc>
          <w:tcPr>
            <w:tcW w:w="2674" w:type="pct"/>
            <w:shd w:val="clear" w:color="auto" w:fill="auto"/>
          </w:tcPr>
          <w:p w14:paraId="49E3F71D" w14:textId="77777777" w:rsidR="001C02EB" w:rsidRPr="00D23B24" w:rsidRDefault="001C02EB" w:rsidP="001C02EB">
            <w:pPr>
              <w:spacing w:line="276" w:lineRule="auto"/>
              <w:ind w:left="29"/>
              <w:jc w:val="both"/>
              <w:rPr>
                <w:rFonts w:ascii="David" w:hAnsi="David"/>
                <w:sz w:val="26"/>
                <w:rtl/>
              </w:rPr>
            </w:pPr>
          </w:p>
        </w:tc>
      </w:tr>
      <w:tr w:rsidR="00F659EE" w:rsidRPr="00F25B85" w14:paraId="37B472A2" w14:textId="77777777" w:rsidTr="009E51DA">
        <w:tc>
          <w:tcPr>
            <w:tcW w:w="664" w:type="pct"/>
            <w:shd w:val="clear" w:color="auto" w:fill="auto"/>
          </w:tcPr>
          <w:p w14:paraId="7477185F"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17EEFD42"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4676937C" w14:textId="77777777" w:rsidR="001C02EB" w:rsidRDefault="001C02EB" w:rsidP="001C02EB">
            <w:pPr>
              <w:spacing w:line="276" w:lineRule="auto"/>
              <w:ind w:left="29"/>
              <w:rPr>
                <w:rFonts w:ascii="David" w:hAnsi="David"/>
                <w:sz w:val="26"/>
                <w:rtl/>
              </w:rPr>
            </w:pPr>
          </w:p>
        </w:tc>
        <w:tc>
          <w:tcPr>
            <w:tcW w:w="395" w:type="pct"/>
            <w:shd w:val="clear" w:color="auto" w:fill="auto"/>
          </w:tcPr>
          <w:p w14:paraId="4E04D2F7"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2A1E1C2F"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602BF15E" w14:textId="7EC8037D" w:rsidR="001C02EB" w:rsidRPr="00D23B24" w:rsidRDefault="001C02EB" w:rsidP="001C02EB">
            <w:pPr>
              <w:spacing w:line="276" w:lineRule="auto"/>
              <w:ind w:left="29"/>
              <w:jc w:val="both"/>
              <w:rPr>
                <w:rFonts w:ascii="David" w:hAnsi="David"/>
                <w:sz w:val="26"/>
                <w:rtl/>
              </w:rPr>
            </w:pPr>
            <w:r>
              <w:rPr>
                <w:rFonts w:ascii="David" w:hAnsi="David" w:hint="cs"/>
                <w:sz w:val="26"/>
                <w:rtl/>
              </w:rPr>
              <w:t>(ב)</w:t>
            </w:r>
          </w:p>
        </w:tc>
        <w:tc>
          <w:tcPr>
            <w:tcW w:w="2674" w:type="pct"/>
            <w:shd w:val="clear" w:color="auto" w:fill="auto"/>
          </w:tcPr>
          <w:p w14:paraId="10D78921" w14:textId="5A3ABCBB" w:rsidR="001C02EB" w:rsidRPr="00D23B24" w:rsidRDefault="001C02EB" w:rsidP="001C02EB">
            <w:pPr>
              <w:spacing w:line="276" w:lineRule="auto"/>
              <w:ind w:left="29"/>
              <w:jc w:val="both"/>
              <w:rPr>
                <w:rFonts w:ascii="David" w:hAnsi="David"/>
                <w:sz w:val="26"/>
                <w:rtl/>
              </w:rPr>
            </w:pPr>
            <w:r w:rsidRPr="00D41F27">
              <w:rPr>
                <w:rtl/>
              </w:rPr>
              <w:t xml:space="preserve">קנס המוטל על תאגיד לפי </w:t>
            </w:r>
            <w:r>
              <w:rPr>
                <w:rFonts w:hint="cs"/>
                <w:rtl/>
              </w:rPr>
              <w:t>פסקאות</w:t>
            </w:r>
            <w:r w:rsidRPr="00D41F27">
              <w:rPr>
                <w:rtl/>
              </w:rPr>
              <w:t xml:space="preserve"> (</w:t>
            </w:r>
            <w:r>
              <w:rPr>
                <w:rFonts w:hint="cs"/>
                <w:rtl/>
              </w:rPr>
              <w:t>4</w:t>
            </w:r>
            <w:r w:rsidRPr="00D41F27">
              <w:rPr>
                <w:rtl/>
              </w:rPr>
              <w:t>) ו־(</w:t>
            </w:r>
            <w:r>
              <w:rPr>
                <w:rFonts w:hint="cs"/>
                <w:rtl/>
              </w:rPr>
              <w:t>5</w:t>
            </w:r>
            <w:r w:rsidRPr="00D41F27">
              <w:rPr>
                <w:rtl/>
              </w:rPr>
              <w:t>) לא יפחת מ־40,000 שקלים חדשים, אלא אם כן החליט בית המשפט, מטעמים מיוחדים שיירשמו, להקל בעונש</w:t>
            </w:r>
            <w:r>
              <w:rPr>
                <w:rFonts w:hint="cs"/>
                <w:rtl/>
              </w:rPr>
              <w:t>;</w:t>
            </w:r>
          </w:p>
        </w:tc>
      </w:tr>
      <w:tr w:rsidR="00F659EE" w:rsidRPr="00F25B85" w14:paraId="1A543FAB" w14:textId="77777777" w:rsidTr="009E51DA">
        <w:tc>
          <w:tcPr>
            <w:tcW w:w="664" w:type="pct"/>
            <w:shd w:val="clear" w:color="auto" w:fill="auto"/>
          </w:tcPr>
          <w:p w14:paraId="02E3D09A"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78C64B81"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6A4B9078" w14:textId="77777777" w:rsidR="001C02EB" w:rsidRDefault="001C02EB" w:rsidP="001C02EB">
            <w:pPr>
              <w:spacing w:line="276" w:lineRule="auto"/>
              <w:ind w:left="29"/>
              <w:rPr>
                <w:rFonts w:ascii="David" w:hAnsi="David"/>
                <w:sz w:val="26"/>
                <w:rtl/>
              </w:rPr>
            </w:pPr>
          </w:p>
        </w:tc>
        <w:tc>
          <w:tcPr>
            <w:tcW w:w="395" w:type="pct"/>
            <w:shd w:val="clear" w:color="auto" w:fill="auto"/>
          </w:tcPr>
          <w:p w14:paraId="6FF23F0E"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3B69F8C4"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6B795AA1" w14:textId="77777777" w:rsidR="001C02EB" w:rsidRPr="00D23B24" w:rsidRDefault="001C02EB" w:rsidP="001C02EB">
            <w:pPr>
              <w:spacing w:line="276" w:lineRule="auto"/>
              <w:ind w:left="29"/>
              <w:jc w:val="both"/>
              <w:rPr>
                <w:rFonts w:ascii="David" w:hAnsi="David"/>
                <w:sz w:val="26"/>
                <w:rtl/>
              </w:rPr>
            </w:pPr>
          </w:p>
        </w:tc>
        <w:tc>
          <w:tcPr>
            <w:tcW w:w="2674" w:type="pct"/>
            <w:shd w:val="clear" w:color="auto" w:fill="auto"/>
          </w:tcPr>
          <w:p w14:paraId="2996D41E" w14:textId="77777777" w:rsidR="001C02EB" w:rsidRPr="00D23B24" w:rsidRDefault="001C02EB" w:rsidP="001C02EB">
            <w:pPr>
              <w:spacing w:line="276" w:lineRule="auto"/>
              <w:ind w:left="29"/>
              <w:jc w:val="both"/>
              <w:rPr>
                <w:rFonts w:ascii="David" w:hAnsi="David"/>
                <w:sz w:val="26"/>
                <w:rtl/>
              </w:rPr>
            </w:pPr>
          </w:p>
        </w:tc>
      </w:tr>
      <w:tr w:rsidR="00F659EE" w:rsidRPr="00F25B85" w14:paraId="76548502" w14:textId="77777777" w:rsidTr="009E51DA">
        <w:tc>
          <w:tcPr>
            <w:tcW w:w="664" w:type="pct"/>
            <w:shd w:val="clear" w:color="auto" w:fill="auto"/>
          </w:tcPr>
          <w:p w14:paraId="5F442599"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54635664"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01F6252E" w14:textId="77777777" w:rsidR="001C02EB" w:rsidRDefault="001C02EB" w:rsidP="001C02EB">
            <w:pPr>
              <w:spacing w:line="276" w:lineRule="auto"/>
              <w:ind w:left="29"/>
              <w:rPr>
                <w:rFonts w:ascii="David" w:hAnsi="David"/>
                <w:sz w:val="26"/>
                <w:rtl/>
              </w:rPr>
            </w:pPr>
          </w:p>
        </w:tc>
        <w:tc>
          <w:tcPr>
            <w:tcW w:w="395" w:type="pct"/>
            <w:shd w:val="clear" w:color="auto" w:fill="auto"/>
          </w:tcPr>
          <w:p w14:paraId="5AFD09EF"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387306D2"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2FD96D79" w14:textId="1A67488C" w:rsidR="001C02EB" w:rsidRPr="00D23B24" w:rsidRDefault="001C02EB" w:rsidP="001C02EB">
            <w:pPr>
              <w:spacing w:line="276" w:lineRule="auto"/>
              <w:ind w:left="29"/>
              <w:jc w:val="both"/>
              <w:rPr>
                <w:rFonts w:ascii="David" w:hAnsi="David"/>
                <w:sz w:val="26"/>
                <w:rtl/>
              </w:rPr>
            </w:pPr>
            <w:r>
              <w:rPr>
                <w:rFonts w:ascii="David" w:hAnsi="David" w:hint="cs"/>
                <w:sz w:val="26"/>
                <w:rtl/>
              </w:rPr>
              <w:t>(ג)</w:t>
            </w:r>
          </w:p>
        </w:tc>
        <w:tc>
          <w:tcPr>
            <w:tcW w:w="2674" w:type="pct"/>
            <w:shd w:val="clear" w:color="auto" w:fill="auto"/>
          </w:tcPr>
          <w:p w14:paraId="434983DD" w14:textId="0756EAF2" w:rsidR="001C02EB" w:rsidRPr="00D23B24" w:rsidRDefault="001C02EB" w:rsidP="001C02EB">
            <w:pPr>
              <w:spacing w:line="276" w:lineRule="auto"/>
              <w:ind w:left="29"/>
              <w:jc w:val="both"/>
              <w:rPr>
                <w:rFonts w:ascii="David" w:hAnsi="David"/>
                <w:sz w:val="26"/>
                <w:rtl/>
              </w:rPr>
            </w:pPr>
            <w:r w:rsidRPr="00723BC9">
              <w:rPr>
                <w:rtl/>
              </w:rPr>
              <w:t xml:space="preserve">הוראות </w:t>
            </w:r>
            <w:r>
              <w:rPr>
                <w:rFonts w:hint="cs"/>
                <w:rtl/>
              </w:rPr>
              <w:t>פסקה זו</w:t>
            </w:r>
            <w:r w:rsidRPr="00723BC9">
              <w:rPr>
                <w:rtl/>
              </w:rPr>
              <w:t xml:space="preserve"> יעמדו בתוקפן עד יום כ"ד בניסן התשפ"ז (1 במאי 2027)</w:t>
            </w:r>
            <w:r>
              <w:rPr>
                <w:rFonts w:hint="cs"/>
                <w:rtl/>
              </w:rPr>
              <w:t>;</w:t>
            </w:r>
          </w:p>
        </w:tc>
      </w:tr>
      <w:tr w:rsidR="00F659EE" w:rsidRPr="00F25B85" w14:paraId="131152E8" w14:textId="77777777" w:rsidTr="009E51DA">
        <w:tc>
          <w:tcPr>
            <w:tcW w:w="664" w:type="pct"/>
            <w:shd w:val="clear" w:color="auto" w:fill="auto"/>
          </w:tcPr>
          <w:p w14:paraId="06C157F1"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42576D3A"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2F061826" w14:textId="77777777" w:rsidR="001C02EB" w:rsidRDefault="001C02EB" w:rsidP="001C02EB">
            <w:pPr>
              <w:spacing w:line="276" w:lineRule="auto"/>
              <w:ind w:left="29"/>
              <w:rPr>
                <w:rFonts w:ascii="David" w:hAnsi="David"/>
                <w:sz w:val="26"/>
                <w:rtl/>
              </w:rPr>
            </w:pPr>
          </w:p>
        </w:tc>
        <w:tc>
          <w:tcPr>
            <w:tcW w:w="395" w:type="pct"/>
            <w:shd w:val="clear" w:color="auto" w:fill="auto"/>
          </w:tcPr>
          <w:p w14:paraId="17D927A0"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00D1D2FC"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0C97C752" w14:textId="77777777" w:rsidR="001C02EB" w:rsidRPr="00D23B24" w:rsidRDefault="001C02EB" w:rsidP="001C02EB">
            <w:pPr>
              <w:spacing w:line="276" w:lineRule="auto"/>
              <w:ind w:left="29"/>
              <w:jc w:val="both"/>
              <w:rPr>
                <w:rFonts w:ascii="David" w:hAnsi="David"/>
                <w:sz w:val="26"/>
                <w:rtl/>
              </w:rPr>
            </w:pPr>
          </w:p>
        </w:tc>
        <w:tc>
          <w:tcPr>
            <w:tcW w:w="2674" w:type="pct"/>
            <w:shd w:val="clear" w:color="auto" w:fill="auto"/>
          </w:tcPr>
          <w:p w14:paraId="35C649FE" w14:textId="77777777" w:rsidR="001C02EB" w:rsidRPr="00D23B24" w:rsidRDefault="001C02EB" w:rsidP="001C02EB">
            <w:pPr>
              <w:spacing w:line="276" w:lineRule="auto"/>
              <w:ind w:left="29"/>
              <w:jc w:val="both"/>
              <w:rPr>
                <w:rFonts w:ascii="David" w:hAnsi="David"/>
                <w:sz w:val="26"/>
                <w:rtl/>
              </w:rPr>
            </w:pPr>
          </w:p>
        </w:tc>
      </w:tr>
      <w:tr w:rsidR="00F659EE" w:rsidRPr="00F25B85" w14:paraId="2B41249E" w14:textId="77777777" w:rsidTr="009E51DA">
        <w:tc>
          <w:tcPr>
            <w:tcW w:w="664" w:type="pct"/>
            <w:shd w:val="clear" w:color="auto" w:fill="auto"/>
          </w:tcPr>
          <w:p w14:paraId="1528116A" w14:textId="77777777" w:rsidR="00C4269E" w:rsidRPr="00D23B24" w:rsidRDefault="00C4269E" w:rsidP="001C02EB">
            <w:pPr>
              <w:spacing w:line="276" w:lineRule="auto"/>
              <w:jc w:val="both"/>
              <w:rPr>
                <w:rFonts w:ascii="David" w:hAnsi="David"/>
                <w:b/>
                <w:bCs/>
                <w:sz w:val="26"/>
                <w:rtl/>
              </w:rPr>
            </w:pPr>
          </w:p>
        </w:tc>
        <w:tc>
          <w:tcPr>
            <w:tcW w:w="325" w:type="pct"/>
            <w:shd w:val="clear" w:color="auto" w:fill="auto"/>
          </w:tcPr>
          <w:p w14:paraId="3D30CB9A" w14:textId="77777777" w:rsidR="00C4269E" w:rsidRPr="00D23B24" w:rsidRDefault="00C4269E" w:rsidP="001C02EB">
            <w:pPr>
              <w:spacing w:line="276" w:lineRule="auto"/>
              <w:jc w:val="both"/>
              <w:rPr>
                <w:rFonts w:ascii="David" w:hAnsi="David"/>
                <w:sz w:val="26"/>
                <w:rtl/>
              </w:rPr>
            </w:pPr>
          </w:p>
        </w:tc>
        <w:tc>
          <w:tcPr>
            <w:tcW w:w="313" w:type="pct"/>
            <w:shd w:val="clear" w:color="auto" w:fill="auto"/>
          </w:tcPr>
          <w:p w14:paraId="13FFA059" w14:textId="77777777" w:rsidR="00C4269E" w:rsidRDefault="00C4269E" w:rsidP="001C02EB">
            <w:pPr>
              <w:spacing w:line="276" w:lineRule="auto"/>
              <w:ind w:left="29"/>
              <w:rPr>
                <w:rFonts w:ascii="David" w:hAnsi="David"/>
                <w:sz w:val="26"/>
                <w:rtl/>
              </w:rPr>
            </w:pPr>
          </w:p>
        </w:tc>
        <w:tc>
          <w:tcPr>
            <w:tcW w:w="395" w:type="pct"/>
            <w:shd w:val="clear" w:color="auto" w:fill="auto"/>
          </w:tcPr>
          <w:p w14:paraId="50B74229" w14:textId="77777777" w:rsidR="00C4269E" w:rsidRDefault="00C4269E" w:rsidP="001C02EB">
            <w:pPr>
              <w:spacing w:line="276" w:lineRule="auto"/>
              <w:ind w:left="29"/>
              <w:jc w:val="both"/>
              <w:rPr>
                <w:rFonts w:ascii="David" w:hAnsi="David"/>
                <w:sz w:val="26"/>
                <w:rtl/>
              </w:rPr>
            </w:pPr>
          </w:p>
        </w:tc>
        <w:tc>
          <w:tcPr>
            <w:tcW w:w="315" w:type="pct"/>
            <w:gridSpan w:val="2"/>
            <w:shd w:val="clear" w:color="auto" w:fill="auto"/>
          </w:tcPr>
          <w:p w14:paraId="2171F1D8" w14:textId="24A8C9F7" w:rsidR="00C4269E" w:rsidRPr="00D23B24" w:rsidRDefault="00C4269E" w:rsidP="001C02EB">
            <w:pPr>
              <w:spacing w:line="276" w:lineRule="auto"/>
              <w:ind w:left="29"/>
              <w:jc w:val="both"/>
              <w:rPr>
                <w:rFonts w:ascii="David" w:hAnsi="David"/>
                <w:sz w:val="26"/>
                <w:rtl/>
              </w:rPr>
            </w:pPr>
            <w:r>
              <w:rPr>
                <w:rFonts w:ascii="David" w:hAnsi="David" w:hint="cs"/>
                <w:sz w:val="26"/>
                <w:rtl/>
              </w:rPr>
              <w:t>(7)</w:t>
            </w:r>
          </w:p>
        </w:tc>
        <w:tc>
          <w:tcPr>
            <w:tcW w:w="314" w:type="pct"/>
            <w:shd w:val="clear" w:color="auto" w:fill="auto"/>
          </w:tcPr>
          <w:p w14:paraId="2B57A1DE" w14:textId="1A83ECA2" w:rsidR="00C4269E" w:rsidRPr="00D23B24" w:rsidRDefault="00C4269E" w:rsidP="001C02EB">
            <w:pPr>
              <w:spacing w:line="276" w:lineRule="auto"/>
              <w:ind w:left="29"/>
              <w:jc w:val="both"/>
              <w:rPr>
                <w:rFonts w:ascii="David" w:hAnsi="David"/>
                <w:sz w:val="26"/>
                <w:rtl/>
              </w:rPr>
            </w:pPr>
            <w:r>
              <w:rPr>
                <w:rFonts w:ascii="David" w:hAnsi="David" w:hint="cs"/>
                <w:sz w:val="26"/>
                <w:rtl/>
              </w:rPr>
              <w:t>(א)</w:t>
            </w:r>
          </w:p>
        </w:tc>
        <w:tc>
          <w:tcPr>
            <w:tcW w:w="2674" w:type="pct"/>
            <w:shd w:val="clear" w:color="auto" w:fill="auto"/>
          </w:tcPr>
          <w:p w14:paraId="5BE9968A" w14:textId="3D659D06" w:rsidR="00C4269E" w:rsidRPr="00D23B24" w:rsidRDefault="00C4269E" w:rsidP="001C02EB">
            <w:pPr>
              <w:spacing w:line="276" w:lineRule="auto"/>
              <w:ind w:left="29"/>
              <w:jc w:val="both"/>
              <w:rPr>
                <w:rFonts w:ascii="David" w:hAnsi="David"/>
                <w:sz w:val="26"/>
                <w:rtl/>
              </w:rPr>
            </w:pPr>
            <w:r w:rsidRPr="001C02EB">
              <w:rPr>
                <w:rtl/>
              </w:rPr>
              <w:t xml:space="preserve">הורשע יחיד או תאגיד בעבירה לפי </w:t>
            </w:r>
            <w:r>
              <w:rPr>
                <w:rFonts w:hint="cs"/>
                <w:rtl/>
              </w:rPr>
              <w:t>פסקה (1) או (2)</w:t>
            </w:r>
            <w:r w:rsidRPr="001C02EB">
              <w:rPr>
                <w:rtl/>
              </w:rPr>
              <w:t>, רשאי בית המשפט, נוסף על כל עונש אחר, לצוות על התליית רישיון או היתר עיסוק שניתנו על פי כל דין, בעיסוק הקשור בעבירה, לתקופה שלא תעלה על שישה חודשים</w:t>
            </w:r>
            <w:r w:rsidR="00C037A2">
              <w:rPr>
                <w:rFonts w:hint="cs"/>
                <w:rtl/>
              </w:rPr>
              <w:t>;</w:t>
            </w:r>
          </w:p>
        </w:tc>
      </w:tr>
      <w:tr w:rsidR="00F659EE" w:rsidRPr="00F25B85" w14:paraId="3DAB2000" w14:textId="77777777" w:rsidTr="009E51DA">
        <w:tc>
          <w:tcPr>
            <w:tcW w:w="664" w:type="pct"/>
            <w:shd w:val="clear" w:color="auto" w:fill="auto"/>
          </w:tcPr>
          <w:p w14:paraId="6D620A59" w14:textId="77777777" w:rsidR="00C4269E" w:rsidRPr="00D23B24" w:rsidRDefault="00C4269E" w:rsidP="001C02EB">
            <w:pPr>
              <w:spacing w:line="276" w:lineRule="auto"/>
              <w:jc w:val="both"/>
              <w:rPr>
                <w:rFonts w:ascii="David" w:hAnsi="David"/>
                <w:b/>
                <w:bCs/>
                <w:sz w:val="26"/>
                <w:rtl/>
              </w:rPr>
            </w:pPr>
          </w:p>
        </w:tc>
        <w:tc>
          <w:tcPr>
            <w:tcW w:w="325" w:type="pct"/>
            <w:shd w:val="clear" w:color="auto" w:fill="auto"/>
          </w:tcPr>
          <w:p w14:paraId="6533DAA3" w14:textId="77777777" w:rsidR="00C4269E" w:rsidRPr="00D23B24" w:rsidRDefault="00C4269E" w:rsidP="001C02EB">
            <w:pPr>
              <w:spacing w:line="276" w:lineRule="auto"/>
              <w:jc w:val="both"/>
              <w:rPr>
                <w:rFonts w:ascii="David" w:hAnsi="David"/>
                <w:sz w:val="26"/>
                <w:rtl/>
              </w:rPr>
            </w:pPr>
          </w:p>
        </w:tc>
        <w:tc>
          <w:tcPr>
            <w:tcW w:w="313" w:type="pct"/>
            <w:shd w:val="clear" w:color="auto" w:fill="auto"/>
          </w:tcPr>
          <w:p w14:paraId="1157850C" w14:textId="77777777" w:rsidR="00C4269E" w:rsidRDefault="00C4269E" w:rsidP="001C02EB">
            <w:pPr>
              <w:spacing w:line="276" w:lineRule="auto"/>
              <w:ind w:left="29"/>
              <w:rPr>
                <w:rFonts w:ascii="David" w:hAnsi="David"/>
                <w:sz w:val="26"/>
                <w:rtl/>
              </w:rPr>
            </w:pPr>
          </w:p>
        </w:tc>
        <w:tc>
          <w:tcPr>
            <w:tcW w:w="395" w:type="pct"/>
            <w:shd w:val="clear" w:color="auto" w:fill="auto"/>
          </w:tcPr>
          <w:p w14:paraId="6597CB10" w14:textId="77777777" w:rsidR="00C4269E" w:rsidRDefault="00C4269E" w:rsidP="001C02EB">
            <w:pPr>
              <w:spacing w:line="276" w:lineRule="auto"/>
              <w:ind w:left="29"/>
              <w:jc w:val="both"/>
              <w:rPr>
                <w:rFonts w:ascii="David" w:hAnsi="David"/>
                <w:sz w:val="26"/>
                <w:rtl/>
              </w:rPr>
            </w:pPr>
          </w:p>
        </w:tc>
        <w:tc>
          <w:tcPr>
            <w:tcW w:w="315" w:type="pct"/>
            <w:gridSpan w:val="2"/>
            <w:shd w:val="clear" w:color="auto" w:fill="auto"/>
          </w:tcPr>
          <w:p w14:paraId="0B561D60" w14:textId="77777777" w:rsidR="00C4269E" w:rsidRPr="00D23B24" w:rsidRDefault="00C4269E" w:rsidP="001C02EB">
            <w:pPr>
              <w:spacing w:line="276" w:lineRule="auto"/>
              <w:ind w:left="29"/>
              <w:jc w:val="both"/>
              <w:rPr>
                <w:rFonts w:ascii="David" w:hAnsi="David"/>
                <w:sz w:val="26"/>
                <w:rtl/>
              </w:rPr>
            </w:pPr>
          </w:p>
        </w:tc>
        <w:tc>
          <w:tcPr>
            <w:tcW w:w="314" w:type="pct"/>
            <w:shd w:val="clear" w:color="auto" w:fill="auto"/>
          </w:tcPr>
          <w:p w14:paraId="01B1A952" w14:textId="77777777" w:rsidR="00C4269E" w:rsidRPr="00D23B24" w:rsidRDefault="00C4269E" w:rsidP="001C02EB">
            <w:pPr>
              <w:spacing w:line="276" w:lineRule="auto"/>
              <w:ind w:left="29"/>
              <w:jc w:val="both"/>
              <w:rPr>
                <w:rFonts w:ascii="David" w:hAnsi="David"/>
                <w:sz w:val="26"/>
                <w:rtl/>
              </w:rPr>
            </w:pPr>
          </w:p>
        </w:tc>
        <w:tc>
          <w:tcPr>
            <w:tcW w:w="2674" w:type="pct"/>
            <w:shd w:val="clear" w:color="auto" w:fill="auto"/>
          </w:tcPr>
          <w:p w14:paraId="17B9602B" w14:textId="77777777" w:rsidR="00C4269E" w:rsidRPr="00D23B24" w:rsidRDefault="00C4269E" w:rsidP="001C02EB">
            <w:pPr>
              <w:spacing w:line="276" w:lineRule="auto"/>
              <w:ind w:left="29"/>
              <w:jc w:val="both"/>
              <w:rPr>
                <w:rFonts w:ascii="David" w:hAnsi="David"/>
                <w:sz w:val="26"/>
                <w:rtl/>
              </w:rPr>
            </w:pPr>
          </w:p>
        </w:tc>
      </w:tr>
      <w:tr w:rsidR="00F659EE" w:rsidRPr="00F25B85" w14:paraId="245AD9C3" w14:textId="77777777" w:rsidTr="009E51DA">
        <w:tc>
          <w:tcPr>
            <w:tcW w:w="664" w:type="pct"/>
            <w:shd w:val="clear" w:color="auto" w:fill="auto"/>
          </w:tcPr>
          <w:p w14:paraId="7A07169C" w14:textId="77777777" w:rsidR="00C4269E" w:rsidRPr="00D23B24" w:rsidRDefault="00C4269E" w:rsidP="001C02EB">
            <w:pPr>
              <w:spacing w:line="276" w:lineRule="auto"/>
              <w:jc w:val="both"/>
              <w:rPr>
                <w:rFonts w:ascii="David" w:hAnsi="David"/>
                <w:b/>
                <w:bCs/>
                <w:sz w:val="26"/>
                <w:rtl/>
              </w:rPr>
            </w:pPr>
          </w:p>
        </w:tc>
        <w:tc>
          <w:tcPr>
            <w:tcW w:w="325" w:type="pct"/>
            <w:shd w:val="clear" w:color="auto" w:fill="auto"/>
          </w:tcPr>
          <w:p w14:paraId="7CFB5A26" w14:textId="77777777" w:rsidR="00C4269E" w:rsidRPr="00D23B24" w:rsidRDefault="00C4269E" w:rsidP="001C02EB">
            <w:pPr>
              <w:spacing w:line="276" w:lineRule="auto"/>
              <w:jc w:val="both"/>
              <w:rPr>
                <w:rFonts w:ascii="David" w:hAnsi="David"/>
                <w:sz w:val="26"/>
                <w:rtl/>
              </w:rPr>
            </w:pPr>
          </w:p>
        </w:tc>
        <w:tc>
          <w:tcPr>
            <w:tcW w:w="313" w:type="pct"/>
            <w:shd w:val="clear" w:color="auto" w:fill="auto"/>
          </w:tcPr>
          <w:p w14:paraId="51BE7132" w14:textId="77777777" w:rsidR="00C4269E" w:rsidRDefault="00C4269E" w:rsidP="001C02EB">
            <w:pPr>
              <w:spacing w:line="276" w:lineRule="auto"/>
              <w:ind w:left="29"/>
              <w:rPr>
                <w:rFonts w:ascii="David" w:hAnsi="David"/>
                <w:sz w:val="26"/>
                <w:rtl/>
              </w:rPr>
            </w:pPr>
          </w:p>
        </w:tc>
        <w:tc>
          <w:tcPr>
            <w:tcW w:w="395" w:type="pct"/>
            <w:shd w:val="clear" w:color="auto" w:fill="auto"/>
          </w:tcPr>
          <w:p w14:paraId="12095BB7" w14:textId="77777777" w:rsidR="00C4269E" w:rsidRDefault="00C4269E" w:rsidP="001C02EB">
            <w:pPr>
              <w:spacing w:line="276" w:lineRule="auto"/>
              <w:ind w:left="29"/>
              <w:jc w:val="both"/>
              <w:rPr>
                <w:rFonts w:ascii="David" w:hAnsi="David"/>
                <w:sz w:val="26"/>
                <w:rtl/>
              </w:rPr>
            </w:pPr>
          </w:p>
        </w:tc>
        <w:tc>
          <w:tcPr>
            <w:tcW w:w="315" w:type="pct"/>
            <w:gridSpan w:val="2"/>
            <w:shd w:val="clear" w:color="auto" w:fill="auto"/>
          </w:tcPr>
          <w:p w14:paraId="0C103913" w14:textId="77777777" w:rsidR="00C4269E" w:rsidRPr="00D23B24" w:rsidRDefault="00C4269E" w:rsidP="001C02EB">
            <w:pPr>
              <w:spacing w:line="276" w:lineRule="auto"/>
              <w:ind w:left="29"/>
              <w:jc w:val="both"/>
              <w:rPr>
                <w:rFonts w:ascii="David" w:hAnsi="David"/>
                <w:sz w:val="26"/>
                <w:rtl/>
              </w:rPr>
            </w:pPr>
          </w:p>
        </w:tc>
        <w:tc>
          <w:tcPr>
            <w:tcW w:w="314" w:type="pct"/>
            <w:shd w:val="clear" w:color="auto" w:fill="auto"/>
          </w:tcPr>
          <w:p w14:paraId="656A4D37" w14:textId="5E303FC2" w:rsidR="00C4269E" w:rsidRPr="00D23B24" w:rsidRDefault="00C4269E" w:rsidP="001C02EB">
            <w:pPr>
              <w:spacing w:line="276" w:lineRule="auto"/>
              <w:ind w:left="29"/>
              <w:jc w:val="both"/>
              <w:rPr>
                <w:rFonts w:ascii="David" w:hAnsi="David"/>
                <w:sz w:val="26"/>
                <w:rtl/>
              </w:rPr>
            </w:pPr>
            <w:r>
              <w:rPr>
                <w:rFonts w:ascii="David" w:hAnsi="David" w:hint="cs"/>
                <w:sz w:val="26"/>
                <w:rtl/>
              </w:rPr>
              <w:t>(ב)</w:t>
            </w:r>
          </w:p>
        </w:tc>
        <w:tc>
          <w:tcPr>
            <w:tcW w:w="2674" w:type="pct"/>
            <w:shd w:val="clear" w:color="auto" w:fill="auto"/>
          </w:tcPr>
          <w:p w14:paraId="3A21237A" w14:textId="55D33B46" w:rsidR="00C4269E" w:rsidRPr="00D23B24" w:rsidRDefault="00C4269E" w:rsidP="001C02EB">
            <w:pPr>
              <w:spacing w:line="276" w:lineRule="auto"/>
              <w:ind w:left="29"/>
              <w:jc w:val="both"/>
              <w:rPr>
                <w:rFonts w:ascii="David" w:hAnsi="David"/>
                <w:sz w:val="26"/>
                <w:rtl/>
              </w:rPr>
            </w:pPr>
            <w:r w:rsidRPr="00F30591">
              <w:rPr>
                <w:rtl/>
              </w:rPr>
              <w:t xml:space="preserve">הורשע יחיד או תאגיד בעבירה לפי </w:t>
            </w:r>
            <w:r>
              <w:rPr>
                <w:rFonts w:hint="cs"/>
                <w:rtl/>
              </w:rPr>
              <w:t>פסקה (4)</w:t>
            </w:r>
            <w:r w:rsidRPr="00F30591">
              <w:rPr>
                <w:rtl/>
              </w:rPr>
              <w:t>, יצווה בית המשפט, נוסף על כל עונש אחר, על התליית רישיון או היתר עיסוק שניתנו על פי כל דין, בעיסוק הקשר בעבירה, לתקופה שלא תעלה על שנה, אלא אם כן סבר שלא לעשות כן מטעמים מיוחדים שיירשמו</w:t>
            </w:r>
            <w:r w:rsidR="00C037A2">
              <w:rPr>
                <w:rFonts w:hint="cs"/>
                <w:rtl/>
              </w:rPr>
              <w:t>;</w:t>
            </w:r>
          </w:p>
        </w:tc>
      </w:tr>
      <w:tr w:rsidR="00F659EE" w:rsidRPr="00F25B85" w14:paraId="03AF6010" w14:textId="77777777" w:rsidTr="009E51DA">
        <w:tc>
          <w:tcPr>
            <w:tcW w:w="664" w:type="pct"/>
            <w:shd w:val="clear" w:color="auto" w:fill="auto"/>
          </w:tcPr>
          <w:p w14:paraId="044E24FC" w14:textId="77777777" w:rsidR="00C4269E" w:rsidRPr="00D23B24" w:rsidRDefault="00C4269E" w:rsidP="001C02EB">
            <w:pPr>
              <w:spacing w:line="276" w:lineRule="auto"/>
              <w:jc w:val="both"/>
              <w:rPr>
                <w:rFonts w:ascii="David" w:hAnsi="David"/>
                <w:b/>
                <w:bCs/>
                <w:sz w:val="26"/>
                <w:rtl/>
              </w:rPr>
            </w:pPr>
          </w:p>
        </w:tc>
        <w:tc>
          <w:tcPr>
            <w:tcW w:w="325" w:type="pct"/>
            <w:shd w:val="clear" w:color="auto" w:fill="auto"/>
          </w:tcPr>
          <w:p w14:paraId="44ED78D1" w14:textId="77777777" w:rsidR="00C4269E" w:rsidRPr="00D23B24" w:rsidRDefault="00C4269E" w:rsidP="001C02EB">
            <w:pPr>
              <w:spacing w:line="276" w:lineRule="auto"/>
              <w:jc w:val="both"/>
              <w:rPr>
                <w:rFonts w:ascii="David" w:hAnsi="David"/>
                <w:sz w:val="26"/>
                <w:rtl/>
              </w:rPr>
            </w:pPr>
          </w:p>
        </w:tc>
        <w:tc>
          <w:tcPr>
            <w:tcW w:w="313" w:type="pct"/>
            <w:shd w:val="clear" w:color="auto" w:fill="auto"/>
          </w:tcPr>
          <w:p w14:paraId="6540B647" w14:textId="77777777" w:rsidR="00C4269E" w:rsidRDefault="00C4269E" w:rsidP="001C02EB">
            <w:pPr>
              <w:spacing w:line="276" w:lineRule="auto"/>
              <w:ind w:left="29"/>
              <w:rPr>
                <w:rFonts w:ascii="David" w:hAnsi="David"/>
                <w:sz w:val="26"/>
                <w:rtl/>
              </w:rPr>
            </w:pPr>
          </w:p>
        </w:tc>
        <w:tc>
          <w:tcPr>
            <w:tcW w:w="395" w:type="pct"/>
            <w:shd w:val="clear" w:color="auto" w:fill="auto"/>
          </w:tcPr>
          <w:p w14:paraId="7E9D9F26" w14:textId="77777777" w:rsidR="00C4269E" w:rsidRDefault="00C4269E" w:rsidP="001C02EB">
            <w:pPr>
              <w:spacing w:line="276" w:lineRule="auto"/>
              <w:ind w:left="29"/>
              <w:jc w:val="both"/>
              <w:rPr>
                <w:rFonts w:ascii="David" w:hAnsi="David"/>
                <w:sz w:val="26"/>
                <w:rtl/>
              </w:rPr>
            </w:pPr>
          </w:p>
        </w:tc>
        <w:tc>
          <w:tcPr>
            <w:tcW w:w="315" w:type="pct"/>
            <w:gridSpan w:val="2"/>
            <w:shd w:val="clear" w:color="auto" w:fill="auto"/>
          </w:tcPr>
          <w:p w14:paraId="7FEF8171" w14:textId="77777777" w:rsidR="00C4269E" w:rsidRPr="00D23B24" w:rsidRDefault="00C4269E" w:rsidP="001C02EB">
            <w:pPr>
              <w:spacing w:line="276" w:lineRule="auto"/>
              <w:ind w:left="29"/>
              <w:jc w:val="both"/>
              <w:rPr>
                <w:rFonts w:ascii="David" w:hAnsi="David"/>
                <w:sz w:val="26"/>
                <w:rtl/>
              </w:rPr>
            </w:pPr>
          </w:p>
        </w:tc>
        <w:tc>
          <w:tcPr>
            <w:tcW w:w="314" w:type="pct"/>
            <w:shd w:val="clear" w:color="auto" w:fill="auto"/>
          </w:tcPr>
          <w:p w14:paraId="2245CA02" w14:textId="77777777" w:rsidR="00C4269E" w:rsidRPr="00D23B24" w:rsidRDefault="00C4269E" w:rsidP="001C02EB">
            <w:pPr>
              <w:spacing w:line="276" w:lineRule="auto"/>
              <w:ind w:left="29"/>
              <w:jc w:val="both"/>
              <w:rPr>
                <w:rFonts w:ascii="David" w:hAnsi="David"/>
                <w:sz w:val="26"/>
                <w:rtl/>
              </w:rPr>
            </w:pPr>
          </w:p>
        </w:tc>
        <w:tc>
          <w:tcPr>
            <w:tcW w:w="2674" w:type="pct"/>
            <w:shd w:val="clear" w:color="auto" w:fill="auto"/>
          </w:tcPr>
          <w:p w14:paraId="6A636F3D" w14:textId="77777777" w:rsidR="00C4269E" w:rsidRPr="00D23B24" w:rsidRDefault="00C4269E" w:rsidP="001C02EB">
            <w:pPr>
              <w:spacing w:line="276" w:lineRule="auto"/>
              <w:ind w:left="29"/>
              <w:jc w:val="both"/>
              <w:rPr>
                <w:rFonts w:ascii="David" w:hAnsi="David"/>
                <w:sz w:val="26"/>
                <w:rtl/>
              </w:rPr>
            </w:pPr>
          </w:p>
        </w:tc>
      </w:tr>
      <w:tr w:rsidR="00C4269E" w:rsidRPr="00F25B85" w14:paraId="073DD462" w14:textId="77777777" w:rsidTr="009E51DA">
        <w:tc>
          <w:tcPr>
            <w:tcW w:w="664" w:type="pct"/>
            <w:shd w:val="clear" w:color="auto" w:fill="auto"/>
          </w:tcPr>
          <w:p w14:paraId="6400ABFA"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08D28D8F"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108D6478" w14:textId="77777777" w:rsidR="001C02EB" w:rsidRDefault="001C02EB" w:rsidP="001C02EB">
            <w:pPr>
              <w:spacing w:line="276" w:lineRule="auto"/>
              <w:ind w:left="29"/>
              <w:rPr>
                <w:rFonts w:ascii="David" w:hAnsi="David"/>
                <w:sz w:val="26"/>
                <w:rtl/>
              </w:rPr>
            </w:pPr>
          </w:p>
        </w:tc>
        <w:tc>
          <w:tcPr>
            <w:tcW w:w="395" w:type="pct"/>
            <w:shd w:val="clear" w:color="auto" w:fill="auto"/>
          </w:tcPr>
          <w:p w14:paraId="1B5407F1"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01C172CF" w14:textId="7D547AA4" w:rsidR="001C02EB" w:rsidRPr="00D23B24" w:rsidRDefault="001C02EB" w:rsidP="001C02EB">
            <w:pPr>
              <w:spacing w:line="276" w:lineRule="auto"/>
              <w:ind w:left="29"/>
              <w:jc w:val="both"/>
              <w:rPr>
                <w:rFonts w:ascii="David" w:hAnsi="David"/>
                <w:sz w:val="26"/>
                <w:rtl/>
              </w:rPr>
            </w:pPr>
            <w:r>
              <w:rPr>
                <w:rFonts w:ascii="David" w:hAnsi="David" w:hint="cs"/>
                <w:sz w:val="26"/>
                <w:rtl/>
              </w:rPr>
              <w:t>(</w:t>
            </w:r>
            <w:r w:rsidR="00C037A2">
              <w:rPr>
                <w:rFonts w:ascii="David" w:hAnsi="David" w:hint="cs"/>
                <w:sz w:val="26"/>
                <w:rtl/>
              </w:rPr>
              <w:t>8)</w:t>
            </w:r>
          </w:p>
        </w:tc>
        <w:tc>
          <w:tcPr>
            <w:tcW w:w="2988" w:type="pct"/>
            <w:gridSpan w:val="2"/>
            <w:shd w:val="clear" w:color="auto" w:fill="auto"/>
          </w:tcPr>
          <w:p w14:paraId="376DB822" w14:textId="55856975" w:rsidR="001C02EB" w:rsidRPr="00D23B24" w:rsidRDefault="001C02EB" w:rsidP="001C02EB">
            <w:pPr>
              <w:spacing w:line="276" w:lineRule="auto"/>
              <w:ind w:left="29"/>
              <w:jc w:val="both"/>
              <w:rPr>
                <w:rFonts w:ascii="David" w:hAnsi="David"/>
                <w:sz w:val="26"/>
                <w:rtl/>
              </w:rPr>
            </w:pPr>
            <w:r w:rsidRPr="00D23B24">
              <w:rPr>
                <w:rFonts w:ascii="David" w:hAnsi="David"/>
                <w:sz w:val="26"/>
                <w:rtl/>
              </w:rPr>
              <w:t>מי שעשה מעשה כאמור בסעי</w:t>
            </w:r>
            <w:r>
              <w:rPr>
                <w:rFonts w:ascii="David" w:hAnsi="David" w:hint="cs"/>
                <w:sz w:val="26"/>
                <w:rtl/>
              </w:rPr>
              <w:t>ף קטן זה</w:t>
            </w:r>
            <w:r w:rsidRPr="00D23B24">
              <w:rPr>
                <w:rFonts w:ascii="David" w:hAnsi="David"/>
                <w:sz w:val="26"/>
                <w:rtl/>
              </w:rPr>
              <w:t xml:space="preserve">, והוכחה מודעותו לכך </w:t>
            </w:r>
            <w:r>
              <w:rPr>
                <w:rFonts w:ascii="David" w:hAnsi="David" w:hint="cs"/>
                <w:sz w:val="26"/>
                <w:rtl/>
              </w:rPr>
              <w:t>שה</w:t>
            </w:r>
            <w:r w:rsidRPr="00D23B24">
              <w:rPr>
                <w:rFonts w:ascii="David" w:hAnsi="David"/>
                <w:sz w:val="26"/>
                <w:rtl/>
              </w:rPr>
              <w:t>עובד הוא שוהה לא חוקי, עליו הראיה שהמעשה נעשה באחת מאלה:</w:t>
            </w:r>
          </w:p>
        </w:tc>
      </w:tr>
      <w:tr w:rsidR="00F659EE" w:rsidRPr="00F25B85" w14:paraId="614AB66C" w14:textId="78665270" w:rsidTr="009E51DA">
        <w:tc>
          <w:tcPr>
            <w:tcW w:w="664" w:type="pct"/>
            <w:shd w:val="clear" w:color="auto" w:fill="auto"/>
          </w:tcPr>
          <w:p w14:paraId="4D2FA9F3" w14:textId="38A0C474" w:rsidR="001C02EB" w:rsidRPr="001C02EB" w:rsidRDefault="001C02EB" w:rsidP="001C02EB">
            <w:pPr>
              <w:spacing w:line="276" w:lineRule="auto"/>
              <w:jc w:val="both"/>
              <w:rPr>
                <w:rFonts w:ascii="David" w:hAnsi="David"/>
                <w:b/>
                <w:bCs/>
                <w:sz w:val="26"/>
                <w:rtl/>
              </w:rPr>
            </w:pPr>
          </w:p>
        </w:tc>
        <w:tc>
          <w:tcPr>
            <w:tcW w:w="325" w:type="pct"/>
            <w:shd w:val="clear" w:color="auto" w:fill="auto"/>
          </w:tcPr>
          <w:p w14:paraId="38979EA1" w14:textId="0A9D65A5" w:rsidR="001C02EB" w:rsidRPr="00D23B24" w:rsidRDefault="001C02EB" w:rsidP="001C02EB">
            <w:pPr>
              <w:spacing w:line="276" w:lineRule="auto"/>
              <w:jc w:val="both"/>
              <w:rPr>
                <w:rFonts w:ascii="David" w:hAnsi="David"/>
                <w:sz w:val="26"/>
                <w:rtl/>
              </w:rPr>
            </w:pPr>
          </w:p>
        </w:tc>
        <w:tc>
          <w:tcPr>
            <w:tcW w:w="313" w:type="pct"/>
            <w:shd w:val="clear" w:color="auto" w:fill="auto"/>
          </w:tcPr>
          <w:p w14:paraId="2BAD47AD" w14:textId="535113B4" w:rsidR="001C02EB" w:rsidRDefault="001C02EB" w:rsidP="001C02EB">
            <w:pPr>
              <w:spacing w:line="276" w:lineRule="auto"/>
              <w:ind w:left="29"/>
              <w:rPr>
                <w:rFonts w:ascii="David" w:hAnsi="David"/>
                <w:sz w:val="26"/>
                <w:rtl/>
              </w:rPr>
            </w:pPr>
          </w:p>
        </w:tc>
        <w:tc>
          <w:tcPr>
            <w:tcW w:w="395" w:type="pct"/>
            <w:shd w:val="clear" w:color="auto" w:fill="auto"/>
          </w:tcPr>
          <w:p w14:paraId="31A392BD" w14:textId="686DB309"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6B411CCC" w14:textId="537A4785"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3BFAAA88" w14:textId="15169EB3" w:rsidR="001C02EB" w:rsidRPr="00D23B24" w:rsidRDefault="001C02EB" w:rsidP="001C02EB">
            <w:pPr>
              <w:spacing w:line="276" w:lineRule="auto"/>
              <w:ind w:left="29"/>
              <w:jc w:val="both"/>
              <w:rPr>
                <w:rFonts w:ascii="David" w:hAnsi="David"/>
                <w:sz w:val="26"/>
                <w:rtl/>
              </w:rPr>
            </w:pPr>
          </w:p>
        </w:tc>
        <w:tc>
          <w:tcPr>
            <w:tcW w:w="2674" w:type="pct"/>
            <w:shd w:val="clear" w:color="auto" w:fill="auto"/>
          </w:tcPr>
          <w:p w14:paraId="1A6CF6F4" w14:textId="1FD2E34A" w:rsidR="001C02EB" w:rsidRPr="00D23B24" w:rsidRDefault="001C02EB" w:rsidP="001C02EB">
            <w:pPr>
              <w:spacing w:line="276" w:lineRule="auto"/>
              <w:ind w:left="29"/>
              <w:jc w:val="both"/>
              <w:rPr>
                <w:rFonts w:ascii="David" w:hAnsi="David"/>
                <w:sz w:val="26"/>
                <w:rtl/>
              </w:rPr>
            </w:pPr>
          </w:p>
        </w:tc>
      </w:tr>
      <w:tr w:rsidR="00F659EE" w:rsidRPr="00F25B85" w14:paraId="10E78238" w14:textId="5840527F" w:rsidTr="009E51DA">
        <w:tc>
          <w:tcPr>
            <w:tcW w:w="664" w:type="pct"/>
            <w:shd w:val="clear" w:color="auto" w:fill="auto"/>
          </w:tcPr>
          <w:p w14:paraId="5F894C80" w14:textId="08759A9C"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3148C229" w14:textId="22B91955" w:rsidR="001C02EB" w:rsidRPr="00D23B24" w:rsidRDefault="001C02EB" w:rsidP="001C02EB">
            <w:pPr>
              <w:spacing w:line="276" w:lineRule="auto"/>
              <w:jc w:val="both"/>
              <w:rPr>
                <w:rFonts w:ascii="David" w:hAnsi="David"/>
                <w:sz w:val="26"/>
                <w:rtl/>
              </w:rPr>
            </w:pPr>
          </w:p>
        </w:tc>
        <w:tc>
          <w:tcPr>
            <w:tcW w:w="313" w:type="pct"/>
            <w:shd w:val="clear" w:color="auto" w:fill="auto"/>
          </w:tcPr>
          <w:p w14:paraId="4F4D7BCE" w14:textId="320D905F" w:rsidR="001C02EB" w:rsidRDefault="001C02EB" w:rsidP="001C02EB">
            <w:pPr>
              <w:spacing w:line="276" w:lineRule="auto"/>
              <w:ind w:left="29"/>
              <w:rPr>
                <w:rFonts w:ascii="David" w:hAnsi="David"/>
                <w:sz w:val="26"/>
                <w:rtl/>
              </w:rPr>
            </w:pPr>
          </w:p>
        </w:tc>
        <w:tc>
          <w:tcPr>
            <w:tcW w:w="395" w:type="pct"/>
            <w:shd w:val="clear" w:color="auto" w:fill="auto"/>
          </w:tcPr>
          <w:p w14:paraId="6A9370AA" w14:textId="4D6852B8"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35561A00" w14:textId="363A3E40"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43304F96" w14:textId="1D41763C" w:rsidR="001C02EB" w:rsidRPr="00D23B24" w:rsidRDefault="001C02EB" w:rsidP="001C02EB">
            <w:pPr>
              <w:spacing w:line="276" w:lineRule="auto"/>
              <w:ind w:left="29"/>
              <w:jc w:val="both"/>
              <w:rPr>
                <w:rFonts w:ascii="David" w:hAnsi="David"/>
                <w:sz w:val="26"/>
                <w:rtl/>
              </w:rPr>
            </w:pPr>
            <w:r w:rsidRPr="00D23B24">
              <w:rPr>
                <w:rFonts w:ascii="David" w:hAnsi="David"/>
                <w:sz w:val="26"/>
                <w:rtl/>
              </w:rPr>
              <w:t>(1)</w:t>
            </w:r>
          </w:p>
        </w:tc>
        <w:tc>
          <w:tcPr>
            <w:tcW w:w="2674" w:type="pct"/>
            <w:shd w:val="clear" w:color="auto" w:fill="auto"/>
          </w:tcPr>
          <w:p w14:paraId="2F6A0250" w14:textId="04B61495" w:rsidR="001C02EB" w:rsidRPr="00D23B24" w:rsidRDefault="001C02EB" w:rsidP="001C02EB">
            <w:pPr>
              <w:spacing w:line="276" w:lineRule="auto"/>
              <w:ind w:left="29"/>
              <w:jc w:val="both"/>
              <w:rPr>
                <w:rFonts w:ascii="David" w:hAnsi="David"/>
                <w:sz w:val="26"/>
                <w:rtl/>
              </w:rPr>
            </w:pPr>
            <w:r w:rsidRPr="00D23B24">
              <w:rPr>
                <w:rFonts w:ascii="David" w:hAnsi="David"/>
                <w:sz w:val="26"/>
                <w:rtl/>
              </w:rPr>
              <w:t xml:space="preserve">לאחר שבדק שבידי השוהה הלא חוקי מסמכים, שלפיהם הוא נכנס </w:t>
            </w:r>
            <w:r>
              <w:rPr>
                <w:rFonts w:ascii="David" w:hAnsi="David" w:hint="cs"/>
                <w:sz w:val="26"/>
                <w:rtl/>
              </w:rPr>
              <w:t xml:space="preserve">לתחום היישוב </w:t>
            </w:r>
            <w:r w:rsidRPr="00D23B24">
              <w:rPr>
                <w:rFonts w:ascii="David" w:hAnsi="David"/>
                <w:sz w:val="26"/>
                <w:rtl/>
              </w:rPr>
              <w:t>כדין ויושב בו</w:t>
            </w:r>
            <w:r>
              <w:rPr>
                <w:rFonts w:ascii="David" w:hAnsi="David" w:hint="cs"/>
                <w:sz w:val="26"/>
                <w:rtl/>
              </w:rPr>
              <w:t xml:space="preserve"> </w:t>
            </w:r>
            <w:r w:rsidRPr="00D23B24">
              <w:rPr>
                <w:rFonts w:ascii="David" w:hAnsi="David"/>
                <w:sz w:val="26"/>
                <w:rtl/>
              </w:rPr>
              <w:t>כדין;</w:t>
            </w:r>
          </w:p>
        </w:tc>
      </w:tr>
      <w:tr w:rsidR="00F659EE" w:rsidRPr="00F25B85" w14:paraId="2FCC3F85" w14:textId="26813387" w:rsidTr="009E51DA">
        <w:tc>
          <w:tcPr>
            <w:tcW w:w="664" w:type="pct"/>
            <w:shd w:val="clear" w:color="auto" w:fill="auto"/>
          </w:tcPr>
          <w:p w14:paraId="241EDD54" w14:textId="41DFE7BE"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4F1DB04A" w14:textId="45CA29C8" w:rsidR="001C02EB" w:rsidRPr="00D23B24" w:rsidRDefault="001C02EB" w:rsidP="001C02EB">
            <w:pPr>
              <w:spacing w:line="276" w:lineRule="auto"/>
              <w:jc w:val="both"/>
              <w:rPr>
                <w:rFonts w:ascii="David" w:hAnsi="David"/>
                <w:sz w:val="26"/>
                <w:rtl/>
              </w:rPr>
            </w:pPr>
          </w:p>
        </w:tc>
        <w:tc>
          <w:tcPr>
            <w:tcW w:w="313" w:type="pct"/>
            <w:shd w:val="clear" w:color="auto" w:fill="auto"/>
          </w:tcPr>
          <w:p w14:paraId="4100D961" w14:textId="77B1BB9D" w:rsidR="001C02EB" w:rsidRDefault="001C02EB" w:rsidP="001C02EB">
            <w:pPr>
              <w:spacing w:line="276" w:lineRule="auto"/>
              <w:ind w:left="29"/>
              <w:rPr>
                <w:rFonts w:ascii="David" w:hAnsi="David"/>
                <w:sz w:val="26"/>
                <w:rtl/>
              </w:rPr>
            </w:pPr>
          </w:p>
        </w:tc>
        <w:tc>
          <w:tcPr>
            <w:tcW w:w="395" w:type="pct"/>
            <w:shd w:val="clear" w:color="auto" w:fill="auto"/>
          </w:tcPr>
          <w:p w14:paraId="58A0378D" w14:textId="78776DB1"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158009D8" w14:textId="18B822A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6C067357" w14:textId="6B16242D" w:rsidR="001C02EB" w:rsidRPr="00D23B24" w:rsidRDefault="001C02EB" w:rsidP="001C02EB">
            <w:pPr>
              <w:spacing w:line="276" w:lineRule="auto"/>
              <w:ind w:left="29"/>
              <w:jc w:val="both"/>
              <w:rPr>
                <w:rFonts w:ascii="David" w:hAnsi="David"/>
                <w:sz w:val="26"/>
                <w:rtl/>
              </w:rPr>
            </w:pPr>
          </w:p>
        </w:tc>
        <w:tc>
          <w:tcPr>
            <w:tcW w:w="2674" w:type="pct"/>
            <w:shd w:val="clear" w:color="auto" w:fill="auto"/>
          </w:tcPr>
          <w:p w14:paraId="4E83C292" w14:textId="4B76C570" w:rsidR="001C02EB" w:rsidRPr="00D23B24" w:rsidRDefault="001C02EB" w:rsidP="001C02EB">
            <w:pPr>
              <w:spacing w:line="276" w:lineRule="auto"/>
              <w:ind w:left="29"/>
              <w:jc w:val="both"/>
              <w:rPr>
                <w:rFonts w:ascii="David" w:hAnsi="David"/>
                <w:sz w:val="26"/>
                <w:rtl/>
              </w:rPr>
            </w:pPr>
          </w:p>
        </w:tc>
      </w:tr>
      <w:tr w:rsidR="00F659EE" w:rsidRPr="00F25B85" w14:paraId="48681A3B" w14:textId="0312FF06" w:rsidTr="009E51DA">
        <w:tc>
          <w:tcPr>
            <w:tcW w:w="664" w:type="pct"/>
            <w:shd w:val="clear" w:color="auto" w:fill="auto"/>
          </w:tcPr>
          <w:p w14:paraId="6ED65538" w14:textId="45A293B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2F902A0C" w14:textId="0909ACE0" w:rsidR="001C02EB" w:rsidRPr="00D23B24" w:rsidRDefault="001C02EB" w:rsidP="001C02EB">
            <w:pPr>
              <w:spacing w:line="276" w:lineRule="auto"/>
              <w:jc w:val="both"/>
              <w:rPr>
                <w:rFonts w:ascii="David" w:hAnsi="David"/>
                <w:sz w:val="26"/>
                <w:rtl/>
              </w:rPr>
            </w:pPr>
          </w:p>
        </w:tc>
        <w:tc>
          <w:tcPr>
            <w:tcW w:w="313" w:type="pct"/>
            <w:shd w:val="clear" w:color="auto" w:fill="auto"/>
          </w:tcPr>
          <w:p w14:paraId="48A9ECFE" w14:textId="5339B53C" w:rsidR="001C02EB" w:rsidRDefault="001C02EB" w:rsidP="001C02EB">
            <w:pPr>
              <w:spacing w:line="276" w:lineRule="auto"/>
              <w:ind w:left="29"/>
              <w:rPr>
                <w:rFonts w:ascii="David" w:hAnsi="David"/>
                <w:sz w:val="26"/>
                <w:rtl/>
              </w:rPr>
            </w:pPr>
          </w:p>
        </w:tc>
        <w:tc>
          <w:tcPr>
            <w:tcW w:w="395" w:type="pct"/>
            <w:shd w:val="clear" w:color="auto" w:fill="auto"/>
          </w:tcPr>
          <w:p w14:paraId="39F5B5EC" w14:textId="67EAB0E9"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2250FCEC" w14:textId="3191CCFC"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1803A993" w14:textId="43F0107B" w:rsidR="001C02EB" w:rsidRPr="00D23B24" w:rsidRDefault="001C02EB" w:rsidP="001C02EB">
            <w:pPr>
              <w:spacing w:line="276" w:lineRule="auto"/>
              <w:ind w:left="29"/>
              <w:jc w:val="both"/>
              <w:rPr>
                <w:rFonts w:ascii="David" w:hAnsi="David"/>
                <w:sz w:val="26"/>
                <w:rtl/>
              </w:rPr>
            </w:pPr>
            <w:r w:rsidRPr="00D23B24">
              <w:rPr>
                <w:rFonts w:ascii="David" w:hAnsi="David"/>
                <w:sz w:val="26"/>
                <w:rtl/>
              </w:rPr>
              <w:t>(2)</w:t>
            </w:r>
          </w:p>
        </w:tc>
        <w:tc>
          <w:tcPr>
            <w:tcW w:w="2674" w:type="pct"/>
            <w:shd w:val="clear" w:color="auto" w:fill="auto"/>
          </w:tcPr>
          <w:p w14:paraId="5F8D3CF3" w14:textId="6B003C37" w:rsidR="001C02EB" w:rsidRPr="00D23B24" w:rsidRDefault="001C02EB" w:rsidP="001C02EB">
            <w:pPr>
              <w:spacing w:line="276" w:lineRule="auto"/>
              <w:ind w:left="29"/>
              <w:jc w:val="both"/>
              <w:rPr>
                <w:rFonts w:ascii="David" w:hAnsi="David"/>
                <w:sz w:val="26"/>
                <w:rtl/>
              </w:rPr>
            </w:pPr>
            <w:r w:rsidRPr="00D23B24">
              <w:rPr>
                <w:rFonts w:ascii="David" w:hAnsi="David"/>
                <w:sz w:val="26"/>
                <w:rtl/>
              </w:rPr>
              <w:t xml:space="preserve">בנסיבות שבהן הוא לא חשד שהשוהה הלא חוקי נכנס שלא כדין </w:t>
            </w:r>
            <w:r>
              <w:rPr>
                <w:rFonts w:ascii="David" w:hAnsi="David" w:hint="cs"/>
                <w:sz w:val="26"/>
                <w:rtl/>
              </w:rPr>
              <w:t xml:space="preserve">לתחום היישוב </w:t>
            </w:r>
            <w:r w:rsidRPr="00D23B24">
              <w:rPr>
                <w:rFonts w:ascii="David" w:hAnsi="David"/>
                <w:sz w:val="26"/>
                <w:rtl/>
              </w:rPr>
              <w:t xml:space="preserve">או שהוא שוהה </w:t>
            </w:r>
            <w:r>
              <w:rPr>
                <w:rFonts w:ascii="David" w:hAnsi="David" w:hint="cs"/>
                <w:sz w:val="26"/>
                <w:rtl/>
              </w:rPr>
              <w:t>בתחום היישוב</w:t>
            </w:r>
            <w:r w:rsidRPr="00D23B24">
              <w:rPr>
                <w:rFonts w:ascii="David" w:hAnsi="David"/>
                <w:sz w:val="26"/>
                <w:rtl/>
              </w:rPr>
              <w:t xml:space="preserve"> שלא כדין</w:t>
            </w:r>
            <w:r>
              <w:rPr>
                <w:rFonts w:ascii="David" w:hAnsi="David" w:hint="cs"/>
                <w:sz w:val="26"/>
                <w:rtl/>
              </w:rPr>
              <w:t>;</w:t>
            </w:r>
          </w:p>
        </w:tc>
      </w:tr>
      <w:tr w:rsidR="00F659EE" w:rsidRPr="00F25B85" w14:paraId="559392E7" w14:textId="77777777" w:rsidTr="009E51DA">
        <w:tc>
          <w:tcPr>
            <w:tcW w:w="664" w:type="pct"/>
            <w:shd w:val="clear" w:color="auto" w:fill="auto"/>
          </w:tcPr>
          <w:p w14:paraId="4F607072"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41C69630"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7A7C81EE" w14:textId="77777777" w:rsidR="001C02EB" w:rsidRDefault="001C02EB" w:rsidP="001C02EB">
            <w:pPr>
              <w:spacing w:line="276" w:lineRule="auto"/>
              <w:ind w:left="29"/>
              <w:rPr>
                <w:rFonts w:ascii="David" w:hAnsi="David"/>
                <w:sz w:val="26"/>
                <w:rtl/>
              </w:rPr>
            </w:pPr>
          </w:p>
        </w:tc>
        <w:tc>
          <w:tcPr>
            <w:tcW w:w="395" w:type="pct"/>
            <w:shd w:val="clear" w:color="auto" w:fill="auto"/>
          </w:tcPr>
          <w:p w14:paraId="15918724"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0AFA3757"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3C29AE1E" w14:textId="77777777" w:rsidR="001C02EB" w:rsidRPr="00D23B24" w:rsidRDefault="001C02EB" w:rsidP="001C02EB">
            <w:pPr>
              <w:spacing w:line="276" w:lineRule="auto"/>
              <w:ind w:left="29"/>
              <w:jc w:val="both"/>
              <w:rPr>
                <w:rFonts w:ascii="David" w:hAnsi="David"/>
                <w:sz w:val="26"/>
                <w:rtl/>
              </w:rPr>
            </w:pPr>
          </w:p>
        </w:tc>
        <w:tc>
          <w:tcPr>
            <w:tcW w:w="2674" w:type="pct"/>
            <w:shd w:val="clear" w:color="auto" w:fill="auto"/>
          </w:tcPr>
          <w:p w14:paraId="26098081" w14:textId="77777777" w:rsidR="001C02EB" w:rsidRPr="00D23B24" w:rsidRDefault="001C02EB" w:rsidP="001C02EB">
            <w:pPr>
              <w:spacing w:line="276" w:lineRule="auto"/>
              <w:ind w:left="29"/>
              <w:jc w:val="both"/>
              <w:rPr>
                <w:rFonts w:ascii="David" w:hAnsi="David"/>
                <w:sz w:val="26"/>
                <w:rtl/>
              </w:rPr>
            </w:pPr>
          </w:p>
        </w:tc>
      </w:tr>
      <w:tr w:rsidR="00C4269E" w:rsidRPr="00F25B85" w14:paraId="21A338A0" w14:textId="77777777" w:rsidTr="009E51DA">
        <w:tc>
          <w:tcPr>
            <w:tcW w:w="664" w:type="pct"/>
            <w:shd w:val="clear" w:color="auto" w:fill="auto"/>
          </w:tcPr>
          <w:p w14:paraId="15467CA3"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4C282E30"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3C80D163" w14:textId="77777777" w:rsidR="001C02EB" w:rsidRDefault="001C02EB" w:rsidP="001C02EB">
            <w:pPr>
              <w:spacing w:line="276" w:lineRule="auto"/>
              <w:ind w:left="29"/>
              <w:rPr>
                <w:rFonts w:ascii="David" w:hAnsi="David"/>
                <w:sz w:val="26"/>
                <w:rtl/>
              </w:rPr>
            </w:pPr>
          </w:p>
        </w:tc>
        <w:tc>
          <w:tcPr>
            <w:tcW w:w="395" w:type="pct"/>
            <w:shd w:val="clear" w:color="auto" w:fill="auto"/>
          </w:tcPr>
          <w:p w14:paraId="34ED96A9"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19B9A71D" w14:textId="5414FD57" w:rsidR="001C02EB" w:rsidRPr="00D23B24" w:rsidRDefault="001C02EB" w:rsidP="001C02EB">
            <w:pPr>
              <w:spacing w:line="276" w:lineRule="auto"/>
              <w:ind w:left="29"/>
              <w:jc w:val="both"/>
              <w:rPr>
                <w:rFonts w:ascii="David" w:hAnsi="David"/>
                <w:sz w:val="26"/>
                <w:rtl/>
              </w:rPr>
            </w:pPr>
            <w:r>
              <w:rPr>
                <w:rFonts w:ascii="David" w:hAnsi="David" w:hint="cs"/>
                <w:sz w:val="26"/>
                <w:rtl/>
              </w:rPr>
              <w:t>(</w:t>
            </w:r>
            <w:r w:rsidR="00C037A2">
              <w:rPr>
                <w:rFonts w:ascii="David" w:hAnsi="David" w:hint="cs"/>
                <w:sz w:val="26"/>
                <w:rtl/>
              </w:rPr>
              <w:t>9</w:t>
            </w:r>
            <w:r>
              <w:rPr>
                <w:rFonts w:ascii="David" w:hAnsi="David" w:hint="cs"/>
                <w:sz w:val="26"/>
                <w:rtl/>
              </w:rPr>
              <w:t>)</w:t>
            </w:r>
          </w:p>
        </w:tc>
        <w:tc>
          <w:tcPr>
            <w:tcW w:w="2988" w:type="pct"/>
            <w:gridSpan w:val="2"/>
            <w:shd w:val="clear" w:color="auto" w:fill="auto"/>
          </w:tcPr>
          <w:p w14:paraId="58AA8AFF" w14:textId="15AB91BA" w:rsidR="001C02EB" w:rsidRPr="00D23B24" w:rsidRDefault="001C02EB" w:rsidP="004573E1">
            <w:pPr>
              <w:spacing w:line="276" w:lineRule="auto"/>
              <w:ind w:left="29"/>
              <w:jc w:val="both"/>
              <w:rPr>
                <w:rFonts w:ascii="David" w:hAnsi="David"/>
                <w:sz w:val="26"/>
                <w:rtl/>
              </w:rPr>
            </w:pPr>
            <w:r>
              <w:rPr>
                <w:rFonts w:ascii="David" w:hAnsi="David" w:hint="cs"/>
                <w:sz w:val="26"/>
                <w:rtl/>
              </w:rPr>
              <w:t xml:space="preserve">בסעיף קטן זה </w:t>
            </w:r>
            <w:r>
              <w:rPr>
                <w:rFonts w:ascii="David" w:hAnsi="David"/>
                <w:sz w:val="26"/>
                <w:rtl/>
              </w:rPr>
              <w:t>–</w:t>
            </w:r>
            <w:r>
              <w:rPr>
                <w:rFonts w:ascii="David" w:hAnsi="David" w:hint="cs"/>
                <w:sz w:val="26"/>
                <w:rtl/>
              </w:rPr>
              <w:t xml:space="preserve"> "שוהה לא חוקי" כהגדרתו ב</w:t>
            </w:r>
            <w:r w:rsidRPr="00C36AF5">
              <w:rPr>
                <w:rFonts w:ascii="David" w:eastAsia="Calibri" w:hAnsi="David"/>
                <w:sz w:val="26"/>
                <w:rtl/>
                <w:lang w:eastAsia="en-US"/>
              </w:rPr>
              <w:t>צו בדבר הגברת האכיפה נגד מקום המשמש להלנה או העסקה שלא כדין (יהודה ושומרון) (מס׳</w:t>
            </w:r>
            <w:r w:rsidR="004573E1">
              <w:rPr>
                <w:rFonts w:ascii="David" w:eastAsia="Calibri" w:hAnsi="David" w:hint="cs"/>
                <w:sz w:val="26"/>
                <w:rtl/>
                <w:lang w:eastAsia="en-US"/>
              </w:rPr>
              <w:t xml:space="preserve"> 2223</w:t>
            </w:r>
            <w:r w:rsidRPr="00C36AF5">
              <w:rPr>
                <w:rFonts w:ascii="David" w:eastAsia="Calibri" w:hAnsi="David"/>
                <w:sz w:val="26"/>
                <w:rtl/>
                <w:lang w:eastAsia="en-US"/>
              </w:rPr>
              <w:t>), התשפ׳׳</w:t>
            </w:r>
            <w:r w:rsidR="004573E1">
              <w:rPr>
                <w:rFonts w:ascii="David" w:eastAsia="Calibri" w:hAnsi="David" w:hint="cs"/>
                <w:sz w:val="26"/>
                <w:rtl/>
                <w:lang w:eastAsia="en-US"/>
              </w:rPr>
              <w:t>ה</w:t>
            </w:r>
            <w:r w:rsidRPr="00C36AF5">
              <w:rPr>
                <w:rFonts w:ascii="David" w:eastAsia="Calibri" w:hAnsi="David"/>
                <w:sz w:val="26"/>
                <w:rtl/>
                <w:lang w:eastAsia="en-US"/>
              </w:rPr>
              <w:t>-202</w:t>
            </w:r>
            <w:r w:rsidR="00572FA5">
              <w:rPr>
                <w:rFonts w:ascii="David" w:eastAsia="Calibri" w:hAnsi="David" w:hint="cs"/>
                <w:sz w:val="26"/>
                <w:rtl/>
                <w:lang w:eastAsia="en-US"/>
              </w:rPr>
              <w:t>5</w:t>
            </w:r>
            <w:r>
              <w:rPr>
                <w:rFonts w:ascii="David" w:hAnsi="David" w:hint="cs"/>
                <w:sz w:val="26"/>
                <w:rtl/>
              </w:rPr>
              <w:t>.</w:t>
            </w:r>
          </w:p>
        </w:tc>
      </w:tr>
      <w:tr w:rsidR="00F659EE" w:rsidRPr="00F25B85" w14:paraId="251AA082" w14:textId="77777777" w:rsidTr="009E51DA">
        <w:tc>
          <w:tcPr>
            <w:tcW w:w="664" w:type="pct"/>
            <w:shd w:val="clear" w:color="auto" w:fill="auto"/>
          </w:tcPr>
          <w:p w14:paraId="66B03C66"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120A0813"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25E46D69" w14:textId="77777777" w:rsidR="001C02EB" w:rsidRDefault="001C02EB" w:rsidP="001C02EB">
            <w:pPr>
              <w:spacing w:line="276" w:lineRule="auto"/>
              <w:ind w:left="29"/>
              <w:rPr>
                <w:rFonts w:ascii="David" w:hAnsi="David"/>
                <w:sz w:val="26"/>
                <w:rtl/>
              </w:rPr>
            </w:pPr>
          </w:p>
        </w:tc>
        <w:tc>
          <w:tcPr>
            <w:tcW w:w="395" w:type="pct"/>
            <w:shd w:val="clear" w:color="auto" w:fill="auto"/>
          </w:tcPr>
          <w:p w14:paraId="47462AF0" w14:textId="77777777" w:rsidR="001C02EB" w:rsidRDefault="001C02EB" w:rsidP="001C02EB">
            <w:pPr>
              <w:spacing w:line="276" w:lineRule="auto"/>
              <w:ind w:left="29"/>
              <w:jc w:val="both"/>
              <w:rPr>
                <w:rFonts w:ascii="David" w:hAnsi="David"/>
                <w:sz w:val="26"/>
                <w:rtl/>
              </w:rPr>
            </w:pPr>
          </w:p>
        </w:tc>
        <w:tc>
          <w:tcPr>
            <w:tcW w:w="315" w:type="pct"/>
            <w:gridSpan w:val="2"/>
            <w:shd w:val="clear" w:color="auto" w:fill="auto"/>
          </w:tcPr>
          <w:p w14:paraId="69EA1233" w14:textId="77777777" w:rsidR="001C02EB" w:rsidRPr="00D23B24" w:rsidRDefault="001C02EB" w:rsidP="001C02EB">
            <w:pPr>
              <w:spacing w:line="276" w:lineRule="auto"/>
              <w:ind w:left="29"/>
              <w:jc w:val="both"/>
              <w:rPr>
                <w:rFonts w:ascii="David" w:hAnsi="David"/>
                <w:sz w:val="26"/>
                <w:rtl/>
              </w:rPr>
            </w:pPr>
          </w:p>
        </w:tc>
        <w:tc>
          <w:tcPr>
            <w:tcW w:w="314" w:type="pct"/>
            <w:shd w:val="clear" w:color="auto" w:fill="auto"/>
          </w:tcPr>
          <w:p w14:paraId="53C926A3" w14:textId="77777777" w:rsidR="001C02EB" w:rsidRPr="00D23B24" w:rsidRDefault="001C02EB" w:rsidP="001C02EB">
            <w:pPr>
              <w:spacing w:line="276" w:lineRule="auto"/>
              <w:ind w:left="29"/>
              <w:jc w:val="both"/>
              <w:rPr>
                <w:rFonts w:ascii="David" w:hAnsi="David"/>
                <w:sz w:val="26"/>
                <w:rtl/>
              </w:rPr>
            </w:pPr>
          </w:p>
        </w:tc>
        <w:tc>
          <w:tcPr>
            <w:tcW w:w="2674" w:type="pct"/>
            <w:shd w:val="clear" w:color="auto" w:fill="auto"/>
          </w:tcPr>
          <w:p w14:paraId="66DC1B92" w14:textId="77777777" w:rsidR="001C02EB" w:rsidRPr="00D23B24" w:rsidRDefault="001C02EB" w:rsidP="001C02EB">
            <w:pPr>
              <w:spacing w:line="276" w:lineRule="auto"/>
              <w:ind w:left="29"/>
              <w:jc w:val="both"/>
              <w:rPr>
                <w:rFonts w:ascii="David" w:hAnsi="David"/>
                <w:sz w:val="26"/>
                <w:rtl/>
              </w:rPr>
            </w:pPr>
          </w:p>
        </w:tc>
      </w:tr>
      <w:tr w:rsidR="00572FA5" w:rsidRPr="00F25B85" w14:paraId="142F148D" w14:textId="77777777" w:rsidTr="009E51DA">
        <w:tc>
          <w:tcPr>
            <w:tcW w:w="664" w:type="pct"/>
            <w:shd w:val="clear" w:color="auto" w:fill="auto"/>
          </w:tcPr>
          <w:p w14:paraId="70793FFA" w14:textId="77777777" w:rsidR="00572FA5" w:rsidRPr="00D23B24" w:rsidRDefault="00572FA5" w:rsidP="001C02EB">
            <w:pPr>
              <w:spacing w:line="276" w:lineRule="auto"/>
              <w:jc w:val="both"/>
              <w:rPr>
                <w:rFonts w:ascii="David" w:hAnsi="David"/>
                <w:b/>
                <w:bCs/>
                <w:sz w:val="26"/>
                <w:rtl/>
              </w:rPr>
            </w:pPr>
          </w:p>
        </w:tc>
        <w:tc>
          <w:tcPr>
            <w:tcW w:w="325" w:type="pct"/>
            <w:shd w:val="clear" w:color="auto" w:fill="auto"/>
          </w:tcPr>
          <w:p w14:paraId="76983D2C" w14:textId="77777777" w:rsidR="00572FA5" w:rsidRPr="00D23B24" w:rsidRDefault="00572FA5" w:rsidP="001C02EB">
            <w:pPr>
              <w:spacing w:line="276" w:lineRule="auto"/>
              <w:jc w:val="both"/>
              <w:rPr>
                <w:rFonts w:ascii="David" w:hAnsi="David"/>
                <w:sz w:val="26"/>
                <w:rtl/>
              </w:rPr>
            </w:pPr>
          </w:p>
        </w:tc>
        <w:tc>
          <w:tcPr>
            <w:tcW w:w="313" w:type="pct"/>
            <w:shd w:val="clear" w:color="auto" w:fill="auto"/>
          </w:tcPr>
          <w:p w14:paraId="496FBBCB" w14:textId="77777777" w:rsidR="00572FA5" w:rsidRDefault="00572FA5" w:rsidP="001C02EB">
            <w:pPr>
              <w:spacing w:line="276" w:lineRule="auto"/>
              <w:ind w:left="29"/>
              <w:rPr>
                <w:rFonts w:ascii="David" w:hAnsi="David"/>
                <w:sz w:val="26"/>
                <w:rtl/>
              </w:rPr>
            </w:pPr>
          </w:p>
        </w:tc>
        <w:tc>
          <w:tcPr>
            <w:tcW w:w="395" w:type="pct"/>
            <w:shd w:val="clear" w:color="auto" w:fill="auto"/>
          </w:tcPr>
          <w:p w14:paraId="5E84297F" w14:textId="10B19183" w:rsidR="00572FA5" w:rsidRDefault="00572FA5" w:rsidP="001C02EB">
            <w:pPr>
              <w:spacing w:line="276" w:lineRule="auto"/>
              <w:ind w:left="29"/>
              <w:jc w:val="both"/>
              <w:rPr>
                <w:rFonts w:ascii="David" w:hAnsi="David"/>
                <w:sz w:val="26"/>
                <w:rtl/>
              </w:rPr>
            </w:pPr>
            <w:r>
              <w:rPr>
                <w:rFonts w:ascii="David" w:hAnsi="David" w:hint="cs"/>
                <w:sz w:val="26"/>
                <w:rtl/>
              </w:rPr>
              <w:t>(ג)</w:t>
            </w:r>
          </w:p>
        </w:tc>
        <w:tc>
          <w:tcPr>
            <w:tcW w:w="315" w:type="pct"/>
            <w:gridSpan w:val="2"/>
            <w:shd w:val="clear" w:color="auto" w:fill="auto"/>
          </w:tcPr>
          <w:p w14:paraId="0F38C34F" w14:textId="1C612A16" w:rsidR="00572FA5" w:rsidRPr="00D23B24" w:rsidRDefault="00572FA5" w:rsidP="001C02EB">
            <w:pPr>
              <w:spacing w:line="276" w:lineRule="auto"/>
              <w:ind w:left="29"/>
              <w:jc w:val="both"/>
              <w:rPr>
                <w:rFonts w:ascii="David" w:hAnsi="David"/>
                <w:sz w:val="26"/>
                <w:rtl/>
              </w:rPr>
            </w:pPr>
            <w:r>
              <w:rPr>
                <w:rFonts w:ascii="David" w:hAnsi="David" w:hint="cs"/>
                <w:sz w:val="26"/>
                <w:rtl/>
              </w:rPr>
              <w:t>(1)</w:t>
            </w:r>
          </w:p>
        </w:tc>
        <w:tc>
          <w:tcPr>
            <w:tcW w:w="2988" w:type="pct"/>
            <w:gridSpan w:val="2"/>
            <w:shd w:val="clear" w:color="auto" w:fill="auto"/>
          </w:tcPr>
          <w:p w14:paraId="6F5B1485" w14:textId="1A19AC6F" w:rsidR="00572FA5" w:rsidRPr="00D23B24" w:rsidRDefault="00572FA5" w:rsidP="001C02EB">
            <w:pPr>
              <w:spacing w:line="276" w:lineRule="auto"/>
              <w:ind w:left="29"/>
              <w:jc w:val="both"/>
              <w:rPr>
                <w:rFonts w:ascii="David" w:hAnsi="David"/>
                <w:sz w:val="26"/>
                <w:rtl/>
              </w:rPr>
            </w:pPr>
            <w:r w:rsidRPr="00D41F27">
              <w:rPr>
                <w:rtl/>
              </w:rPr>
              <w:t xml:space="preserve">הורשע אדם בעבירה לפי </w:t>
            </w:r>
            <w:r>
              <w:rPr>
                <w:rFonts w:hint="cs"/>
                <w:rtl/>
              </w:rPr>
              <w:t>סעיף קטן (ב)</w:t>
            </w:r>
            <w:r w:rsidRPr="00D41F27">
              <w:rPr>
                <w:rtl/>
              </w:rPr>
              <w:t xml:space="preserve">, לא יפחת עונשו מרבע העונש המרבי שנקבע לאותה עבירה, אלא אם כן החליט בית המשפט, מטעמים מיוחדים שיירשמו, להקל </w:t>
            </w:r>
            <w:r w:rsidRPr="00D41F27">
              <w:rPr>
                <w:rtl/>
              </w:rPr>
              <w:lastRenderedPageBreak/>
              <w:t>בעונשו; עונש מאסר לפי סעיף קטן זה לא יהיה, בהיעדר טעמים מיוחדים, כולו על־תנאי</w:t>
            </w:r>
            <w:r>
              <w:rPr>
                <w:rFonts w:hint="cs"/>
                <w:rtl/>
              </w:rPr>
              <w:t>.</w:t>
            </w:r>
          </w:p>
        </w:tc>
      </w:tr>
      <w:tr w:rsidR="00572FA5" w:rsidRPr="00F25B85" w14:paraId="7A6D3ECC" w14:textId="77777777" w:rsidTr="009E51DA">
        <w:tc>
          <w:tcPr>
            <w:tcW w:w="664" w:type="pct"/>
            <w:shd w:val="clear" w:color="auto" w:fill="auto"/>
          </w:tcPr>
          <w:p w14:paraId="30DB42A6" w14:textId="77777777" w:rsidR="00572FA5" w:rsidRPr="00D23B24" w:rsidRDefault="00572FA5" w:rsidP="001C02EB">
            <w:pPr>
              <w:spacing w:line="276" w:lineRule="auto"/>
              <w:jc w:val="both"/>
              <w:rPr>
                <w:rFonts w:ascii="David" w:hAnsi="David"/>
                <w:b/>
                <w:bCs/>
                <w:sz w:val="26"/>
                <w:rtl/>
              </w:rPr>
            </w:pPr>
          </w:p>
        </w:tc>
        <w:tc>
          <w:tcPr>
            <w:tcW w:w="325" w:type="pct"/>
            <w:shd w:val="clear" w:color="auto" w:fill="auto"/>
          </w:tcPr>
          <w:p w14:paraId="6698AC80" w14:textId="77777777" w:rsidR="00572FA5" w:rsidRPr="00D23B24" w:rsidRDefault="00572FA5" w:rsidP="001C02EB">
            <w:pPr>
              <w:spacing w:line="276" w:lineRule="auto"/>
              <w:jc w:val="both"/>
              <w:rPr>
                <w:rFonts w:ascii="David" w:hAnsi="David"/>
                <w:sz w:val="26"/>
                <w:rtl/>
              </w:rPr>
            </w:pPr>
          </w:p>
        </w:tc>
        <w:tc>
          <w:tcPr>
            <w:tcW w:w="313" w:type="pct"/>
            <w:shd w:val="clear" w:color="auto" w:fill="auto"/>
          </w:tcPr>
          <w:p w14:paraId="0A1E8E4F" w14:textId="77777777" w:rsidR="00572FA5" w:rsidRDefault="00572FA5" w:rsidP="001C02EB">
            <w:pPr>
              <w:spacing w:line="276" w:lineRule="auto"/>
              <w:ind w:left="29"/>
              <w:rPr>
                <w:rFonts w:ascii="David" w:hAnsi="David"/>
                <w:sz w:val="26"/>
                <w:rtl/>
              </w:rPr>
            </w:pPr>
          </w:p>
        </w:tc>
        <w:tc>
          <w:tcPr>
            <w:tcW w:w="395" w:type="pct"/>
            <w:shd w:val="clear" w:color="auto" w:fill="auto"/>
          </w:tcPr>
          <w:p w14:paraId="51461E14" w14:textId="77777777" w:rsidR="00572FA5" w:rsidRDefault="00572FA5" w:rsidP="001C02EB">
            <w:pPr>
              <w:spacing w:line="276" w:lineRule="auto"/>
              <w:ind w:left="29"/>
              <w:jc w:val="both"/>
              <w:rPr>
                <w:rFonts w:ascii="David" w:hAnsi="David"/>
                <w:sz w:val="26"/>
                <w:rtl/>
              </w:rPr>
            </w:pPr>
          </w:p>
        </w:tc>
        <w:tc>
          <w:tcPr>
            <w:tcW w:w="315" w:type="pct"/>
            <w:gridSpan w:val="2"/>
            <w:shd w:val="clear" w:color="auto" w:fill="auto"/>
          </w:tcPr>
          <w:p w14:paraId="09FCB3A5" w14:textId="77777777" w:rsidR="00572FA5" w:rsidRDefault="00572FA5" w:rsidP="001C02EB">
            <w:pPr>
              <w:spacing w:line="276" w:lineRule="auto"/>
              <w:ind w:left="29"/>
              <w:jc w:val="both"/>
              <w:rPr>
                <w:rFonts w:ascii="David" w:hAnsi="David"/>
                <w:sz w:val="26"/>
                <w:rtl/>
              </w:rPr>
            </w:pPr>
          </w:p>
        </w:tc>
        <w:tc>
          <w:tcPr>
            <w:tcW w:w="2988" w:type="pct"/>
            <w:gridSpan w:val="2"/>
            <w:shd w:val="clear" w:color="auto" w:fill="auto"/>
          </w:tcPr>
          <w:p w14:paraId="3E847445" w14:textId="77777777" w:rsidR="00572FA5" w:rsidRPr="00D23B24" w:rsidRDefault="00572FA5" w:rsidP="001C02EB">
            <w:pPr>
              <w:spacing w:line="276" w:lineRule="auto"/>
              <w:ind w:left="29"/>
              <w:jc w:val="both"/>
              <w:rPr>
                <w:rFonts w:ascii="David" w:hAnsi="David"/>
                <w:sz w:val="26"/>
                <w:rtl/>
              </w:rPr>
            </w:pPr>
          </w:p>
        </w:tc>
      </w:tr>
      <w:tr w:rsidR="00572FA5" w:rsidRPr="00F25B85" w14:paraId="738907C7" w14:textId="77777777" w:rsidTr="009E51DA">
        <w:tc>
          <w:tcPr>
            <w:tcW w:w="664" w:type="pct"/>
            <w:shd w:val="clear" w:color="auto" w:fill="auto"/>
          </w:tcPr>
          <w:p w14:paraId="0E0A5B70" w14:textId="77777777" w:rsidR="00572FA5" w:rsidRPr="00D23B24" w:rsidRDefault="00572FA5" w:rsidP="001C02EB">
            <w:pPr>
              <w:spacing w:line="276" w:lineRule="auto"/>
              <w:jc w:val="both"/>
              <w:rPr>
                <w:rFonts w:ascii="David" w:hAnsi="David"/>
                <w:b/>
                <w:bCs/>
                <w:sz w:val="26"/>
                <w:rtl/>
              </w:rPr>
            </w:pPr>
          </w:p>
        </w:tc>
        <w:tc>
          <w:tcPr>
            <w:tcW w:w="325" w:type="pct"/>
            <w:shd w:val="clear" w:color="auto" w:fill="auto"/>
          </w:tcPr>
          <w:p w14:paraId="3E628ADE" w14:textId="77777777" w:rsidR="00572FA5" w:rsidRPr="00D23B24" w:rsidRDefault="00572FA5" w:rsidP="001C02EB">
            <w:pPr>
              <w:spacing w:line="276" w:lineRule="auto"/>
              <w:jc w:val="both"/>
              <w:rPr>
                <w:rFonts w:ascii="David" w:hAnsi="David"/>
                <w:sz w:val="26"/>
                <w:rtl/>
              </w:rPr>
            </w:pPr>
          </w:p>
        </w:tc>
        <w:tc>
          <w:tcPr>
            <w:tcW w:w="313" w:type="pct"/>
            <w:shd w:val="clear" w:color="auto" w:fill="auto"/>
          </w:tcPr>
          <w:p w14:paraId="65762AD0" w14:textId="77777777" w:rsidR="00572FA5" w:rsidRDefault="00572FA5" w:rsidP="001C02EB">
            <w:pPr>
              <w:spacing w:line="276" w:lineRule="auto"/>
              <w:ind w:left="29"/>
              <w:rPr>
                <w:rFonts w:ascii="David" w:hAnsi="David"/>
                <w:sz w:val="26"/>
                <w:rtl/>
              </w:rPr>
            </w:pPr>
          </w:p>
        </w:tc>
        <w:tc>
          <w:tcPr>
            <w:tcW w:w="395" w:type="pct"/>
            <w:shd w:val="clear" w:color="auto" w:fill="auto"/>
          </w:tcPr>
          <w:p w14:paraId="01555A83" w14:textId="77777777" w:rsidR="00572FA5" w:rsidRDefault="00572FA5" w:rsidP="001C02EB">
            <w:pPr>
              <w:spacing w:line="276" w:lineRule="auto"/>
              <w:ind w:left="29"/>
              <w:jc w:val="both"/>
              <w:rPr>
                <w:rFonts w:ascii="David" w:hAnsi="David"/>
                <w:sz w:val="26"/>
                <w:rtl/>
              </w:rPr>
            </w:pPr>
          </w:p>
        </w:tc>
        <w:tc>
          <w:tcPr>
            <w:tcW w:w="315" w:type="pct"/>
            <w:gridSpan w:val="2"/>
            <w:shd w:val="clear" w:color="auto" w:fill="auto"/>
          </w:tcPr>
          <w:p w14:paraId="427E0B1D" w14:textId="3A9A2B83" w:rsidR="00572FA5" w:rsidRDefault="00572FA5" w:rsidP="001C02EB">
            <w:pPr>
              <w:spacing w:line="276" w:lineRule="auto"/>
              <w:ind w:left="29"/>
              <w:jc w:val="both"/>
              <w:rPr>
                <w:rFonts w:ascii="David" w:hAnsi="David"/>
                <w:sz w:val="26"/>
                <w:rtl/>
              </w:rPr>
            </w:pPr>
            <w:r>
              <w:rPr>
                <w:rFonts w:ascii="David" w:hAnsi="David" w:hint="cs"/>
                <w:sz w:val="26"/>
                <w:rtl/>
              </w:rPr>
              <w:t>(2)</w:t>
            </w:r>
          </w:p>
        </w:tc>
        <w:tc>
          <w:tcPr>
            <w:tcW w:w="2988" w:type="pct"/>
            <w:gridSpan w:val="2"/>
            <w:shd w:val="clear" w:color="auto" w:fill="auto"/>
          </w:tcPr>
          <w:p w14:paraId="787D21DD" w14:textId="16366FE8" w:rsidR="00572FA5" w:rsidRPr="00D23B24" w:rsidRDefault="00572FA5" w:rsidP="001C02EB">
            <w:pPr>
              <w:spacing w:line="276" w:lineRule="auto"/>
              <w:ind w:left="29"/>
              <w:jc w:val="both"/>
              <w:rPr>
                <w:rFonts w:ascii="David" w:hAnsi="David"/>
                <w:sz w:val="26"/>
                <w:rtl/>
              </w:rPr>
            </w:pPr>
            <w:r w:rsidRPr="00D41F27">
              <w:rPr>
                <w:rtl/>
              </w:rPr>
              <w:t>הוראות סעיף</w:t>
            </w:r>
            <w:r>
              <w:rPr>
                <w:rFonts w:hint="cs"/>
                <w:rtl/>
              </w:rPr>
              <w:t xml:space="preserve"> קטן</w:t>
            </w:r>
            <w:r w:rsidRPr="00D41F27">
              <w:rPr>
                <w:rtl/>
              </w:rPr>
              <w:t xml:space="preserve"> זה יעמדו בתוקפן עד יום כ"ד בניסן ה</w:t>
            </w:r>
            <w:bookmarkStart w:id="1" w:name="_GoBack"/>
            <w:r w:rsidRPr="00D41F27">
              <w:rPr>
                <w:rtl/>
              </w:rPr>
              <w:t>תשפ</w:t>
            </w:r>
            <w:bookmarkEnd w:id="1"/>
            <w:r w:rsidRPr="00D41F27">
              <w:rPr>
                <w:rtl/>
              </w:rPr>
              <w:t>"ז (1 במאי 2027).</w:t>
            </w:r>
            <w:r>
              <w:rPr>
                <w:rFonts w:ascii="David" w:hAnsi="David" w:hint="cs"/>
                <w:sz w:val="26"/>
                <w:rtl/>
              </w:rPr>
              <w:t>".</w:t>
            </w:r>
          </w:p>
        </w:tc>
      </w:tr>
      <w:tr w:rsidR="00C4269E" w:rsidRPr="00F25B85" w14:paraId="08C5848B" w14:textId="77777777" w:rsidTr="009E51DA">
        <w:tc>
          <w:tcPr>
            <w:tcW w:w="664" w:type="pct"/>
            <w:shd w:val="clear" w:color="auto" w:fill="auto"/>
          </w:tcPr>
          <w:p w14:paraId="7DE7ED0B"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457DCA84" w14:textId="77777777" w:rsidR="001C02EB" w:rsidRPr="00D23B24" w:rsidRDefault="001C02EB" w:rsidP="001C02EB">
            <w:pPr>
              <w:spacing w:line="276" w:lineRule="auto"/>
              <w:jc w:val="both"/>
              <w:rPr>
                <w:rFonts w:ascii="David" w:hAnsi="David"/>
                <w:sz w:val="26"/>
                <w:rtl/>
              </w:rPr>
            </w:pPr>
          </w:p>
        </w:tc>
        <w:tc>
          <w:tcPr>
            <w:tcW w:w="313" w:type="pct"/>
            <w:shd w:val="clear" w:color="auto" w:fill="auto"/>
          </w:tcPr>
          <w:p w14:paraId="05CEFCC1" w14:textId="77777777" w:rsidR="001C02EB" w:rsidRDefault="001C02EB" w:rsidP="001C02EB">
            <w:pPr>
              <w:spacing w:line="276" w:lineRule="auto"/>
              <w:ind w:left="29"/>
              <w:rPr>
                <w:rFonts w:ascii="David" w:hAnsi="David"/>
                <w:sz w:val="26"/>
                <w:rtl/>
              </w:rPr>
            </w:pPr>
          </w:p>
        </w:tc>
        <w:tc>
          <w:tcPr>
            <w:tcW w:w="3698" w:type="pct"/>
            <w:gridSpan w:val="5"/>
            <w:shd w:val="clear" w:color="auto" w:fill="auto"/>
          </w:tcPr>
          <w:p w14:paraId="70C32092" w14:textId="77777777" w:rsidR="001C02EB" w:rsidRPr="00D23B24" w:rsidRDefault="001C02EB" w:rsidP="001C02EB">
            <w:pPr>
              <w:spacing w:line="276" w:lineRule="auto"/>
              <w:ind w:left="29"/>
              <w:jc w:val="both"/>
              <w:rPr>
                <w:rFonts w:ascii="David" w:hAnsi="David"/>
                <w:sz w:val="26"/>
                <w:rtl/>
              </w:rPr>
            </w:pPr>
          </w:p>
        </w:tc>
      </w:tr>
      <w:tr w:rsidR="00C4269E" w:rsidRPr="00F25B85" w14:paraId="15EAE630" w14:textId="77777777" w:rsidTr="009E51DA">
        <w:tc>
          <w:tcPr>
            <w:tcW w:w="664" w:type="pct"/>
            <w:shd w:val="clear" w:color="auto" w:fill="auto"/>
          </w:tcPr>
          <w:p w14:paraId="064BCAF4" w14:textId="3E71A821" w:rsidR="001C02EB" w:rsidRPr="00D23B24" w:rsidRDefault="001C02EB" w:rsidP="001C02EB">
            <w:pPr>
              <w:spacing w:line="276" w:lineRule="auto"/>
              <w:jc w:val="both"/>
              <w:rPr>
                <w:rFonts w:ascii="David" w:hAnsi="David"/>
                <w:b/>
                <w:bCs/>
                <w:sz w:val="26"/>
                <w:rtl/>
              </w:rPr>
            </w:pPr>
            <w:r w:rsidRPr="00EE0AA5">
              <w:rPr>
                <w:rFonts w:ascii="David" w:hAnsi="David"/>
                <w:b/>
                <w:bCs/>
                <w:sz w:val="24"/>
                <w:szCs w:val="24"/>
                <w:rtl/>
              </w:rPr>
              <w:t>תקנון המועצות המקומיות – תיקון עקיף</w:t>
            </w:r>
          </w:p>
        </w:tc>
        <w:tc>
          <w:tcPr>
            <w:tcW w:w="325" w:type="pct"/>
            <w:shd w:val="clear" w:color="auto" w:fill="auto"/>
          </w:tcPr>
          <w:p w14:paraId="24B5B661" w14:textId="5F749C64" w:rsidR="001C02EB" w:rsidRPr="00D23B24" w:rsidRDefault="001C02EB" w:rsidP="001C02EB">
            <w:pPr>
              <w:spacing w:line="276" w:lineRule="auto"/>
              <w:jc w:val="both"/>
              <w:rPr>
                <w:rFonts w:ascii="David" w:hAnsi="David"/>
                <w:sz w:val="26"/>
                <w:rtl/>
              </w:rPr>
            </w:pPr>
            <w:r>
              <w:rPr>
                <w:rFonts w:ascii="David" w:hAnsi="David" w:hint="cs"/>
                <w:sz w:val="26"/>
                <w:rtl/>
              </w:rPr>
              <w:t>15</w:t>
            </w:r>
            <w:r w:rsidRPr="00D23B24">
              <w:rPr>
                <w:rFonts w:ascii="David" w:hAnsi="David"/>
                <w:sz w:val="26"/>
                <w:rtl/>
              </w:rPr>
              <w:t>.</w:t>
            </w:r>
          </w:p>
        </w:tc>
        <w:tc>
          <w:tcPr>
            <w:tcW w:w="4011" w:type="pct"/>
            <w:gridSpan w:val="6"/>
            <w:shd w:val="clear" w:color="auto" w:fill="auto"/>
          </w:tcPr>
          <w:p w14:paraId="282C282B" w14:textId="77777777" w:rsidR="001C02EB" w:rsidRPr="00D23B24" w:rsidRDefault="001C02EB" w:rsidP="001C02EB">
            <w:pPr>
              <w:spacing w:line="276" w:lineRule="auto"/>
              <w:ind w:left="29"/>
              <w:jc w:val="both"/>
              <w:rPr>
                <w:rFonts w:ascii="David" w:eastAsia="Calibri" w:hAnsi="David"/>
                <w:sz w:val="26"/>
                <w:rtl/>
                <w:lang w:eastAsia="en-US"/>
              </w:rPr>
            </w:pPr>
            <w:r w:rsidRPr="00D23B24">
              <w:rPr>
                <w:rFonts w:ascii="David" w:eastAsia="Calibri" w:hAnsi="David"/>
                <w:sz w:val="26"/>
                <w:rtl/>
                <w:lang w:eastAsia="en-US"/>
              </w:rPr>
              <w:t xml:space="preserve">בתוספת </w:t>
            </w:r>
            <w:r>
              <w:rPr>
                <w:rFonts w:ascii="David" w:eastAsia="Calibri" w:hAnsi="David" w:hint="cs"/>
                <w:sz w:val="26"/>
                <w:rtl/>
                <w:lang w:eastAsia="en-US"/>
              </w:rPr>
              <w:t xml:space="preserve">הראשונה </w:t>
            </w:r>
            <w:r w:rsidRPr="00D23B24">
              <w:rPr>
                <w:rFonts w:ascii="David" w:eastAsia="Calibri" w:hAnsi="David"/>
                <w:sz w:val="26"/>
                <w:rtl/>
                <w:lang w:eastAsia="en-US"/>
              </w:rPr>
              <w:t xml:space="preserve">לתקנון המועצות המקומיות, אחרי פרט (10) יבוא: </w:t>
            </w:r>
          </w:p>
          <w:p w14:paraId="410DCC7E" w14:textId="77777777" w:rsidR="001C02EB" w:rsidRPr="00D23B24" w:rsidRDefault="001C02EB" w:rsidP="001C02EB">
            <w:pPr>
              <w:spacing w:line="276" w:lineRule="auto"/>
              <w:ind w:left="29"/>
              <w:jc w:val="both"/>
              <w:rPr>
                <w:rFonts w:ascii="David" w:eastAsia="Calibri" w:hAnsi="David"/>
                <w:sz w:val="26"/>
                <w:rtl/>
                <w:lang w:eastAsia="en-US"/>
              </w:rPr>
            </w:pPr>
          </w:p>
          <w:p w14:paraId="4429E2B4" w14:textId="01A8611B" w:rsidR="001C02EB" w:rsidRPr="00D23B24" w:rsidRDefault="001C02EB" w:rsidP="009E51DA">
            <w:pPr>
              <w:spacing w:line="276" w:lineRule="auto"/>
              <w:ind w:left="29"/>
              <w:jc w:val="both"/>
              <w:rPr>
                <w:rFonts w:ascii="David" w:hAnsi="David"/>
                <w:sz w:val="26"/>
                <w:rtl/>
              </w:rPr>
            </w:pPr>
            <w:r w:rsidRPr="00D23B24">
              <w:rPr>
                <w:rFonts w:ascii="David" w:eastAsia="Calibri" w:hAnsi="David"/>
                <w:sz w:val="26"/>
                <w:rtl/>
                <w:lang w:eastAsia="en-US"/>
              </w:rPr>
              <w:t>"(11) צו בדבר אכיפה נגד מקום המשמש להלנה או והעסקה שלא כדין (יהודה ושומרון) (מס׳</w:t>
            </w:r>
            <w:r w:rsidR="009E51DA">
              <w:rPr>
                <w:rFonts w:ascii="David" w:eastAsia="Calibri" w:hAnsi="David" w:hint="cs"/>
                <w:sz w:val="26"/>
                <w:rtl/>
                <w:lang w:eastAsia="en-US"/>
              </w:rPr>
              <w:t xml:space="preserve"> 2223</w:t>
            </w:r>
            <w:r w:rsidRPr="00D23B24">
              <w:rPr>
                <w:rFonts w:ascii="David" w:eastAsia="Calibri" w:hAnsi="David"/>
                <w:sz w:val="26"/>
                <w:rtl/>
                <w:lang w:eastAsia="en-US"/>
              </w:rPr>
              <w:t>), התשפ׳׳</w:t>
            </w:r>
            <w:r w:rsidR="008E1FC4">
              <w:rPr>
                <w:rFonts w:ascii="David" w:eastAsia="Calibri" w:hAnsi="David" w:hint="cs"/>
                <w:sz w:val="26"/>
                <w:rtl/>
                <w:lang w:eastAsia="en-US"/>
              </w:rPr>
              <w:t>ה</w:t>
            </w:r>
            <w:r w:rsidRPr="00D23B24">
              <w:rPr>
                <w:rFonts w:ascii="David" w:eastAsia="Calibri" w:hAnsi="David"/>
                <w:sz w:val="26"/>
                <w:rtl/>
                <w:lang w:eastAsia="en-US"/>
              </w:rPr>
              <w:t>-</w:t>
            </w:r>
            <w:r w:rsidR="008E1FC4" w:rsidRPr="00D23B24">
              <w:rPr>
                <w:rFonts w:ascii="David" w:eastAsia="Calibri" w:hAnsi="David"/>
                <w:sz w:val="26"/>
                <w:rtl/>
                <w:lang w:eastAsia="en-US"/>
              </w:rPr>
              <w:t>202</w:t>
            </w:r>
            <w:r w:rsidR="00572FA5">
              <w:rPr>
                <w:rFonts w:ascii="David" w:eastAsia="Calibri" w:hAnsi="David" w:hint="cs"/>
                <w:sz w:val="26"/>
                <w:rtl/>
                <w:lang w:eastAsia="en-US"/>
              </w:rPr>
              <w:t>5</w:t>
            </w:r>
            <w:r w:rsidRPr="00D23B24">
              <w:rPr>
                <w:rFonts w:ascii="David" w:eastAsia="Calibri" w:hAnsi="David"/>
                <w:sz w:val="26"/>
                <w:rtl/>
                <w:lang w:eastAsia="en-US"/>
              </w:rPr>
              <w:t>.".</w:t>
            </w:r>
          </w:p>
        </w:tc>
      </w:tr>
      <w:tr w:rsidR="00C4269E" w:rsidRPr="00F25B85" w14:paraId="75BD2A72" w14:textId="77777777" w:rsidTr="009E51DA">
        <w:tc>
          <w:tcPr>
            <w:tcW w:w="664" w:type="pct"/>
            <w:shd w:val="clear" w:color="auto" w:fill="auto"/>
          </w:tcPr>
          <w:p w14:paraId="6FD7DDF3"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476A9762" w14:textId="77777777" w:rsidR="001C02EB" w:rsidRPr="00D23B24" w:rsidRDefault="001C02EB" w:rsidP="001C02EB">
            <w:pPr>
              <w:spacing w:line="276" w:lineRule="auto"/>
              <w:jc w:val="both"/>
              <w:rPr>
                <w:rFonts w:ascii="David" w:hAnsi="David"/>
                <w:sz w:val="26"/>
                <w:rtl/>
              </w:rPr>
            </w:pPr>
          </w:p>
        </w:tc>
        <w:tc>
          <w:tcPr>
            <w:tcW w:w="4011" w:type="pct"/>
            <w:gridSpan w:val="6"/>
            <w:shd w:val="clear" w:color="auto" w:fill="auto"/>
          </w:tcPr>
          <w:p w14:paraId="5F3E57DA" w14:textId="77777777" w:rsidR="001C02EB" w:rsidRPr="00D23B24" w:rsidRDefault="001C02EB" w:rsidP="001C02EB">
            <w:pPr>
              <w:spacing w:line="276" w:lineRule="auto"/>
              <w:ind w:left="29"/>
              <w:jc w:val="both"/>
              <w:rPr>
                <w:rFonts w:ascii="David" w:hAnsi="David"/>
                <w:sz w:val="26"/>
                <w:rtl/>
              </w:rPr>
            </w:pPr>
          </w:p>
        </w:tc>
      </w:tr>
      <w:tr w:rsidR="00C4269E" w:rsidRPr="00F25B85" w14:paraId="68D30C07" w14:textId="77777777" w:rsidTr="009E51DA">
        <w:tc>
          <w:tcPr>
            <w:tcW w:w="664" w:type="pct"/>
            <w:shd w:val="clear" w:color="auto" w:fill="auto"/>
          </w:tcPr>
          <w:p w14:paraId="3CDD4F19" w14:textId="1E042EB8" w:rsidR="001C02EB" w:rsidRPr="00D23B24" w:rsidRDefault="001C02EB" w:rsidP="001C02EB">
            <w:pPr>
              <w:spacing w:line="276" w:lineRule="auto"/>
              <w:jc w:val="both"/>
              <w:rPr>
                <w:rFonts w:ascii="David" w:hAnsi="David"/>
                <w:b/>
                <w:bCs/>
                <w:sz w:val="26"/>
                <w:rtl/>
              </w:rPr>
            </w:pPr>
            <w:r w:rsidRPr="00D23B24">
              <w:rPr>
                <w:rFonts w:ascii="David" w:hAnsi="David"/>
                <w:b/>
                <w:bCs/>
                <w:sz w:val="26"/>
                <w:rtl/>
              </w:rPr>
              <w:t>תחילה</w:t>
            </w:r>
          </w:p>
        </w:tc>
        <w:tc>
          <w:tcPr>
            <w:tcW w:w="325" w:type="pct"/>
            <w:shd w:val="clear" w:color="auto" w:fill="auto"/>
          </w:tcPr>
          <w:p w14:paraId="1130476E" w14:textId="464FE987" w:rsidR="001C02EB" w:rsidRPr="00D23B24" w:rsidRDefault="001C02EB" w:rsidP="001C02EB">
            <w:pPr>
              <w:spacing w:line="276" w:lineRule="auto"/>
              <w:jc w:val="both"/>
              <w:rPr>
                <w:rFonts w:ascii="David" w:hAnsi="David"/>
                <w:sz w:val="26"/>
                <w:rtl/>
              </w:rPr>
            </w:pPr>
            <w:r>
              <w:rPr>
                <w:rFonts w:ascii="David" w:hAnsi="David" w:hint="cs"/>
                <w:sz w:val="26"/>
                <w:rtl/>
              </w:rPr>
              <w:t>16</w:t>
            </w:r>
            <w:r w:rsidRPr="00D23B24">
              <w:rPr>
                <w:rFonts w:ascii="David" w:hAnsi="David"/>
                <w:sz w:val="26"/>
                <w:rtl/>
              </w:rPr>
              <w:t>.</w:t>
            </w:r>
          </w:p>
        </w:tc>
        <w:tc>
          <w:tcPr>
            <w:tcW w:w="4011" w:type="pct"/>
            <w:gridSpan w:val="6"/>
            <w:shd w:val="clear" w:color="auto" w:fill="auto"/>
          </w:tcPr>
          <w:p w14:paraId="04310D2C" w14:textId="6FC0C067" w:rsidR="001C02EB" w:rsidRPr="00D23B24" w:rsidRDefault="001C02EB" w:rsidP="001C02EB">
            <w:pPr>
              <w:spacing w:line="276" w:lineRule="auto"/>
              <w:ind w:left="29"/>
              <w:jc w:val="both"/>
              <w:rPr>
                <w:rFonts w:ascii="David" w:hAnsi="David"/>
                <w:sz w:val="26"/>
                <w:rtl/>
              </w:rPr>
            </w:pPr>
            <w:r w:rsidRPr="00D23B24">
              <w:rPr>
                <w:rFonts w:ascii="David" w:hAnsi="David"/>
                <w:sz w:val="26"/>
                <w:rtl/>
              </w:rPr>
              <w:t>תחילתו של צו זו ביום חתימתו.</w:t>
            </w:r>
          </w:p>
        </w:tc>
      </w:tr>
      <w:tr w:rsidR="00C4269E" w:rsidRPr="00F25B85" w14:paraId="4FCF2E78" w14:textId="77777777" w:rsidTr="009E51DA">
        <w:tc>
          <w:tcPr>
            <w:tcW w:w="664" w:type="pct"/>
            <w:shd w:val="clear" w:color="auto" w:fill="auto"/>
          </w:tcPr>
          <w:p w14:paraId="129B654E" w14:textId="77777777" w:rsidR="001C02EB" w:rsidRPr="00D23B24" w:rsidRDefault="001C02EB" w:rsidP="001C02EB">
            <w:pPr>
              <w:spacing w:line="276" w:lineRule="auto"/>
              <w:jc w:val="both"/>
              <w:rPr>
                <w:rFonts w:ascii="David" w:hAnsi="David"/>
                <w:b/>
                <w:bCs/>
                <w:sz w:val="26"/>
                <w:rtl/>
              </w:rPr>
            </w:pPr>
          </w:p>
        </w:tc>
        <w:tc>
          <w:tcPr>
            <w:tcW w:w="325" w:type="pct"/>
            <w:shd w:val="clear" w:color="auto" w:fill="auto"/>
          </w:tcPr>
          <w:p w14:paraId="6E8A23CB" w14:textId="77777777" w:rsidR="001C02EB" w:rsidRPr="00D23B24" w:rsidRDefault="001C02EB" w:rsidP="001C02EB">
            <w:pPr>
              <w:spacing w:line="276" w:lineRule="auto"/>
              <w:jc w:val="both"/>
              <w:rPr>
                <w:rFonts w:ascii="David" w:hAnsi="David"/>
                <w:sz w:val="26"/>
                <w:rtl/>
              </w:rPr>
            </w:pPr>
          </w:p>
        </w:tc>
        <w:tc>
          <w:tcPr>
            <w:tcW w:w="4011" w:type="pct"/>
            <w:gridSpan w:val="6"/>
            <w:shd w:val="clear" w:color="auto" w:fill="auto"/>
          </w:tcPr>
          <w:p w14:paraId="448C275F" w14:textId="77777777" w:rsidR="001C02EB" w:rsidRPr="00D23B24" w:rsidRDefault="001C02EB" w:rsidP="001C02EB">
            <w:pPr>
              <w:spacing w:line="276" w:lineRule="auto"/>
              <w:ind w:left="29"/>
              <w:jc w:val="both"/>
              <w:rPr>
                <w:rFonts w:ascii="David" w:hAnsi="David"/>
                <w:sz w:val="26"/>
                <w:rtl/>
              </w:rPr>
            </w:pPr>
          </w:p>
        </w:tc>
      </w:tr>
      <w:tr w:rsidR="00C4269E" w:rsidRPr="00F25B85" w14:paraId="0EB2D6FC" w14:textId="77777777" w:rsidTr="009E51DA">
        <w:tc>
          <w:tcPr>
            <w:tcW w:w="664" w:type="pct"/>
            <w:shd w:val="clear" w:color="auto" w:fill="auto"/>
          </w:tcPr>
          <w:p w14:paraId="6DBFDE2F" w14:textId="50A21E3C" w:rsidR="001C02EB" w:rsidRPr="00D23B24" w:rsidRDefault="001C02EB" w:rsidP="001C02EB">
            <w:pPr>
              <w:spacing w:line="276" w:lineRule="auto"/>
              <w:jc w:val="both"/>
              <w:rPr>
                <w:rFonts w:ascii="David" w:hAnsi="David"/>
                <w:b/>
                <w:bCs/>
                <w:sz w:val="26"/>
                <w:rtl/>
              </w:rPr>
            </w:pPr>
            <w:r w:rsidRPr="00D23B24">
              <w:rPr>
                <w:rFonts w:ascii="David" w:hAnsi="David"/>
                <w:b/>
                <w:bCs/>
                <w:sz w:val="26"/>
                <w:rtl/>
              </w:rPr>
              <w:t>השם</w:t>
            </w:r>
          </w:p>
        </w:tc>
        <w:tc>
          <w:tcPr>
            <w:tcW w:w="325" w:type="pct"/>
            <w:shd w:val="clear" w:color="auto" w:fill="auto"/>
          </w:tcPr>
          <w:p w14:paraId="74BBB0E6" w14:textId="492C4DB9" w:rsidR="001C02EB" w:rsidRPr="00D23B24" w:rsidRDefault="001C02EB" w:rsidP="001C02EB">
            <w:pPr>
              <w:spacing w:line="276" w:lineRule="auto"/>
              <w:jc w:val="both"/>
              <w:rPr>
                <w:rFonts w:ascii="David" w:hAnsi="David"/>
                <w:sz w:val="26"/>
                <w:rtl/>
              </w:rPr>
            </w:pPr>
            <w:r>
              <w:rPr>
                <w:rFonts w:ascii="David" w:hAnsi="David" w:hint="cs"/>
                <w:sz w:val="26"/>
                <w:rtl/>
              </w:rPr>
              <w:t>17</w:t>
            </w:r>
            <w:r w:rsidRPr="00D23B24">
              <w:rPr>
                <w:rFonts w:ascii="David" w:hAnsi="David"/>
                <w:sz w:val="26"/>
                <w:rtl/>
              </w:rPr>
              <w:t>.</w:t>
            </w:r>
          </w:p>
        </w:tc>
        <w:tc>
          <w:tcPr>
            <w:tcW w:w="4011" w:type="pct"/>
            <w:gridSpan w:val="6"/>
            <w:shd w:val="clear" w:color="auto" w:fill="auto"/>
          </w:tcPr>
          <w:p w14:paraId="5F7E6342" w14:textId="6DFE3839" w:rsidR="001C02EB" w:rsidRPr="00D23B24" w:rsidRDefault="001C02EB" w:rsidP="009E51DA">
            <w:pPr>
              <w:spacing w:line="276" w:lineRule="auto"/>
              <w:ind w:left="29"/>
              <w:jc w:val="both"/>
              <w:rPr>
                <w:rFonts w:ascii="David" w:hAnsi="David"/>
                <w:sz w:val="26"/>
                <w:rtl/>
              </w:rPr>
            </w:pPr>
            <w:r w:rsidRPr="00D23B24">
              <w:rPr>
                <w:rFonts w:ascii="David" w:eastAsia="Calibri" w:hAnsi="David"/>
                <w:sz w:val="26"/>
                <w:rtl/>
                <w:lang w:eastAsia="en-US"/>
              </w:rPr>
              <w:t>צו זה ייקרא: "</w:t>
            </w:r>
            <w:r w:rsidRPr="00C36AF5">
              <w:rPr>
                <w:rFonts w:ascii="David" w:eastAsia="Calibri" w:hAnsi="David"/>
                <w:sz w:val="26"/>
                <w:rtl/>
                <w:lang w:eastAsia="en-US"/>
              </w:rPr>
              <w:t>צו בדבר הגברת האכיפה נגד מקום המשמש להלנה או העסקה שלא כדין (יהודה ושומרון) (מס׳</w:t>
            </w:r>
            <w:r w:rsidR="009E51DA">
              <w:rPr>
                <w:rFonts w:ascii="David" w:eastAsia="Calibri" w:hAnsi="David" w:hint="cs"/>
                <w:sz w:val="26"/>
                <w:rtl/>
                <w:lang w:eastAsia="en-US"/>
              </w:rPr>
              <w:t xml:space="preserve"> 2223</w:t>
            </w:r>
            <w:r w:rsidRPr="00C36AF5">
              <w:rPr>
                <w:rFonts w:ascii="David" w:eastAsia="Calibri" w:hAnsi="David"/>
                <w:sz w:val="26"/>
                <w:rtl/>
                <w:lang w:eastAsia="en-US"/>
              </w:rPr>
              <w:t>), התשפ׳׳</w:t>
            </w:r>
            <w:r>
              <w:rPr>
                <w:rFonts w:ascii="David" w:eastAsia="Calibri" w:hAnsi="David" w:hint="cs"/>
                <w:sz w:val="26"/>
                <w:rtl/>
                <w:lang w:eastAsia="en-US"/>
              </w:rPr>
              <w:t>ה</w:t>
            </w:r>
            <w:r w:rsidRPr="00C36AF5">
              <w:rPr>
                <w:rFonts w:ascii="David" w:eastAsia="Calibri" w:hAnsi="David"/>
                <w:sz w:val="26"/>
                <w:rtl/>
                <w:lang w:eastAsia="en-US"/>
              </w:rPr>
              <w:t>-202</w:t>
            </w:r>
            <w:r w:rsidR="00C037A2">
              <w:rPr>
                <w:rFonts w:ascii="David" w:eastAsia="Calibri" w:hAnsi="David" w:hint="cs"/>
                <w:sz w:val="26"/>
                <w:rtl/>
                <w:lang w:eastAsia="en-US"/>
              </w:rPr>
              <w:t>5</w:t>
            </w:r>
            <w:r w:rsidRPr="00D23B24">
              <w:rPr>
                <w:rFonts w:ascii="David" w:eastAsia="Calibri" w:hAnsi="David"/>
                <w:sz w:val="26"/>
                <w:rtl/>
                <w:lang w:eastAsia="en-US"/>
              </w:rPr>
              <w:t>".</w:t>
            </w:r>
          </w:p>
        </w:tc>
      </w:tr>
    </w:tbl>
    <w:p w14:paraId="1784B841" w14:textId="77777777" w:rsidR="00232719" w:rsidRPr="009E51DA" w:rsidRDefault="00232719" w:rsidP="00232719">
      <w:pPr>
        <w:rPr>
          <w:rFonts w:ascii="David" w:hAnsi="David"/>
          <w:sz w:val="26"/>
          <w:rtl/>
        </w:rPr>
      </w:pPr>
    </w:p>
    <w:p w14:paraId="599D4FFB" w14:textId="77777777" w:rsidR="00232719" w:rsidRDefault="00232719" w:rsidP="00232719">
      <w:pPr>
        <w:ind w:left="29"/>
        <w:rPr>
          <w:rFonts w:ascii="David" w:hAnsi="David"/>
          <w:sz w:val="26"/>
          <w:rtl/>
        </w:rPr>
      </w:pPr>
    </w:p>
    <w:p w14:paraId="03123D22" w14:textId="4CBFCAA2" w:rsidR="00232719" w:rsidRDefault="00232719" w:rsidP="009E51DA">
      <w:pPr>
        <w:tabs>
          <w:tab w:val="left" w:pos="5090"/>
        </w:tabs>
        <w:ind w:left="29"/>
        <w:rPr>
          <w:rFonts w:ascii="David" w:hAnsi="David"/>
          <w:sz w:val="26"/>
          <w:rtl/>
        </w:rPr>
      </w:pPr>
      <w:r>
        <w:rPr>
          <w:rFonts w:ascii="David" w:hAnsi="David"/>
          <w:sz w:val="26"/>
          <w:rtl/>
        </w:rPr>
        <w:tab/>
      </w:r>
      <w:r>
        <w:rPr>
          <w:rFonts w:ascii="David" w:hAnsi="David" w:hint="cs"/>
          <w:sz w:val="26"/>
          <w:rtl/>
        </w:rPr>
        <w:t xml:space="preserve">      </w:t>
      </w:r>
    </w:p>
    <w:tbl>
      <w:tblPr>
        <w:bidiVisual/>
        <w:tblW w:w="8896" w:type="dxa"/>
        <w:tblLook w:val="04A0" w:firstRow="1" w:lastRow="0" w:firstColumn="1" w:lastColumn="0" w:noHBand="0" w:noVBand="1"/>
      </w:tblPr>
      <w:tblGrid>
        <w:gridCol w:w="5811"/>
        <w:gridCol w:w="3085"/>
      </w:tblGrid>
      <w:tr w:rsidR="00232719" w14:paraId="627CE6EE" w14:textId="77777777" w:rsidTr="00744DBF">
        <w:tc>
          <w:tcPr>
            <w:tcW w:w="5811" w:type="dxa"/>
          </w:tcPr>
          <w:p w14:paraId="78BB73B4" w14:textId="03E2BF3E" w:rsidR="00232719" w:rsidRPr="00486C9A" w:rsidRDefault="009E51DA" w:rsidP="009E51DA">
            <w:pPr>
              <w:spacing w:line="480" w:lineRule="auto"/>
              <w:ind w:right="2115"/>
              <w:jc w:val="both"/>
              <w:rPr>
                <w:rFonts w:ascii="Calibri" w:eastAsia="Calibri" w:hAnsi="Calibri"/>
                <w:b/>
                <w:bCs/>
                <w:rtl/>
              </w:rPr>
            </w:pPr>
            <w:r>
              <w:rPr>
                <w:rFonts w:ascii="Calibri" w:eastAsia="Calibri" w:hAnsi="Calibri" w:hint="cs"/>
                <w:b/>
                <w:bCs/>
                <w:rtl/>
              </w:rPr>
              <w:t xml:space="preserve">כ"ב בטבת </w:t>
            </w:r>
            <w:r w:rsidR="00232719">
              <w:rPr>
                <w:rFonts w:ascii="Calibri" w:eastAsia="Calibri" w:hAnsi="Calibri"/>
                <w:b/>
                <w:bCs/>
                <w:rtl/>
              </w:rPr>
              <w:t>התשפ"</w:t>
            </w:r>
            <w:r w:rsidR="00EE0AA5">
              <w:rPr>
                <w:rFonts w:ascii="Calibri" w:eastAsia="Calibri" w:hAnsi="Calibri" w:hint="cs"/>
                <w:b/>
                <w:bCs/>
                <w:rtl/>
              </w:rPr>
              <w:t>ה</w:t>
            </w:r>
            <w:r>
              <w:rPr>
                <w:rFonts w:ascii="Calibri" w:eastAsia="Calibri" w:hAnsi="Calibri"/>
                <w:b/>
                <w:bCs/>
                <w:rtl/>
              </w:rPr>
              <w:br/>
            </w:r>
            <w:r>
              <w:rPr>
                <w:rFonts w:ascii="Calibri" w:eastAsia="Calibri" w:hAnsi="Calibri" w:hint="cs"/>
                <w:b/>
                <w:bCs/>
                <w:rtl/>
              </w:rPr>
              <w:t xml:space="preserve">22 בינואר </w:t>
            </w:r>
            <w:r w:rsidR="00232719">
              <w:rPr>
                <w:rFonts w:ascii="Calibri" w:eastAsia="Calibri" w:hAnsi="Calibri"/>
                <w:b/>
                <w:bCs/>
                <w:rtl/>
              </w:rPr>
              <w:t>202</w:t>
            </w:r>
            <w:r w:rsidR="00C037A2">
              <w:rPr>
                <w:rFonts w:ascii="Calibri" w:eastAsia="Calibri" w:hAnsi="Calibri" w:hint="cs"/>
                <w:b/>
                <w:bCs/>
                <w:rtl/>
              </w:rPr>
              <w:t>5</w:t>
            </w:r>
            <w:r>
              <w:rPr>
                <w:rFonts w:ascii="Calibri" w:eastAsia="Calibri" w:hAnsi="Calibri"/>
                <w:b/>
                <w:bCs/>
                <w:rtl/>
              </w:rPr>
              <w:br/>
            </w:r>
          </w:p>
        </w:tc>
        <w:tc>
          <w:tcPr>
            <w:tcW w:w="3085" w:type="dxa"/>
            <w:hideMark/>
          </w:tcPr>
          <w:p w14:paraId="4A52B880" w14:textId="1C01C5A1" w:rsidR="00232719" w:rsidRDefault="00232719" w:rsidP="00902283">
            <w:pPr>
              <w:spacing w:line="360" w:lineRule="auto"/>
              <w:jc w:val="both"/>
              <w:rPr>
                <w:rFonts w:ascii="Calibri" w:eastAsia="Calibri" w:hAnsi="Calibri"/>
                <w:b/>
                <w:bCs/>
                <w:rtl/>
              </w:rPr>
            </w:pPr>
            <w:r>
              <w:rPr>
                <w:rFonts w:ascii="Calibri" w:eastAsia="Calibri" w:hAnsi="Calibri"/>
                <w:b/>
                <w:bCs/>
                <w:rtl/>
              </w:rPr>
              <w:t xml:space="preserve">אלוף </w:t>
            </w:r>
            <w:r w:rsidR="00744DBF">
              <w:rPr>
                <w:rFonts w:ascii="Calibri" w:eastAsia="Calibri" w:hAnsi="Calibri" w:hint="cs"/>
                <w:b/>
                <w:bCs/>
                <w:rtl/>
              </w:rPr>
              <w:t>אבי בלוט</w:t>
            </w:r>
            <w:r>
              <w:rPr>
                <w:rFonts w:ascii="Calibri" w:eastAsia="Calibri" w:hAnsi="Calibri"/>
                <w:b/>
                <w:bCs/>
                <w:rtl/>
              </w:rPr>
              <w:br/>
              <w:t xml:space="preserve">מפקד     כוחות     צה"ל  </w:t>
            </w:r>
            <w:r>
              <w:rPr>
                <w:rFonts w:ascii="Calibri" w:eastAsia="Calibri" w:hAnsi="Calibri"/>
                <w:b/>
                <w:bCs/>
                <w:rtl/>
              </w:rPr>
              <w:br/>
              <w:t>באזור  יהודה  ושומרון</w:t>
            </w:r>
            <w:r>
              <w:rPr>
                <w:rFonts w:ascii="Calibri" w:eastAsia="Calibri" w:hAnsi="Calibri"/>
                <w:b/>
                <w:bCs/>
                <w:rtl/>
              </w:rPr>
              <w:br/>
            </w:r>
          </w:p>
        </w:tc>
      </w:tr>
    </w:tbl>
    <w:p w14:paraId="6CB42FE5" w14:textId="77777777" w:rsidR="00232719" w:rsidRPr="00152C77" w:rsidRDefault="00232719" w:rsidP="00232719">
      <w:pPr>
        <w:ind w:left="29"/>
        <w:rPr>
          <w:rFonts w:ascii="David" w:hAnsi="David"/>
          <w:sz w:val="26"/>
          <w:rtl/>
        </w:rPr>
      </w:pPr>
    </w:p>
    <w:p w14:paraId="579E528F" w14:textId="77777777" w:rsidR="00232719" w:rsidRDefault="00232719" w:rsidP="00232719">
      <w:pPr>
        <w:ind w:left="29"/>
        <w:rPr>
          <w:rFonts w:ascii="David" w:hAnsi="David"/>
          <w:sz w:val="26"/>
          <w:rtl/>
        </w:rPr>
      </w:pPr>
    </w:p>
    <w:p w14:paraId="6FD22737" w14:textId="77777777" w:rsidR="00232719" w:rsidRPr="00F25B85" w:rsidRDefault="00232719" w:rsidP="00232719">
      <w:pPr>
        <w:ind w:left="29"/>
        <w:rPr>
          <w:rFonts w:ascii="David" w:hAnsi="David"/>
          <w:sz w:val="26"/>
          <w:rtl/>
        </w:rPr>
      </w:pPr>
    </w:p>
    <w:p w14:paraId="6C375F11" w14:textId="77777777" w:rsidR="00232719" w:rsidRDefault="00232719" w:rsidP="00232719">
      <w:pPr>
        <w:jc w:val="both"/>
      </w:pPr>
    </w:p>
    <w:p w14:paraId="2346F335" w14:textId="77777777" w:rsidR="00232719" w:rsidRPr="000137F3" w:rsidRDefault="00232719" w:rsidP="00232719">
      <w:pPr>
        <w:rPr>
          <w:sz w:val="26"/>
          <w:rtl/>
        </w:rPr>
      </w:pPr>
    </w:p>
    <w:p w14:paraId="73ECFE9C" w14:textId="77777777" w:rsidR="00232719" w:rsidRPr="004A79EE" w:rsidRDefault="00232719" w:rsidP="00232719">
      <w:pPr>
        <w:rPr>
          <w:szCs w:val="18"/>
          <w:rtl/>
        </w:rPr>
      </w:pPr>
    </w:p>
    <w:p w14:paraId="2F91DFBF" w14:textId="77777777" w:rsidR="00AB2FE2" w:rsidRDefault="00AB2FE2"/>
    <w:sectPr w:rsidR="00AB2FE2" w:rsidSect="008B1515">
      <w:headerReference w:type="even" r:id="rId8"/>
      <w:headerReference w:type="default" r:id="rId9"/>
      <w:headerReference w:type="first" r:id="rId10"/>
      <w:footerReference w:type="first" r:id="rId11"/>
      <w:pgSz w:w="11906" w:h="16838"/>
      <w:pgMar w:top="1440" w:right="1622" w:bottom="1440" w:left="1610" w:header="567" w:footer="811"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277C5" w14:textId="77777777" w:rsidR="00ED3EB7" w:rsidRDefault="00ED3EB7" w:rsidP="00232719">
      <w:r>
        <w:separator/>
      </w:r>
    </w:p>
  </w:endnote>
  <w:endnote w:type="continuationSeparator" w:id="0">
    <w:p w14:paraId="61CE5015" w14:textId="77777777" w:rsidR="00ED3EB7" w:rsidRDefault="00ED3EB7" w:rsidP="0023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B2F8A" w14:textId="77777777" w:rsidR="004C1E9F" w:rsidRPr="00B91E82" w:rsidRDefault="004573E1" w:rsidP="00896373">
    <w:pPr>
      <w:pStyle w:val="a5"/>
      <w:jc w:val="center"/>
      <w:rPr>
        <w:sz w:val="22"/>
        <w:szCs w:val="22"/>
        <w:rtl/>
      </w:rPr>
    </w:pPr>
    <w:sdt>
      <w:sdtPr>
        <w:rPr>
          <w:sz w:val="22"/>
          <w:szCs w:val="22"/>
          <w:rtl/>
        </w:rPr>
        <w:alias w:val="סיווג"/>
        <w:tag w:val="KM_Classification"/>
        <w:id w:val="-940830281"/>
        <w:dataBinding w:prefixMappings="xmlns:ns0='http://schemas.microsoft.com/office/2006/metadata/properties' xmlns:ns1='http://www.w3.org/2001/XMLSchema-instance' xmlns:ns2='http://schemas.microsoft.com/office/infopath/2007/PartnerControls' xmlns:ns3='8949c517-f620-4517-ae9a-7bd7ac6c4822' xmlns:ns4='http://schemas.microsoft.com/sharepoint/v3'" w:xpath="/ns0:properties[1]/documentManagement[1]/ns4:KM_Classification[1]" w:storeItemID="{DDC0EFA4-4FDA-40C9-9084-5C46BA9C1496}"/>
        <w:text/>
      </w:sdtPr>
      <w:sdtEndPr/>
      <w:sdtContent>
        <w:r w:rsidR="001444D5">
          <w:rPr>
            <w:rFonts w:hint="cs"/>
            <w:sz w:val="22"/>
            <w:szCs w:val="22"/>
            <w:rtl/>
          </w:rPr>
          <w:t>בלמ"ס</w:t>
        </w:r>
      </w:sdtContent>
    </w:sdt>
  </w:p>
  <w:sdt>
    <w:sdtPr>
      <w:rPr>
        <w:sz w:val="22"/>
        <w:szCs w:val="22"/>
        <w:rtl/>
      </w:rPr>
      <w:alias w:val="סימוכין"/>
      <w:tag w:val="KM_DocumentID"/>
      <w:id w:val="-286435928"/>
      <w:showingPlcHdr/>
      <w:dataBinding w:prefixMappings="xmlns:ns0='http://schemas.microsoft.com/office/2006/metadata/properties' xmlns:ns1='http://www.w3.org/2001/XMLSchema-instance' xmlns:ns2='http://schemas.microsoft.com/office/infopath/2007/PartnerControls' xmlns:ns3='8949c517-f620-4517-ae9a-7bd7ac6c4822' xmlns:ns4='http://schemas.microsoft.com/sharepoint/v3'" w:xpath="/ns0:properties[1]/documentManagement[1]/ns4:KM_DocumentID[1]" w:storeItemID="{DDC0EFA4-4FDA-40C9-9084-5C46BA9C1496}"/>
      <w:text/>
    </w:sdtPr>
    <w:sdtEndPr/>
    <w:sdtContent>
      <w:p w14:paraId="127B7EE0" w14:textId="77777777" w:rsidR="004C1E9F" w:rsidRPr="00B91E82" w:rsidRDefault="001444D5" w:rsidP="00896373">
        <w:pPr>
          <w:pStyle w:val="a5"/>
          <w:jc w:val="right"/>
          <w:rPr>
            <w:sz w:val="22"/>
            <w:szCs w:val="22"/>
            <w:rtl/>
          </w:rPr>
        </w:pPr>
        <w:r>
          <w:rPr>
            <w:sz w:val="22"/>
            <w:szCs w:val="22"/>
            <w:rt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F9F08" w14:textId="77777777" w:rsidR="00ED3EB7" w:rsidRDefault="00ED3EB7" w:rsidP="00232719">
      <w:r>
        <w:separator/>
      </w:r>
    </w:p>
  </w:footnote>
  <w:footnote w:type="continuationSeparator" w:id="0">
    <w:p w14:paraId="401A1500" w14:textId="77777777" w:rsidR="00ED3EB7" w:rsidRDefault="00ED3EB7" w:rsidP="0023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DE5A" w14:textId="51AA1FEA" w:rsidR="004C1E9F" w:rsidRDefault="00232719">
    <w:pPr>
      <w:pStyle w:val="a3"/>
    </w:pPr>
    <w:r>
      <w:rPr>
        <w:noProof/>
        <w:lang w:eastAsia="en-US"/>
        <w14:ligatures w14:val="standardContextual"/>
      </w:rPr>
      <mc:AlternateContent>
        <mc:Choice Requires="wps">
          <w:drawing>
            <wp:anchor distT="0" distB="0" distL="0" distR="0" simplePos="0" relativeHeight="251659264" behindDoc="0" locked="0" layoutInCell="1" allowOverlap="1" wp14:anchorId="0697484D" wp14:editId="2F0CBDDB">
              <wp:simplePos x="635" y="635"/>
              <wp:positionH relativeFrom="page">
                <wp:align>center</wp:align>
              </wp:positionH>
              <wp:positionV relativeFrom="page">
                <wp:align>top</wp:align>
              </wp:positionV>
              <wp:extent cx="443865" cy="443865"/>
              <wp:effectExtent l="0" t="0" r="6985" b="16510"/>
              <wp:wrapNone/>
              <wp:docPr id="1392911264" name="תיבת טקסט 2" descr="- בלמ&quot;ס -">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5FC4A9" w14:textId="15084091" w:rsidR="00232719" w:rsidRPr="00232719" w:rsidRDefault="00232719" w:rsidP="00232719">
                          <w:pPr>
                            <w:rPr>
                              <w:rFonts w:ascii="Calibri" w:eastAsia="Calibri" w:hAnsi="Calibri" w:cs="Calibri"/>
                              <w:noProof/>
                              <w:color w:val="000000"/>
                              <w:sz w:val="20"/>
                              <w:szCs w:val="20"/>
                            </w:rPr>
                          </w:pPr>
                          <w:r w:rsidRPr="00232719">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0697484D"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" filled="f" stroked="f">
              <v:textbox style="mso-fit-shape-to-text:t" inset="0,15pt,0,0">
                <w:txbxContent>
                  <w:p w14:paraId="205FC4A9" w14:textId="15084091" w:rsidR="00232719" w:rsidRPr="00232719" w:rsidRDefault="00232719" w:rsidP="00232719">
                    <w:pPr>
                      <w:rPr>
                        <w:rFonts w:ascii="Calibri" w:eastAsia="Calibri" w:hAnsi="Calibri" w:cs="Calibri"/>
                        <w:noProof/>
                        <w:color w:val="000000"/>
                        <w:sz w:val="20"/>
                        <w:szCs w:val="20"/>
                      </w:rPr>
                    </w:pPr>
                    <w:r w:rsidRPr="00232719">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6E951" w14:textId="77777777" w:rsidR="004C1E9F" w:rsidRDefault="004C1E9F" w:rsidP="002A3504">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FE416" w14:textId="7A3437BC" w:rsidR="004C1E9F" w:rsidRPr="00B91E82" w:rsidRDefault="00232719" w:rsidP="00896373">
    <w:pPr>
      <w:pStyle w:val="a3"/>
      <w:jc w:val="center"/>
      <w:rPr>
        <w:sz w:val="22"/>
        <w:szCs w:val="22"/>
        <w:rtl/>
      </w:rPr>
    </w:pPr>
    <w:r>
      <w:rPr>
        <w:noProof/>
        <w:sz w:val="22"/>
        <w:szCs w:val="22"/>
        <w:rtl/>
        <w:lang w:eastAsia="en-US"/>
        <w14:ligatures w14:val="standardContextual"/>
      </w:rPr>
      <mc:AlternateContent>
        <mc:Choice Requires="wps">
          <w:drawing>
            <wp:anchor distT="0" distB="0" distL="0" distR="0" simplePos="0" relativeHeight="251658240" behindDoc="0" locked="0" layoutInCell="1" allowOverlap="1" wp14:anchorId="404B258D" wp14:editId="06106E5B">
              <wp:simplePos x="635" y="635"/>
              <wp:positionH relativeFrom="page">
                <wp:align>center</wp:align>
              </wp:positionH>
              <wp:positionV relativeFrom="page">
                <wp:align>top</wp:align>
              </wp:positionV>
              <wp:extent cx="443865" cy="443865"/>
              <wp:effectExtent l="0" t="0" r="6985" b="16510"/>
              <wp:wrapNone/>
              <wp:docPr id="498075024" name="תיבת טקסט 1" descr="- בלמ&quot;ס -">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C2F17" w14:textId="758745B7" w:rsidR="00232719" w:rsidRPr="00232719" w:rsidRDefault="00232719" w:rsidP="00232719">
                          <w:pPr>
                            <w:rPr>
                              <w:rFonts w:ascii="Calibri" w:eastAsia="Calibri" w:hAnsi="Calibri" w:cs="Calibri"/>
                              <w:noProof/>
                              <w:color w:val="000000"/>
                              <w:sz w:val="20"/>
                              <w:szCs w:val="20"/>
                            </w:rPr>
                          </w:pPr>
                          <w:r w:rsidRPr="00232719">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404B258D" id="_x0000_t202" coordsize="21600,21600" o:spt="202" path="m,l,21600r21600,l21600,xe">
              <v:stroke joinstyle="miter"/>
              <v:path gradientshapeok="t" o:connecttype="rect"/>
            </v:shapetype>
            <v:shape id="תיבת טקסט 1" o:spid="_x0000_s1027"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" filled="f" stroked="f">
              <v:textbox style="mso-fit-shape-to-text:t" inset="0,15pt,0,0">
                <w:txbxContent>
                  <w:p w14:paraId="125C2F17" w14:textId="758745B7" w:rsidR="00232719" w:rsidRPr="00232719" w:rsidRDefault="00232719" w:rsidP="00232719">
                    <w:pPr>
                      <w:rPr>
                        <w:rFonts w:ascii="Calibri" w:eastAsia="Calibri" w:hAnsi="Calibri" w:cs="Calibri"/>
                        <w:noProof/>
                        <w:color w:val="000000"/>
                        <w:sz w:val="20"/>
                        <w:szCs w:val="20"/>
                      </w:rPr>
                    </w:pPr>
                    <w:r w:rsidRPr="00232719">
                      <w:rPr>
                        <w:rFonts w:ascii="Calibri" w:eastAsia="Calibri" w:hAnsi="Calibri" w:cs="Calibri"/>
                        <w:noProof/>
                        <w:color w:val="000000"/>
                        <w:sz w:val="20"/>
                        <w:szCs w:val="20"/>
                        <w:rtl/>
                      </w:rPr>
                      <w:t>- בלמ"ס -</w:t>
                    </w:r>
                  </w:p>
                </w:txbxContent>
              </v:textbox>
              <w10:wrap anchorx="page" anchory="page"/>
            </v:shape>
          </w:pict>
        </mc:Fallback>
      </mc:AlternateContent>
    </w:r>
    <w:sdt>
      <w:sdtPr>
        <w:rPr>
          <w:sz w:val="22"/>
          <w:szCs w:val="22"/>
          <w:rtl/>
        </w:rPr>
        <w:alias w:val="סיווג"/>
        <w:tag w:val="KM_Classification"/>
        <w:id w:val="-1237469474"/>
        <w:dataBinding w:prefixMappings="xmlns:ns0='http://schemas.microsoft.com/office/2006/metadata/properties' xmlns:ns1='http://www.w3.org/2001/XMLSchema-instance' xmlns:ns2='http://schemas.microsoft.com/office/infopath/2007/PartnerControls' xmlns:ns3='8949c517-f620-4517-ae9a-7bd7ac6c4822' xmlns:ns4='http://schemas.microsoft.com/sharepoint/v3'" w:xpath="/ns0:properties[1]/documentManagement[1]/ns4:KM_Classification[1]" w:storeItemID="{DDC0EFA4-4FDA-40C9-9084-5C46BA9C1496}"/>
        <w:text/>
      </w:sdtPr>
      <w:sdtEndPr/>
      <w:sdtContent>
        <w:r>
          <w:rPr>
            <w:rFonts w:hint="cs"/>
            <w:sz w:val="22"/>
            <w:szCs w:val="22"/>
            <w:rtl/>
          </w:rPr>
          <w:t>בלמ"ס</w:t>
        </w:r>
      </w:sdtContent>
    </w:sdt>
  </w:p>
  <w:p w14:paraId="31CE11CF" w14:textId="77777777" w:rsidR="004C1E9F" w:rsidRDefault="001444D5" w:rsidP="00896373">
    <w:pPr>
      <w:framePr w:w="433" w:wrap="around" w:vAnchor="text" w:hAnchor="page" w:x="5761" w:y="1"/>
      <w:ind w:left="9"/>
      <w:jc w:val="center"/>
      <w:rPr>
        <w:rtl/>
      </w:rPr>
    </w:pPr>
    <w:r>
      <w:rPr>
        <w:rtl/>
      </w:rPr>
      <w:t>-</w:t>
    </w:r>
    <w:r w:rsidRPr="00896373">
      <w:rPr>
        <w:sz w:val="22"/>
        <w:szCs w:val="22"/>
        <w:rtl/>
      </w:rPr>
      <w:fldChar w:fldCharType="begin"/>
    </w:r>
    <w:r w:rsidRPr="00896373">
      <w:rPr>
        <w:sz w:val="22"/>
        <w:szCs w:val="22"/>
      </w:rPr>
      <w:instrText>PAGE</w:instrText>
    </w:r>
    <w:r w:rsidRPr="00896373">
      <w:rPr>
        <w:sz w:val="22"/>
        <w:szCs w:val="22"/>
        <w:rtl/>
      </w:rPr>
      <w:fldChar w:fldCharType="separate"/>
    </w:r>
    <w:r>
      <w:rPr>
        <w:noProof/>
        <w:sz w:val="22"/>
        <w:szCs w:val="22"/>
        <w:rtl/>
      </w:rPr>
      <w:t>1</w:t>
    </w:r>
    <w:r w:rsidRPr="00896373">
      <w:rPr>
        <w:sz w:val="22"/>
        <w:szCs w:val="22"/>
        <w:rtl/>
      </w:rPr>
      <w:fldChar w:fldCharType="end"/>
    </w:r>
    <w:r>
      <w:rPr>
        <w:rtl/>
      </w:rPr>
      <w:t>-</w:t>
    </w:r>
  </w:p>
  <w:p w14:paraId="498E08BE" w14:textId="77777777" w:rsidR="004C1E9F" w:rsidRDefault="004C1E9F" w:rsidP="0089637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E3450"/>
    <w:multiLevelType w:val="hybridMultilevel"/>
    <w:tmpl w:val="7674A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2512C8"/>
    <w:multiLevelType w:val="hybridMultilevel"/>
    <w:tmpl w:val="6262CF00"/>
    <w:lvl w:ilvl="0" w:tplc="D93C6D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E853A7"/>
    <w:multiLevelType w:val="hybridMultilevel"/>
    <w:tmpl w:val="133EB858"/>
    <w:lvl w:ilvl="0" w:tplc="C5A4E1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D5580F"/>
    <w:multiLevelType w:val="hybridMultilevel"/>
    <w:tmpl w:val="11927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0070A"/>
    <w:multiLevelType w:val="hybridMultilevel"/>
    <w:tmpl w:val="82B25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D7085"/>
    <w:multiLevelType w:val="hybridMultilevel"/>
    <w:tmpl w:val="AC20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B64F72"/>
    <w:multiLevelType w:val="hybridMultilevel"/>
    <w:tmpl w:val="76C02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467FD"/>
    <w:multiLevelType w:val="hybridMultilevel"/>
    <w:tmpl w:val="40BA871C"/>
    <w:lvl w:ilvl="0" w:tplc="44A4A8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19"/>
    <w:rsid w:val="0000623E"/>
    <w:rsid w:val="000129DD"/>
    <w:rsid w:val="00020897"/>
    <w:rsid w:val="00021522"/>
    <w:rsid w:val="000301F2"/>
    <w:rsid w:val="0003736D"/>
    <w:rsid w:val="00037D73"/>
    <w:rsid w:val="000571F1"/>
    <w:rsid w:val="00057E54"/>
    <w:rsid w:val="00062972"/>
    <w:rsid w:val="000756E5"/>
    <w:rsid w:val="000820CD"/>
    <w:rsid w:val="00085269"/>
    <w:rsid w:val="00095343"/>
    <w:rsid w:val="00097170"/>
    <w:rsid w:val="000A5C7E"/>
    <w:rsid w:val="000C256B"/>
    <w:rsid w:val="000E71A3"/>
    <w:rsid w:val="000F449D"/>
    <w:rsid w:val="00105ECC"/>
    <w:rsid w:val="00112F14"/>
    <w:rsid w:val="001357F3"/>
    <w:rsid w:val="001444D5"/>
    <w:rsid w:val="00163E7B"/>
    <w:rsid w:val="00174007"/>
    <w:rsid w:val="001A70BD"/>
    <w:rsid w:val="001C02EB"/>
    <w:rsid w:val="001E02D3"/>
    <w:rsid w:val="001E1766"/>
    <w:rsid w:val="001E53D4"/>
    <w:rsid w:val="001F4154"/>
    <w:rsid w:val="00232719"/>
    <w:rsid w:val="00235088"/>
    <w:rsid w:val="00235660"/>
    <w:rsid w:val="0024269D"/>
    <w:rsid w:val="0025590C"/>
    <w:rsid w:val="00266942"/>
    <w:rsid w:val="00290F07"/>
    <w:rsid w:val="002A3018"/>
    <w:rsid w:val="002C7FFC"/>
    <w:rsid w:val="002E0B5B"/>
    <w:rsid w:val="003039F6"/>
    <w:rsid w:val="003337FC"/>
    <w:rsid w:val="00344858"/>
    <w:rsid w:val="0035151F"/>
    <w:rsid w:val="0035189D"/>
    <w:rsid w:val="00356F7A"/>
    <w:rsid w:val="00360E4B"/>
    <w:rsid w:val="00364129"/>
    <w:rsid w:val="003711DD"/>
    <w:rsid w:val="00377D50"/>
    <w:rsid w:val="003C37B0"/>
    <w:rsid w:val="003C793A"/>
    <w:rsid w:val="003D069D"/>
    <w:rsid w:val="003D1720"/>
    <w:rsid w:val="003D43B2"/>
    <w:rsid w:val="004017D8"/>
    <w:rsid w:val="0040340F"/>
    <w:rsid w:val="00455214"/>
    <w:rsid w:val="004573E1"/>
    <w:rsid w:val="004611B5"/>
    <w:rsid w:val="0047275D"/>
    <w:rsid w:val="004746A5"/>
    <w:rsid w:val="004A46C3"/>
    <w:rsid w:val="004C1E9F"/>
    <w:rsid w:val="00501FFB"/>
    <w:rsid w:val="00510146"/>
    <w:rsid w:val="005153C6"/>
    <w:rsid w:val="005239F8"/>
    <w:rsid w:val="00544DFA"/>
    <w:rsid w:val="0054682B"/>
    <w:rsid w:val="00547F99"/>
    <w:rsid w:val="005527D8"/>
    <w:rsid w:val="00560E9B"/>
    <w:rsid w:val="00572FA5"/>
    <w:rsid w:val="00575D9C"/>
    <w:rsid w:val="0057606F"/>
    <w:rsid w:val="005E3F01"/>
    <w:rsid w:val="00637BE5"/>
    <w:rsid w:val="00666EF4"/>
    <w:rsid w:val="00697528"/>
    <w:rsid w:val="006A0810"/>
    <w:rsid w:val="006A4038"/>
    <w:rsid w:val="006B23C4"/>
    <w:rsid w:val="006B2A70"/>
    <w:rsid w:val="006C3C8E"/>
    <w:rsid w:val="006C6301"/>
    <w:rsid w:val="006D7225"/>
    <w:rsid w:val="006F34D8"/>
    <w:rsid w:val="0071155C"/>
    <w:rsid w:val="00744DBF"/>
    <w:rsid w:val="00745581"/>
    <w:rsid w:val="00773B3C"/>
    <w:rsid w:val="00775097"/>
    <w:rsid w:val="00792D69"/>
    <w:rsid w:val="007D72EC"/>
    <w:rsid w:val="007F65E2"/>
    <w:rsid w:val="00823785"/>
    <w:rsid w:val="00830E1A"/>
    <w:rsid w:val="00832B79"/>
    <w:rsid w:val="00860190"/>
    <w:rsid w:val="0089531E"/>
    <w:rsid w:val="008A1F66"/>
    <w:rsid w:val="008A73AC"/>
    <w:rsid w:val="008B1515"/>
    <w:rsid w:val="008C5EB5"/>
    <w:rsid w:val="008D3D05"/>
    <w:rsid w:val="008E0ABA"/>
    <w:rsid w:val="008E1FC4"/>
    <w:rsid w:val="00904CCC"/>
    <w:rsid w:val="009307B7"/>
    <w:rsid w:val="00930F5B"/>
    <w:rsid w:val="00945AA9"/>
    <w:rsid w:val="00954430"/>
    <w:rsid w:val="009609E7"/>
    <w:rsid w:val="00960D83"/>
    <w:rsid w:val="0097055B"/>
    <w:rsid w:val="009749B5"/>
    <w:rsid w:val="009845B3"/>
    <w:rsid w:val="00985B52"/>
    <w:rsid w:val="009A7383"/>
    <w:rsid w:val="009C0063"/>
    <w:rsid w:val="009C42DF"/>
    <w:rsid w:val="009D018E"/>
    <w:rsid w:val="009D7278"/>
    <w:rsid w:val="009E2F7A"/>
    <w:rsid w:val="009E51DA"/>
    <w:rsid w:val="00A00C44"/>
    <w:rsid w:val="00A154BF"/>
    <w:rsid w:val="00A2271F"/>
    <w:rsid w:val="00A41E07"/>
    <w:rsid w:val="00A550DD"/>
    <w:rsid w:val="00A727CF"/>
    <w:rsid w:val="00AA480C"/>
    <w:rsid w:val="00AB067D"/>
    <w:rsid w:val="00AB2FE2"/>
    <w:rsid w:val="00AE25EB"/>
    <w:rsid w:val="00AF184D"/>
    <w:rsid w:val="00B05FDE"/>
    <w:rsid w:val="00B06A7C"/>
    <w:rsid w:val="00B56D6A"/>
    <w:rsid w:val="00B64AF4"/>
    <w:rsid w:val="00B8419A"/>
    <w:rsid w:val="00B87432"/>
    <w:rsid w:val="00B92B7B"/>
    <w:rsid w:val="00BB51B9"/>
    <w:rsid w:val="00BC5E64"/>
    <w:rsid w:val="00BD1DA1"/>
    <w:rsid w:val="00BD2888"/>
    <w:rsid w:val="00BD7310"/>
    <w:rsid w:val="00C037A2"/>
    <w:rsid w:val="00C0441E"/>
    <w:rsid w:val="00C07AFE"/>
    <w:rsid w:val="00C3221A"/>
    <w:rsid w:val="00C4269E"/>
    <w:rsid w:val="00C54052"/>
    <w:rsid w:val="00C67604"/>
    <w:rsid w:val="00C968F6"/>
    <w:rsid w:val="00CA07C9"/>
    <w:rsid w:val="00CC68E6"/>
    <w:rsid w:val="00CD15B3"/>
    <w:rsid w:val="00CF036A"/>
    <w:rsid w:val="00D05C36"/>
    <w:rsid w:val="00D44CB4"/>
    <w:rsid w:val="00D51D86"/>
    <w:rsid w:val="00D52C2F"/>
    <w:rsid w:val="00D544CC"/>
    <w:rsid w:val="00D60163"/>
    <w:rsid w:val="00D93392"/>
    <w:rsid w:val="00DD262A"/>
    <w:rsid w:val="00E10195"/>
    <w:rsid w:val="00E1096C"/>
    <w:rsid w:val="00E17653"/>
    <w:rsid w:val="00E23447"/>
    <w:rsid w:val="00E31386"/>
    <w:rsid w:val="00E35E26"/>
    <w:rsid w:val="00E42B9F"/>
    <w:rsid w:val="00E65154"/>
    <w:rsid w:val="00E94D81"/>
    <w:rsid w:val="00EA438D"/>
    <w:rsid w:val="00EB18CF"/>
    <w:rsid w:val="00ED3EB7"/>
    <w:rsid w:val="00EE0AA5"/>
    <w:rsid w:val="00EF7F8E"/>
    <w:rsid w:val="00F15687"/>
    <w:rsid w:val="00F17D7A"/>
    <w:rsid w:val="00F30591"/>
    <w:rsid w:val="00F37ECF"/>
    <w:rsid w:val="00F62F11"/>
    <w:rsid w:val="00F659EE"/>
    <w:rsid w:val="00F84B65"/>
    <w:rsid w:val="00FA7715"/>
    <w:rsid w:val="00FE305F"/>
    <w:rsid w:val="00FE5B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D5C9"/>
  <w15:chartTrackingRefBased/>
  <w15:docId w15:val="{0026F16C-3E68-4D10-BC74-3027B24B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719"/>
    <w:pPr>
      <w:bidi/>
      <w:spacing w:after="0" w:line="240" w:lineRule="auto"/>
    </w:pPr>
    <w:rPr>
      <w:rFonts w:ascii="Times New Roman" w:eastAsia="Times New Roman" w:hAnsi="Times New Roman" w:cs="David"/>
      <w:kern w:val="0"/>
      <w:sz w:val="18"/>
      <w:szCs w:val="26"/>
      <w:lang w:eastAsia="he-IL"/>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719"/>
    <w:pPr>
      <w:tabs>
        <w:tab w:val="center" w:pos="4153"/>
        <w:tab w:val="right" w:pos="8306"/>
      </w:tabs>
    </w:pPr>
  </w:style>
  <w:style w:type="character" w:customStyle="1" w:styleId="a4">
    <w:name w:val="כותרת עליונה תו"/>
    <w:basedOn w:val="a0"/>
    <w:link w:val="a3"/>
    <w:uiPriority w:val="99"/>
    <w:rsid w:val="00232719"/>
    <w:rPr>
      <w:rFonts w:ascii="Times New Roman" w:eastAsia="Times New Roman" w:hAnsi="Times New Roman" w:cs="David"/>
      <w:kern w:val="0"/>
      <w:sz w:val="18"/>
      <w:szCs w:val="26"/>
      <w:lang w:eastAsia="he-IL"/>
      <w14:ligatures w14:val="none"/>
    </w:rPr>
  </w:style>
  <w:style w:type="paragraph" w:styleId="a5">
    <w:name w:val="footer"/>
    <w:basedOn w:val="a"/>
    <w:link w:val="a6"/>
    <w:uiPriority w:val="99"/>
    <w:unhideWhenUsed/>
    <w:rsid w:val="00232719"/>
    <w:pPr>
      <w:tabs>
        <w:tab w:val="center" w:pos="4153"/>
        <w:tab w:val="right" w:pos="8306"/>
      </w:tabs>
    </w:pPr>
  </w:style>
  <w:style w:type="character" w:customStyle="1" w:styleId="a6">
    <w:name w:val="כותרת תחתונה תו"/>
    <w:basedOn w:val="a0"/>
    <w:link w:val="a5"/>
    <w:uiPriority w:val="99"/>
    <w:rsid w:val="00232719"/>
    <w:rPr>
      <w:rFonts w:ascii="Times New Roman" w:eastAsia="Times New Roman" w:hAnsi="Times New Roman" w:cs="David"/>
      <w:kern w:val="0"/>
      <w:sz w:val="18"/>
      <w:szCs w:val="26"/>
      <w:lang w:eastAsia="he-IL"/>
      <w14:ligatures w14:val="none"/>
    </w:rPr>
  </w:style>
  <w:style w:type="paragraph" w:styleId="a7">
    <w:name w:val="Body Text"/>
    <w:basedOn w:val="a"/>
    <w:link w:val="a8"/>
    <w:rsid w:val="00232719"/>
    <w:rPr>
      <w:sz w:val="20"/>
      <w:szCs w:val="28"/>
    </w:rPr>
  </w:style>
  <w:style w:type="character" w:customStyle="1" w:styleId="a8">
    <w:name w:val="גוף טקסט תו"/>
    <w:basedOn w:val="a0"/>
    <w:link w:val="a7"/>
    <w:rsid w:val="00232719"/>
    <w:rPr>
      <w:rFonts w:ascii="Times New Roman" w:eastAsia="Times New Roman" w:hAnsi="Times New Roman" w:cs="David"/>
      <w:kern w:val="0"/>
      <w:sz w:val="20"/>
      <w:szCs w:val="28"/>
      <w:lang w:eastAsia="he-IL"/>
      <w14:ligatures w14:val="none"/>
    </w:rPr>
  </w:style>
  <w:style w:type="character" w:styleId="a9">
    <w:name w:val="annotation reference"/>
    <w:basedOn w:val="a0"/>
    <w:uiPriority w:val="99"/>
    <w:semiHidden/>
    <w:unhideWhenUsed/>
    <w:rsid w:val="00BD2888"/>
    <w:rPr>
      <w:sz w:val="16"/>
      <w:szCs w:val="16"/>
    </w:rPr>
  </w:style>
  <w:style w:type="paragraph" w:styleId="aa">
    <w:name w:val="annotation text"/>
    <w:basedOn w:val="a"/>
    <w:link w:val="ab"/>
    <w:uiPriority w:val="99"/>
    <w:unhideWhenUsed/>
    <w:rsid w:val="00BD2888"/>
    <w:rPr>
      <w:sz w:val="20"/>
      <w:szCs w:val="20"/>
    </w:rPr>
  </w:style>
  <w:style w:type="character" w:customStyle="1" w:styleId="ab">
    <w:name w:val="טקסט הערה תו"/>
    <w:basedOn w:val="a0"/>
    <w:link w:val="aa"/>
    <w:uiPriority w:val="99"/>
    <w:rsid w:val="00BD2888"/>
    <w:rPr>
      <w:rFonts w:ascii="Times New Roman" w:eastAsia="Times New Roman" w:hAnsi="Times New Roman" w:cs="David"/>
      <w:kern w:val="0"/>
      <w:sz w:val="20"/>
      <w:szCs w:val="20"/>
      <w:lang w:eastAsia="he-IL"/>
      <w14:ligatures w14:val="none"/>
    </w:rPr>
  </w:style>
  <w:style w:type="paragraph" w:styleId="ac">
    <w:name w:val="annotation subject"/>
    <w:basedOn w:val="aa"/>
    <w:next w:val="aa"/>
    <w:link w:val="ad"/>
    <w:uiPriority w:val="99"/>
    <w:semiHidden/>
    <w:unhideWhenUsed/>
    <w:rsid w:val="00BD2888"/>
    <w:rPr>
      <w:b/>
      <w:bCs/>
    </w:rPr>
  </w:style>
  <w:style w:type="character" w:customStyle="1" w:styleId="ad">
    <w:name w:val="נושא הערה תו"/>
    <w:basedOn w:val="ab"/>
    <w:link w:val="ac"/>
    <w:uiPriority w:val="99"/>
    <w:semiHidden/>
    <w:rsid w:val="00BD2888"/>
    <w:rPr>
      <w:rFonts w:ascii="Times New Roman" w:eastAsia="Times New Roman" w:hAnsi="Times New Roman" w:cs="David"/>
      <w:b/>
      <w:bCs/>
      <w:kern w:val="0"/>
      <w:sz w:val="20"/>
      <w:szCs w:val="20"/>
      <w:lang w:eastAsia="he-IL"/>
      <w14:ligatures w14:val="none"/>
    </w:rPr>
  </w:style>
  <w:style w:type="paragraph" w:styleId="ae">
    <w:name w:val="Revision"/>
    <w:hidden/>
    <w:uiPriority w:val="99"/>
    <w:semiHidden/>
    <w:rsid w:val="0035189D"/>
    <w:pPr>
      <w:spacing w:after="0" w:line="240" w:lineRule="auto"/>
    </w:pPr>
    <w:rPr>
      <w:rFonts w:ascii="Times New Roman" w:eastAsia="Times New Roman" w:hAnsi="Times New Roman" w:cs="David"/>
      <w:kern w:val="0"/>
      <w:sz w:val="18"/>
      <w:szCs w:val="26"/>
      <w:lang w:eastAsia="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77B60-8E50-4926-AB53-4F3C8D3D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2171</Words>
  <Characters>10859</Characters>
  <Application>Microsoft Office Word</Application>
  <DocSecurity>0</DocSecurity>
  <Lines>90</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הדר פאר</dc:creator>
  <cp:keywords/>
  <dc:description/>
  <cp:lastModifiedBy>hpb</cp:lastModifiedBy>
  <cp:revision>2</cp:revision>
  <cp:lastPrinted>2024-12-17T11:34:00Z</cp:lastPrinted>
  <dcterms:created xsi:type="dcterms:W3CDTF">2025-01-23T15:09:00Z</dcterms:created>
  <dcterms:modified xsi:type="dcterms:W3CDTF">2025-01-23T15:09:00Z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1db00590,530623a0,437af347</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2024-01-23T14:00:25Z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50fc0987-159d-4395-8f0d-99dd47270538</vt:lpwstr>
  </property>
  <property fmtid="{D5CDD505-2E9C-101B-9397-08002B2CF9AE}" pid="11" name="MSIP_Label_701b9bfc-c426-492e-a46c-1a922d5fe54b_ContentBits">
    <vt:lpwstr>1</vt:lpwstr>
  </property>
</Properties>
</file>